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“苏银理财恒源</w:t>
      </w:r>
      <w:r>
        <w:rPr>
          <w:rFonts w:hint="eastAsia" w:ascii="楷体" w:hAnsi="楷体" w:eastAsia="楷体"/>
          <w:b/>
          <w:color w:val="auto"/>
          <w:sz w:val="28"/>
          <w:szCs w:val="28"/>
          <w:lang w:eastAsia="zh-CN"/>
        </w:rPr>
        <w:t>1年定开13期</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4"/>
          <w:szCs w:val="24"/>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在理财产品开放日净赎回额（赎回申请份额总数扣除申购申请份额总数）超过理财产品存续份额10%时，即为发生巨额赎回，此时苏银理财有权拒绝赎回申请，这可能影响投资者的资金安排，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default" w:ascii="Calibri" w:hAnsi="Calibri" w:eastAsia="楷体" w:cs="Calibri"/>
          <w:color w:val="auto"/>
          <w:sz w:val="21"/>
          <w:szCs w:val="21"/>
        </w:rPr>
        <w:t>①</w:t>
      </w:r>
      <w:r>
        <w:rPr>
          <w:rFonts w:hint="eastAsia" w:ascii="楷体" w:hAnsi="楷体" w:eastAsia="楷体"/>
          <w:color w:val="auto"/>
          <w:sz w:val="21"/>
          <w:szCs w:val="21"/>
        </w:rPr>
        <w:t>市场平均利率水平变化导致债券价格变化的风险。</w:t>
      </w:r>
      <w:r>
        <w:rPr>
          <w:rFonts w:hint="default" w:ascii="Calibri" w:hAnsi="Calibri" w:eastAsia="楷体" w:cs="Calibri"/>
          <w:color w:val="auto"/>
          <w:sz w:val="21"/>
          <w:szCs w:val="21"/>
        </w:rPr>
        <w:t>②</w:t>
      </w:r>
      <w:r>
        <w:rPr>
          <w:rFonts w:hint="eastAsia" w:ascii="楷体" w:hAnsi="楷体" w:eastAsia="楷体"/>
          <w:color w:val="auto"/>
          <w:sz w:val="21"/>
          <w:szCs w:val="21"/>
        </w:rPr>
        <w:t>债券市场不同期限、不同类别债券之间的利差变动导致相应期限和类别债券价格变化的风险。</w:t>
      </w:r>
      <w:r>
        <w:rPr>
          <w:rFonts w:hint="default" w:ascii="Calibri" w:hAnsi="Calibri" w:eastAsia="楷体" w:cs="Calibri"/>
          <w:color w:val="auto"/>
          <w:sz w:val="21"/>
          <w:szCs w:val="21"/>
        </w:rPr>
        <w:t>③</w:t>
      </w:r>
      <w:r>
        <w:rPr>
          <w:rFonts w:hint="eastAsia" w:ascii="楷体" w:hAnsi="楷体" w:eastAsia="楷体"/>
          <w:color w:val="auto"/>
          <w:sz w:val="21"/>
          <w:szCs w:val="21"/>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b/>
          <w:bCs w:val="0"/>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楷体" w:hAnsi="楷体" w:eastAsia="楷体"/>
          <w:b/>
          <w:bCs/>
          <w:color w:val="auto"/>
          <w:sz w:val="21"/>
          <w:szCs w:val="21"/>
          <w:highlight w:val="none"/>
          <w:lang w:val="en-US" w:eastAsia="zh-CN"/>
        </w:rPr>
        <w:t>①</w:t>
      </w:r>
      <w:r>
        <w:rPr>
          <w:rFonts w:hint="eastAsia" w:ascii="楷体" w:hAnsi="楷体" w:eastAsia="楷体"/>
          <w:b/>
          <w:bCs/>
          <w:color w:val="auto"/>
          <w:sz w:val="21"/>
          <w:szCs w:val="21"/>
          <w:highlight w:val="none"/>
          <w:lang w:val="en-US" w:eastAsia="zh-CN"/>
        </w:rPr>
        <w:t>融</w:t>
      </w:r>
      <w:r>
        <w:rPr>
          <w:rFonts w:hint="eastAsia" w:ascii="楷体" w:hAnsi="楷体" w:eastAsia="楷体"/>
          <w:b/>
          <w:bCs w:val="0"/>
          <w:color w:val="auto"/>
          <w:sz w:val="21"/>
          <w:szCs w:val="21"/>
        </w:rPr>
        <w:t>资方还款履约能力可能的变化导致的信用风险。</w:t>
      </w:r>
      <w:r>
        <w:rPr>
          <w:rFonts w:hint="default" w:ascii="Calibri" w:hAnsi="Calibri" w:eastAsia="楷体" w:cs="Calibri"/>
          <w:b/>
          <w:bCs/>
          <w:color w:val="auto"/>
          <w:sz w:val="21"/>
          <w:szCs w:val="21"/>
        </w:rPr>
        <w:fldChar w:fldCharType="begin"/>
      </w:r>
      <w:r>
        <w:rPr>
          <w:rFonts w:hint="default" w:ascii="Calibri" w:hAnsi="Calibri" w:eastAsia="楷体" w:cs="Calibri"/>
          <w:b/>
          <w:bCs/>
          <w:color w:val="auto"/>
          <w:sz w:val="21"/>
          <w:szCs w:val="21"/>
        </w:rPr>
        <w:instrText xml:space="preserve"> = 2 \* GB3 \* MERGEFORMAT </w:instrText>
      </w:r>
      <w:r>
        <w:rPr>
          <w:rFonts w:hint="default" w:ascii="Calibri" w:hAnsi="Calibri" w:eastAsia="楷体" w:cs="Calibri"/>
          <w:b/>
          <w:bCs/>
          <w:color w:val="auto"/>
          <w:sz w:val="21"/>
          <w:szCs w:val="21"/>
        </w:rPr>
        <w:fldChar w:fldCharType="separate"/>
      </w:r>
      <w:r>
        <w:rPr>
          <w:b/>
          <w:bCs/>
        </w:rPr>
        <w:t>②</w:t>
      </w:r>
      <w:r>
        <w:rPr>
          <w:rFonts w:hint="default" w:ascii="Calibri" w:hAnsi="Calibri" w:eastAsia="楷体" w:cs="Calibri"/>
          <w:b/>
          <w:bCs/>
          <w:color w:val="auto"/>
          <w:sz w:val="21"/>
          <w:szCs w:val="21"/>
        </w:rPr>
        <w:fldChar w:fldCharType="end"/>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color w:val="auto"/>
          <w:sz w:val="21"/>
          <w:szCs w:val="21"/>
        </w:rPr>
        <w:fldChar w:fldCharType="begin"/>
      </w:r>
      <w:r>
        <w:rPr>
          <w:rFonts w:hint="default" w:ascii="Calibri" w:hAnsi="Calibri" w:eastAsia="楷体" w:cs="Calibri"/>
          <w:b/>
          <w:bCs/>
          <w:color w:val="auto"/>
          <w:sz w:val="21"/>
          <w:szCs w:val="21"/>
        </w:rPr>
        <w:instrText xml:space="preserve"> = 3 \* GB3 \* MERGEFORMAT </w:instrText>
      </w:r>
      <w:r>
        <w:rPr>
          <w:rFonts w:hint="default" w:ascii="Calibri" w:hAnsi="Calibri" w:eastAsia="楷体" w:cs="Calibri"/>
          <w:b/>
          <w:bCs/>
          <w:color w:val="auto"/>
          <w:sz w:val="21"/>
          <w:szCs w:val="21"/>
        </w:rPr>
        <w:fldChar w:fldCharType="separate"/>
      </w:r>
      <w:r>
        <w:rPr>
          <w:b/>
          <w:bCs/>
        </w:rPr>
        <w:t>③</w:t>
      </w:r>
      <w:r>
        <w:rPr>
          <w:rFonts w:hint="default" w:ascii="Calibri" w:hAnsi="Calibri" w:eastAsia="楷体" w:cs="Calibri"/>
          <w:b/>
          <w:bCs/>
          <w:color w:val="auto"/>
          <w:sz w:val="21"/>
          <w:szCs w:val="21"/>
        </w:rPr>
        <w:fldChar w:fldCharType="end"/>
      </w:r>
      <w:r>
        <w:rPr>
          <w:rFonts w:hint="eastAsia" w:ascii="楷体" w:hAnsi="楷体" w:eastAsia="楷体"/>
          <w:b/>
          <w:bCs w:val="0"/>
          <w:color w:val="auto"/>
          <w:sz w:val="21"/>
          <w:szCs w:val="21"/>
        </w:rPr>
        <w:t>保证人未履行保证义务的风险等。</w:t>
      </w:r>
    </w:p>
    <w:p>
      <w:pPr>
        <w:numPr>
          <w:ilvl w:val="0"/>
          <w:numId w:val="3"/>
        </w:numPr>
        <w:tabs>
          <w:tab w:val="left" w:pos="742"/>
        </w:tabs>
        <w:ind w:left="0" w:firstLine="422" w:firstLineChars="200"/>
        <w:rPr>
          <w:rFonts w:hint="eastAsia" w:ascii="楷体" w:hAnsi="楷体" w:eastAsia="楷体"/>
          <w:b/>
          <w:bCs/>
          <w:color w:val="auto"/>
          <w:sz w:val="21"/>
          <w:szCs w:val="21"/>
          <w:highlight w:val="none"/>
          <w:lang w:val="en-US" w:eastAsia="zh-CN"/>
        </w:rPr>
      </w:pPr>
      <w:r>
        <w:rPr>
          <w:rFonts w:hint="eastAsia" w:ascii="楷体" w:hAnsi="楷体" w:eastAsia="楷体"/>
          <w:b/>
          <w:bCs/>
          <w:color w:val="auto"/>
          <w:sz w:val="21"/>
          <w:szCs w:val="21"/>
          <w:highlight w:val="none"/>
          <w:lang w:val="en-US" w:eastAsia="zh-CN"/>
        </w:rPr>
        <w:t>结构性存款的特殊风险：</w:t>
      </w:r>
    </w:p>
    <w:p>
      <w:pPr>
        <w:numPr>
          <w:ilvl w:val="0"/>
          <w:numId w:val="0"/>
        </w:numPr>
        <w:tabs>
          <w:tab w:val="left" w:pos="1092"/>
        </w:tabs>
        <w:ind w:firstLine="422" w:firstLineChars="200"/>
        <w:rPr>
          <w:rFonts w:hint="default" w:ascii="楷体" w:hAnsi="楷体" w:eastAsia="楷体"/>
          <w:b/>
          <w:bCs w:val="0"/>
          <w:color w:val="auto"/>
          <w:sz w:val="21"/>
          <w:szCs w:val="21"/>
          <w:highlight w:val="none"/>
          <w:lang w:val="en-US" w:eastAsia="zh-CN"/>
        </w:rPr>
      </w:pP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1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①</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市场风险。结构性存款挂钩的境内外债券、股票、利率、汇率、指数等标的受相关国家或地区的金融市场和经济趋势的影响，收益存在不确定性。</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2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②</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信用风险。结构性存款可能面临交易对手银行无力偿付或未履行该结构性存款相关义务（含支付义务）的风险，同时结构性存款挂钩的标的如果出现信用违约，结构性存款的本金与收益也会受到影响，在最不利的情况下可能损失全部本金。</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3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③</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利率风险。结构性存款如挂钩特定债券或债券指数，可能因相关利率变动而导致产品收益发生变化。</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4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④</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汇率风险。结构性存款如挂钩境外证券资产，可能面临以非人民币计价的各类资产受汇率波动影响而引起人民币估值下的理财产品资产净值波动的风险。</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5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⑤</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衍生品投资风险。结构性存款所嵌入的金融衍生工具，可能存在杠杆风险、操作风险、交易对手的信用风险、衍生品价格与其基础品种的相关度变化带来的风险等。以上风险事项若发生，可能影响投资者收益，甚至使产品本金遭受损失。</w:t>
      </w:r>
    </w:p>
    <w:p>
      <w:pPr>
        <w:numPr>
          <w:ilvl w:val="0"/>
          <w:numId w:val="3"/>
        </w:numPr>
        <w:tabs>
          <w:tab w:val="left" w:pos="742"/>
        </w:tabs>
        <w:ind w:left="0" w:firstLine="422" w:firstLineChars="200"/>
        <w:rPr>
          <w:rFonts w:hint="eastAsia" w:ascii="楷体" w:hAnsi="楷体" w:eastAsia="楷体"/>
          <w:b/>
          <w:bCs/>
          <w:color w:val="auto"/>
          <w:sz w:val="21"/>
          <w:szCs w:val="21"/>
          <w:highlight w:val="none"/>
          <w:lang w:val="en-US" w:eastAsia="zh-CN"/>
        </w:rPr>
      </w:pPr>
      <w:r>
        <w:rPr>
          <w:rFonts w:hint="eastAsia" w:ascii="楷体" w:hAnsi="楷体" w:eastAsia="楷体"/>
          <w:b/>
          <w:bCs/>
          <w:color w:val="auto"/>
          <w:sz w:val="21"/>
          <w:szCs w:val="21"/>
          <w:highlight w:val="none"/>
          <w:lang w:val="en-US" w:eastAsia="zh-CN"/>
        </w:rPr>
        <w:t>股票投资的特殊风险：</w:t>
      </w:r>
    </w:p>
    <w:p>
      <w:pPr>
        <w:numPr>
          <w:ilvl w:val="0"/>
          <w:numId w:val="0"/>
        </w:numPr>
        <w:tabs>
          <w:tab w:val="left" w:pos="742"/>
        </w:tabs>
        <w:ind w:firstLine="422" w:firstLineChars="200"/>
        <w:rPr>
          <w:rFonts w:hint="default" w:ascii="楷体" w:hAnsi="楷体" w:eastAsia="楷体" w:cs="Times New Roman"/>
          <w:b/>
          <w:bCs w:val="0"/>
          <w:color w:val="auto"/>
          <w:kern w:val="2"/>
          <w:sz w:val="21"/>
          <w:szCs w:val="21"/>
          <w:highlight w:val="none"/>
          <w:lang w:val="en-US" w:eastAsia="zh-CN" w:bidi="ar-SA"/>
        </w:rPr>
      </w:pPr>
      <w:r>
        <w:rPr>
          <w:rFonts w:hint="eastAsia" w:ascii="楷体" w:hAnsi="楷体" w:eastAsia="楷体"/>
          <w:b/>
          <w:bCs w:val="0"/>
          <w:color w:val="auto"/>
          <w:sz w:val="21"/>
          <w:szCs w:val="21"/>
          <w:highlight w:val="none"/>
          <w:lang w:val="en-US" w:eastAsia="zh-CN"/>
        </w:rPr>
        <w:fldChar w:fldCharType="begin"/>
      </w:r>
      <w:r>
        <w:rPr>
          <w:rFonts w:hint="eastAsia" w:ascii="楷体" w:hAnsi="楷体" w:eastAsia="楷体"/>
          <w:b/>
          <w:bCs w:val="0"/>
          <w:color w:val="auto"/>
          <w:sz w:val="21"/>
          <w:szCs w:val="21"/>
          <w:highlight w:val="none"/>
          <w:lang w:val="en-US" w:eastAsia="zh-CN"/>
        </w:rPr>
        <w:instrText xml:space="preserve"> = 1 \* GB3 \* MERGEFORMAT </w:instrText>
      </w:r>
      <w:r>
        <w:rPr>
          <w:rFonts w:hint="eastAsia" w:ascii="楷体" w:hAnsi="楷体" w:eastAsia="楷体"/>
          <w:b/>
          <w:bCs w:val="0"/>
          <w:color w:val="auto"/>
          <w:sz w:val="21"/>
          <w:szCs w:val="21"/>
          <w:highlight w:val="none"/>
          <w:lang w:val="en-US" w:eastAsia="zh-CN"/>
        </w:rPr>
        <w:fldChar w:fldCharType="separate"/>
      </w:r>
      <w:r>
        <w:rPr>
          <w:rFonts w:hint="default" w:ascii="楷体" w:hAnsi="楷体" w:eastAsia="楷体"/>
          <w:b/>
          <w:bCs w:val="0"/>
          <w:color w:val="auto"/>
          <w:sz w:val="21"/>
          <w:szCs w:val="21"/>
          <w:highlight w:val="none"/>
          <w:lang w:val="en-US" w:eastAsia="zh-CN"/>
        </w:rPr>
        <w:t>①</w:t>
      </w:r>
      <w:r>
        <w:rPr>
          <w:rFonts w:hint="eastAsia" w:ascii="楷体" w:hAnsi="楷体" w:eastAsia="楷体"/>
          <w:b/>
          <w:bCs w:val="0"/>
          <w:color w:val="auto"/>
          <w:sz w:val="21"/>
          <w:szCs w:val="21"/>
          <w:highlight w:val="none"/>
          <w:lang w:val="en-US" w:eastAsia="zh-CN"/>
        </w:rPr>
        <w:fldChar w:fldCharType="end"/>
      </w:r>
      <w:r>
        <w:rPr>
          <w:rFonts w:hint="eastAsia" w:ascii="楷体" w:hAnsi="楷体" w:eastAsia="楷体"/>
          <w:b/>
          <w:bCs w:val="0"/>
          <w:color w:val="auto"/>
          <w:sz w:val="21"/>
          <w:szCs w:val="21"/>
          <w:highlight w:val="none"/>
          <w:lang w:val="en-US" w:eastAsia="zh-CN"/>
        </w:rPr>
        <w:t>国家货币政策、财政政策、产业</w:t>
      </w:r>
      <w:r>
        <w:rPr>
          <w:rFonts w:hint="eastAsia" w:ascii="楷体" w:hAnsi="楷体" w:eastAsia="楷体" w:cs="Times New Roman"/>
          <w:b/>
          <w:bCs w:val="0"/>
          <w:color w:val="auto"/>
          <w:kern w:val="2"/>
          <w:sz w:val="21"/>
          <w:szCs w:val="21"/>
          <w:highlight w:val="none"/>
          <w:lang w:val="en-US" w:eastAsia="zh-CN" w:bidi="ar-SA"/>
        </w:rPr>
        <w:t>政策等的变化对证券市场产生一定的影响，导致市场价格水平波动的风险。</w:t>
      </w:r>
      <w:r>
        <w:rPr>
          <w:rFonts w:hint="eastAsia" w:ascii="楷体" w:hAnsi="楷体" w:eastAsia="楷体" w:cs="Times New Roman"/>
          <w:b/>
          <w:bCs w:val="0"/>
          <w:color w:val="auto"/>
          <w:kern w:val="2"/>
          <w:sz w:val="21"/>
          <w:szCs w:val="21"/>
          <w:highlight w:val="none"/>
          <w:lang w:val="en-US" w:eastAsia="zh-CN" w:bidi="ar-SA"/>
        </w:rPr>
        <w:fldChar w:fldCharType="begin"/>
      </w:r>
      <w:r>
        <w:rPr>
          <w:rFonts w:hint="eastAsia" w:ascii="楷体" w:hAnsi="楷体" w:eastAsia="楷体" w:cs="Times New Roman"/>
          <w:b/>
          <w:bCs w:val="0"/>
          <w:color w:val="auto"/>
          <w:kern w:val="2"/>
          <w:sz w:val="21"/>
          <w:szCs w:val="21"/>
          <w:highlight w:val="none"/>
          <w:lang w:val="en-US" w:eastAsia="zh-CN" w:bidi="ar-SA"/>
        </w:rPr>
        <w:instrText xml:space="preserve"> = 2 \* GB3 \* MERGEFORMAT </w:instrText>
      </w:r>
      <w:r>
        <w:rPr>
          <w:rFonts w:hint="eastAsia" w:ascii="楷体" w:hAnsi="楷体" w:eastAsia="楷体" w:cs="Times New Roman"/>
          <w:b/>
          <w:bCs w:val="0"/>
          <w:color w:val="auto"/>
          <w:kern w:val="2"/>
          <w:sz w:val="21"/>
          <w:szCs w:val="21"/>
          <w:highlight w:val="none"/>
          <w:lang w:val="en-US" w:eastAsia="zh-CN" w:bidi="ar-SA"/>
        </w:rPr>
        <w:fldChar w:fldCharType="separate"/>
      </w:r>
      <w:r>
        <w:rPr>
          <w:rFonts w:hint="default" w:ascii="楷体" w:hAnsi="楷体" w:eastAsia="楷体" w:cs="Times New Roman"/>
          <w:b/>
          <w:bCs w:val="0"/>
          <w:color w:val="auto"/>
          <w:kern w:val="2"/>
          <w:sz w:val="21"/>
          <w:szCs w:val="21"/>
          <w:highlight w:val="none"/>
          <w:lang w:val="en-US" w:eastAsia="zh-CN" w:bidi="ar-SA"/>
        </w:rPr>
        <w:t>②</w:t>
      </w:r>
      <w:r>
        <w:rPr>
          <w:rFonts w:hint="eastAsia" w:ascii="楷体" w:hAnsi="楷体" w:eastAsia="楷体" w:cs="Times New Roman"/>
          <w:b/>
          <w:bCs w:val="0"/>
          <w:color w:val="auto"/>
          <w:kern w:val="2"/>
          <w:sz w:val="21"/>
          <w:szCs w:val="21"/>
          <w:highlight w:val="none"/>
          <w:lang w:val="en-US" w:eastAsia="zh-CN" w:bidi="ar-SA"/>
        </w:rPr>
        <w:fldChar w:fldCharType="end"/>
      </w:r>
      <w:r>
        <w:rPr>
          <w:rFonts w:hint="eastAsia" w:ascii="楷体" w:hAnsi="楷体" w:eastAsia="楷体" w:cs="Times New Roman"/>
          <w:b/>
          <w:bCs w:val="0"/>
          <w:color w:val="auto"/>
          <w:kern w:val="2"/>
          <w:sz w:val="21"/>
          <w:szCs w:val="21"/>
          <w:highlight w:val="none"/>
          <w:lang w:val="en-US" w:eastAsia="zh-CN" w:bidi="ar-SA"/>
        </w:rPr>
        <w:t>宏观经济运行周期性波动，对股票市场的收益水平产生影响的风险。</w:t>
      </w:r>
      <w:r>
        <w:rPr>
          <w:rFonts w:hint="eastAsia" w:ascii="楷体" w:hAnsi="楷体" w:eastAsia="楷体" w:cs="Times New Roman"/>
          <w:b/>
          <w:bCs w:val="0"/>
          <w:color w:val="auto"/>
          <w:kern w:val="2"/>
          <w:sz w:val="21"/>
          <w:szCs w:val="21"/>
          <w:highlight w:val="none"/>
          <w:lang w:val="en-US" w:eastAsia="zh-CN" w:bidi="ar-SA"/>
        </w:rPr>
        <w:fldChar w:fldCharType="begin"/>
      </w:r>
      <w:r>
        <w:rPr>
          <w:rFonts w:hint="eastAsia" w:ascii="楷体" w:hAnsi="楷体" w:eastAsia="楷体" w:cs="Times New Roman"/>
          <w:b/>
          <w:bCs w:val="0"/>
          <w:color w:val="auto"/>
          <w:kern w:val="2"/>
          <w:sz w:val="21"/>
          <w:szCs w:val="21"/>
          <w:highlight w:val="none"/>
          <w:lang w:val="en-US" w:eastAsia="zh-CN" w:bidi="ar-SA"/>
        </w:rPr>
        <w:instrText xml:space="preserve"> = 3 \* GB3 \* MERGEFORMAT </w:instrText>
      </w:r>
      <w:r>
        <w:rPr>
          <w:rFonts w:hint="eastAsia" w:ascii="楷体" w:hAnsi="楷体" w:eastAsia="楷体" w:cs="Times New Roman"/>
          <w:b/>
          <w:bCs w:val="0"/>
          <w:color w:val="auto"/>
          <w:kern w:val="2"/>
          <w:sz w:val="21"/>
          <w:szCs w:val="21"/>
          <w:highlight w:val="none"/>
          <w:lang w:val="en-US" w:eastAsia="zh-CN" w:bidi="ar-SA"/>
        </w:rPr>
        <w:fldChar w:fldCharType="separate"/>
      </w:r>
      <w:r>
        <w:rPr>
          <w:rFonts w:hint="default" w:ascii="楷体" w:hAnsi="楷体" w:eastAsia="楷体" w:cs="Times New Roman"/>
          <w:b/>
          <w:bCs w:val="0"/>
          <w:color w:val="auto"/>
          <w:kern w:val="2"/>
          <w:sz w:val="21"/>
          <w:szCs w:val="21"/>
          <w:highlight w:val="none"/>
          <w:lang w:val="en-US" w:eastAsia="zh-CN" w:bidi="ar-SA"/>
        </w:rPr>
        <w:t>③</w:t>
      </w:r>
      <w:r>
        <w:rPr>
          <w:rFonts w:hint="eastAsia" w:ascii="楷体" w:hAnsi="楷体" w:eastAsia="楷体" w:cs="Times New Roman"/>
          <w:b/>
          <w:bCs w:val="0"/>
          <w:color w:val="auto"/>
          <w:kern w:val="2"/>
          <w:sz w:val="21"/>
          <w:szCs w:val="21"/>
          <w:highlight w:val="none"/>
          <w:lang w:val="en-US" w:eastAsia="zh-CN" w:bidi="ar-SA"/>
        </w:rPr>
        <w:fldChar w:fldCharType="end"/>
      </w:r>
      <w:r>
        <w:rPr>
          <w:rFonts w:hint="eastAsia" w:ascii="楷体" w:hAnsi="楷体" w:eastAsia="楷体" w:cs="Times New Roman"/>
          <w:b/>
          <w:bCs w:val="0"/>
          <w:color w:val="auto"/>
          <w:kern w:val="2"/>
          <w:sz w:val="21"/>
          <w:szCs w:val="21"/>
          <w:highlight w:val="none"/>
          <w:lang w:val="en-US" w:eastAsia="zh-CN" w:bidi="ar-SA"/>
        </w:rPr>
        <w:t>上市公司的经营状况受多种因素影响，如市场、技术、竞争、管理、财务等都会导致公司盈利发生变化，从而导致股票价格变动的风险。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资产管理计划或</w:t>
      </w:r>
      <w:r>
        <w:rPr>
          <w:rFonts w:hint="eastAsia" w:ascii="楷体" w:hAnsi="楷体" w:eastAsia="楷体"/>
          <w:color w:val="auto"/>
          <w:sz w:val="21"/>
          <w:szCs w:val="21"/>
          <w:lang w:val="en-US" w:eastAsia="zh-CN"/>
        </w:rPr>
        <w:t>基金产品</w:t>
      </w:r>
      <w:r>
        <w:rPr>
          <w:rFonts w:hint="eastAsia" w:ascii="楷体" w:hAnsi="楷体" w:eastAsia="楷体"/>
          <w:color w:val="auto"/>
          <w:sz w:val="21"/>
          <w:szCs w:val="21"/>
        </w:rPr>
        <w:t>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eastAsia" w:ascii="楷体" w:hAnsi="楷体" w:eastAsia="楷体" w:cs="楷体"/>
          <w:color w:val="auto"/>
          <w:sz w:val="21"/>
          <w:szCs w:val="21"/>
        </w:rPr>
        <w:t>①如本理财产品投资于资产管理计划或基金产品，可能因相关资产管理计划或基金的管理人违法违规、未尽资产管理计划或基金的管理人职责或发生其他情形，造成本理财产品所投资的资管计划产品或基金产品的财产损失，进而引起本理财产品的损失。②资产管理计划或基金产品可能出现因为某种原因而被提前终止的情况，由此可能会造成对本理财产品投资收益的影响。③因本</w:t>
      </w:r>
      <w:r>
        <w:rPr>
          <w:rFonts w:hint="eastAsia" w:ascii="楷体" w:hAnsi="楷体" w:eastAsia="楷体"/>
          <w:color w:val="auto"/>
          <w:sz w:val="21"/>
          <w:szCs w:val="21"/>
        </w:rPr>
        <w:t>理财产品的管理人无法对所投资的资产管理计划或基金产品进行投资决策，或相关资产管理计划或基金产品的管理人可能不执行或不能及时、准确地执行本理财产品管理人的指令，或未经本理财产品同意将本理财产品交付的资金运用于违反相关</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约定的投资范围，导致本理财产品项下委托财产的损失等风险。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firstLine="420" w:firstLineChars="200"/>
        <w:rPr>
          <w:rFonts w:ascii="楷体" w:hAnsi="楷体" w:eastAsia="楷体"/>
          <w:b/>
          <w:color w:val="auto"/>
          <w:sz w:val="21"/>
          <w:szCs w:val="21"/>
          <w:u w:val="single"/>
        </w:rPr>
      </w:pPr>
      <w:r>
        <w:rPr>
          <w:rFonts w:hint="eastAsia" w:ascii="楷体" w:hAnsi="楷体" w:eastAsia="楷体" w:cs="Times New Roman"/>
          <w:kern w:val="2"/>
          <w:sz w:val="21"/>
          <w:szCs w:val="21"/>
          <w:lang w:val="en-US" w:eastAsia="zh-CN" w:bidi="ar-SA"/>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本理财产品类型为</w:t>
      </w:r>
      <w:r>
        <w:rPr>
          <w:rFonts w:hint="eastAsia" w:ascii="楷体" w:hAnsi="楷体" w:eastAsia="楷体" w:cs="Calibri"/>
          <w:b/>
          <w:color w:val="auto"/>
          <w:sz w:val="21"/>
          <w:szCs w:val="21"/>
          <w:u w:val="single"/>
        </w:rPr>
        <w:t>固定收益类、公募、</w:t>
      </w:r>
      <w:r>
        <w:rPr>
          <w:rFonts w:hint="eastAsia" w:ascii="楷体" w:hAnsi="楷体" w:eastAsia="楷体" w:cs="Calibri"/>
          <w:b/>
          <w:color w:val="auto"/>
          <w:sz w:val="21"/>
          <w:szCs w:val="21"/>
          <w:u w:val="single"/>
          <w:lang w:val="en-US" w:eastAsia="zh-CN"/>
        </w:rPr>
        <w:t>开放</w:t>
      </w:r>
      <w:r>
        <w:rPr>
          <w:rFonts w:hint="eastAsia" w:ascii="楷体" w:hAnsi="楷体" w:eastAsia="楷体" w:cs="Calibri"/>
          <w:b/>
          <w:color w:val="auto"/>
          <w:sz w:val="21"/>
          <w:szCs w:val="21"/>
          <w:u w:val="single"/>
        </w:rPr>
        <w:t>式</w:t>
      </w:r>
      <w:r>
        <w:rPr>
          <w:rFonts w:hint="eastAsia" w:ascii="楷体" w:hAnsi="楷体" w:eastAsia="楷体"/>
          <w:color w:val="auto"/>
          <w:sz w:val="21"/>
          <w:szCs w:val="21"/>
        </w:rPr>
        <w:t>，产品管理人对本理财产品的内部风险评级为</w:t>
      </w:r>
      <w:r>
        <w:rPr>
          <w:rFonts w:hint="eastAsia" w:ascii="楷体" w:hAnsi="楷体" w:eastAsia="楷体"/>
          <w:b/>
          <w:color w:val="auto"/>
          <w:sz w:val="21"/>
          <w:szCs w:val="21"/>
          <w:u w:val="single"/>
        </w:rPr>
        <w:t>★★二级，适合</w:t>
      </w:r>
      <w:r>
        <w:rPr>
          <w:rFonts w:hint="eastAsia" w:ascii="楷体" w:hAnsi="楷体" w:eastAsia="楷体" w:cs="Calibri"/>
          <w:b/>
          <w:color w:val="auto"/>
          <w:sz w:val="21"/>
          <w:szCs w:val="21"/>
          <w:u w:val="single"/>
        </w:rPr>
        <w:t>中低风险型</w:t>
      </w:r>
      <w:r>
        <w:rPr>
          <w:rFonts w:hint="eastAsia" w:ascii="楷体" w:hAnsi="楷体" w:eastAsia="楷体"/>
          <w:b/>
          <w:color w:val="auto"/>
          <w:sz w:val="21"/>
          <w:szCs w:val="21"/>
          <w:u w:val="single"/>
        </w:rPr>
        <w:t>投资者</w:t>
      </w:r>
      <w:r>
        <w:rPr>
          <w:rFonts w:hint="eastAsia" w:ascii="楷体" w:hAnsi="楷体" w:eastAsia="楷体"/>
          <w:color w:val="auto"/>
          <w:sz w:val="21"/>
          <w:szCs w:val="21"/>
          <w:u w:val="single"/>
        </w:rPr>
        <w:t>。</w:t>
      </w:r>
      <w:r>
        <w:rPr>
          <w:rFonts w:hint="eastAsia" w:ascii="楷体" w:hAnsi="楷体" w:eastAsia="楷体" w:cs="Calibri"/>
          <w:b/>
          <w:color w:val="auto"/>
          <w:sz w:val="21"/>
          <w:szCs w:val="21"/>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ascii="楷体" w:hAnsi="楷体" w:eastAsia="楷体"/>
          <w:b/>
          <w:color w:val="auto"/>
          <w:sz w:val="21"/>
          <w:szCs w:val="21"/>
        </w:rPr>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pPr>
      <w:r>
        <w:rPr>
          <w:rFonts w:hint="eastAsia" w:ascii="楷体" w:hAnsi="楷体" w:eastAsia="楷体"/>
          <w:b/>
          <w:color w:val="auto"/>
          <w:sz w:val="21"/>
          <w:szCs w:val="21"/>
        </w:rPr>
        <w:t>风险揭示方：苏银理财有限责任公司</w:t>
      </w:r>
    </w:p>
    <w:p>
      <w:pPr>
        <w:pStyle w:val="13"/>
        <w:pageBreakBefore/>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rPr>
          <w:rFonts w:ascii="楷体" w:hAnsi="楷体" w:eastAsia="楷体"/>
          <w:color w:val="auto"/>
          <w:sz w:val="21"/>
          <w:szCs w:val="21"/>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pStyle w:val="13"/>
        <w:autoSpaceDE w:val="0"/>
        <w:autoSpaceDN w:val="0"/>
        <w:adjustRightInd w:val="0"/>
        <w:spacing w:line="360" w:lineRule="auto"/>
        <w:jc w:val="center"/>
        <w:rPr>
          <w:rFonts w:hint="eastAsia" w:ascii="楷体" w:hAnsi="楷体" w:eastAsia="楷体"/>
          <w:sz w:val="24"/>
          <w:szCs w:val="24"/>
        </w:rPr>
      </w:pPr>
    </w:p>
    <w:p>
      <w:pPr>
        <w:rPr>
          <w:rFonts w:hint="eastAsia" w:ascii="楷体" w:hAnsi="楷体" w:eastAsia="楷体"/>
          <w:b/>
          <w:color w:val="auto"/>
          <w:sz w:val="28"/>
          <w:szCs w:val="28"/>
        </w:rPr>
      </w:pPr>
      <w:r>
        <w:rPr>
          <w:rFonts w:hint="eastAsia" w:ascii="楷体" w:hAnsi="楷体" w:eastAsia="楷体"/>
          <w:b/>
          <w:color w:val="auto"/>
          <w:sz w:val="28"/>
          <w:szCs w:val="28"/>
        </w:rPr>
        <w:br w:type="page"/>
      </w:r>
    </w:p>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恒源1年定开13期</w:t>
      </w:r>
      <w:r>
        <w:rPr>
          <w:rFonts w:hint="eastAsia" w:ascii="楷体" w:hAnsi="楷体" w:eastAsia="楷体"/>
          <w:b/>
          <w:color w:val="auto"/>
          <w:sz w:val="28"/>
          <w:szCs w:val="28"/>
        </w:rPr>
        <w:t>”理财产品说</w:t>
      </w:r>
      <w:r>
        <w:rPr>
          <w:rFonts w:hint="eastAsia" w:ascii="楷体" w:hAnsi="楷体" w:eastAsia="楷体"/>
          <w:b/>
          <w:color w:val="auto"/>
          <w:sz w:val="28"/>
          <w:szCs w:val="28"/>
          <w:lang w:val="en-US" w:eastAsia="zh-CN"/>
        </w:rPr>
        <w:t>明</w:t>
      </w:r>
      <w:r>
        <w:rPr>
          <w:rFonts w:hint="eastAsia" w:ascii="楷体" w:hAnsi="楷体" w:eastAsia="楷体"/>
          <w:b/>
          <w:color w:val="auto"/>
          <w:sz w:val="28"/>
          <w:szCs w:val="28"/>
        </w:rPr>
        <w:t>书</w:t>
      </w:r>
    </w:p>
    <w:p>
      <w:pPr>
        <w:jc w:val="center"/>
        <w:rPr>
          <w:rFonts w:hint="eastAsia" w:ascii="楷体" w:hAnsi="楷体" w:eastAsia="楷体"/>
          <w:b/>
          <w:sz w:val="24"/>
          <w:szCs w:val="24"/>
        </w:rPr>
      </w:pPr>
      <w:r>
        <w:rPr>
          <w:rFonts w:hint="eastAsia" w:ascii="楷体" w:hAnsi="楷体" w:eastAsia="楷体" w:cs="宋体"/>
          <w:b/>
          <w:kern w:val="0"/>
          <w:sz w:val="24"/>
          <w:szCs w:val="24"/>
        </w:rPr>
        <w:t>理财非存款、产品有风险、投资须谨慎</w:t>
      </w:r>
    </w:p>
    <w:p>
      <w:pPr>
        <w:rPr>
          <w:rFonts w:hint="eastAsia" w:ascii="楷体" w:hAnsi="楷体" w:eastAsia="楷体"/>
          <w:b/>
          <w:sz w:val="21"/>
          <w:szCs w:val="21"/>
          <w:lang w:val="en-US" w:eastAsia="zh-CN"/>
        </w:rPr>
      </w:pPr>
      <w:r>
        <w:rPr>
          <w:rFonts w:hint="eastAsia" w:ascii="楷体" w:hAnsi="楷体" w:eastAsia="楷体"/>
          <w:b/>
          <w:sz w:val="21"/>
          <w:szCs w:val="21"/>
        </w:rPr>
        <w:t>重要须知</w:t>
      </w:r>
    </w:p>
    <w:p>
      <w:pPr>
        <w:numPr>
          <w:ilvl w:val="0"/>
          <w:numId w:val="5"/>
        </w:numPr>
        <w:rPr>
          <w:rFonts w:ascii="楷体" w:hAnsi="楷体" w:eastAsia="楷体"/>
          <w:sz w:val="21"/>
          <w:szCs w:val="21"/>
        </w:rPr>
      </w:pPr>
      <w:r>
        <w:rPr>
          <w:rFonts w:hint="eastAsia" w:ascii="楷体" w:hAnsi="楷体" w:eastAsia="楷体"/>
          <w:sz w:val="21"/>
          <w:szCs w:val="21"/>
        </w:rPr>
        <w:t>在购买本理财产品前，投资者应确保自己完全理解该项投资的性质和所涉及的风险，详细了解和审慎评估该理财产品的资金方向、风险类型等基本情况，在慎重考虑后自行决定购买与自身风险承受能力和资产管理需求匹配的理财产品。</w:t>
      </w:r>
    </w:p>
    <w:p>
      <w:pPr>
        <w:numPr>
          <w:ilvl w:val="0"/>
          <w:numId w:val="5"/>
        </w:numPr>
        <w:rPr>
          <w:rFonts w:ascii="楷体" w:hAnsi="楷体" w:eastAsia="楷体"/>
          <w:b/>
          <w:color w:val="auto"/>
          <w:sz w:val="21"/>
          <w:szCs w:val="21"/>
          <w:u w:val="single"/>
        </w:rPr>
      </w:pPr>
      <w:r>
        <w:rPr>
          <w:rFonts w:hint="eastAsia" w:ascii="楷体" w:hAnsi="楷体" w:eastAsia="楷体"/>
          <w:b/>
          <w:color w:val="auto"/>
          <w:sz w:val="21"/>
          <w:szCs w:val="21"/>
          <w:u w:val="single"/>
        </w:rPr>
        <w:t>本理财产品</w:t>
      </w:r>
      <w:r>
        <w:rPr>
          <w:rFonts w:hint="eastAsia" w:ascii="楷体" w:hAnsi="楷体" w:eastAsia="楷体"/>
          <w:b/>
          <w:color w:val="auto"/>
          <w:sz w:val="21"/>
          <w:szCs w:val="21"/>
          <w:u w:val="single"/>
          <w:lang w:val="en-US" w:eastAsia="zh-CN"/>
        </w:rPr>
        <w:t>不等同于银行存款，</w:t>
      </w:r>
      <w:r>
        <w:rPr>
          <w:rFonts w:hint="eastAsia" w:ascii="楷体" w:hAnsi="楷体" w:eastAsia="楷体"/>
          <w:b/>
          <w:color w:val="auto"/>
          <w:sz w:val="21"/>
          <w:szCs w:val="21"/>
          <w:u w:val="single"/>
        </w:rPr>
        <w:t>不保证本金及收益，您的本金可能因市场变动或者交易违约等事项而蒙受相应损失，投资者应充分认识投资风险，谨慎投资</w:t>
      </w:r>
      <w:r>
        <w:rPr>
          <w:rFonts w:hint="eastAsia" w:ascii="楷体" w:hAnsi="楷体" w:eastAsia="楷体"/>
          <w:b/>
          <w:color w:val="auto"/>
          <w:sz w:val="21"/>
          <w:szCs w:val="21"/>
          <w:u w:val="single"/>
          <w:lang w:eastAsia="zh-CN"/>
        </w:rPr>
        <w:t>。</w:t>
      </w:r>
    </w:p>
    <w:p>
      <w:pPr>
        <w:numPr>
          <w:ilvl w:val="0"/>
          <w:numId w:val="5"/>
        </w:numPr>
        <w:rPr>
          <w:rFonts w:ascii="楷体" w:hAnsi="楷体" w:eastAsia="楷体"/>
          <w:b/>
          <w:sz w:val="21"/>
          <w:szCs w:val="21"/>
          <w:u w:val="single"/>
        </w:rPr>
      </w:pPr>
      <w:r>
        <w:rPr>
          <w:rFonts w:hint="eastAsia" w:ascii="楷体" w:hAnsi="楷体" w:eastAsia="楷体"/>
          <w:b/>
          <w:color w:val="auto"/>
          <w:sz w:val="21"/>
          <w:szCs w:val="21"/>
          <w:u w:val="single"/>
        </w:rPr>
        <w:t>本理财产品过往业绩不代表其未来表现，不等于理财产品实际收益，投资须谨慎。</w:t>
      </w:r>
    </w:p>
    <w:p>
      <w:pPr>
        <w:numPr>
          <w:ilvl w:val="0"/>
          <w:numId w:val="5"/>
        </w:numPr>
        <w:rPr>
          <w:rFonts w:ascii="楷体" w:hAnsi="楷体" w:eastAsia="楷体"/>
          <w:b/>
          <w:sz w:val="21"/>
          <w:szCs w:val="21"/>
          <w:u w:val="single"/>
        </w:rPr>
      </w:pPr>
      <w:r>
        <w:rPr>
          <w:rFonts w:hint="eastAsia" w:ascii="楷体" w:hAnsi="楷体" w:eastAsia="楷体"/>
          <w:b/>
          <w:color w:val="auto"/>
          <w:sz w:val="21"/>
          <w:szCs w:val="21"/>
          <w:u w:val="single"/>
        </w:rPr>
        <w:t>本理财产品的任何业绩比较区间、业绩比较基准</w:t>
      </w:r>
      <w:r>
        <w:rPr>
          <w:rFonts w:hint="eastAsia" w:ascii="楷体" w:hAnsi="楷体" w:eastAsia="楷体"/>
          <w:b/>
          <w:color w:val="auto"/>
          <w:sz w:val="21"/>
          <w:szCs w:val="21"/>
          <w:u w:val="single"/>
          <w:lang w:val="en-US" w:eastAsia="zh-CN"/>
        </w:rPr>
        <w:t>等</w:t>
      </w:r>
      <w:r>
        <w:rPr>
          <w:rFonts w:hint="eastAsia" w:ascii="楷体" w:hAnsi="楷体" w:eastAsia="楷体"/>
          <w:b/>
          <w:color w:val="auto"/>
          <w:sz w:val="21"/>
          <w:szCs w:val="21"/>
          <w:u w:val="single"/>
        </w:rPr>
        <w:t>类似表述均属不具有法律约束力的用语</w:t>
      </w:r>
      <w:r>
        <w:rPr>
          <w:rFonts w:hint="eastAsia" w:ascii="楷体" w:hAnsi="楷体" w:eastAsia="楷体"/>
          <w:b/>
          <w:color w:val="auto"/>
          <w:sz w:val="21"/>
          <w:szCs w:val="21"/>
          <w:u w:val="single"/>
          <w:lang w:eastAsia="zh-CN"/>
        </w:rPr>
        <w:t>。</w:t>
      </w:r>
      <w:r>
        <w:rPr>
          <w:rFonts w:hint="eastAsia" w:ascii="楷体" w:hAnsi="楷体" w:eastAsia="楷体"/>
          <w:b/>
          <w:color w:val="auto"/>
          <w:szCs w:val="21"/>
          <w:highlight w:val="none"/>
          <w:u w:val="single"/>
        </w:rPr>
        <w:t>业绩比较基准</w:t>
      </w:r>
      <w:r>
        <w:rPr>
          <w:rFonts w:hint="eastAsia" w:ascii="楷体" w:hAnsi="楷体" w:eastAsia="楷体"/>
          <w:b/>
          <w:color w:val="auto"/>
          <w:sz w:val="21"/>
          <w:szCs w:val="21"/>
          <w:highlight w:val="none"/>
          <w:u w:val="single"/>
          <w:lang w:val="en-US" w:eastAsia="zh-CN"/>
        </w:rPr>
        <w:t>为</w:t>
      </w:r>
      <w:r>
        <w:rPr>
          <w:rFonts w:hint="eastAsia" w:ascii="楷体" w:hAnsi="楷体" w:eastAsia="楷体"/>
          <w:b/>
          <w:color w:val="auto"/>
          <w:szCs w:val="21"/>
          <w:highlight w:val="none"/>
          <w:u w:val="single"/>
        </w:rPr>
        <w:t>管理人基于产品性质、投资策略、过往经验等因素对产品设定的投资目标。业绩比较基准不是预期收益率，不代表产品的未来表现和实际收益，不构成对产品收益的承诺。</w:t>
      </w:r>
    </w:p>
    <w:p>
      <w:pPr>
        <w:numPr>
          <w:ilvl w:val="0"/>
          <w:numId w:val="5"/>
        </w:numPr>
        <w:rPr>
          <w:rFonts w:ascii="楷体" w:hAnsi="楷体" w:eastAsia="楷体"/>
          <w:sz w:val="21"/>
          <w:szCs w:val="21"/>
        </w:rPr>
      </w:pPr>
      <w:r>
        <w:rPr>
          <w:rFonts w:hint="eastAsia" w:ascii="楷体" w:hAnsi="楷体" w:eastAsia="楷体"/>
          <w:sz w:val="21"/>
          <w:szCs w:val="21"/>
        </w:rPr>
        <w:t>《风险揭示书》、《理财产品说明书》、《理财产品投资协议书》</w:t>
      </w:r>
      <w:r>
        <w:rPr>
          <w:rFonts w:hint="eastAsia" w:ascii="楷体" w:hAnsi="楷体" w:eastAsia="楷体"/>
          <w:sz w:val="21"/>
          <w:szCs w:val="21"/>
          <w:lang w:eastAsia="zh-CN"/>
        </w:rPr>
        <w:t>、</w:t>
      </w:r>
      <w:r>
        <w:rPr>
          <w:rFonts w:hint="eastAsia" w:ascii="楷体" w:hAnsi="楷体" w:eastAsia="楷体"/>
          <w:sz w:val="21"/>
          <w:szCs w:val="21"/>
        </w:rPr>
        <w:t>《投资者权益须知》、《理财产品（代理）销售协议书》共同构成本理财产品完整的不可分割的理财产品合同。</w:t>
      </w:r>
    </w:p>
    <w:p>
      <w:pPr>
        <w:numPr>
          <w:ilvl w:val="0"/>
          <w:numId w:val="5"/>
        </w:numPr>
        <w:rPr>
          <w:rFonts w:ascii="楷体" w:hAnsi="楷体" w:eastAsia="楷体"/>
          <w:sz w:val="21"/>
          <w:szCs w:val="21"/>
          <w:highlight w:val="none"/>
        </w:rPr>
      </w:pPr>
      <w:r>
        <w:rPr>
          <w:rFonts w:hint="eastAsia" w:ascii="楷体" w:hAnsi="楷体" w:eastAsia="楷体"/>
          <w:sz w:val="21"/>
          <w:szCs w:val="21"/>
        </w:rPr>
        <w:t>本理财产品涉及的主要风险</w:t>
      </w:r>
      <w:r>
        <w:rPr>
          <w:rFonts w:hint="eastAsia" w:ascii="楷体" w:hAnsi="楷体" w:eastAsia="楷体"/>
          <w:sz w:val="21"/>
          <w:szCs w:val="21"/>
          <w:highlight w:val="none"/>
        </w:rPr>
        <w:t>包括政策风险、信用风险、市场风险、流动性风险、管理风险、操作风险、产品不成立风险、延期兑付风险、提前终止风险、信息传递风险、税务风险、代销风险</w:t>
      </w:r>
      <w:r>
        <w:rPr>
          <w:rFonts w:hint="eastAsia" w:ascii="楷体" w:hAnsi="楷体" w:eastAsia="楷体"/>
          <w:sz w:val="21"/>
          <w:szCs w:val="21"/>
          <w:highlight w:val="none"/>
          <w:lang w:eastAsia="zh-CN"/>
        </w:rPr>
        <w:t>（</w:t>
      </w:r>
      <w:r>
        <w:rPr>
          <w:rFonts w:hint="eastAsia" w:ascii="楷体" w:hAnsi="楷体" w:eastAsia="楷体"/>
          <w:sz w:val="21"/>
          <w:szCs w:val="21"/>
          <w:highlight w:val="none"/>
          <w:lang w:val="en-US" w:eastAsia="zh-CN"/>
        </w:rPr>
        <w:t>如有）</w:t>
      </w:r>
      <w:r>
        <w:rPr>
          <w:rFonts w:hint="eastAsia" w:ascii="楷体" w:hAnsi="楷体" w:eastAsia="楷体"/>
          <w:sz w:val="21"/>
          <w:szCs w:val="21"/>
          <w:highlight w:val="none"/>
        </w:rPr>
        <w:t>、其他风险等。请仔细阅读《“苏银理财</w:t>
      </w:r>
      <w:r>
        <w:rPr>
          <w:rFonts w:hint="eastAsia" w:ascii="楷体" w:hAnsi="楷体" w:eastAsia="楷体"/>
          <w:sz w:val="21"/>
          <w:szCs w:val="21"/>
          <w:highlight w:val="none"/>
          <w:lang w:eastAsia="zh-CN"/>
        </w:rPr>
        <w:t>恒源1年定开13期</w:t>
      </w:r>
      <w:r>
        <w:rPr>
          <w:rFonts w:hint="eastAsia" w:ascii="楷体" w:hAnsi="楷体" w:eastAsia="楷体"/>
          <w:sz w:val="21"/>
          <w:szCs w:val="21"/>
          <w:highlight w:val="none"/>
        </w:rPr>
        <w:t>”理财产品风险揭示书》的“风险揭示”部分。</w:t>
      </w:r>
    </w:p>
    <w:p>
      <w:pPr>
        <w:numPr>
          <w:ilvl w:val="0"/>
          <w:numId w:val="5"/>
        </w:numPr>
        <w:rPr>
          <w:rFonts w:ascii="楷体" w:hAnsi="楷体" w:eastAsia="楷体"/>
          <w:b/>
          <w:sz w:val="21"/>
          <w:szCs w:val="21"/>
          <w:highlight w:val="none"/>
          <w:u w:val="single"/>
        </w:rPr>
      </w:pPr>
      <w:r>
        <w:rPr>
          <w:rFonts w:hint="eastAsia" w:ascii="楷体" w:hAnsi="楷体" w:eastAsia="楷体"/>
          <w:b/>
          <w:sz w:val="21"/>
          <w:szCs w:val="21"/>
          <w:highlight w:val="none"/>
          <w:u w:val="single"/>
        </w:rPr>
        <w:t>投资者不得使用贷款、发行债券等筹集的非自有资金投资本理财产品。</w:t>
      </w:r>
    </w:p>
    <w:p>
      <w:pPr>
        <w:numPr>
          <w:ilvl w:val="0"/>
          <w:numId w:val="5"/>
        </w:numPr>
        <w:rPr>
          <w:rFonts w:ascii="楷体" w:hAnsi="楷体" w:eastAsia="楷体"/>
          <w:sz w:val="21"/>
          <w:szCs w:val="21"/>
          <w:highlight w:val="none"/>
        </w:rPr>
      </w:pPr>
      <w:r>
        <w:rPr>
          <w:rFonts w:hint="eastAsia" w:ascii="楷体" w:hAnsi="楷体" w:eastAsia="楷体"/>
          <w:sz w:val="21"/>
          <w:szCs w:val="21"/>
        </w:rPr>
        <w:t>在本产品存续期内，如因监管政策或法律法规发生变化，在不损害投资者利益的前提下</w:t>
      </w:r>
      <w:r>
        <w:rPr>
          <w:rFonts w:hint="eastAsia" w:ascii="楷体" w:hAnsi="楷体" w:eastAsia="楷体"/>
          <w:sz w:val="21"/>
          <w:szCs w:val="21"/>
          <w:highlight w:val="none"/>
        </w:rPr>
        <w:t>，苏银理财有权单方对本产品条款进行修订，并按本理财产品说明书约定的信息披露方式予以披露。</w:t>
      </w:r>
    </w:p>
    <w:p>
      <w:pPr>
        <w:numPr>
          <w:ilvl w:val="0"/>
          <w:numId w:val="6"/>
        </w:numPr>
        <w:tabs>
          <w:tab w:val="left" w:pos="1134"/>
        </w:tabs>
        <w:ind w:firstLine="422" w:firstLineChars="200"/>
        <w:outlineLvl w:val="1"/>
        <w:rPr>
          <w:rFonts w:hint="eastAsia" w:ascii="楷体" w:hAnsi="楷体" w:eastAsia="楷体"/>
          <w:sz w:val="21"/>
          <w:szCs w:val="21"/>
          <w:highlight w:val="none"/>
        </w:rPr>
      </w:pPr>
      <w:r>
        <w:rPr>
          <w:rFonts w:hint="eastAsia" w:ascii="楷体" w:hAnsi="楷体" w:eastAsia="楷体"/>
          <w:b/>
          <w:sz w:val="21"/>
          <w:szCs w:val="21"/>
        </w:rPr>
        <w:t>产品要素</w:t>
      </w:r>
    </w:p>
    <w:p>
      <w:pPr>
        <w:numPr>
          <w:ilvl w:val="0"/>
          <w:numId w:val="0"/>
        </w:numPr>
        <w:tabs>
          <w:tab w:val="left" w:pos="1134"/>
        </w:tabs>
        <w:ind w:left="0" w:leftChars="0" w:firstLine="420" w:firstLineChars="200"/>
        <w:outlineLvl w:val="1"/>
        <w:rPr>
          <w:rFonts w:hint="eastAsia" w:ascii="楷体" w:hAnsi="楷体" w:eastAsia="楷体"/>
          <w:sz w:val="21"/>
          <w:szCs w:val="21"/>
          <w:highlight w:val="none"/>
        </w:rPr>
      </w:pPr>
      <w:r>
        <w:rPr>
          <w:rFonts w:hint="eastAsia" w:ascii="楷体" w:hAnsi="楷体" w:eastAsia="楷体"/>
          <w:sz w:val="21"/>
          <w:szCs w:val="21"/>
          <w:highlight w:val="none"/>
        </w:rPr>
        <w:t>为保护投资者合法权益，尊重投资者的知情权和自主选择权，现将本理财产品的基本要素说明如下：</w:t>
      </w:r>
    </w:p>
    <w:tbl>
      <w:tblPr>
        <w:tblStyle w:val="1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6"/>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1"/>
              <w:ind w:left="55"/>
              <w:jc w:val="both"/>
              <w:rPr>
                <w:rFonts w:ascii="楷体" w:hAnsi="楷体" w:eastAsia="楷体" w:cs="宋体"/>
                <w:b/>
                <w:spacing w:val="-2"/>
                <w:sz w:val="18"/>
                <w:szCs w:val="18"/>
              </w:rPr>
            </w:pPr>
            <w:r>
              <w:rPr>
                <w:rFonts w:hint="eastAsia" w:ascii="楷体" w:hAnsi="楷体" w:eastAsia="楷体" w:cs="宋体"/>
                <w:b/>
                <w:spacing w:val="-2"/>
                <w:sz w:val="18"/>
                <w:szCs w:val="18"/>
              </w:rPr>
              <w:t>产品名称</w:t>
            </w:r>
          </w:p>
        </w:tc>
        <w:tc>
          <w:tcPr>
            <w:tcW w:w="7026" w:type="dxa"/>
            <w:noWrap w:val="0"/>
            <w:vAlign w:val="center"/>
          </w:tcPr>
          <w:p>
            <w:pPr>
              <w:pStyle w:val="23"/>
              <w:kinsoku w:val="0"/>
              <w:overflowPunct w:val="0"/>
              <w:spacing w:before="13"/>
              <w:ind w:left="59" w:right="73" w:rightChars="35"/>
              <w:jc w:val="both"/>
              <w:rPr>
                <w:rFonts w:hint="eastAsia" w:ascii="楷体" w:hAnsi="楷体" w:eastAsia="楷体" w:cs="宋体"/>
                <w:spacing w:val="-2"/>
                <w:sz w:val="18"/>
                <w:szCs w:val="18"/>
                <w:lang w:eastAsia="zh-CN"/>
              </w:rPr>
            </w:pPr>
            <w:r>
              <w:rPr>
                <w:rFonts w:hint="eastAsia" w:ascii="楷体" w:hAnsi="楷体" w:eastAsia="楷体" w:cs="宋体"/>
                <w:spacing w:val="-2"/>
                <w:sz w:val="18"/>
                <w:szCs w:val="18"/>
              </w:rPr>
              <w:t>苏银理财</w:t>
            </w:r>
            <w:r>
              <w:rPr>
                <w:rFonts w:hint="eastAsia" w:ascii="楷体" w:hAnsi="楷体" w:eastAsia="楷体" w:cs="宋体"/>
                <w:spacing w:val="-2"/>
                <w:sz w:val="18"/>
                <w:szCs w:val="18"/>
                <w:lang w:eastAsia="zh-CN"/>
              </w:rPr>
              <w:t>恒源1年定开13期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23"/>
              <w:kinsoku w:val="0"/>
              <w:overflowPunct w:val="0"/>
              <w:spacing w:before="140"/>
              <w:ind w:left="55"/>
              <w:jc w:val="both"/>
              <w:rPr>
                <w:rFonts w:ascii="楷体" w:hAnsi="楷体" w:eastAsia="楷体" w:cs="宋体"/>
                <w:b/>
                <w:spacing w:val="-2"/>
                <w:sz w:val="18"/>
                <w:szCs w:val="18"/>
              </w:rPr>
            </w:pPr>
            <w:r>
              <w:rPr>
                <w:rFonts w:hint="eastAsia" w:ascii="楷体" w:hAnsi="楷体" w:eastAsia="楷体" w:cs="宋体"/>
                <w:b/>
                <w:spacing w:val="-2"/>
                <w:sz w:val="18"/>
                <w:szCs w:val="18"/>
              </w:rPr>
              <w:t>理财产品登记编码</w:t>
            </w:r>
          </w:p>
        </w:tc>
        <w:tc>
          <w:tcPr>
            <w:tcW w:w="7026" w:type="dxa"/>
            <w:noWrap w:val="0"/>
            <w:vAlign w:val="center"/>
          </w:tcPr>
          <w:p>
            <w:pPr>
              <w:pStyle w:val="23"/>
              <w:kinsoku w:val="0"/>
              <w:overflowPunct w:val="0"/>
              <w:spacing w:before="13"/>
              <w:ind w:left="59" w:right="73" w:rightChars="35"/>
              <w:jc w:val="both"/>
              <w:rPr>
                <w:rFonts w:ascii="楷体" w:hAnsi="楷体" w:eastAsia="楷体" w:cs="宋体"/>
                <w:spacing w:val="-2"/>
                <w:sz w:val="18"/>
                <w:szCs w:val="18"/>
              </w:rPr>
            </w:pPr>
            <w:r>
              <w:rPr>
                <w:rFonts w:hint="eastAsia" w:ascii="楷体" w:hAnsi="楷体" w:eastAsia="楷体" w:cs="宋体"/>
                <w:spacing w:val="-2"/>
                <w:sz w:val="18"/>
                <w:szCs w:val="18"/>
                <w:lang w:eastAsia="zh-CN"/>
              </w:rPr>
              <w:t>Z7003121000045，</w:t>
            </w:r>
            <w:r>
              <w:rPr>
                <w:rFonts w:hint="eastAsia" w:ascii="楷体" w:hAnsi="楷体" w:eastAsia="楷体" w:cs="宋体"/>
                <w:spacing w:val="-2"/>
                <w:sz w:val="18"/>
                <w:szCs w:val="18"/>
              </w:rPr>
              <w:t>投资者可依据该编码在中国理财网</w:t>
            </w:r>
            <w:r>
              <w:rPr>
                <w:rFonts w:ascii="楷体" w:hAnsi="楷体" w:eastAsia="楷体" w:cs="宋体"/>
                <w:spacing w:val="-2"/>
                <w:sz w:val="18"/>
                <w:szCs w:val="18"/>
              </w:rPr>
              <w:fldChar w:fldCharType="begin"/>
            </w:r>
            <w:r>
              <w:rPr>
                <w:rFonts w:ascii="楷体" w:hAnsi="楷体" w:eastAsia="楷体" w:cs="宋体"/>
                <w:spacing w:val="-2"/>
                <w:sz w:val="18"/>
                <w:szCs w:val="18"/>
              </w:rPr>
              <w:instrText xml:space="preserve"> HYPERLINK "http://www.chinawealth.com.cn/" </w:instrText>
            </w:r>
            <w:r>
              <w:rPr>
                <w:rFonts w:ascii="楷体" w:hAnsi="楷体" w:eastAsia="楷体" w:cs="宋体"/>
                <w:spacing w:val="-2"/>
                <w:sz w:val="18"/>
                <w:szCs w:val="18"/>
              </w:rPr>
              <w:fldChar w:fldCharType="separate"/>
            </w:r>
            <w:r>
              <w:rPr>
                <w:rFonts w:ascii="楷体" w:hAnsi="楷体" w:eastAsia="楷体" w:cs="宋体"/>
                <w:spacing w:val="-2"/>
                <w:sz w:val="18"/>
                <w:szCs w:val="18"/>
              </w:rPr>
              <w:t>www.chinawealth.com.cn</w:t>
            </w:r>
            <w:r>
              <w:rPr>
                <w:rFonts w:ascii="楷体" w:hAnsi="楷体" w:eastAsia="楷体" w:cs="宋体"/>
                <w:spacing w:val="-2"/>
                <w:sz w:val="18"/>
                <w:szCs w:val="18"/>
              </w:rPr>
              <w:fldChar w:fldCharType="end"/>
            </w:r>
            <w:r>
              <w:rPr>
                <w:rFonts w:hint="eastAsia" w:ascii="楷体" w:hAnsi="楷体" w:eastAsia="楷体" w:cs="宋体"/>
                <w:spacing w:val="-2"/>
                <w:sz w:val="18"/>
                <w:szCs w:val="18"/>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7" w:hRule="atLeast"/>
          <w:jc w:val="center"/>
        </w:trPr>
        <w:tc>
          <w:tcPr>
            <w:tcW w:w="1866" w:type="dxa"/>
            <w:noWrap w:val="0"/>
            <w:vAlign w:val="center"/>
          </w:tcPr>
          <w:p>
            <w:pPr>
              <w:pStyle w:val="23"/>
              <w:kinsoku w:val="0"/>
              <w:overflowPunct w:val="0"/>
              <w:spacing w:before="13"/>
              <w:ind w:left="55"/>
              <w:jc w:val="both"/>
              <w:rPr>
                <w:rFonts w:ascii="楷体" w:hAnsi="楷体" w:eastAsia="楷体" w:cs="宋体"/>
                <w:b/>
                <w:spacing w:val="-2"/>
                <w:sz w:val="18"/>
                <w:szCs w:val="18"/>
                <w:highlight w:val="none"/>
              </w:rPr>
            </w:pPr>
            <w:r>
              <w:rPr>
                <w:rFonts w:hint="eastAsia" w:ascii="楷体" w:hAnsi="楷体" w:eastAsia="楷体" w:cs="宋体"/>
                <w:b/>
                <w:spacing w:val="-2"/>
                <w:sz w:val="18"/>
                <w:szCs w:val="18"/>
                <w:highlight w:val="none"/>
              </w:rPr>
              <w:t>销售简称/销售代码</w:t>
            </w:r>
          </w:p>
        </w:tc>
        <w:tc>
          <w:tcPr>
            <w:tcW w:w="7026" w:type="dxa"/>
            <w:noWrap w:val="0"/>
            <w:vAlign w:val="center"/>
          </w:tcPr>
          <w:p>
            <w:pPr>
              <w:pStyle w:val="23"/>
              <w:keepNext w:val="0"/>
              <w:keepLines w:val="0"/>
              <w:pageBreakBefore w:val="0"/>
              <w:widowControl w:val="0"/>
              <w:kinsoku w:val="0"/>
              <w:wordWrap/>
              <w:overflowPunct w:val="0"/>
              <w:topLinePunct w:val="0"/>
              <w:autoSpaceDE w:val="0"/>
              <w:autoSpaceDN w:val="0"/>
              <w:bidi w:val="0"/>
              <w:adjustRightInd w:val="0"/>
              <w:snapToGrid/>
              <w:ind w:right="73" w:rightChars="35"/>
              <w:jc w:val="both"/>
              <w:textAlignment w:val="auto"/>
              <w:rPr>
                <w:rFonts w:hint="eastAsia" w:ascii="楷体" w:hAnsi="楷体" w:eastAsia="楷体" w:cs="宋体"/>
                <w:spacing w:val="-2"/>
                <w:sz w:val="18"/>
                <w:szCs w:val="18"/>
                <w:highlight w:val="none"/>
                <w:vertAlign w:val="baseline"/>
                <w:lang w:val="en-US" w:eastAsia="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82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382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textAlignment w:val="auto"/>
                    <w:rPr>
                      <w:rFonts w:hint="eastAsia"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销售简称</w:t>
                  </w:r>
                </w:p>
              </w:tc>
              <w:tc>
                <w:tcPr>
                  <w:tcW w:w="1652"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b/>
                      <w:bCs/>
                      <w:spacing w:val="-2"/>
                      <w:sz w:val="18"/>
                      <w:szCs w:val="18"/>
                      <w:highlight w:val="none"/>
                      <w:vertAlign w:val="baseline"/>
                      <w:lang w:val="en-US"/>
                    </w:rPr>
                  </w:pPr>
                  <w:r>
                    <w:rPr>
                      <w:rFonts w:hint="eastAsia" w:ascii="楷体" w:hAnsi="楷体" w:eastAsia="楷体" w:cs="宋体"/>
                      <w:b/>
                      <w:bCs/>
                      <w:spacing w:val="-2"/>
                      <w:sz w:val="18"/>
                      <w:szCs w:val="18"/>
                      <w:highlight w:val="none"/>
                      <w:vertAlign w:val="baseline"/>
                      <w:lang w:val="en-US" w:eastAsia="zh-CN"/>
                    </w:rPr>
                    <w:t>销售代码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A份额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恒源1年定开13期</w:t>
                  </w:r>
                  <w:r>
                    <w:rPr>
                      <w:rFonts w:hint="eastAsia" w:ascii="楷体" w:hAnsi="楷体" w:eastAsia="楷体" w:cs="宋体"/>
                      <w:spacing w:val="-2"/>
                      <w:sz w:val="18"/>
                      <w:szCs w:val="18"/>
                      <w:highlight w:val="none"/>
                    </w:rPr>
                    <w:t>A</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default" w:ascii="楷体" w:hAnsi="楷体" w:eastAsia="楷体" w:cs="宋体"/>
                      <w:spacing w:val="-2"/>
                      <w:kern w:val="0"/>
                      <w:sz w:val="18"/>
                      <w:szCs w:val="18"/>
                      <w:highlight w:val="none"/>
                      <w:lang w:val="en-US" w:eastAsia="zh-CN" w:bidi="ar-SA"/>
                    </w:rPr>
                    <w:t>J002</w:t>
                  </w:r>
                  <w:r>
                    <w:rPr>
                      <w:rFonts w:hint="eastAsia" w:ascii="楷体" w:hAnsi="楷体" w:eastAsia="楷体" w:cs="宋体"/>
                      <w:spacing w:val="-2"/>
                      <w:kern w:val="0"/>
                      <w:sz w:val="18"/>
                      <w:szCs w:val="18"/>
                      <w:highlight w:val="no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B份额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恒源1年定开13期</w:t>
                  </w:r>
                  <w:r>
                    <w:rPr>
                      <w:rFonts w:hint="eastAsia" w:ascii="楷体" w:hAnsi="楷体" w:eastAsia="楷体" w:cs="宋体"/>
                      <w:spacing w:val="-2"/>
                      <w:sz w:val="18"/>
                      <w:szCs w:val="18"/>
                      <w:highlight w:val="none"/>
                    </w:rPr>
                    <w:t>B</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default" w:ascii="楷体" w:hAnsi="楷体" w:eastAsia="楷体" w:cs="宋体"/>
                      <w:spacing w:val="-2"/>
                      <w:kern w:val="0"/>
                      <w:sz w:val="18"/>
                      <w:szCs w:val="18"/>
                      <w:highlight w:val="none"/>
                      <w:lang w:val="en-US" w:eastAsia="zh-CN" w:bidi="ar-SA"/>
                    </w:rPr>
                    <w:t>J002</w:t>
                  </w:r>
                  <w:r>
                    <w:rPr>
                      <w:rFonts w:hint="eastAsia" w:ascii="楷体" w:hAnsi="楷体" w:eastAsia="楷体" w:cs="宋体"/>
                      <w:spacing w:val="-2"/>
                      <w:kern w:val="0"/>
                      <w:sz w:val="18"/>
                      <w:szCs w:val="18"/>
                      <w:highlight w:val="none"/>
                      <w:lang w:val="en-US" w:eastAsia="zh-CN" w:bidi="ar-SA"/>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D份额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lang w:eastAsia="zh-CN"/>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恒源1年定开13期</w:t>
                  </w:r>
                  <w:r>
                    <w:rPr>
                      <w:rFonts w:hint="eastAsia" w:ascii="楷体" w:hAnsi="楷体" w:eastAsia="楷体" w:cs="宋体"/>
                      <w:spacing w:val="-2"/>
                      <w:sz w:val="18"/>
                      <w:szCs w:val="18"/>
                      <w:highlight w:val="none"/>
                      <w:lang w:val="en-US" w:eastAsia="zh-CN"/>
                    </w:rPr>
                    <w:t>D</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F份额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恒源1年定开13期</w:t>
                  </w:r>
                  <w:r>
                    <w:rPr>
                      <w:rFonts w:hint="eastAsia" w:ascii="楷体" w:hAnsi="楷体" w:eastAsia="楷体" w:cs="宋体"/>
                      <w:spacing w:val="-2"/>
                      <w:sz w:val="18"/>
                      <w:szCs w:val="18"/>
                      <w:highlight w:val="none"/>
                      <w:lang w:val="en-US" w:eastAsia="zh-CN"/>
                    </w:rPr>
                    <w:t>F</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恒源1年定开13期</w:t>
                  </w:r>
                  <w:r>
                    <w:rPr>
                      <w:rFonts w:hint="eastAsia" w:ascii="楷体" w:hAnsi="楷体" w:eastAsia="楷体" w:cs="宋体"/>
                      <w:spacing w:val="-2"/>
                      <w:sz w:val="18"/>
                      <w:szCs w:val="18"/>
                      <w:highlight w:val="none"/>
                      <w:lang w:val="en-US" w:eastAsia="zh-CN"/>
                    </w:rPr>
                    <w:t>G</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J份额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恒源1年定开13期</w:t>
                  </w:r>
                  <w:r>
                    <w:rPr>
                      <w:rFonts w:hint="eastAsia" w:ascii="楷体" w:hAnsi="楷体" w:eastAsia="楷体" w:cs="宋体"/>
                      <w:spacing w:val="-2"/>
                      <w:sz w:val="18"/>
                      <w:szCs w:val="18"/>
                      <w:highlight w:val="none"/>
                      <w:lang w:val="en-US" w:eastAsia="zh-CN"/>
                    </w:rPr>
                    <w:t>J</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default" w:ascii="楷体" w:hAnsi="楷体" w:eastAsia="楷体" w:cs="宋体"/>
                      <w:spacing w:val="-2"/>
                      <w:sz w:val="18"/>
                      <w:szCs w:val="18"/>
                      <w:highlight w:val="none"/>
                      <w:lang w:val="en-US"/>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恒源1年定开13期</w:t>
                  </w:r>
                  <w:r>
                    <w:rPr>
                      <w:rFonts w:hint="eastAsia" w:ascii="楷体" w:hAnsi="楷体" w:eastAsia="楷体" w:cs="宋体"/>
                      <w:spacing w:val="-2"/>
                      <w:sz w:val="18"/>
                      <w:szCs w:val="18"/>
                      <w:highlight w:val="none"/>
                      <w:lang w:val="en-US" w:eastAsia="zh-CN"/>
                    </w:rPr>
                    <w:t>P</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J05014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ZA份额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恒源1年定开13期</w:t>
                  </w:r>
                  <w:r>
                    <w:rPr>
                      <w:rFonts w:hint="eastAsia" w:ascii="楷体" w:hAnsi="楷体" w:eastAsia="楷体" w:cs="宋体"/>
                      <w:spacing w:val="-2"/>
                      <w:sz w:val="18"/>
                      <w:szCs w:val="18"/>
                      <w:highlight w:val="none"/>
                      <w:lang w:val="en-US" w:eastAsia="zh-CN"/>
                    </w:rPr>
                    <w:t>ZA（自动赎回）</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ZF份额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恒源1年定开13期</w:t>
                  </w:r>
                  <w:r>
                    <w:rPr>
                      <w:rFonts w:hint="eastAsia" w:ascii="楷体" w:hAnsi="楷体" w:eastAsia="楷体" w:cs="宋体"/>
                      <w:spacing w:val="-2"/>
                      <w:sz w:val="18"/>
                      <w:szCs w:val="18"/>
                      <w:highlight w:val="none"/>
                      <w:lang w:val="en-US" w:eastAsia="zh-CN"/>
                    </w:rPr>
                    <w:t>ZF（自动赎回）</w:t>
                  </w:r>
                </w:p>
              </w:tc>
              <w:tc>
                <w:tcPr>
                  <w:tcW w:w="1652"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 xml:space="preserve"> J02492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382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恒源1年定开13期</w:t>
                  </w:r>
                  <w:r>
                    <w:rPr>
                      <w:rFonts w:hint="eastAsia" w:ascii="楷体" w:hAnsi="楷体" w:eastAsia="楷体" w:cs="宋体"/>
                      <w:spacing w:val="-2"/>
                      <w:sz w:val="18"/>
                      <w:szCs w:val="18"/>
                      <w:highlight w:val="none"/>
                      <w:lang w:val="en-US" w:eastAsia="zh-CN"/>
                    </w:rPr>
                    <w:t>ZN（自动赎回）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kern w:val="0"/>
                      <w:sz w:val="18"/>
                      <w:szCs w:val="18"/>
                      <w:highlight w:val="none"/>
                      <w:lang w:val="en-US" w:eastAsia="zh-CN" w:bidi="ar-SA"/>
                    </w:rPr>
                    <w:t>J05015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382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恒源1年定开13期</w:t>
                  </w:r>
                  <w:r>
                    <w:rPr>
                      <w:rFonts w:hint="eastAsia" w:ascii="楷体" w:hAnsi="楷体" w:eastAsia="楷体" w:cs="宋体"/>
                      <w:spacing w:val="-2"/>
                      <w:sz w:val="18"/>
                      <w:szCs w:val="18"/>
                      <w:highlight w:val="none"/>
                      <w:lang w:val="en-US" w:eastAsia="zh-CN"/>
                    </w:rPr>
                    <w:t>ZQ（自动赎回）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kern w:val="0"/>
                      <w:sz w:val="18"/>
                      <w:szCs w:val="18"/>
                      <w:highlight w:val="none"/>
                      <w:lang w:val="en-US" w:eastAsia="zh-CN" w:bidi="ar-SA"/>
                    </w:rPr>
                    <w:t>J05016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ZR份额</w:t>
                  </w:r>
                </w:p>
              </w:tc>
              <w:tc>
                <w:tcPr>
                  <w:tcW w:w="382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恒源1年定开13期</w:t>
                  </w:r>
                  <w:r>
                    <w:rPr>
                      <w:rFonts w:hint="eastAsia" w:ascii="楷体" w:hAnsi="楷体" w:eastAsia="楷体" w:cs="宋体"/>
                      <w:spacing w:val="-2"/>
                      <w:sz w:val="18"/>
                      <w:szCs w:val="18"/>
                      <w:highlight w:val="none"/>
                      <w:lang w:val="en-US" w:eastAsia="zh-CN"/>
                    </w:rPr>
                    <w:t>ZR（自动赎回）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kern w:val="2"/>
                      <w:sz w:val="18"/>
                      <w:szCs w:val="18"/>
                      <w:highlight w:val="none"/>
                      <w:vertAlign w:val="baseline"/>
                      <w:lang w:val="en-US" w:eastAsia="zh-CN" w:bidi="ar-SA"/>
                    </w:rPr>
                  </w:pPr>
                  <w:r>
                    <w:rPr>
                      <w:rFonts w:hint="eastAsia" w:ascii="楷体" w:hAnsi="楷体" w:eastAsia="楷体" w:cs="宋体"/>
                      <w:spacing w:val="-2"/>
                      <w:kern w:val="0"/>
                      <w:sz w:val="18"/>
                      <w:szCs w:val="18"/>
                      <w:highlight w:val="none"/>
                      <w:lang w:val="en-US" w:eastAsia="zh-CN" w:bidi="ar-SA"/>
                    </w:rPr>
                    <w:t>J05017</w:t>
                  </w:r>
                </w:p>
              </w:tc>
            </w:tr>
          </w:tbl>
          <w:p>
            <w:pPr>
              <w:pStyle w:val="23"/>
              <w:kinsoku w:val="0"/>
              <w:overflowPunct w:val="0"/>
              <w:spacing w:before="12"/>
              <w:ind w:right="73" w:rightChars="35"/>
              <w:jc w:val="both"/>
              <w:rPr>
                <w:rFonts w:hint="default" w:ascii="楷体" w:hAnsi="楷体" w:eastAsia="楷体" w:cs="宋体"/>
                <w:spacing w:val="-2"/>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3"/>
              <w:ind w:left="55" w:leftChars="0"/>
              <w:jc w:val="both"/>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产品类型</w:t>
            </w:r>
          </w:p>
        </w:tc>
        <w:tc>
          <w:tcPr>
            <w:tcW w:w="7026" w:type="dxa"/>
            <w:noWrap w:val="0"/>
            <w:vAlign w:val="center"/>
          </w:tcPr>
          <w:p>
            <w:pPr>
              <w:pStyle w:val="23"/>
              <w:kinsoku w:val="0"/>
              <w:overflowPunct w:val="0"/>
              <w:spacing w:before="12"/>
              <w:ind w:left="59" w:leftChars="0" w:right="73" w:rightChars="35"/>
              <w:jc w:val="both"/>
              <w:rPr>
                <w:rFonts w:hint="eastAsia" w:ascii="楷体" w:hAnsi="楷体" w:eastAsia="楷体" w:cs="宋体"/>
                <w:b/>
                <w:spacing w:val="-2"/>
                <w:kern w:val="0"/>
                <w:sz w:val="18"/>
                <w:szCs w:val="18"/>
                <w:u w:val="single"/>
                <w:lang w:val="en-US" w:eastAsia="zh-CN" w:bidi="ar-SA"/>
              </w:rPr>
            </w:pPr>
            <w:r>
              <w:rPr>
                <w:rFonts w:hint="eastAsia" w:ascii="楷体" w:hAnsi="楷体" w:eastAsia="楷体" w:cs="宋体"/>
                <w:b/>
                <w:spacing w:val="-2"/>
                <w:sz w:val="18"/>
                <w:szCs w:val="18"/>
                <w:u w:val="single"/>
              </w:rPr>
              <w:t>固定收益类、公募、开放式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3"/>
              <w:ind w:left="55"/>
              <w:jc w:val="both"/>
              <w:rPr>
                <w:rFonts w:ascii="楷体" w:hAnsi="楷体" w:eastAsia="楷体" w:cs="宋体"/>
                <w:b/>
                <w:spacing w:val="-2"/>
                <w:sz w:val="18"/>
                <w:szCs w:val="18"/>
              </w:rPr>
            </w:pPr>
            <w:r>
              <w:rPr>
                <w:rFonts w:hint="eastAsia" w:ascii="楷体" w:hAnsi="楷体" w:eastAsia="楷体" w:cs="宋体"/>
                <w:b/>
                <w:spacing w:val="-2"/>
                <w:sz w:val="18"/>
                <w:szCs w:val="18"/>
              </w:rPr>
              <w:t>产品内部风险评级</w:t>
            </w:r>
          </w:p>
        </w:tc>
        <w:tc>
          <w:tcPr>
            <w:tcW w:w="7026" w:type="dxa"/>
            <w:noWrap w:val="0"/>
            <w:vAlign w:val="center"/>
          </w:tcPr>
          <w:p>
            <w:pPr>
              <w:numPr>
                <w:ilvl w:val="-1"/>
                <w:numId w:val="0"/>
              </w:numPr>
              <w:spacing w:before="6"/>
              <w:ind w:left="57" w:leftChars="0" w:right="57" w:firstLine="0" w:firstLineChars="0"/>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317"/>
              <w:gridCol w:w="179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numPr>
                <w:ilvl w:val="-1"/>
                <w:numId w:val="0"/>
              </w:numPr>
              <w:spacing w:before="6"/>
              <w:ind w:left="57" w:leftChars="0" w:right="57" w:firstLine="0" w:firstLineChars="0"/>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pStyle w:val="23"/>
              <w:kinsoku w:val="0"/>
              <w:overflowPunct w:val="0"/>
              <w:spacing w:before="13"/>
              <w:ind w:left="59" w:right="73" w:rightChars="35"/>
              <w:jc w:val="both"/>
              <w:rPr>
                <w:rFonts w:ascii="楷体" w:hAnsi="楷体" w:eastAsia="楷体" w:cs="宋体"/>
                <w:spacing w:val="-2"/>
                <w:sz w:val="18"/>
                <w:szCs w:val="18"/>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1866" w:type="dxa"/>
            <w:noWrap w:val="0"/>
            <w:vAlign w:val="center"/>
          </w:tcPr>
          <w:p>
            <w:pPr>
              <w:pStyle w:val="23"/>
              <w:kinsoku w:val="0"/>
              <w:overflowPunct w:val="0"/>
              <w:spacing w:before="13"/>
              <w:ind w:left="55"/>
              <w:jc w:val="both"/>
              <w:rPr>
                <w:rFonts w:ascii="楷体" w:hAnsi="楷体" w:eastAsia="楷体" w:cs="宋体"/>
                <w:b/>
                <w:spacing w:val="-2"/>
                <w:sz w:val="18"/>
                <w:szCs w:val="18"/>
              </w:rPr>
            </w:pPr>
            <w:r>
              <w:rPr>
                <w:rFonts w:hint="eastAsia" w:ascii="楷体" w:hAnsi="楷体" w:eastAsia="楷体" w:cs="宋体"/>
                <w:b/>
                <w:spacing w:val="-2"/>
                <w:sz w:val="18"/>
                <w:szCs w:val="18"/>
              </w:rPr>
              <w:t>销售对象</w:t>
            </w:r>
          </w:p>
        </w:tc>
        <w:tc>
          <w:tcPr>
            <w:tcW w:w="7026" w:type="dxa"/>
            <w:noWrap w:val="0"/>
            <w:vAlign w:val="center"/>
          </w:tcPr>
          <w:p>
            <w:pPr>
              <w:pStyle w:val="23"/>
              <w:kinsoku w:val="0"/>
              <w:overflowPunct w:val="0"/>
              <w:spacing w:before="12"/>
              <w:ind w:left="59" w:right="73" w:rightChars="35"/>
              <w:jc w:val="both"/>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面向个人和机构投资者销售。</w:t>
            </w:r>
          </w:p>
          <w:p>
            <w:pPr>
              <w:pStyle w:val="23"/>
              <w:kinsoku w:val="0"/>
              <w:overflowPunct w:val="0"/>
              <w:spacing w:before="12"/>
              <w:ind w:left="59" w:right="73" w:rightChars="35"/>
              <w:jc w:val="both"/>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lang w:val="en-US" w:eastAsia="zh-CN"/>
              </w:rPr>
              <w:t>其中D份额</w:t>
            </w:r>
            <w:r>
              <w:rPr>
                <w:rFonts w:hint="eastAsia" w:ascii="楷体" w:hAnsi="楷体" w:eastAsia="楷体" w:cs="宋体"/>
                <w:spacing w:val="-2"/>
                <w:sz w:val="18"/>
                <w:szCs w:val="18"/>
                <w:highlight w:val="none"/>
                <w:vertAlign w:val="baseline"/>
                <w:lang w:val="en-US" w:eastAsia="zh-CN"/>
              </w:rPr>
              <w:t>销售机构江苏银行个人投资者仅限</w:t>
            </w:r>
            <w:r>
              <w:rPr>
                <w:rFonts w:hint="eastAsia" w:ascii="楷体" w:hAnsi="楷体" w:eastAsia="楷体" w:cs="宋体"/>
                <w:spacing w:val="-2"/>
                <w:sz w:val="18"/>
                <w:szCs w:val="18"/>
                <w:highlight w:val="none"/>
                <w:vertAlign w:val="baseline"/>
                <w:lang w:eastAsia="zh-CN"/>
              </w:rPr>
              <w:t>财富客户购买，江苏银行财富客户指在江苏银行日均资产大于等于200万元的个人客户；机构投资者具体以销售机构设置为准。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4"/>
              <w:ind w:left="55"/>
              <w:jc w:val="both"/>
              <w:rPr>
                <w:rFonts w:ascii="楷体" w:hAnsi="楷体" w:eastAsia="楷体" w:cs="宋体"/>
                <w:b/>
                <w:spacing w:val="-2"/>
                <w:sz w:val="18"/>
                <w:szCs w:val="18"/>
              </w:rPr>
            </w:pPr>
            <w:r>
              <w:rPr>
                <w:rFonts w:hint="eastAsia" w:ascii="楷体" w:hAnsi="楷体" w:eastAsia="楷体" w:cs="宋体"/>
                <w:b/>
                <w:spacing w:val="-2"/>
                <w:sz w:val="18"/>
                <w:szCs w:val="18"/>
              </w:rPr>
              <w:t>募集币种</w:t>
            </w:r>
          </w:p>
        </w:tc>
        <w:tc>
          <w:tcPr>
            <w:tcW w:w="7026" w:type="dxa"/>
            <w:noWrap w:val="0"/>
            <w:vAlign w:val="center"/>
          </w:tcPr>
          <w:p>
            <w:pPr>
              <w:pStyle w:val="23"/>
              <w:kinsoku w:val="0"/>
              <w:overflowPunct w:val="0"/>
              <w:spacing w:before="14"/>
              <w:ind w:left="59" w:right="73" w:rightChars="35"/>
              <w:jc w:val="both"/>
              <w:rPr>
                <w:rFonts w:ascii="楷体" w:hAnsi="楷体" w:eastAsia="楷体" w:cs="宋体"/>
                <w:spacing w:val="-2"/>
                <w:sz w:val="18"/>
                <w:szCs w:val="18"/>
              </w:rPr>
            </w:pPr>
            <w:r>
              <w:rPr>
                <w:rFonts w:hint="eastAsia" w:ascii="楷体" w:hAnsi="楷体" w:eastAsia="楷体" w:cs="宋体"/>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23"/>
              <w:kinsoku w:val="0"/>
              <w:overflowPunct w:val="0"/>
              <w:spacing w:before="13"/>
              <w:ind w:left="55" w:leftChars="0"/>
              <w:jc w:val="both"/>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份额面值</w:t>
            </w:r>
          </w:p>
        </w:tc>
        <w:tc>
          <w:tcPr>
            <w:tcW w:w="7026" w:type="dxa"/>
            <w:noWrap w:val="0"/>
            <w:vAlign w:val="center"/>
          </w:tcPr>
          <w:p>
            <w:pPr>
              <w:pStyle w:val="23"/>
              <w:kinsoku w:val="0"/>
              <w:overflowPunct w:val="0"/>
              <w:spacing w:before="12"/>
              <w:ind w:left="59" w:leftChars="0" w:right="73" w:rightChars="35"/>
              <w:jc w:val="both"/>
              <w:rPr>
                <w:rFonts w:hint="eastAsia" w:ascii="楷体" w:hAnsi="楷体" w:eastAsia="楷体" w:cs="宋体"/>
                <w:spacing w:val="-2"/>
                <w:kern w:val="0"/>
                <w:sz w:val="18"/>
                <w:szCs w:val="18"/>
                <w:lang w:val="en-US" w:eastAsia="zh-CN" w:bidi="ar-SA"/>
              </w:rPr>
            </w:pPr>
            <w:r>
              <w:rPr>
                <w:rFonts w:hint="eastAsia" w:ascii="楷体" w:hAnsi="楷体" w:eastAsia="楷体" w:cs="宋体"/>
                <w:spacing w:val="-2"/>
                <w:sz w:val="18"/>
                <w:szCs w:val="18"/>
                <w:lang w:eastAsia="zh-CN"/>
              </w:rPr>
              <w:t>1元</w:t>
            </w:r>
            <w:r>
              <w:rPr>
                <w:rFonts w:hint="eastAsia" w:ascii="楷体" w:hAnsi="楷体" w:eastAsia="楷体" w:cs="宋体"/>
                <w:spacing w:val="-2"/>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23"/>
              <w:kinsoku w:val="0"/>
              <w:overflowPunct w:val="0"/>
              <w:spacing w:before="14"/>
              <w:ind w:left="55"/>
              <w:jc w:val="both"/>
              <w:rPr>
                <w:rFonts w:hint="eastAsia" w:ascii="楷体" w:hAnsi="楷体" w:eastAsia="楷体" w:cs="宋体"/>
                <w:b/>
                <w:spacing w:val="-2"/>
                <w:sz w:val="18"/>
                <w:szCs w:val="18"/>
                <w:highlight w:val="none"/>
              </w:rPr>
            </w:pPr>
            <w:r>
              <w:rPr>
                <w:rFonts w:hint="eastAsia" w:ascii="楷体" w:hAnsi="楷体" w:eastAsia="楷体" w:cs="宋体"/>
                <w:b/>
                <w:spacing w:val="-2"/>
                <w:sz w:val="18"/>
                <w:szCs w:val="18"/>
                <w:highlight w:val="none"/>
              </w:rPr>
              <w:t>投资周期</w:t>
            </w:r>
          </w:p>
        </w:tc>
        <w:tc>
          <w:tcPr>
            <w:tcW w:w="7026" w:type="dxa"/>
            <w:noWrap w:val="0"/>
            <w:vAlign w:val="center"/>
          </w:tcPr>
          <w:p>
            <w:pPr>
              <w:pStyle w:val="23"/>
              <w:kinsoku w:val="0"/>
              <w:overflowPunct w:val="0"/>
              <w:spacing w:before="14"/>
              <w:ind w:left="59" w:right="73" w:rightChars="35"/>
              <w:jc w:val="both"/>
              <w:rPr>
                <w:rFonts w:hint="default" w:ascii="楷体" w:hAnsi="楷体" w:eastAsia="楷体" w:cs="宋体"/>
                <w:b/>
                <w:spacing w:val="-2"/>
                <w:sz w:val="18"/>
                <w:szCs w:val="18"/>
                <w:highlight w:val="none"/>
                <w:lang w:val="en-US" w:eastAsia="zh-CN"/>
              </w:rPr>
            </w:pPr>
            <w:r>
              <w:rPr>
                <w:rFonts w:hint="eastAsia" w:ascii="楷体" w:hAnsi="楷体" w:eastAsia="楷体" w:cs="宋体"/>
                <w:spacing w:val="-2"/>
                <w:sz w:val="18"/>
                <w:szCs w:val="18"/>
                <w:highlight w:val="none"/>
                <w:lang w:val="en-US" w:eastAsia="zh-CN"/>
              </w:rPr>
              <w:t>1年左右，具体天数以实际投资为准。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866" w:type="dxa"/>
            <w:noWrap w:val="0"/>
            <w:vAlign w:val="center"/>
          </w:tcPr>
          <w:p>
            <w:pPr>
              <w:pStyle w:val="23"/>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计划发行规模</w:t>
            </w:r>
          </w:p>
        </w:tc>
        <w:tc>
          <w:tcPr>
            <w:tcW w:w="7026" w:type="dxa"/>
            <w:noWrap w:val="0"/>
            <w:vAlign w:val="center"/>
          </w:tcPr>
          <w:p>
            <w:pPr>
              <w:keepNext w:val="0"/>
              <w:keepLines w:val="0"/>
              <w:pageBreakBefore w:val="0"/>
              <w:widowControl w:val="0"/>
              <w:kinsoku/>
              <w:wordWrap/>
              <w:overflowPunct/>
              <w:topLinePunct w:val="0"/>
              <w:autoSpaceDE/>
              <w:autoSpaceDN/>
              <w:bidi w:val="0"/>
              <w:adjustRightInd/>
              <w:snapToGrid/>
              <w:ind w:left="21" w:leftChars="10" w:right="73" w:rightChars="35"/>
              <w:textAlignment w:val="auto"/>
              <w:rPr>
                <w:rFonts w:hint="eastAsia" w:ascii="楷体" w:hAnsi="楷体" w:eastAsia="楷体" w:cs="宋体"/>
                <w:spacing w:val="-2"/>
                <w:sz w:val="18"/>
                <w:szCs w:val="18"/>
              </w:rPr>
            </w:pPr>
            <w:r>
              <w:rPr>
                <w:rFonts w:hint="eastAsia" w:ascii="楷体" w:hAnsi="楷体" w:eastAsia="楷体" w:cs="宋体"/>
                <w:spacing w:val="-2"/>
                <w:kern w:val="0"/>
                <w:sz w:val="18"/>
                <w:szCs w:val="18"/>
                <w:highlight w:val="none"/>
                <w:lang w:val="en-US" w:eastAsia="zh-CN" w:bidi="ar-SA"/>
              </w:rPr>
              <w:t>50亿元，募集期及存续期管理人有权根据实际需要调整计划发行规模。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866" w:type="dxa"/>
            <w:noWrap w:val="0"/>
            <w:vAlign w:val="center"/>
          </w:tcPr>
          <w:p>
            <w:pPr>
              <w:pStyle w:val="23"/>
              <w:kinsoku w:val="0"/>
              <w:overflowPunct w:val="0"/>
              <w:spacing w:before="13"/>
              <w:ind w:left="55" w:leftChars="0"/>
              <w:jc w:val="both"/>
              <w:rPr>
                <w:rFonts w:hint="eastAsia" w:ascii="楷体" w:hAnsi="楷体" w:eastAsia="楷体" w:cs="宋体"/>
                <w:b/>
                <w:spacing w:val="-2"/>
                <w:sz w:val="18"/>
                <w:szCs w:val="18"/>
              </w:rPr>
            </w:pPr>
            <w:r>
              <w:rPr>
                <w:rFonts w:hint="eastAsia" w:ascii="楷体" w:hAnsi="楷体" w:eastAsia="楷体" w:cs="宋体"/>
                <w:b/>
                <w:color w:val="auto"/>
                <w:spacing w:val="-2"/>
                <w:sz w:val="18"/>
                <w:szCs w:val="18"/>
                <w:highlight w:val="none"/>
                <w:lang w:val="en-US" w:eastAsia="zh-CN"/>
              </w:rPr>
              <w:t>最低发行规模</w:t>
            </w:r>
          </w:p>
        </w:tc>
        <w:tc>
          <w:tcPr>
            <w:tcW w:w="7026" w:type="dxa"/>
            <w:noWrap w:val="0"/>
            <w:vAlign w:val="center"/>
          </w:tcPr>
          <w:p>
            <w:pPr>
              <w:pStyle w:val="23"/>
              <w:kinsoku w:val="0"/>
              <w:overflowPunct w:val="0"/>
              <w:spacing w:before="6"/>
              <w:ind w:left="57" w:leftChars="0" w:right="57" w:rightChars="0"/>
              <w:jc w:val="both"/>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color w:val="auto"/>
                <w:spacing w:val="-2"/>
                <w:sz w:val="18"/>
                <w:szCs w:val="18"/>
                <w:highlight w:val="none"/>
              </w:rPr>
              <w:t>管理人有权</w:t>
            </w:r>
            <w:r>
              <w:rPr>
                <w:rFonts w:hint="eastAsia" w:ascii="楷体" w:hAnsi="楷体" w:eastAsia="楷体" w:cs="宋体"/>
                <w:color w:val="auto"/>
                <w:spacing w:val="-2"/>
                <w:sz w:val="18"/>
                <w:szCs w:val="18"/>
                <w:highlight w:val="none"/>
                <w:lang w:val="en-US" w:eastAsia="zh-CN"/>
              </w:rPr>
              <w:t>根据实际需要</w:t>
            </w:r>
            <w:r>
              <w:rPr>
                <w:rFonts w:hint="eastAsia" w:ascii="楷体" w:hAnsi="楷体" w:eastAsia="楷体" w:cs="宋体"/>
                <w:color w:val="auto"/>
                <w:spacing w:val="-2"/>
                <w:sz w:val="18"/>
                <w:szCs w:val="18"/>
                <w:highlight w:val="none"/>
              </w:rPr>
              <w:t>调整</w:t>
            </w:r>
            <w:r>
              <w:rPr>
                <w:rFonts w:hint="eastAsia" w:ascii="楷体" w:hAnsi="楷体" w:eastAsia="楷体" w:cs="宋体"/>
                <w:color w:val="auto"/>
                <w:spacing w:val="-2"/>
                <w:sz w:val="18"/>
                <w:szCs w:val="18"/>
                <w:highlight w:val="none"/>
                <w:lang w:val="en-US" w:eastAsia="zh-CN"/>
              </w:rPr>
              <w:t>最低</w:t>
            </w:r>
            <w:r>
              <w:rPr>
                <w:rFonts w:hint="eastAsia" w:ascii="楷体" w:hAnsi="楷体" w:eastAsia="楷体" w:cs="宋体"/>
                <w:color w:val="auto"/>
                <w:spacing w:val="-2"/>
                <w:sz w:val="18"/>
                <w:szCs w:val="18"/>
                <w:highlight w:val="none"/>
              </w:rPr>
              <w:t>发行规模。</w:t>
            </w:r>
          </w:p>
          <w:p>
            <w:pPr>
              <w:pStyle w:val="23"/>
              <w:kinsoku w:val="0"/>
              <w:overflowPunct w:val="0"/>
              <w:spacing w:before="6"/>
              <w:ind w:left="57" w:leftChars="0" w:right="57" w:rightChars="0"/>
              <w:jc w:val="both"/>
              <w:rPr>
                <w:rFonts w:hint="eastAsia" w:ascii="楷体" w:hAnsi="楷体" w:eastAsia="楷体" w:cs="宋体"/>
                <w:spacing w:val="-2"/>
                <w:sz w:val="18"/>
                <w:szCs w:val="18"/>
                <w:lang w:val="en-US" w:eastAsia="zh-CN"/>
              </w:rPr>
            </w:pPr>
            <w:r>
              <w:rPr>
                <w:rFonts w:hint="eastAsia" w:ascii="楷体" w:hAnsi="楷体" w:eastAsia="楷体" w:cs="宋体"/>
                <w:color w:val="auto"/>
                <w:spacing w:val="-2"/>
                <w:sz w:val="18"/>
                <w:szCs w:val="18"/>
              </w:rPr>
              <w:t>若产品认购</w:t>
            </w:r>
            <w:r>
              <w:rPr>
                <w:rFonts w:hint="eastAsia" w:ascii="楷体" w:hAnsi="楷体" w:eastAsia="楷体" w:cs="宋体"/>
                <w:color w:val="auto"/>
                <w:spacing w:val="-2"/>
                <w:sz w:val="18"/>
                <w:szCs w:val="18"/>
                <w:lang w:val="en-US" w:eastAsia="zh-CN"/>
              </w:rPr>
              <w:t>规模</w:t>
            </w:r>
            <w:r>
              <w:rPr>
                <w:rFonts w:hint="eastAsia" w:ascii="楷体" w:hAnsi="楷体" w:eastAsia="楷体" w:cs="宋体"/>
                <w:color w:val="auto"/>
                <w:spacing w:val="-2"/>
                <w:sz w:val="18"/>
                <w:szCs w:val="18"/>
              </w:rPr>
              <w:t>未达到最低发行规模，或新的法律、法规导致本产品无法合法合规运行，或出现其他导致影响产品成立不可抗力因素，产品管理人有权利但无义务宣布产品不成立，并于产品</w:t>
            </w:r>
            <w:r>
              <w:rPr>
                <w:rFonts w:hint="eastAsia" w:ascii="楷体" w:hAnsi="楷体" w:eastAsia="楷体" w:cs="宋体"/>
                <w:color w:val="auto"/>
                <w:spacing w:val="-2"/>
                <w:sz w:val="18"/>
                <w:szCs w:val="18"/>
                <w:lang w:val="en-US" w:eastAsia="zh-CN"/>
              </w:rPr>
              <w:t>认购</w:t>
            </w:r>
            <w:r>
              <w:rPr>
                <w:rFonts w:hint="eastAsia" w:ascii="楷体" w:hAnsi="楷体" w:eastAsia="楷体" w:cs="宋体"/>
                <w:color w:val="auto"/>
                <w:spacing w:val="-2"/>
                <w:sz w:val="18"/>
                <w:szCs w:val="18"/>
              </w:rPr>
              <w:t>期结束后5个工作日内将投资者认购资金返还至投资者资金账户，</w:t>
            </w:r>
            <w:r>
              <w:rPr>
                <w:rFonts w:hint="eastAsia" w:ascii="楷体" w:hAnsi="楷体" w:eastAsia="楷体" w:cs="宋体"/>
                <w:color w:val="auto"/>
                <w:spacing w:val="-2"/>
                <w:sz w:val="18"/>
                <w:szCs w:val="18"/>
                <w:lang w:val="en-US" w:eastAsia="zh-CN"/>
              </w:rPr>
              <w:t>认购期及资金</w:t>
            </w:r>
            <w:r>
              <w:rPr>
                <w:rFonts w:hint="eastAsia" w:ascii="楷体" w:hAnsi="楷体" w:eastAsia="楷体" w:cs="宋体"/>
                <w:color w:val="auto"/>
                <w:spacing w:val="-2"/>
                <w:sz w:val="18"/>
                <w:szCs w:val="18"/>
              </w:rPr>
              <w:t>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6" w:hRule="atLeast"/>
          <w:jc w:val="center"/>
        </w:trPr>
        <w:tc>
          <w:tcPr>
            <w:tcW w:w="1866" w:type="dxa"/>
            <w:noWrap w:val="0"/>
            <w:vAlign w:val="center"/>
          </w:tcPr>
          <w:p>
            <w:pPr>
              <w:pStyle w:val="23"/>
              <w:kinsoku w:val="0"/>
              <w:overflowPunct w:val="0"/>
              <w:spacing w:before="12"/>
              <w:ind w:left="55"/>
              <w:jc w:val="both"/>
              <w:rPr>
                <w:rFonts w:ascii="楷体" w:hAnsi="楷体" w:eastAsia="楷体" w:cs="宋体"/>
                <w:b/>
                <w:spacing w:val="-2"/>
                <w:sz w:val="18"/>
                <w:szCs w:val="18"/>
              </w:rPr>
            </w:pPr>
            <w:r>
              <w:rPr>
                <w:rFonts w:hint="eastAsia" w:ascii="楷体" w:hAnsi="楷体" w:eastAsia="楷体" w:cs="宋体"/>
                <w:b/>
                <w:spacing w:val="-2"/>
                <w:sz w:val="18"/>
                <w:szCs w:val="18"/>
                <w:lang w:val="en-US" w:eastAsia="zh-CN"/>
              </w:rPr>
              <w:t>购买</w:t>
            </w:r>
            <w:r>
              <w:rPr>
                <w:rFonts w:hint="eastAsia" w:ascii="楷体" w:hAnsi="楷体" w:eastAsia="楷体" w:cs="宋体"/>
                <w:b/>
                <w:spacing w:val="-2"/>
                <w:sz w:val="18"/>
                <w:szCs w:val="18"/>
              </w:rPr>
              <w:t>起点</w:t>
            </w:r>
            <w:r>
              <w:rPr>
                <w:rFonts w:ascii="楷体" w:hAnsi="楷体" w:eastAsia="楷体" w:cs="宋体"/>
                <w:b/>
                <w:spacing w:val="-2"/>
                <w:sz w:val="18"/>
                <w:szCs w:val="18"/>
              </w:rPr>
              <w:t>/</w:t>
            </w:r>
            <w:r>
              <w:rPr>
                <w:rFonts w:hint="eastAsia" w:ascii="楷体" w:hAnsi="楷体" w:eastAsia="楷体" w:cs="宋体"/>
                <w:b/>
                <w:spacing w:val="-2"/>
                <w:sz w:val="18"/>
                <w:szCs w:val="18"/>
              </w:rPr>
              <w:t>追加金额</w:t>
            </w:r>
          </w:p>
        </w:tc>
        <w:tc>
          <w:tcPr>
            <w:tcW w:w="7026" w:type="dxa"/>
            <w:noWrap w:val="0"/>
            <w:vAlign w:val="center"/>
          </w:tcPr>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236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b/>
                      <w:bCs/>
                      <w:spacing w:val="-2"/>
                      <w:sz w:val="18"/>
                      <w:szCs w:val="18"/>
                      <w:highlight w:val="none"/>
                      <w:vertAlign w:val="baseline"/>
                      <w:lang w:val="en-US" w:eastAsia="zh-CN"/>
                    </w:rPr>
                  </w:pPr>
                  <w:r>
                    <w:rPr>
                      <w:rFonts w:hint="eastAsia" w:ascii="楷体" w:hAnsi="楷体" w:eastAsia="楷体" w:cs="宋体"/>
                      <w:b/>
                      <w:spacing w:val="-2"/>
                      <w:sz w:val="18"/>
                      <w:szCs w:val="18"/>
                      <w:lang w:val="en-US" w:eastAsia="zh-CN"/>
                    </w:rPr>
                    <w:t>购买</w:t>
                  </w:r>
                  <w:r>
                    <w:rPr>
                      <w:rFonts w:hint="eastAsia" w:ascii="楷体" w:hAnsi="楷体" w:eastAsia="楷体" w:cs="宋体"/>
                      <w:b/>
                      <w:spacing w:val="-2"/>
                      <w:sz w:val="18"/>
                      <w:szCs w:val="18"/>
                    </w:rPr>
                    <w:t>起点</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rPr>
                  </w:pPr>
                  <w:r>
                    <w:rPr>
                      <w:rFonts w:hint="default" w:ascii="楷体" w:hAnsi="楷体" w:eastAsia="楷体" w:cs="宋体"/>
                      <w:b/>
                      <w:bCs/>
                      <w:spacing w:val="-2"/>
                      <w:sz w:val="18"/>
                      <w:szCs w:val="18"/>
                      <w:highlight w:val="none"/>
                      <w:vertAlign w:val="baseline"/>
                      <w:lang w:val="en-US"/>
                    </w:rPr>
                    <w:t>追加金额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A份额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B份额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rPr>
                    <w:t>200</w:t>
                  </w:r>
                  <w:r>
                    <w:rPr>
                      <w:rFonts w:ascii="楷体" w:hAnsi="楷体" w:eastAsia="楷体" w:cs="宋体"/>
                      <w:spacing w:val="-2"/>
                      <w:sz w:val="18"/>
                      <w:szCs w:val="18"/>
                    </w:rPr>
                    <w:t>,</w:t>
                  </w:r>
                  <w:r>
                    <w:rPr>
                      <w:rFonts w:hint="eastAsia" w:ascii="楷体" w:hAnsi="楷体" w:eastAsia="楷体" w:cs="宋体"/>
                      <w:spacing w:val="-2"/>
                      <w:sz w:val="18"/>
                      <w:szCs w:val="18"/>
                    </w:rPr>
                    <w:t>000元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宋体"/>
                      <w:spacing w:val="-2"/>
                      <w:sz w:val="18"/>
                      <w:szCs w:val="18"/>
                      <w:highlight w:val="none"/>
                      <w:vertAlign w:val="baseline"/>
                      <w:lang w:val="en-US"/>
                    </w:rPr>
                  </w:pPr>
                  <w:r>
                    <w:rPr>
                      <w:rFonts w:hint="eastAsia" w:ascii="楷体" w:hAnsi="楷体" w:eastAsia="楷体" w:cs="楷体"/>
                      <w:i w:val="0"/>
                      <w:iCs w:val="0"/>
                      <w:color w:val="000000"/>
                      <w:kern w:val="0"/>
                      <w:sz w:val="18"/>
                      <w:szCs w:val="18"/>
                      <w:u w:val="none"/>
                      <w:lang w:val="en-US" w:eastAsia="zh-CN" w:bidi="ar"/>
                    </w:rPr>
                    <w:t>D份额</w:t>
                  </w:r>
                </w:p>
              </w:tc>
              <w:tc>
                <w:tcPr>
                  <w:tcW w:w="236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个人投资者：500,000元</w:t>
                  </w:r>
                </w:p>
                <w:p>
                  <w:pPr>
                    <w:pStyle w:val="23"/>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机构投资者：50,000,000元</w:t>
                  </w:r>
                </w:p>
              </w:tc>
              <w:tc>
                <w:tcPr>
                  <w:tcW w:w="1893"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F份额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18"/>
                      <w:szCs w:val="18"/>
                      <w:lang w:eastAsia="zh-CN"/>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J份额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vertAlign w:val="baseline"/>
                      <w:lang w:val="en-US" w:eastAsia="zh-CN"/>
                    </w:rPr>
                    <w:t>500,000元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ZA份额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ZF份额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ZR份额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bl>
          <w:p>
            <w:pPr>
              <w:ind w:left="59" w:right="73" w:rightChars="35"/>
              <w:rPr>
                <w:rFonts w:ascii="楷体" w:hAnsi="楷体" w:eastAsia="楷体" w:cs="宋体"/>
                <w:spacing w:val="-2"/>
                <w:sz w:val="18"/>
                <w:szCs w:val="18"/>
              </w:rPr>
            </w:pPr>
            <w:r>
              <w:rPr>
                <w:rFonts w:hint="eastAsia" w:ascii="楷体" w:hAnsi="楷体" w:eastAsia="楷体" w:cs="宋体"/>
                <w:spacing w:val="-2"/>
                <w:kern w:val="0"/>
                <w:sz w:val="18"/>
                <w:szCs w:val="18"/>
                <w:lang w:val="en-US" w:eastAsia="zh-CN" w:bidi="ar-SA"/>
              </w:rPr>
              <w:t>购买起点/追加金额具体以销售机构设置为准。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1866" w:type="dxa"/>
            <w:noWrap w:val="0"/>
            <w:vAlign w:val="center"/>
          </w:tcPr>
          <w:p>
            <w:pPr>
              <w:pStyle w:val="23"/>
              <w:kinsoku w:val="0"/>
              <w:overflowPunct w:val="0"/>
              <w:spacing w:before="13"/>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募集期</w:t>
            </w:r>
          </w:p>
        </w:tc>
        <w:tc>
          <w:tcPr>
            <w:tcW w:w="7026" w:type="dxa"/>
            <w:noWrap w:val="0"/>
            <w:vAlign w:val="center"/>
          </w:tcPr>
          <w:p>
            <w:pPr>
              <w:pStyle w:val="23"/>
              <w:kinsoku w:val="0"/>
              <w:overflowPunct w:val="0"/>
              <w:spacing w:before="6"/>
              <w:ind w:left="57" w:right="57" w:rightChars="0"/>
              <w:jc w:val="both"/>
              <w:rPr>
                <w:rFonts w:hint="eastAsia" w:ascii="楷体" w:hAnsi="楷体" w:eastAsia="楷体" w:cs="宋体"/>
                <w:spacing w:val="-2"/>
                <w:sz w:val="18"/>
                <w:szCs w:val="18"/>
              </w:rPr>
            </w:pPr>
            <w:r>
              <w:rPr>
                <w:rFonts w:hint="eastAsia" w:ascii="楷体" w:hAnsi="楷体" w:eastAsia="楷体" w:cs="宋体"/>
                <w:spacing w:val="-2"/>
                <w:sz w:val="18"/>
                <w:szCs w:val="18"/>
                <w:lang w:eastAsia="zh-CN"/>
              </w:rPr>
              <w:t>2021年5月26日</w:t>
            </w:r>
            <w:r>
              <w:rPr>
                <w:rFonts w:hint="eastAsia" w:ascii="楷体" w:hAnsi="楷体" w:eastAsia="楷体" w:cs="宋体"/>
                <w:spacing w:val="-2"/>
                <w:sz w:val="18"/>
                <w:szCs w:val="18"/>
              </w:rPr>
              <w:t>9:00至</w:t>
            </w:r>
            <w:r>
              <w:rPr>
                <w:rFonts w:hint="eastAsia" w:ascii="楷体" w:hAnsi="楷体" w:eastAsia="楷体" w:cs="宋体"/>
                <w:spacing w:val="-2"/>
                <w:sz w:val="18"/>
                <w:szCs w:val="18"/>
                <w:lang w:eastAsia="zh-CN"/>
              </w:rPr>
              <w:t>2021年6月1日</w:t>
            </w:r>
            <w:r>
              <w:rPr>
                <w:rFonts w:hint="eastAsia" w:ascii="楷体" w:hAnsi="楷体" w:eastAsia="楷体" w:cs="宋体"/>
                <w:spacing w:val="-2"/>
                <w:sz w:val="18"/>
                <w:szCs w:val="18"/>
              </w:rPr>
              <w:t>17:00</w:t>
            </w:r>
            <w:r>
              <w:rPr>
                <w:rFonts w:hint="eastAsia" w:ascii="楷体" w:hAnsi="楷体" w:eastAsia="楷体" w:cs="宋体"/>
                <w:color w:val="auto"/>
                <w:spacing w:val="-2"/>
                <w:sz w:val="18"/>
                <w:szCs w:val="18"/>
                <w:lang w:eastAsia="zh-CN"/>
              </w:rPr>
              <w:t>。</w:t>
            </w:r>
            <w:r>
              <w:rPr>
                <w:rFonts w:hint="eastAsia" w:ascii="楷体" w:hAnsi="楷体" w:eastAsia="楷体" w:cs="宋体"/>
                <w:spacing w:val="-2"/>
                <w:sz w:val="18"/>
                <w:szCs w:val="18"/>
              </w:rPr>
              <w:t>管理人在法律允许的范围内保留延长或提前终止产品募集期的权利。如有变动，实际产品募集期以管理人公告或各销售机构设置的募集时间为准。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1866" w:type="dxa"/>
            <w:noWrap w:val="0"/>
            <w:vAlign w:val="center"/>
          </w:tcPr>
          <w:p>
            <w:pPr>
              <w:pStyle w:val="23"/>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产品成立日/份额登记日</w:t>
            </w:r>
          </w:p>
        </w:tc>
        <w:tc>
          <w:tcPr>
            <w:tcW w:w="7026" w:type="dxa"/>
            <w:noWrap w:val="0"/>
            <w:vAlign w:val="center"/>
          </w:tcPr>
          <w:p>
            <w:pPr>
              <w:pStyle w:val="23"/>
              <w:kinsoku w:val="0"/>
              <w:overflowPunct w:val="0"/>
              <w:spacing w:before="6"/>
              <w:ind w:left="57" w:right="57" w:rightChars="0"/>
              <w:jc w:val="both"/>
              <w:rPr>
                <w:rFonts w:hint="eastAsia" w:ascii="楷体" w:hAnsi="楷体" w:eastAsia="楷体" w:cs="宋体"/>
                <w:color w:val="auto"/>
                <w:spacing w:val="-2"/>
                <w:sz w:val="18"/>
                <w:szCs w:val="18"/>
                <w:lang w:eastAsia="zh-CN"/>
              </w:rPr>
            </w:pPr>
            <w:r>
              <w:rPr>
                <w:rFonts w:hint="eastAsia" w:ascii="楷体" w:hAnsi="楷体" w:eastAsia="楷体" w:cs="宋体"/>
                <w:spacing w:val="-2"/>
                <w:sz w:val="18"/>
                <w:szCs w:val="18"/>
                <w:lang w:eastAsia="zh-CN"/>
              </w:rPr>
              <w:t>2021年6月2日</w:t>
            </w:r>
          </w:p>
          <w:p>
            <w:pPr>
              <w:pStyle w:val="23"/>
              <w:kinsoku w:val="0"/>
              <w:overflowPunct w:val="0"/>
              <w:spacing w:before="12"/>
              <w:ind w:right="73" w:rightChars="35"/>
              <w:jc w:val="both"/>
              <w:rPr>
                <w:rFonts w:hint="eastAsia" w:ascii="楷体" w:hAnsi="楷体" w:eastAsia="楷体" w:cs="宋体"/>
                <w:spacing w:val="-2"/>
                <w:sz w:val="18"/>
                <w:szCs w:val="18"/>
              </w:rPr>
            </w:pPr>
            <w:r>
              <w:rPr>
                <w:rFonts w:hint="eastAsia" w:ascii="楷体" w:hAnsi="楷体" w:eastAsia="楷体" w:cs="宋体"/>
                <w:color w:val="auto"/>
                <w:spacing w:val="-2"/>
                <w:sz w:val="18"/>
                <w:szCs w:val="18"/>
                <w:lang w:val="en-US" w:eastAsia="zh-CN"/>
              </w:rPr>
              <w:t>如管理人调整募集期，则产品成立日/份额登记日将相应调整，</w:t>
            </w:r>
            <w:r>
              <w:rPr>
                <w:rFonts w:hint="eastAsia" w:ascii="楷体" w:hAnsi="楷体" w:eastAsia="楷体" w:cs="宋体"/>
                <w:color w:val="auto"/>
                <w:spacing w:val="-2"/>
                <w:sz w:val="18"/>
                <w:szCs w:val="18"/>
              </w:rPr>
              <w:t>以管理人公告为准</w:t>
            </w:r>
            <w:r>
              <w:rPr>
                <w:rFonts w:hint="eastAsia" w:ascii="楷体" w:hAnsi="楷体" w:eastAsia="楷体" w:cs="宋体"/>
                <w:color w:val="auto"/>
                <w:spacing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1866" w:type="dxa"/>
            <w:noWrap w:val="0"/>
            <w:vAlign w:val="center"/>
          </w:tcPr>
          <w:p>
            <w:pPr>
              <w:pStyle w:val="23"/>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产品到期日</w:t>
            </w:r>
          </w:p>
        </w:tc>
        <w:tc>
          <w:tcPr>
            <w:tcW w:w="7026" w:type="dxa"/>
            <w:noWrap w:val="0"/>
            <w:vAlign w:val="center"/>
          </w:tcPr>
          <w:p>
            <w:pPr>
              <w:pStyle w:val="23"/>
              <w:kinsoku w:val="0"/>
              <w:overflowPunct w:val="0"/>
              <w:spacing w:before="12"/>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2031年6月3日（如遇节假日，顺延至下一工作日）</w:t>
            </w:r>
          </w:p>
          <w:p>
            <w:pPr>
              <w:pStyle w:val="23"/>
              <w:kinsoku w:val="0"/>
              <w:overflowPunct w:val="0"/>
              <w:spacing w:before="12"/>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在符合本理财产品说明书约定的条件下，管理人有权提前终止该产品，产品到期日受制于提前终止条款。详见下文“十、产品终止”。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4"/>
              <w:ind w:left="55"/>
              <w:jc w:val="both"/>
              <w:rPr>
                <w:rFonts w:hint="eastAsia" w:ascii="楷体" w:hAnsi="楷体" w:eastAsia="楷体" w:cs="宋体"/>
                <w:b/>
                <w:spacing w:val="-2"/>
                <w:sz w:val="18"/>
                <w:szCs w:val="18"/>
                <w:highlight w:val="yellow"/>
              </w:rPr>
            </w:pPr>
            <w:r>
              <w:rPr>
                <w:rFonts w:hint="eastAsia" w:ascii="楷体" w:hAnsi="楷体" w:eastAsia="楷体" w:cs="宋体"/>
                <w:b/>
                <w:spacing w:val="-2"/>
                <w:sz w:val="18"/>
                <w:szCs w:val="18"/>
                <w:highlight w:val="none"/>
              </w:rPr>
              <w:t>开放计划</w:t>
            </w:r>
          </w:p>
        </w:tc>
        <w:tc>
          <w:tcPr>
            <w:tcW w:w="7026" w:type="dxa"/>
            <w:noWrap w:val="0"/>
            <w:vAlign w:val="center"/>
          </w:tcPr>
          <w:tbl>
            <w:tblPr>
              <w:tblStyle w:val="16"/>
              <w:tblpPr w:leftFromText="180" w:rightFromText="180" w:vertAnchor="text" w:horzAnchor="page" w:tblpX="543" w:tblpY="1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1"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4706"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开放计划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1"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A份额、B份额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D份额、F份额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G份额、J份额</w:t>
                  </w:r>
                </w:p>
                <w:p>
                  <w:pPr>
                    <w:keepNext w:val="0"/>
                    <w:keepLines w:val="0"/>
                    <w:pageBreakBefore w:val="0"/>
                    <w:widowControl/>
                    <w:suppressLineNumbers w:val="0"/>
                    <w:wordWrap/>
                    <w:topLinePunct w:val="0"/>
                    <w:bidi w:val="0"/>
                    <w:snapToGrid/>
                    <w:spacing w:line="0" w:lineRule="atLeast"/>
                    <w:jc w:val="center"/>
                    <w:textAlignment w:val="center"/>
                    <w:rPr>
                      <w:rFonts w:hint="default"/>
                      <w:sz w:val="18"/>
                      <w:szCs w:val="18"/>
                      <w:lang w:val="en-US" w:eastAsia="zh-CN"/>
                    </w:rPr>
                  </w:pPr>
                  <w:r>
                    <w:rPr>
                      <w:rFonts w:hint="eastAsia" w:ascii="楷体" w:hAnsi="楷体" w:eastAsia="楷体" w:cs="楷体"/>
                      <w:i w:val="0"/>
                      <w:iCs w:val="0"/>
                      <w:color w:val="000000"/>
                      <w:kern w:val="0"/>
                      <w:sz w:val="18"/>
                      <w:szCs w:val="18"/>
                      <w:u w:val="none"/>
                      <w:lang w:val="en-US" w:eastAsia="zh-CN" w:bidi="ar"/>
                    </w:rPr>
                    <w:t>P份额</w:t>
                  </w:r>
                </w:p>
              </w:tc>
              <w:tc>
                <w:tcPr>
                  <w:tcW w:w="4706" w:type="dxa"/>
                  <w:noWrap w:val="0"/>
                  <w:vAlign w:val="center"/>
                </w:tcPr>
                <w:p>
                  <w:pPr>
                    <w:pStyle w:val="23"/>
                    <w:keepNext w:val="0"/>
                    <w:keepLines w:val="0"/>
                    <w:pageBreakBefore w:val="0"/>
                    <w:widowControl w:val="0"/>
                    <w:kinsoku w:val="0"/>
                    <w:wordWrap/>
                    <w:overflowPunct w:val="0"/>
                    <w:topLinePunct w:val="0"/>
                    <w:autoSpaceDE w:val="0"/>
                    <w:autoSpaceDN w:val="0"/>
                    <w:bidi w:val="0"/>
                    <w:adjustRightInd w:val="0"/>
                    <w:snapToGrid/>
                    <w:spacing w:line="0" w:lineRule="atLeast"/>
                    <w:ind w:left="0" w:right="0" w:rightChars="0"/>
                    <w:jc w:val="both"/>
                    <w:textAlignment w:val="auto"/>
                    <w:rPr>
                      <w:rFonts w:hint="eastAsia"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rPr>
                    <w:t>按投资周期开放申购与赎回，投资者可在每个投资周期终止日前7</w:t>
                  </w:r>
                  <w:r>
                    <w:rPr>
                      <w:rFonts w:hint="eastAsia" w:ascii="楷体" w:hAnsi="楷体" w:eastAsia="楷体" w:cs="宋体"/>
                      <w:spacing w:val="-2"/>
                      <w:sz w:val="18"/>
                      <w:szCs w:val="18"/>
                      <w:highlight w:val="none"/>
                      <w:lang w:val="en-US" w:eastAsia="zh-CN"/>
                    </w:rPr>
                    <w:t>个工作</w:t>
                  </w:r>
                  <w:r>
                    <w:rPr>
                      <w:rFonts w:hint="eastAsia" w:ascii="楷体" w:hAnsi="楷体" w:eastAsia="楷体" w:cs="宋体"/>
                      <w:spacing w:val="-2"/>
                      <w:sz w:val="18"/>
                      <w:szCs w:val="18"/>
                      <w:highlight w:val="none"/>
                    </w:rPr>
                    <w:t>日（含投资周期终止日）内，通过销售机构提出申购/赎回申请，管理人于投资周期终止日次日对申购/赎回申请予以统一确认，未赎回的部分份额自动进入下一个投资周期。（以各销售机构设置的开放时间为准</w:t>
                  </w:r>
                  <w:r>
                    <w:rPr>
                      <w:rFonts w:hint="eastAsia" w:ascii="楷体" w:hAnsi="楷体" w:eastAsia="楷体" w:cs="宋体"/>
                      <w:spacing w:val="-2"/>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1"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ZA份额、ZF份额</w:t>
                  </w:r>
                </w:p>
                <w:p>
                  <w:pPr>
                    <w:keepNext w:val="0"/>
                    <w:keepLines w:val="0"/>
                    <w:pageBreakBefore w:val="0"/>
                    <w:widowControl/>
                    <w:suppressLineNumbers w:val="0"/>
                    <w:wordWrap/>
                    <w:topLinePunct w:val="0"/>
                    <w:bidi w:val="0"/>
                    <w:snapToGrid/>
                    <w:spacing w:line="0" w:lineRule="atLeast"/>
                    <w:jc w:val="center"/>
                    <w:textAlignment w:val="center"/>
                    <w:rPr>
                      <w:rFonts w:hint="default"/>
                      <w:sz w:val="18"/>
                      <w:szCs w:val="18"/>
                      <w:lang w:val="en-US" w:eastAsia="zh-CN"/>
                    </w:rPr>
                  </w:pPr>
                  <w:r>
                    <w:rPr>
                      <w:rFonts w:hint="eastAsia" w:ascii="楷体" w:hAnsi="楷体" w:eastAsia="楷体" w:cs="楷体"/>
                      <w:i w:val="0"/>
                      <w:iCs w:val="0"/>
                      <w:color w:val="000000"/>
                      <w:kern w:val="0"/>
                      <w:sz w:val="18"/>
                      <w:szCs w:val="18"/>
                      <w:u w:val="none"/>
                      <w:lang w:val="en-US" w:eastAsia="zh-CN" w:bidi="ar"/>
                    </w:rPr>
                    <w:t>ZN份额、ZQ份额ZR份额</w:t>
                  </w:r>
                </w:p>
              </w:tc>
              <w:tc>
                <w:tcPr>
                  <w:tcW w:w="4706" w:type="dxa"/>
                  <w:noWrap w:val="0"/>
                  <w:vAlign w:val="center"/>
                </w:tcPr>
                <w:p>
                  <w:pPr>
                    <w:pStyle w:val="23"/>
                    <w:keepNext w:val="0"/>
                    <w:keepLines w:val="0"/>
                    <w:pageBreakBefore w:val="0"/>
                    <w:widowControl w:val="0"/>
                    <w:kinsoku w:val="0"/>
                    <w:wordWrap/>
                    <w:overflowPunct w:val="0"/>
                    <w:topLinePunct w:val="0"/>
                    <w:autoSpaceDE w:val="0"/>
                    <w:autoSpaceDN w:val="0"/>
                    <w:bidi w:val="0"/>
                    <w:adjustRightInd w:val="0"/>
                    <w:snapToGrid/>
                    <w:spacing w:line="0" w:lineRule="atLeast"/>
                    <w:ind w:left="0" w:right="0" w:rightChars="0"/>
                    <w:jc w:val="both"/>
                    <w:textAlignment w:val="auto"/>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rPr>
                    <w:t>按投资周期开放申购，投资者可在每个投资周期终止日前7</w:t>
                  </w:r>
                  <w:r>
                    <w:rPr>
                      <w:rFonts w:hint="eastAsia" w:ascii="楷体" w:hAnsi="楷体" w:eastAsia="楷体" w:cs="宋体"/>
                      <w:spacing w:val="-2"/>
                      <w:sz w:val="18"/>
                      <w:szCs w:val="18"/>
                      <w:highlight w:val="none"/>
                      <w:lang w:val="en-US" w:eastAsia="zh-CN"/>
                    </w:rPr>
                    <w:t>个工作</w:t>
                  </w:r>
                  <w:r>
                    <w:rPr>
                      <w:rFonts w:hint="eastAsia" w:ascii="楷体" w:hAnsi="楷体" w:eastAsia="楷体" w:cs="宋体"/>
                      <w:spacing w:val="-2"/>
                      <w:sz w:val="18"/>
                      <w:szCs w:val="18"/>
                      <w:highlight w:val="none"/>
                    </w:rPr>
                    <w:t>日（含投资周期终止日）内，通过销售机构提出申购申请，管理人于投资周期终止日次日对申购申请予以统一确认</w:t>
                  </w:r>
                  <w:r>
                    <w:rPr>
                      <w:rFonts w:hint="eastAsia" w:ascii="楷体" w:hAnsi="楷体" w:eastAsia="楷体" w:cs="宋体"/>
                      <w:spacing w:val="-2"/>
                      <w:sz w:val="18"/>
                      <w:szCs w:val="18"/>
                      <w:highlight w:val="none"/>
                      <w:lang w:eastAsia="zh-CN"/>
                    </w:rPr>
                    <w:t>。</w:t>
                  </w:r>
                  <w:r>
                    <w:rPr>
                      <w:rFonts w:hint="eastAsia" w:ascii="楷体" w:hAnsi="楷体" w:eastAsia="楷体" w:cs="宋体"/>
                      <w:spacing w:val="-2"/>
                      <w:sz w:val="18"/>
                      <w:szCs w:val="18"/>
                      <w:highlight w:val="none"/>
                      <w:lang w:val="en-US" w:eastAsia="zh-CN"/>
                    </w:rPr>
                    <w:t>份额持有一个投资周期后，在每个投资周期终止日由系统自动为投资者的所有持仓份额发起赎回申请，</w:t>
                  </w:r>
                  <w:r>
                    <w:rPr>
                      <w:rFonts w:hint="eastAsia" w:ascii="楷体" w:hAnsi="楷体" w:eastAsia="楷体" w:cs="宋体"/>
                      <w:spacing w:val="-2"/>
                      <w:sz w:val="18"/>
                      <w:szCs w:val="18"/>
                      <w:highlight w:val="none"/>
                    </w:rPr>
                    <w:t>管理人于投资周期终止日次日对赎回申请予以统一确认，</w:t>
                  </w:r>
                  <w:r>
                    <w:rPr>
                      <w:rFonts w:hint="eastAsia" w:ascii="楷体" w:hAnsi="楷体" w:eastAsia="楷体" w:cs="宋体"/>
                      <w:spacing w:val="-2"/>
                      <w:sz w:val="18"/>
                      <w:szCs w:val="18"/>
                      <w:highlight w:val="none"/>
                      <w:lang w:eastAsia="zh-CN"/>
                    </w:rPr>
                    <w:t>上一投资周期投资者的所有持仓份额不会</w:t>
                  </w:r>
                  <w:r>
                    <w:rPr>
                      <w:rFonts w:hint="eastAsia" w:ascii="楷体" w:hAnsi="楷体" w:eastAsia="楷体" w:cs="宋体"/>
                      <w:spacing w:val="-2"/>
                      <w:sz w:val="18"/>
                      <w:szCs w:val="18"/>
                      <w:highlight w:val="none"/>
                    </w:rPr>
                    <w:t>进入下一个投资周期。（以各销售机构设置的开放时间为准）</w:t>
                  </w:r>
                </w:p>
              </w:tc>
            </w:tr>
          </w:tbl>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b/>
                <w:bCs/>
                <w:spacing w:val="-2"/>
                <w:sz w:val="18"/>
                <w:szCs w:val="18"/>
                <w:highlight w:val="none"/>
                <w:vertAlign w:val="baseline"/>
                <w:lang w:val="en-US" w:eastAsia="zh-CN"/>
              </w:rPr>
            </w:pPr>
          </w:p>
          <w:p>
            <w:pPr>
              <w:pStyle w:val="23"/>
              <w:kinsoku w:val="0"/>
              <w:overflowPunct w:val="0"/>
              <w:spacing w:before="14"/>
              <w:ind w:right="73" w:rightChars="35"/>
              <w:jc w:val="both"/>
              <w:rPr>
                <w:rFonts w:hint="default"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最新投资周期开放申购与赎回时间为：</w:t>
            </w:r>
            <w:r>
              <w:rPr>
                <w:rFonts w:hint="eastAsia" w:ascii="楷体" w:hAnsi="楷体" w:eastAsia="楷体" w:cs="宋体"/>
                <w:b/>
                <w:bCs/>
                <w:spacing w:val="-2"/>
                <w:sz w:val="18"/>
                <w:szCs w:val="18"/>
                <w:highlight w:val="none"/>
                <w:lang w:val="en-US" w:eastAsia="zh-CN"/>
              </w:rPr>
              <w:t>2025年7月9日至2025年7月17日</w:t>
            </w:r>
          </w:p>
          <w:p>
            <w:pPr>
              <w:pStyle w:val="23"/>
              <w:kinsoku w:val="0"/>
              <w:overflowPunct w:val="0"/>
              <w:spacing w:before="14"/>
              <w:ind w:left="59" w:right="73" w:rightChars="35"/>
              <w:jc w:val="both"/>
              <w:rPr>
                <w:rFonts w:hint="eastAsia" w:ascii="楷体" w:hAnsi="楷体" w:eastAsia="楷体" w:cs="宋体"/>
                <w:spacing w:val="-2"/>
                <w:sz w:val="18"/>
                <w:szCs w:val="18"/>
                <w:highlight w:val="yellow"/>
              </w:rPr>
            </w:pPr>
            <w:r>
              <w:rPr>
                <w:rFonts w:hint="eastAsia" w:ascii="楷体" w:hAnsi="楷体" w:eastAsia="楷体" w:cs="宋体"/>
                <w:spacing w:val="-2"/>
                <w:sz w:val="18"/>
                <w:szCs w:val="18"/>
                <w:highlight w:val="none"/>
              </w:rPr>
              <w:t>管理人有权根据资产运作情况、节假日安排调整开放计划，并在调整前进行公告。详见下文“</w:t>
            </w:r>
            <w:r>
              <w:rPr>
                <w:rFonts w:hint="eastAsia" w:ascii="楷体" w:hAnsi="楷体" w:eastAsia="楷体" w:cs="宋体"/>
                <w:spacing w:val="-2"/>
                <w:sz w:val="18"/>
                <w:szCs w:val="18"/>
                <w:highlight w:val="none"/>
                <w:lang w:val="en-US" w:eastAsia="zh-CN"/>
              </w:rPr>
              <w:t>八</w:t>
            </w:r>
            <w:r>
              <w:rPr>
                <w:rFonts w:hint="eastAsia" w:ascii="楷体" w:hAnsi="楷体" w:eastAsia="楷体" w:cs="宋体"/>
                <w:spacing w:val="-2"/>
                <w:sz w:val="18"/>
                <w:szCs w:val="18"/>
                <w:highlight w:val="none"/>
              </w:rPr>
              <w:t>、产品申购、赎回”。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单个客户单日认/申购限额</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kern w:val="0"/>
                <w:sz w:val="18"/>
                <w:szCs w:val="18"/>
              </w:rPr>
              <w:t>1亿元。</w:t>
            </w:r>
            <w:r>
              <w:rPr>
                <w:rFonts w:hint="eastAsia" w:ascii="楷体" w:hAnsi="楷体" w:eastAsia="楷体" w:cs="宋体"/>
                <w:spacing w:val="-2"/>
                <w:sz w:val="18"/>
                <w:szCs w:val="18"/>
              </w:rPr>
              <w:t>超过单日累计认/申购上限时，管理人有权拒绝投资者的认/申购申请。产品存续期</w:t>
            </w:r>
            <w:r>
              <w:rPr>
                <w:rFonts w:ascii="楷体" w:hAnsi="楷体" w:eastAsia="楷体" w:cs="宋体"/>
                <w:spacing w:val="-2"/>
                <w:sz w:val="18"/>
                <w:szCs w:val="18"/>
              </w:rPr>
              <w:t>内管理人有权根据实际情况调整</w:t>
            </w:r>
            <w:r>
              <w:rPr>
                <w:rFonts w:hint="eastAsia" w:ascii="楷体" w:hAnsi="楷体" w:eastAsia="楷体" w:cs="宋体"/>
                <w:spacing w:val="-2"/>
                <w:sz w:val="18"/>
                <w:szCs w:val="18"/>
              </w:rPr>
              <w:t>单日累计认/申购上限。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单个客户持有份额上限</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kern w:val="0"/>
                <w:sz w:val="18"/>
                <w:szCs w:val="18"/>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4"/>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单个客户赎回限额</w:t>
            </w:r>
          </w:p>
        </w:tc>
        <w:tc>
          <w:tcPr>
            <w:tcW w:w="7026" w:type="dxa"/>
            <w:noWrap w:val="0"/>
            <w:vAlign w:val="center"/>
          </w:tcPr>
          <w:p>
            <w:pPr>
              <w:pStyle w:val="23"/>
              <w:kinsoku w:val="0"/>
              <w:overflowPunct w:val="0"/>
              <w:spacing w:before="14"/>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1亿份。超过单个客户赎回限额时，管理人有权拒绝投资者的赎回申请。</w:t>
            </w:r>
            <w:r>
              <w:rPr>
                <w:rFonts w:hint="eastAsia" w:ascii="楷体" w:hAnsi="楷体" w:eastAsia="楷体" w:cs="宋体"/>
                <w:b/>
                <w:bCs/>
                <w:spacing w:val="-2"/>
                <w:sz w:val="18"/>
                <w:szCs w:val="18"/>
                <w:u w:val="single"/>
              </w:rPr>
              <w:t>对于单个投资者单个开放日申请赎回理财份额超过上一交易日日终理财产品总份额的10%的部分，管理人有权暂停接受其赎回申请。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4"/>
              <w:ind w:left="55" w:leftChars="0"/>
              <w:jc w:val="both"/>
              <w:rPr>
                <w:rFonts w:hint="eastAsia" w:ascii="楷体" w:hAnsi="楷体" w:eastAsia="楷体" w:cs="宋体"/>
                <w:b/>
                <w:spacing w:val="-2"/>
                <w:sz w:val="18"/>
                <w:szCs w:val="18"/>
              </w:rPr>
            </w:pPr>
            <w:r>
              <w:rPr>
                <w:rFonts w:hint="eastAsia" w:ascii="楷体" w:hAnsi="楷体" w:eastAsia="楷体" w:cs="宋体"/>
                <w:b/>
                <w:spacing w:val="-2"/>
                <w:sz w:val="18"/>
                <w:szCs w:val="18"/>
              </w:rPr>
              <w:t>巨额申购</w:t>
            </w:r>
          </w:p>
        </w:tc>
        <w:tc>
          <w:tcPr>
            <w:tcW w:w="7026" w:type="dxa"/>
            <w:noWrap w:val="0"/>
            <w:vAlign w:val="center"/>
          </w:tcPr>
          <w:p>
            <w:pPr>
              <w:pStyle w:val="23"/>
              <w:kinsoku w:val="0"/>
              <w:overflowPunct w:val="0"/>
              <w:spacing w:before="14"/>
              <w:ind w:left="59" w:leftChars="0"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highlight w:val="none"/>
              </w:rPr>
              <w:t>本产品单个开放日投资者净</w:t>
            </w:r>
            <w:r>
              <w:rPr>
                <w:rFonts w:hint="eastAsia" w:ascii="楷体" w:hAnsi="楷体" w:eastAsia="楷体" w:cs="宋体"/>
                <w:spacing w:val="-2"/>
                <w:sz w:val="18"/>
                <w:szCs w:val="18"/>
                <w:highlight w:val="none"/>
                <w:lang w:val="en-US" w:eastAsia="zh-CN"/>
              </w:rPr>
              <w:t>申购</w:t>
            </w:r>
            <w:r>
              <w:rPr>
                <w:rFonts w:hint="eastAsia" w:ascii="楷体" w:hAnsi="楷体" w:eastAsia="楷体" w:cs="宋体"/>
                <w:spacing w:val="-2"/>
                <w:sz w:val="18"/>
                <w:szCs w:val="18"/>
                <w:highlight w:val="none"/>
              </w:rPr>
              <w:t>额（申购申请份额总数扣除赎回申请份额总数）超过上一日产品总份额20%时，即</w:t>
            </w:r>
            <w:r>
              <w:rPr>
                <w:rFonts w:hint="eastAsia" w:ascii="楷体" w:hAnsi="楷体" w:eastAsia="楷体" w:cs="宋体"/>
                <w:spacing w:val="-2"/>
                <w:sz w:val="18"/>
                <w:szCs w:val="18"/>
              </w:rPr>
              <w:t>认为发生了巨额申购。</w:t>
            </w:r>
            <w:r>
              <w:rPr>
                <w:rFonts w:hint="eastAsia" w:ascii="楷体" w:hAnsi="楷体" w:eastAsia="楷体" w:cs="宋体"/>
                <w:b/>
                <w:bCs/>
                <w:spacing w:val="-2"/>
                <w:sz w:val="18"/>
                <w:szCs w:val="18"/>
                <w:u w:val="single"/>
              </w:rPr>
              <w:t>当出现巨额申购时，产品管理人有权拒绝客户的全部或部分申购申请。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巨额赎回</w:t>
            </w:r>
          </w:p>
        </w:tc>
        <w:tc>
          <w:tcPr>
            <w:tcW w:w="7026" w:type="dxa"/>
            <w:noWrap w:val="0"/>
            <w:vAlign w:val="center"/>
          </w:tcPr>
          <w:p>
            <w:pPr>
              <w:ind w:right="115" w:rightChars="55"/>
              <w:rPr>
                <w:rFonts w:hint="eastAsia" w:ascii="楷体" w:hAnsi="楷体" w:eastAsia="楷体" w:cs="宋体"/>
                <w:spacing w:val="-2"/>
                <w:sz w:val="18"/>
                <w:szCs w:val="18"/>
              </w:rPr>
            </w:pPr>
            <w:r>
              <w:rPr>
                <w:rFonts w:hint="eastAsia" w:ascii="楷体" w:hAnsi="楷体" w:eastAsia="楷体" w:cs="宋体"/>
                <w:spacing w:val="-2"/>
                <w:sz w:val="18"/>
                <w:szCs w:val="18"/>
              </w:rPr>
              <w:t>本产品每个开放日投资者净赎回额（赎回申请份额总数扣除申购申请份额总数）超过本产品上一工作日日终份额10%时，即为发生巨额赎回。产品管理人可以根据本产品当时的资产组合状况决定采取全额赎回、部分赎回、</w:t>
            </w:r>
            <w:r>
              <w:rPr>
                <w:rFonts w:ascii="楷体" w:hAnsi="楷体" w:eastAsia="楷体" w:cs="宋体"/>
                <w:spacing w:val="-2"/>
                <w:sz w:val="18"/>
                <w:szCs w:val="18"/>
              </w:rPr>
              <w:t>延期</w:t>
            </w:r>
            <w:r>
              <w:rPr>
                <w:rFonts w:hint="eastAsia" w:ascii="楷体" w:hAnsi="楷体" w:eastAsia="楷体" w:cs="宋体"/>
                <w:spacing w:val="-2"/>
                <w:sz w:val="18"/>
                <w:szCs w:val="18"/>
              </w:rPr>
              <w:t>办理</w:t>
            </w:r>
            <w:r>
              <w:rPr>
                <w:rFonts w:ascii="楷体" w:hAnsi="楷体" w:eastAsia="楷体" w:cs="宋体"/>
                <w:spacing w:val="-2"/>
                <w:sz w:val="18"/>
                <w:szCs w:val="18"/>
              </w:rPr>
              <w:t>巨额赎回</w:t>
            </w:r>
            <w:r>
              <w:rPr>
                <w:rFonts w:hint="eastAsia" w:ascii="楷体" w:hAnsi="楷体" w:eastAsia="楷体" w:cs="宋体"/>
                <w:spacing w:val="-2"/>
                <w:sz w:val="18"/>
                <w:szCs w:val="18"/>
              </w:rPr>
              <w:t>等</w:t>
            </w:r>
            <w:r>
              <w:rPr>
                <w:rFonts w:ascii="楷体" w:hAnsi="楷体" w:eastAsia="楷体" w:cs="宋体"/>
                <w:spacing w:val="-2"/>
                <w:sz w:val="18"/>
                <w:szCs w:val="18"/>
              </w:rPr>
              <w:t>措施</w:t>
            </w:r>
            <w:r>
              <w:rPr>
                <w:rFonts w:hint="eastAsia" w:ascii="楷体" w:hAnsi="楷体" w:eastAsia="楷体" w:cs="宋体"/>
                <w:spacing w:val="-2"/>
                <w:sz w:val="18"/>
                <w:szCs w:val="18"/>
              </w:rPr>
              <w:t>，产品管理人将在采取</w:t>
            </w:r>
            <w:r>
              <w:rPr>
                <w:rFonts w:ascii="楷体" w:hAnsi="楷体" w:eastAsia="楷体" w:cs="宋体"/>
                <w:spacing w:val="-2"/>
                <w:sz w:val="18"/>
                <w:szCs w:val="18"/>
              </w:rPr>
              <w:t>相关</w:t>
            </w:r>
            <w:r>
              <w:rPr>
                <w:rFonts w:hint="eastAsia" w:ascii="楷体" w:hAnsi="楷体" w:eastAsia="楷体" w:cs="宋体"/>
                <w:spacing w:val="-2"/>
                <w:sz w:val="18"/>
                <w:szCs w:val="18"/>
              </w:rPr>
              <w:t>措施后3个工作日内进行信息披露。</w:t>
            </w:r>
          </w:p>
          <w:p>
            <w:pPr>
              <w:rPr>
                <w:rFonts w:ascii="楷体" w:hAnsi="楷体" w:eastAsia="楷体" w:cs="宋体"/>
                <w:b/>
                <w:spacing w:val="-2"/>
                <w:sz w:val="18"/>
                <w:szCs w:val="18"/>
                <w:u w:val="single"/>
              </w:rPr>
            </w:pPr>
            <w:r>
              <w:rPr>
                <w:rFonts w:hint="eastAsia" w:ascii="楷体" w:hAnsi="楷体" w:eastAsia="楷体" w:cs="宋体"/>
                <w:b/>
                <w:spacing w:val="-2"/>
                <w:sz w:val="18"/>
                <w:szCs w:val="18"/>
                <w:u w:val="single"/>
              </w:rPr>
              <w:t>1.全额赎回：当产品管理人有能力兑付投资者的全部赎回申请时，将在申请确认日按投资者申请赎回份额执行正常赎回程序。</w:t>
            </w:r>
          </w:p>
          <w:p>
            <w:pPr>
              <w:rPr>
                <w:rFonts w:ascii="楷体" w:hAnsi="楷体" w:eastAsia="楷体" w:cs="宋体"/>
                <w:b/>
                <w:spacing w:val="-2"/>
                <w:sz w:val="18"/>
                <w:szCs w:val="18"/>
                <w:u w:val="single"/>
              </w:rPr>
            </w:pPr>
            <w:r>
              <w:rPr>
                <w:rFonts w:hint="eastAsia" w:ascii="楷体" w:hAnsi="楷体" w:eastAsia="楷体" w:cs="宋体"/>
                <w:b/>
                <w:spacing w:val="-2"/>
                <w:sz w:val="18"/>
                <w:szCs w:val="18"/>
                <w:u w:val="single"/>
              </w:rPr>
              <w:t>2.部分赎回</w:t>
            </w:r>
            <w:r>
              <w:rPr>
                <w:rFonts w:ascii="楷体" w:hAnsi="楷体" w:eastAsia="楷体" w:cs="宋体"/>
                <w:b/>
                <w:spacing w:val="-2"/>
                <w:sz w:val="18"/>
                <w:szCs w:val="18"/>
                <w:u w:val="single"/>
              </w:rPr>
              <w:t>：</w:t>
            </w:r>
            <w:r>
              <w:rPr>
                <w:rFonts w:hint="eastAsia" w:ascii="楷体" w:hAnsi="楷体" w:eastAsia="楷体" w:cs="宋体"/>
                <w:b/>
                <w:spacing w:val="-2"/>
                <w:sz w:val="18"/>
                <w:szCs w:val="18"/>
                <w:u w:val="single"/>
              </w:rPr>
              <w:t>当产品管理人认为兑付投资者的赎回申请可能会对产品的资产净值造成较大波动时，当日办理的赎回份额不得低于前一日终理财产品总份额的10%，对其余赎回申请管理人有权暂停接受或延期办理。对该产品单个份额持有人的赎回申请，按照其申请占当日申请赎回总份额的比例，确定该份额持有人当日办理的赎回份额。</w:t>
            </w:r>
          </w:p>
          <w:p>
            <w:pPr>
              <w:ind w:right="73" w:rightChars="35"/>
              <w:rPr>
                <w:rFonts w:ascii="楷体" w:hAnsi="楷体" w:eastAsia="楷体" w:cs="宋体"/>
                <w:b/>
                <w:spacing w:val="-2"/>
                <w:sz w:val="18"/>
                <w:szCs w:val="18"/>
                <w:u w:val="single"/>
              </w:rPr>
            </w:pPr>
            <w:r>
              <w:rPr>
                <w:rFonts w:hint="eastAsia" w:ascii="楷体" w:hAnsi="楷体" w:eastAsia="楷体" w:cs="宋体"/>
                <w:b/>
                <w:spacing w:val="-2"/>
                <w:sz w:val="18"/>
                <w:szCs w:val="18"/>
                <w:u w:val="single"/>
              </w:rPr>
              <w:t>3.对于该开放日内净赎回额超过本产品上一工作日日终份额10%时，管理人有权拒绝超过10%以上部分的赎回申请。未确认受理的赎回申请份额，投资者</w:t>
            </w:r>
            <w:r>
              <w:rPr>
                <w:rFonts w:ascii="楷体" w:hAnsi="楷体" w:eastAsia="楷体" w:cs="宋体"/>
                <w:b/>
                <w:spacing w:val="-2"/>
                <w:sz w:val="18"/>
                <w:szCs w:val="18"/>
                <w:u w:val="single"/>
              </w:rPr>
              <w:t>可</w:t>
            </w:r>
            <w:r>
              <w:rPr>
                <w:rFonts w:hint="eastAsia" w:ascii="楷体" w:hAnsi="楷体" w:eastAsia="楷体" w:cs="宋体"/>
                <w:b/>
                <w:spacing w:val="-2"/>
                <w:sz w:val="18"/>
                <w:szCs w:val="18"/>
                <w:u w:val="single"/>
              </w:rPr>
              <w:t>选择将当日未获受理部分予以撤销（巨额赎回处理方式具体以</w:t>
            </w:r>
            <w:r>
              <w:rPr>
                <w:rFonts w:hint="eastAsia" w:ascii="楷体" w:hAnsi="楷体" w:eastAsia="楷体" w:cs="宋体"/>
                <w:b/>
                <w:spacing w:val="-2"/>
                <w:sz w:val="18"/>
                <w:szCs w:val="18"/>
                <w:u w:val="single"/>
                <w:lang w:val="en-US" w:eastAsia="zh-CN"/>
              </w:rPr>
              <w:t>销售</w:t>
            </w:r>
            <w:r>
              <w:rPr>
                <w:rFonts w:hint="eastAsia" w:ascii="楷体" w:hAnsi="楷体" w:eastAsia="楷体" w:cs="宋体"/>
                <w:b/>
                <w:spacing w:val="-2"/>
                <w:sz w:val="18"/>
                <w:szCs w:val="18"/>
                <w:u w:val="single"/>
              </w:rPr>
              <w:t>机构展示为准），未选择撤销的赎回申请，产品</w:t>
            </w:r>
            <w:r>
              <w:rPr>
                <w:rFonts w:ascii="楷体" w:hAnsi="楷体" w:eastAsia="楷体" w:cs="宋体"/>
                <w:b/>
                <w:spacing w:val="-2"/>
                <w:sz w:val="18"/>
                <w:szCs w:val="18"/>
                <w:u w:val="single"/>
              </w:rPr>
              <w:t>管理人可以</w:t>
            </w:r>
            <w:r>
              <w:rPr>
                <w:rFonts w:hint="eastAsia" w:ascii="楷体" w:hAnsi="楷体" w:eastAsia="楷体" w:cs="宋体"/>
                <w:b/>
                <w:spacing w:val="-2"/>
                <w:sz w:val="18"/>
                <w:szCs w:val="18"/>
                <w:u w:val="single"/>
              </w:rPr>
              <w:t>延迟至下一开放日处理，转入下一开放日的赎回申请不享有优先确认权。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8"/>
              <w:ind w:left="55"/>
              <w:jc w:val="both"/>
              <w:rPr>
                <w:rFonts w:hint="eastAsia" w:ascii="楷体" w:hAnsi="楷体" w:eastAsia="楷体" w:cs="宋体"/>
                <w:b/>
                <w:spacing w:val="-2"/>
                <w:sz w:val="18"/>
                <w:szCs w:val="18"/>
                <w:highlight w:val="yellow"/>
              </w:rPr>
            </w:pPr>
            <w:r>
              <w:rPr>
                <w:rFonts w:hint="eastAsia" w:ascii="楷体" w:hAnsi="楷体" w:eastAsia="楷体" w:cs="宋体"/>
                <w:b/>
                <w:spacing w:val="-2"/>
                <w:sz w:val="18"/>
                <w:szCs w:val="18"/>
              </w:rPr>
              <w:t>连续巨额赎回</w:t>
            </w:r>
          </w:p>
        </w:tc>
        <w:tc>
          <w:tcPr>
            <w:tcW w:w="7026" w:type="dxa"/>
            <w:noWrap w:val="0"/>
            <w:vAlign w:val="center"/>
          </w:tcPr>
          <w:p>
            <w:pPr>
              <w:ind w:right="53" w:rightChars="25"/>
              <w:rPr>
                <w:rFonts w:hint="eastAsia" w:ascii="楷体" w:hAnsi="楷体" w:eastAsia="楷体" w:cs="宋体"/>
                <w:spacing w:val="-2"/>
                <w:kern w:val="0"/>
                <w:sz w:val="18"/>
                <w:szCs w:val="18"/>
              </w:rPr>
            </w:pPr>
            <w:r>
              <w:rPr>
                <w:rFonts w:hint="eastAsia" w:ascii="楷体" w:hAnsi="楷体" w:eastAsia="楷体" w:cs="宋体"/>
                <w:spacing w:val="-2"/>
                <w:kern w:val="0"/>
                <w:sz w:val="18"/>
                <w:szCs w:val="18"/>
              </w:rPr>
              <w:t>连续2个以上开放日发生巨额赎回的，对于已经接受的赎回申请，可以延缓支付赎回款项，但延缓期限不得超过20个工作日。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业绩比较基准（年化）</w:t>
            </w:r>
          </w:p>
        </w:tc>
        <w:tc>
          <w:tcPr>
            <w:tcW w:w="7026" w:type="dxa"/>
            <w:noWrap w:val="0"/>
            <w:vAlign w:val="center"/>
          </w:tcPr>
          <w:p>
            <w:pPr>
              <w:pStyle w:val="23"/>
              <w:kinsoku w:val="0"/>
              <w:overflowPunct w:val="0"/>
              <w:spacing w:before="37"/>
              <w:ind w:right="73" w:rightChars="35"/>
              <w:jc w:val="both"/>
              <w:rPr>
                <w:rFonts w:hint="eastAsia" w:ascii="楷体" w:hAnsi="楷体" w:eastAsia="楷体" w:cs="宋体"/>
                <w:spacing w:val="-2"/>
                <w:sz w:val="18"/>
                <w:szCs w:val="18"/>
              </w:rPr>
            </w:pP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w:t>
            </w:r>
            <w:r>
              <w:rPr>
                <w:rFonts w:hint="eastAsia" w:ascii="楷体" w:hAnsi="楷体" w:eastAsia="楷体" w:cs="宋体"/>
                <w:b/>
                <w:bCs/>
                <w:spacing w:val="-2"/>
                <w:sz w:val="18"/>
                <w:szCs w:val="18"/>
                <w:u w:val="single"/>
                <w:lang w:val="en-US" w:eastAsia="zh-CN"/>
              </w:rPr>
              <w:t>银行存款（含结构性存款）、</w:t>
            </w:r>
            <w:r>
              <w:rPr>
                <w:rFonts w:ascii="楷体" w:hAnsi="楷体" w:eastAsia="楷体" w:cs="宋体"/>
                <w:b/>
                <w:bCs/>
                <w:spacing w:val="-2"/>
                <w:sz w:val="18"/>
                <w:szCs w:val="18"/>
                <w:u w:val="single"/>
              </w:rPr>
              <w:t>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，综合考虑各份额收取的销售服务费和投资管理费的情况，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业绩比较基准。本产品各份额因收取的销售服务费和投资管理费存在差异，业绩比较基准设置将有所不同。</w:t>
            </w:r>
            <w:r>
              <w:rPr>
                <w:rFonts w:hint="eastAsia" w:ascii="楷体" w:hAnsi="楷体" w:eastAsia="楷体" w:cs="宋体"/>
                <w:spacing w:val="-2"/>
                <w:sz w:val="18"/>
                <w:szCs w:val="18"/>
              </w:rPr>
              <w:t>各份额业绩比较基准如下：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26"/>
              <w:gridCol w:w="1697"/>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w:t>
                  </w:r>
                </w:p>
              </w:tc>
              <w:tc>
                <w:tcPr>
                  <w:tcW w:w="1726"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投资周期起始日</w:t>
                  </w:r>
                </w:p>
              </w:tc>
              <w:tc>
                <w:tcPr>
                  <w:tcW w:w="1697"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投资周期终止日</w:t>
                  </w:r>
                </w:p>
              </w:tc>
              <w:tc>
                <w:tcPr>
                  <w:tcW w:w="1989"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lang w:val="en-US" w:eastAsia="zh-CN"/>
                    </w:rPr>
                    <w:t>业绩比较基准</w:t>
                  </w:r>
                </w:p>
                <w:p>
                  <w:pPr>
                    <w:jc w:val="center"/>
                    <w:rPr>
                      <w:rFonts w:hint="default" w:ascii="楷体" w:hAnsi="楷体" w:eastAsia="楷体"/>
                      <w:sz w:val="18"/>
                      <w:szCs w:val="18"/>
                      <w:lang w:val="en-US" w:eastAsia="zh-CN"/>
                    </w:rPr>
                  </w:pPr>
                  <w:r>
                    <w:rPr>
                      <w:rFonts w:hint="eastAsia" w:ascii="楷体" w:hAnsi="楷体" w:eastAsia="楷体"/>
                      <w:sz w:val="18"/>
                      <w:szCs w:val="18"/>
                      <w:lang w:val="en-US" w:eastAsia="zh-CN"/>
                    </w:rPr>
                    <w:t>（年化）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rPr>
                  </w:pPr>
                  <w:r>
                    <w:rPr>
                      <w:rFonts w:hint="eastAsia" w:ascii="楷体" w:hAnsi="楷体" w:eastAsia="楷体"/>
                      <w:sz w:val="18"/>
                      <w:szCs w:val="18"/>
                      <w:highlight w:val="none"/>
                    </w:rPr>
                    <w:t>1</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highlight w:val="none"/>
                      <w:lang w:eastAsia="zh-CN"/>
                    </w:rPr>
                    <w:t>2021年6月2日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highlight w:val="none"/>
                      <w:lang w:eastAsia="zh-CN"/>
                    </w:rPr>
                    <w:t>2022年6月28日</w:t>
                  </w:r>
                </w:p>
              </w:tc>
              <w:tc>
                <w:tcPr>
                  <w:tcW w:w="1989" w:type="dxa"/>
                  <w:vMerge w:val="restart"/>
                  <w:noWrap w:val="0"/>
                  <w:vAlign w:val="center"/>
                </w:tcPr>
                <w:p>
                  <w:pPr>
                    <w:jc w:val="center"/>
                    <w:rPr>
                      <w:rFonts w:hint="eastAsia" w:ascii="楷体" w:hAnsi="楷体" w:eastAsia="楷体" w:cs="楷体"/>
                      <w:sz w:val="18"/>
                      <w:szCs w:val="18"/>
                      <w:highlight w:val="none"/>
                    </w:rPr>
                  </w:pPr>
                  <w:r>
                    <w:rPr>
                      <w:rFonts w:hint="eastAsia" w:ascii="楷体" w:hAnsi="楷体" w:eastAsia="楷体"/>
                      <w:sz w:val="18"/>
                      <w:szCs w:val="18"/>
                      <w:highlight w:val="none"/>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rPr>
                  </w:pPr>
                  <w:r>
                    <w:rPr>
                      <w:rFonts w:hint="eastAsia" w:ascii="楷体" w:hAnsi="楷体" w:eastAsia="楷体"/>
                      <w:sz w:val="18"/>
                      <w:szCs w:val="18"/>
                      <w:lang w:val="en-US" w:eastAsia="zh-CN"/>
                    </w:rPr>
                    <w:t>2</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sz w:val="18"/>
                      <w:szCs w:val="18"/>
                      <w:lang w:eastAsia="zh-CN"/>
                    </w:rPr>
                    <w:t>2022年6月29日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sz w:val="18"/>
                      <w:szCs w:val="18"/>
                      <w:lang w:eastAsia="zh-CN"/>
                    </w:rPr>
                    <w:t>2023年7月3日</w:t>
                  </w:r>
                </w:p>
              </w:tc>
              <w:tc>
                <w:tcPr>
                  <w:tcW w:w="1989" w:type="dxa"/>
                  <w:vMerge w:val="continue"/>
                  <w:noWrap w:val="0"/>
                  <w:vAlign w:val="center"/>
                </w:tcPr>
                <w:p>
                  <w:pPr>
                    <w:jc w:val="center"/>
                    <w:rPr>
                      <w:rFonts w:hint="eastAsia" w:ascii="楷体" w:hAnsi="楷体" w:eastAsia="楷体" w:cs="楷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kern w:val="2"/>
                      <w:sz w:val="18"/>
                      <w:szCs w:val="18"/>
                      <w:lang w:val="en-US" w:eastAsia="zh-CN" w:bidi="ar-SA"/>
                    </w:rPr>
                  </w:pPr>
                  <w:r>
                    <w:rPr>
                      <w:rFonts w:hint="eastAsia" w:ascii="楷体" w:hAnsi="楷体" w:eastAsia="楷体"/>
                      <w:sz w:val="18"/>
                      <w:szCs w:val="18"/>
                      <w:lang w:val="en-US" w:eastAsia="zh-CN"/>
                    </w:rPr>
                    <w:t>3</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2023年7月4日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2024年7月9日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eastAsia" w:ascii="楷体" w:hAnsi="楷体" w:eastAsia="楷体"/>
                      <w:sz w:val="18"/>
                      <w:szCs w:val="18"/>
                    </w:rPr>
                  </w:pPr>
                  <w:r>
                    <w:rPr>
                      <w:rFonts w:hint="eastAsia" w:ascii="楷体" w:hAnsi="楷体" w:eastAsia="楷体"/>
                      <w:sz w:val="18"/>
                      <w:szCs w:val="18"/>
                    </w:rPr>
                    <w:t>A份额</w:t>
                  </w:r>
                  <w:r>
                    <w:rPr>
                      <w:rFonts w:hint="eastAsia" w:ascii="楷体" w:hAnsi="楷体" w:eastAsia="楷体"/>
                      <w:sz w:val="18"/>
                      <w:szCs w:val="18"/>
                    </w:rPr>
                    <w:tab/>
                  </w:r>
                  <w:r>
                    <w:rPr>
                      <w:rFonts w:hint="eastAsia" w:ascii="楷体" w:hAnsi="楷体" w:eastAsia="楷体"/>
                      <w:sz w:val="18"/>
                      <w:szCs w:val="18"/>
                    </w:rPr>
                    <w:t>4.00%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eastAsia" w:ascii="楷体" w:hAnsi="楷体" w:eastAsia="楷体"/>
                      <w:sz w:val="18"/>
                      <w:szCs w:val="18"/>
                    </w:rPr>
                  </w:pPr>
                  <w:r>
                    <w:rPr>
                      <w:rFonts w:hint="eastAsia" w:ascii="楷体" w:hAnsi="楷体" w:eastAsia="楷体"/>
                      <w:sz w:val="18"/>
                      <w:szCs w:val="18"/>
                    </w:rPr>
                    <w:t>B份额</w:t>
                  </w:r>
                  <w:r>
                    <w:rPr>
                      <w:rFonts w:hint="eastAsia" w:ascii="楷体" w:hAnsi="楷体" w:eastAsia="楷体"/>
                      <w:sz w:val="18"/>
                      <w:szCs w:val="18"/>
                    </w:rPr>
                    <w:tab/>
                  </w:r>
                  <w:r>
                    <w:rPr>
                      <w:rFonts w:hint="eastAsia" w:ascii="楷体" w:hAnsi="楷体" w:eastAsia="楷体"/>
                      <w:sz w:val="18"/>
                      <w:szCs w:val="18"/>
                    </w:rPr>
                    <w:t>4.03%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eastAsia" w:ascii="楷体" w:hAnsi="楷体" w:eastAsia="楷体"/>
                      <w:sz w:val="18"/>
                      <w:szCs w:val="18"/>
                    </w:rPr>
                  </w:pPr>
                  <w:r>
                    <w:rPr>
                      <w:rFonts w:hint="eastAsia" w:ascii="楷体" w:hAnsi="楷体" w:eastAsia="楷体"/>
                      <w:sz w:val="18"/>
                      <w:szCs w:val="18"/>
                    </w:rPr>
                    <w:t>D份额</w:t>
                  </w:r>
                  <w:r>
                    <w:rPr>
                      <w:rFonts w:hint="eastAsia" w:ascii="楷体" w:hAnsi="楷体" w:eastAsia="楷体"/>
                      <w:sz w:val="18"/>
                      <w:szCs w:val="18"/>
                    </w:rPr>
                    <w:tab/>
                  </w:r>
                  <w:r>
                    <w:rPr>
                      <w:rFonts w:hint="eastAsia" w:ascii="楷体" w:hAnsi="楷体" w:eastAsia="楷体"/>
                      <w:sz w:val="18"/>
                      <w:szCs w:val="18"/>
                    </w:rPr>
                    <w:t>4.15%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eastAsia" w:ascii="楷体" w:hAnsi="楷体" w:eastAsia="楷体"/>
                      <w:sz w:val="18"/>
                      <w:szCs w:val="18"/>
                    </w:rPr>
                  </w:pPr>
                  <w:r>
                    <w:rPr>
                      <w:rFonts w:hint="eastAsia" w:ascii="楷体" w:hAnsi="楷体" w:eastAsia="楷体"/>
                      <w:sz w:val="18"/>
                      <w:szCs w:val="18"/>
                    </w:rPr>
                    <w:t>F份额</w:t>
                  </w:r>
                  <w:r>
                    <w:rPr>
                      <w:rFonts w:hint="eastAsia" w:ascii="楷体" w:hAnsi="楷体" w:eastAsia="楷体"/>
                      <w:sz w:val="18"/>
                      <w:szCs w:val="18"/>
                    </w:rPr>
                    <w:tab/>
                  </w:r>
                  <w:r>
                    <w:rPr>
                      <w:rFonts w:hint="eastAsia" w:ascii="楷体" w:hAnsi="楷体" w:eastAsia="楷体"/>
                      <w:sz w:val="18"/>
                      <w:szCs w:val="18"/>
                    </w:rPr>
                    <w:t>4.00%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eastAsia" w:ascii="楷体" w:hAnsi="楷体" w:eastAsia="楷体"/>
                      <w:sz w:val="18"/>
                      <w:szCs w:val="18"/>
                    </w:rPr>
                  </w:pPr>
                  <w:r>
                    <w:rPr>
                      <w:rFonts w:hint="eastAsia" w:ascii="楷体" w:hAnsi="楷体" w:eastAsia="楷体"/>
                      <w:sz w:val="18"/>
                      <w:szCs w:val="18"/>
                    </w:rPr>
                    <w:t>G份额</w:t>
                  </w:r>
                  <w:r>
                    <w:rPr>
                      <w:rFonts w:hint="eastAsia" w:ascii="楷体" w:hAnsi="楷体" w:eastAsia="楷体"/>
                      <w:sz w:val="18"/>
                      <w:szCs w:val="18"/>
                    </w:rPr>
                    <w:tab/>
                  </w:r>
                  <w:r>
                    <w:rPr>
                      <w:rFonts w:hint="eastAsia" w:ascii="楷体" w:hAnsi="楷体" w:eastAsia="楷体"/>
                      <w:sz w:val="18"/>
                      <w:szCs w:val="18"/>
                    </w:rPr>
                    <w:t>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eastAsia" w:ascii="楷体" w:hAnsi="楷体" w:eastAsia="楷体"/>
                      <w:sz w:val="18"/>
                      <w:szCs w:val="18"/>
                    </w:rPr>
                  </w:pPr>
                  <w:r>
                    <w:rPr>
                      <w:rFonts w:hint="eastAsia" w:ascii="楷体" w:hAnsi="楷体" w:eastAsia="楷体"/>
                      <w:sz w:val="18"/>
                      <w:szCs w:val="18"/>
                    </w:rPr>
                    <w:t>J份额</w:t>
                  </w:r>
                  <w:r>
                    <w:rPr>
                      <w:rFonts w:hint="eastAsia" w:ascii="楷体" w:hAnsi="楷体" w:eastAsia="楷体"/>
                      <w:sz w:val="18"/>
                      <w:szCs w:val="18"/>
                    </w:rPr>
                    <w:tab/>
                  </w:r>
                  <w:r>
                    <w:rPr>
                      <w:rFonts w:hint="eastAsia" w:ascii="楷体" w:hAnsi="楷体" w:eastAsia="楷体"/>
                      <w:sz w:val="18"/>
                      <w:szCs w:val="18"/>
                    </w:rPr>
                    <w:t>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eastAsia" w:ascii="楷体" w:hAnsi="楷体" w:eastAsia="楷体"/>
                      <w:sz w:val="18"/>
                      <w:szCs w:val="18"/>
                    </w:rPr>
                  </w:pPr>
                  <w:r>
                    <w:rPr>
                      <w:rFonts w:hint="eastAsia" w:ascii="楷体" w:hAnsi="楷体" w:eastAsia="楷体"/>
                      <w:sz w:val="18"/>
                      <w:szCs w:val="18"/>
                    </w:rPr>
                    <w:t>ZA份额</w:t>
                  </w:r>
                  <w:r>
                    <w:rPr>
                      <w:rFonts w:hint="eastAsia" w:ascii="楷体" w:hAnsi="楷体" w:eastAsia="楷体"/>
                      <w:sz w:val="18"/>
                      <w:szCs w:val="18"/>
                    </w:rPr>
                    <w:tab/>
                  </w:r>
                  <w:r>
                    <w:rPr>
                      <w:rFonts w:hint="eastAsia" w:ascii="楷体" w:hAnsi="楷体" w:eastAsia="楷体"/>
                      <w:sz w:val="18"/>
                      <w:szCs w:val="18"/>
                    </w:rPr>
                    <w:t>4.00%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eastAsia" w:ascii="楷体" w:hAnsi="楷体" w:eastAsia="楷体"/>
                      <w:sz w:val="18"/>
                      <w:szCs w:val="18"/>
                    </w:rPr>
                  </w:pPr>
                  <w:r>
                    <w:rPr>
                      <w:rFonts w:hint="eastAsia" w:ascii="楷体" w:hAnsi="楷体" w:eastAsia="楷体"/>
                      <w:sz w:val="18"/>
                      <w:szCs w:val="18"/>
                    </w:rPr>
                    <w:t>ZF份额</w:t>
                  </w:r>
                  <w:r>
                    <w:rPr>
                      <w:rFonts w:hint="eastAsia" w:ascii="楷体" w:hAnsi="楷体" w:eastAsia="楷体"/>
                      <w:sz w:val="18"/>
                      <w:szCs w:val="18"/>
                    </w:rPr>
                    <w:tab/>
                  </w:r>
                  <w:r>
                    <w:rPr>
                      <w:rFonts w:hint="eastAsia" w:ascii="楷体" w:hAnsi="楷体" w:eastAsia="楷体"/>
                      <w:sz w:val="18"/>
                      <w:szCs w:val="18"/>
                    </w:rPr>
                    <w:t>4.00%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default" w:ascii="楷体" w:hAnsi="楷体" w:eastAsia="楷体" w:cs="Times New Roman"/>
                      <w:sz w:val="18"/>
                      <w:szCs w:val="18"/>
                      <w:lang w:val="en-US" w:eastAsia="zh-CN"/>
                    </w:rPr>
                  </w:pPr>
                  <w:r>
                    <w:rPr>
                      <w:rFonts w:hint="eastAsia" w:ascii="楷体" w:hAnsi="楷体" w:eastAsia="楷体"/>
                      <w:sz w:val="18"/>
                      <w:szCs w:val="18"/>
                      <w:lang w:val="en-US" w:eastAsia="zh-CN"/>
                    </w:rPr>
                    <w:t>ZX</w:t>
                  </w:r>
                  <w:r>
                    <w:rPr>
                      <w:rFonts w:hint="eastAsia" w:ascii="楷体" w:hAnsi="楷体" w:eastAsia="楷体"/>
                      <w:sz w:val="18"/>
                      <w:szCs w:val="18"/>
                    </w:rPr>
                    <w:t>份额</w:t>
                  </w:r>
                  <w:r>
                    <w:rPr>
                      <w:rFonts w:hint="eastAsia" w:ascii="楷体" w:hAnsi="楷体" w:eastAsia="楷体"/>
                      <w:sz w:val="18"/>
                      <w:szCs w:val="18"/>
                    </w:rPr>
                    <w:tab/>
                  </w:r>
                  <w:r>
                    <w:rPr>
                      <w:rFonts w:hint="eastAsia" w:ascii="楷体" w:hAnsi="楷体" w:eastAsia="楷体"/>
                      <w:sz w:val="18"/>
                      <w:szCs w:val="18"/>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lang w:val="en-US" w:eastAsia="zh-CN"/>
                    </w:rPr>
                    <w:t>4</w:t>
                  </w:r>
                </w:p>
              </w:tc>
              <w:tc>
                <w:tcPr>
                  <w:tcW w:w="1726" w:type="dxa"/>
                  <w:noWrap w:val="0"/>
                  <w:vAlign w:val="center"/>
                </w:tcPr>
                <w:p>
                  <w:pPr>
                    <w:jc w:val="center"/>
                    <w:rPr>
                      <w:rFonts w:hint="eastAsia"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2024年7月10日</w:t>
                  </w:r>
                </w:p>
              </w:tc>
              <w:tc>
                <w:tcPr>
                  <w:tcW w:w="169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120" w:leftChars="0"/>
                    <w:jc w:val="both"/>
                    <w:textAlignment w:val="auto"/>
                    <w:rPr>
                      <w:rFonts w:hint="eastAsia" w:ascii="楷体" w:hAnsi="楷体" w:eastAsia="楷体"/>
                      <w:sz w:val="18"/>
                      <w:szCs w:val="18"/>
                      <w:lang w:val="en-US" w:eastAsia="zh-CN"/>
                    </w:rPr>
                  </w:pPr>
                  <w:r>
                    <w:rPr>
                      <w:rFonts w:hint="eastAsia" w:ascii="楷体" w:hAnsi="楷体" w:eastAsia="楷体"/>
                      <w:sz w:val="18"/>
                      <w:szCs w:val="18"/>
                      <w:lang w:val="en-US" w:eastAsia="zh-CN"/>
                    </w:rPr>
                    <w:t>2025年7月17日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A份额3.</w:t>
                  </w:r>
                  <w:r>
                    <w:rPr>
                      <w:rFonts w:hint="eastAsia" w:ascii="楷体" w:hAnsi="楷体" w:eastAsia="楷体"/>
                      <w:sz w:val="18"/>
                      <w:szCs w:val="18"/>
                      <w:lang w:val="en-US" w:eastAsia="zh-CN"/>
                    </w:rPr>
                    <w:t>00</w:t>
                  </w:r>
                  <w:r>
                    <w:rPr>
                      <w:rFonts w:hint="default" w:ascii="楷体" w:hAnsi="楷体" w:eastAsia="楷体"/>
                      <w:sz w:val="18"/>
                      <w:szCs w:val="18"/>
                      <w:lang w:val="en-US" w:eastAsia="zh-CN"/>
                    </w:rPr>
                    <w:t>%-3.</w:t>
                  </w:r>
                  <w:r>
                    <w:rPr>
                      <w:rFonts w:hint="eastAsia" w:ascii="楷体" w:hAnsi="楷体" w:eastAsia="楷体"/>
                      <w:sz w:val="18"/>
                      <w:szCs w:val="18"/>
                      <w:lang w:val="en-US" w:eastAsia="zh-CN"/>
                    </w:rPr>
                    <w:t>60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B份额3.</w:t>
                  </w:r>
                  <w:r>
                    <w:rPr>
                      <w:rFonts w:hint="eastAsia" w:ascii="楷体" w:hAnsi="楷体" w:eastAsia="楷体"/>
                      <w:sz w:val="18"/>
                      <w:szCs w:val="18"/>
                      <w:lang w:val="en-US" w:eastAsia="zh-CN"/>
                    </w:rPr>
                    <w:t>03</w:t>
                  </w:r>
                  <w:r>
                    <w:rPr>
                      <w:rFonts w:hint="default" w:ascii="楷体" w:hAnsi="楷体" w:eastAsia="楷体"/>
                      <w:sz w:val="18"/>
                      <w:szCs w:val="18"/>
                      <w:lang w:val="en-US" w:eastAsia="zh-CN"/>
                    </w:rPr>
                    <w:t>%-3.</w:t>
                  </w:r>
                  <w:r>
                    <w:rPr>
                      <w:rFonts w:hint="eastAsia" w:ascii="楷体" w:hAnsi="楷体" w:eastAsia="楷体"/>
                      <w:sz w:val="18"/>
                      <w:szCs w:val="18"/>
                      <w:lang w:val="en-US" w:eastAsia="zh-CN"/>
                    </w:rPr>
                    <w:t>63</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D份额3.</w:t>
                  </w:r>
                  <w:r>
                    <w:rPr>
                      <w:rFonts w:hint="eastAsia" w:ascii="楷体" w:hAnsi="楷体" w:eastAsia="楷体"/>
                      <w:sz w:val="18"/>
                      <w:szCs w:val="18"/>
                      <w:lang w:val="en-US" w:eastAsia="zh-CN"/>
                    </w:rPr>
                    <w:t>15</w:t>
                  </w:r>
                  <w:r>
                    <w:rPr>
                      <w:rFonts w:hint="default" w:ascii="楷体" w:hAnsi="楷体" w:eastAsia="楷体"/>
                      <w:sz w:val="18"/>
                      <w:szCs w:val="18"/>
                      <w:lang w:val="en-US" w:eastAsia="zh-CN"/>
                    </w:rPr>
                    <w:t>%-</w:t>
                  </w:r>
                  <w:r>
                    <w:rPr>
                      <w:rFonts w:hint="eastAsia" w:ascii="楷体" w:hAnsi="楷体" w:eastAsia="楷体"/>
                      <w:sz w:val="18"/>
                      <w:szCs w:val="18"/>
                      <w:lang w:val="en-US" w:eastAsia="zh-CN"/>
                    </w:rPr>
                    <w:t>3.75</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F份额3.</w:t>
                  </w:r>
                  <w:r>
                    <w:rPr>
                      <w:rFonts w:hint="eastAsia" w:ascii="楷体" w:hAnsi="楷体" w:eastAsia="楷体"/>
                      <w:sz w:val="18"/>
                      <w:szCs w:val="18"/>
                      <w:lang w:val="en-US" w:eastAsia="zh-CN"/>
                    </w:rPr>
                    <w:t>00</w:t>
                  </w:r>
                  <w:r>
                    <w:rPr>
                      <w:rFonts w:hint="default" w:ascii="楷体" w:hAnsi="楷体" w:eastAsia="楷体"/>
                      <w:sz w:val="18"/>
                      <w:szCs w:val="18"/>
                      <w:lang w:val="en-US" w:eastAsia="zh-CN"/>
                    </w:rPr>
                    <w:t>%-3.</w:t>
                  </w:r>
                  <w:r>
                    <w:rPr>
                      <w:rFonts w:hint="eastAsia" w:ascii="楷体" w:hAnsi="楷体" w:eastAsia="楷体"/>
                      <w:sz w:val="18"/>
                      <w:szCs w:val="18"/>
                      <w:lang w:val="en-US" w:eastAsia="zh-CN"/>
                    </w:rPr>
                    <w:t>60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G份额3.05%-3.65%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J份额3.</w:t>
                  </w:r>
                  <w:r>
                    <w:rPr>
                      <w:rFonts w:hint="eastAsia" w:ascii="楷体" w:hAnsi="楷体" w:eastAsia="楷体"/>
                      <w:sz w:val="18"/>
                      <w:szCs w:val="18"/>
                      <w:lang w:val="en-US" w:eastAsia="zh-CN"/>
                    </w:rPr>
                    <w:t>10</w:t>
                  </w:r>
                  <w:r>
                    <w:rPr>
                      <w:rFonts w:hint="default" w:ascii="楷体" w:hAnsi="楷体" w:eastAsia="楷体"/>
                      <w:sz w:val="18"/>
                      <w:szCs w:val="18"/>
                      <w:lang w:val="en-US" w:eastAsia="zh-CN"/>
                    </w:rPr>
                    <w:t>%-</w:t>
                  </w:r>
                  <w:r>
                    <w:rPr>
                      <w:rFonts w:hint="eastAsia" w:ascii="楷体" w:hAnsi="楷体" w:eastAsia="楷体"/>
                      <w:sz w:val="18"/>
                      <w:szCs w:val="18"/>
                      <w:lang w:val="en-US" w:eastAsia="zh-CN"/>
                    </w:rPr>
                    <w:t>3.70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ZA份</w:t>
                  </w:r>
                  <w:r>
                    <w:rPr>
                      <w:rFonts w:hint="eastAsia" w:ascii="楷体" w:hAnsi="楷体" w:eastAsia="楷体"/>
                      <w:sz w:val="18"/>
                      <w:szCs w:val="18"/>
                      <w:lang w:val="en-US" w:eastAsia="zh-CN"/>
                    </w:rPr>
                    <w:t>额</w:t>
                  </w:r>
                  <w:r>
                    <w:rPr>
                      <w:rFonts w:hint="default" w:ascii="楷体" w:hAnsi="楷体" w:eastAsia="楷体"/>
                      <w:sz w:val="18"/>
                      <w:szCs w:val="18"/>
                      <w:lang w:val="en-US" w:eastAsia="zh-CN"/>
                    </w:rPr>
                    <w:t>3.</w:t>
                  </w:r>
                  <w:r>
                    <w:rPr>
                      <w:rFonts w:hint="eastAsia" w:ascii="楷体" w:hAnsi="楷体" w:eastAsia="楷体"/>
                      <w:sz w:val="18"/>
                      <w:szCs w:val="18"/>
                      <w:lang w:val="en-US" w:eastAsia="zh-CN"/>
                    </w:rPr>
                    <w:t>00</w:t>
                  </w:r>
                  <w:r>
                    <w:rPr>
                      <w:rFonts w:hint="default" w:ascii="楷体" w:hAnsi="楷体" w:eastAsia="楷体"/>
                      <w:sz w:val="18"/>
                      <w:szCs w:val="18"/>
                      <w:lang w:val="en-US" w:eastAsia="zh-CN"/>
                    </w:rPr>
                    <w:t>%-3.</w:t>
                  </w:r>
                  <w:r>
                    <w:rPr>
                      <w:rFonts w:hint="eastAsia" w:ascii="楷体" w:hAnsi="楷体" w:eastAsia="楷体"/>
                      <w:sz w:val="18"/>
                      <w:szCs w:val="18"/>
                      <w:lang w:val="en-US" w:eastAsia="zh-CN"/>
                    </w:rPr>
                    <w:t>60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sz w:val="18"/>
                      <w:szCs w:val="18"/>
                      <w:lang w:val="en-US" w:eastAsia="zh-CN"/>
                    </w:rPr>
                    <w:t>ZF份</w:t>
                  </w:r>
                  <w:r>
                    <w:rPr>
                      <w:rFonts w:hint="eastAsia" w:ascii="楷体" w:hAnsi="楷体" w:eastAsia="楷体"/>
                      <w:sz w:val="18"/>
                      <w:szCs w:val="18"/>
                      <w:lang w:val="en-US" w:eastAsia="zh-CN"/>
                    </w:rPr>
                    <w:t>额</w:t>
                  </w:r>
                  <w:r>
                    <w:rPr>
                      <w:rFonts w:hint="default" w:ascii="楷体" w:hAnsi="楷体" w:eastAsia="楷体"/>
                      <w:sz w:val="18"/>
                      <w:szCs w:val="18"/>
                      <w:lang w:val="en-US" w:eastAsia="zh-CN"/>
                    </w:rPr>
                    <w:t>3.</w:t>
                  </w:r>
                  <w:r>
                    <w:rPr>
                      <w:rFonts w:hint="eastAsia" w:ascii="楷体" w:hAnsi="楷体" w:eastAsia="楷体"/>
                      <w:sz w:val="18"/>
                      <w:szCs w:val="18"/>
                      <w:lang w:val="en-US" w:eastAsia="zh-CN"/>
                    </w:rPr>
                    <w:t>00</w:t>
                  </w:r>
                  <w:r>
                    <w:rPr>
                      <w:rFonts w:hint="default" w:ascii="楷体" w:hAnsi="楷体" w:eastAsia="楷体"/>
                      <w:sz w:val="18"/>
                      <w:szCs w:val="18"/>
                      <w:lang w:val="en-US" w:eastAsia="zh-CN"/>
                    </w:rPr>
                    <w:t>%-3.</w:t>
                  </w:r>
                  <w:r>
                    <w:rPr>
                      <w:rFonts w:hint="eastAsia" w:ascii="楷体" w:hAnsi="楷体" w:eastAsia="楷体"/>
                      <w:sz w:val="18"/>
                      <w:szCs w:val="18"/>
                      <w:lang w:val="en-US" w:eastAsia="zh-CN"/>
                    </w:rPr>
                    <w:t>60</w:t>
                  </w:r>
                  <w:r>
                    <w:rPr>
                      <w:rFonts w:hint="default" w:ascii="楷体" w:hAnsi="楷体" w:eastAsia="楷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kern w:val="2"/>
                      <w:sz w:val="18"/>
                      <w:szCs w:val="18"/>
                      <w:lang w:val="en-US" w:eastAsia="zh-CN" w:bidi="ar-SA"/>
                    </w:rPr>
                  </w:pPr>
                  <w:r>
                    <w:rPr>
                      <w:rFonts w:hint="eastAsia" w:ascii="楷体" w:hAnsi="楷体" w:eastAsia="楷体"/>
                      <w:sz w:val="18"/>
                      <w:szCs w:val="18"/>
                      <w:highlight w:val="none"/>
                      <w:lang w:val="en-US" w:eastAsia="zh-CN"/>
                    </w:rPr>
                    <w:t>5</w:t>
                  </w:r>
                </w:p>
              </w:tc>
              <w:tc>
                <w:tcPr>
                  <w:tcW w:w="1726" w:type="dxa"/>
                  <w:noWrap w:val="0"/>
                  <w:vAlign w:val="center"/>
                </w:tcPr>
                <w:p>
                  <w:pPr>
                    <w:jc w:val="center"/>
                    <w:rPr>
                      <w:rFonts w:hint="eastAsia" w:ascii="楷体" w:hAnsi="楷体" w:eastAsia="楷体" w:cs="宋体"/>
                      <w:spacing w:val="-2"/>
                      <w:sz w:val="18"/>
                      <w:szCs w:val="18"/>
                      <w:lang w:val="en-US" w:eastAsia="zh-CN"/>
                    </w:rPr>
                  </w:pPr>
                  <w:r>
                    <w:rPr>
                      <w:rFonts w:hint="eastAsia" w:ascii="楷体" w:hAnsi="楷体" w:eastAsia="楷体"/>
                      <w:sz w:val="18"/>
                      <w:szCs w:val="18"/>
                      <w:highlight w:val="none"/>
                      <w:lang w:eastAsia="zh-CN"/>
                    </w:rPr>
                    <w:t>202</w:t>
                  </w:r>
                  <w:r>
                    <w:rPr>
                      <w:rFonts w:hint="eastAsia" w:ascii="楷体" w:hAnsi="楷体" w:eastAsia="楷体"/>
                      <w:sz w:val="18"/>
                      <w:szCs w:val="18"/>
                      <w:highlight w:val="none"/>
                      <w:lang w:val="en-US" w:eastAsia="zh-CN"/>
                    </w:rPr>
                    <w:t>5</w:t>
                  </w:r>
                  <w:r>
                    <w:rPr>
                      <w:rFonts w:hint="eastAsia" w:ascii="楷体" w:hAnsi="楷体" w:eastAsia="楷体"/>
                      <w:sz w:val="18"/>
                      <w:szCs w:val="18"/>
                      <w:highlight w:val="none"/>
                      <w:lang w:eastAsia="zh-CN"/>
                    </w:rPr>
                    <w:t>年</w:t>
                  </w:r>
                  <w:r>
                    <w:rPr>
                      <w:rFonts w:hint="eastAsia" w:ascii="楷体" w:hAnsi="楷体" w:eastAsia="楷体"/>
                      <w:sz w:val="18"/>
                      <w:szCs w:val="18"/>
                      <w:highlight w:val="none"/>
                      <w:lang w:val="en-US" w:eastAsia="zh-CN"/>
                    </w:rPr>
                    <w:t>7</w:t>
                  </w:r>
                  <w:r>
                    <w:rPr>
                      <w:rFonts w:hint="eastAsia" w:ascii="楷体" w:hAnsi="楷体" w:eastAsia="楷体"/>
                      <w:sz w:val="18"/>
                      <w:szCs w:val="18"/>
                      <w:highlight w:val="none"/>
                      <w:lang w:eastAsia="zh-CN"/>
                    </w:rPr>
                    <w:t>月</w:t>
                  </w:r>
                  <w:r>
                    <w:rPr>
                      <w:rFonts w:hint="eastAsia" w:ascii="楷体" w:hAnsi="楷体" w:eastAsia="楷体"/>
                      <w:sz w:val="18"/>
                      <w:szCs w:val="18"/>
                      <w:highlight w:val="none"/>
                      <w:lang w:val="en-US" w:eastAsia="zh-CN"/>
                    </w:rPr>
                    <w:t>18</w:t>
                  </w:r>
                  <w:r>
                    <w:rPr>
                      <w:rFonts w:hint="eastAsia" w:ascii="楷体" w:hAnsi="楷体" w:eastAsia="楷体"/>
                      <w:sz w:val="18"/>
                      <w:szCs w:val="18"/>
                      <w:highlight w:val="none"/>
                      <w:lang w:eastAsia="zh-CN"/>
                    </w:rPr>
                    <w:t>日</w:t>
                  </w:r>
                </w:p>
              </w:tc>
              <w:tc>
                <w:tcPr>
                  <w:tcW w:w="1697"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highlight w:val="none"/>
                      <w:lang w:eastAsia="zh-CN"/>
                    </w:rPr>
                    <w:t>202</w:t>
                  </w:r>
                  <w:r>
                    <w:rPr>
                      <w:rFonts w:hint="eastAsia" w:ascii="楷体" w:hAnsi="楷体" w:eastAsia="楷体"/>
                      <w:sz w:val="18"/>
                      <w:szCs w:val="18"/>
                      <w:highlight w:val="none"/>
                      <w:lang w:val="en-US" w:eastAsia="zh-CN"/>
                    </w:rPr>
                    <w:t>6</w:t>
                  </w:r>
                  <w:r>
                    <w:rPr>
                      <w:rFonts w:hint="eastAsia" w:ascii="楷体" w:hAnsi="楷体" w:eastAsia="楷体"/>
                      <w:sz w:val="18"/>
                      <w:szCs w:val="18"/>
                      <w:highlight w:val="none"/>
                      <w:lang w:eastAsia="zh-CN"/>
                    </w:rPr>
                    <w:t>年</w:t>
                  </w:r>
                  <w:r>
                    <w:rPr>
                      <w:rFonts w:hint="eastAsia" w:ascii="楷体" w:hAnsi="楷体" w:eastAsia="楷体"/>
                      <w:sz w:val="18"/>
                      <w:szCs w:val="18"/>
                      <w:highlight w:val="none"/>
                      <w:lang w:val="en-US" w:eastAsia="zh-CN"/>
                    </w:rPr>
                    <w:t>8</w:t>
                  </w:r>
                  <w:r>
                    <w:rPr>
                      <w:rFonts w:hint="eastAsia" w:ascii="楷体" w:hAnsi="楷体" w:eastAsia="楷体"/>
                      <w:sz w:val="18"/>
                      <w:szCs w:val="18"/>
                      <w:highlight w:val="none"/>
                      <w:lang w:eastAsia="zh-CN"/>
                    </w:rPr>
                    <w:t>月</w:t>
                  </w:r>
                  <w:r>
                    <w:rPr>
                      <w:rFonts w:hint="eastAsia" w:ascii="楷体" w:hAnsi="楷体" w:eastAsia="楷体"/>
                      <w:sz w:val="18"/>
                      <w:szCs w:val="18"/>
                      <w:highlight w:val="none"/>
                      <w:lang w:val="en-US" w:eastAsia="zh-CN"/>
                    </w:rPr>
                    <w:t>18</w:t>
                  </w:r>
                  <w:r>
                    <w:rPr>
                      <w:rFonts w:hint="eastAsia" w:ascii="楷体" w:hAnsi="楷体" w:eastAsia="楷体"/>
                      <w:sz w:val="18"/>
                      <w:szCs w:val="18"/>
                      <w:highlight w:val="none"/>
                      <w:lang w:eastAsia="zh-CN"/>
                    </w:rPr>
                    <w:t>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B份额 2.63%-3.23%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D份额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G份额 2.65%-3.25%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J份额 2.70%-3.30%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P份额 2.80%-3.40%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ZN份额 2.79%-3.39%</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ZQ份额 2.55%-3.15%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ZR份额 2.85%-3.45%</w:t>
                  </w:r>
                </w:p>
              </w:tc>
            </w:tr>
          </w:tbl>
          <w:p>
            <w:pPr>
              <w:ind w:left="59" w:right="73" w:rightChars="35"/>
              <w:jc w:val="both"/>
              <w:rPr>
                <w:rFonts w:hint="eastAsia" w:ascii="楷体" w:hAnsi="楷体" w:eastAsia="楷体" w:cs="宋体"/>
                <w:b/>
                <w:spacing w:val="-2"/>
                <w:sz w:val="18"/>
                <w:szCs w:val="18"/>
                <w:u w:val="single"/>
              </w:rPr>
            </w:pPr>
            <w:r>
              <w:rPr>
                <w:rFonts w:hint="eastAsia" w:ascii="楷体" w:hAnsi="楷体" w:eastAsia="楷体" w:cs="宋体"/>
                <w:b/>
                <w:spacing w:val="-2"/>
                <w:sz w:val="18"/>
                <w:szCs w:val="18"/>
                <w:u w:val="single"/>
              </w:rPr>
              <w:t>本产品为净值型产品，业绩表现将随市场波动，具有不确定性。业绩比较基准为管理人对本产品所设定的投资目标，不代表理财产品未来表现，不等于理财产品实际收益，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8"/>
              <w:ind w:left="55"/>
              <w:jc w:val="both"/>
              <w:rPr>
                <w:rFonts w:hint="eastAsia" w:ascii="楷体" w:hAnsi="楷体" w:eastAsia="楷体" w:cs="宋体"/>
                <w:spacing w:val="-2"/>
                <w:sz w:val="18"/>
                <w:szCs w:val="18"/>
              </w:rPr>
            </w:pPr>
            <w:r>
              <w:rPr>
                <w:rFonts w:hint="eastAsia" w:ascii="楷体" w:hAnsi="楷体" w:eastAsia="楷体" w:cs="宋体"/>
                <w:b/>
                <w:spacing w:val="-2"/>
                <w:sz w:val="18"/>
                <w:szCs w:val="18"/>
              </w:rPr>
              <w:t>产品费用</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本产品费用包括托管费、销售服务费、投资管理费、超额业绩报酬以及产品运作和清算中产生的其他费用等。</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1.托管费率</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销售服务费率</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投资管理费率：</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1273"/>
              <w:gridCol w:w="1273"/>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托管费</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销售服务费</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投资管理费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A份额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B份额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D份额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F份额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J份额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ZA份额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ZF份额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0.40%/年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0.71%/年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ZR份额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r>
          </w:tbl>
          <w:p>
            <w:pPr>
              <w:numPr>
                <w:ilvl w:val="0"/>
                <w:numId w:val="7"/>
              </w:numPr>
              <w:ind w:left="59" w:right="73" w:rightChars="35"/>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超额业绩报酬：管理人按投资周期收取超额业绩报酬。假设单一投资周期的各份额实际年化投资收益在扣除托管费、销售服务费、投资管理费以及运作产品所必须缴纳的税费后为R：</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highlight w:val="none"/>
              </w:rPr>
              <w:t>若</w:t>
            </w:r>
            <w:r>
              <w:rPr>
                <w:rFonts w:hint="eastAsia" w:ascii="楷体" w:hAnsi="楷体" w:eastAsia="楷体" w:cs="宋体"/>
                <w:spacing w:val="-2"/>
                <w:sz w:val="18"/>
                <w:szCs w:val="18"/>
              </w:rPr>
              <w:t>R&lt;</w:t>
            </w:r>
            <w:r>
              <w:rPr>
                <w:rFonts w:hint="eastAsia" w:ascii="楷体" w:hAnsi="楷体" w:eastAsia="楷体" w:cs="宋体"/>
                <w:spacing w:val="-2"/>
                <w:sz w:val="18"/>
                <w:szCs w:val="18"/>
                <w:highlight w:val="none"/>
              </w:rPr>
              <w:t>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w:t>
            </w:r>
            <w:r>
              <w:rPr>
                <w:rFonts w:hint="eastAsia" w:ascii="楷体" w:hAnsi="楷体" w:eastAsia="楷体" w:cs="宋体"/>
                <w:spacing w:val="-2"/>
                <w:sz w:val="18"/>
                <w:szCs w:val="18"/>
              </w:rPr>
              <w:t>，管理人无超额业绩报酬；</w:t>
            </w:r>
          </w:p>
          <w:p>
            <w:pPr>
              <w:ind w:left="59" w:right="73" w:rightChars="35"/>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若业绩比较基准下限+（业绩比较基准上限-业绩比较基准下限）*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%≤R&lt;业绩比较基准上限，管理人对超出【业绩比较基准下限+（业绩比较基准上限-业绩比较基准下限）*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%】的部分，收取40%的超额业绩报酬；</w:t>
            </w:r>
          </w:p>
          <w:p>
            <w:pPr>
              <w:ind w:left="59" w:right="73" w:rightChars="35"/>
              <w:rPr>
                <w:rFonts w:hint="eastAsia"/>
                <w:sz w:val="18"/>
                <w:szCs w:val="18"/>
              </w:rPr>
            </w:pPr>
            <w:r>
              <w:rPr>
                <w:rFonts w:hint="eastAsia" w:ascii="楷体" w:hAnsi="楷体" w:eastAsia="楷体" w:cs="宋体"/>
                <w:spacing w:val="-2"/>
                <w:sz w:val="18"/>
                <w:szCs w:val="18"/>
                <w:highlight w:val="none"/>
              </w:rPr>
              <w:t>若R≥业绩比较基准上限，管理人对【业绩比较基准下限+（业绩比较基准上限-业绩比较基准下限）*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%】与业绩比较基准上限之间的部分，收取40%的超额业绩报酬；管理人对超出业绩比较基准上限的部分，收取60%的超额业绩报酬。</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单一投资周期运作期间内理财产品将每日暂估超额业绩报酬，仅用于理财产品会计核算，并将扣除“暂估超额业绩报酬”后的理财产品份额净值按照说明书约定向投资者进行披露。理财产品实际的超额业绩报酬以投资周期终止日或产品到期日计提核算的数值为准。计算累计年化收益率和业绩比较基准时，1年按365日计算。</w:t>
            </w:r>
          </w:p>
          <w:p>
            <w:pPr>
              <w:ind w:left="59" w:right="73" w:rightChars="35"/>
              <w:rPr>
                <w:rFonts w:ascii="楷体" w:hAnsi="楷体" w:eastAsia="楷体"/>
                <w:sz w:val="18"/>
                <w:szCs w:val="18"/>
              </w:rPr>
            </w:pPr>
            <w:r>
              <w:rPr>
                <w:rFonts w:hint="eastAsia" w:ascii="楷体" w:hAnsi="楷体" w:eastAsia="楷体" w:cs="宋体"/>
                <w:spacing w:val="-2"/>
                <w:sz w:val="18"/>
                <w:szCs w:val="18"/>
                <w:highlight w:val="none"/>
              </w:rPr>
              <w:t>产品存续期内苏银理财可对</w:t>
            </w:r>
            <w:r>
              <w:rPr>
                <w:rFonts w:hint="eastAsia" w:ascii="楷体" w:hAnsi="楷体" w:eastAsia="楷体" w:cs="宋体"/>
                <w:spacing w:val="-2"/>
                <w:sz w:val="18"/>
                <w:szCs w:val="18"/>
                <w:highlight w:val="none"/>
                <w:lang w:val="en-US" w:eastAsia="zh-CN"/>
              </w:rPr>
              <w:t>费用进行调整</w:t>
            </w:r>
            <w:r>
              <w:rPr>
                <w:rFonts w:hint="eastAsia" w:ascii="楷体" w:hAnsi="楷体" w:eastAsia="楷体" w:cs="宋体"/>
                <w:spacing w:val="-2"/>
                <w:sz w:val="18"/>
                <w:szCs w:val="18"/>
                <w:highlight w:val="none"/>
              </w:rPr>
              <w:t>，实际收取费率以管理人公告为准</w:t>
            </w:r>
            <w:r>
              <w:rPr>
                <w:rFonts w:hint="eastAsia" w:ascii="楷体" w:hAnsi="楷体" w:eastAsia="楷体" w:cs="宋体"/>
                <w:spacing w:val="-2"/>
                <w:sz w:val="18"/>
                <w:szCs w:val="18"/>
              </w:rPr>
              <w:t>。</w:t>
            </w:r>
            <w:r>
              <w:rPr>
                <w:rFonts w:hint="eastAsia" w:ascii="楷体" w:hAnsi="楷体" w:eastAsia="楷体" w:cs="宋体"/>
                <w:b/>
                <w:spacing w:val="-2"/>
                <w:sz w:val="18"/>
                <w:szCs w:val="18"/>
                <w:u w:val="single"/>
              </w:rPr>
              <w:t>本产品设置有多个份额，各</w:t>
            </w:r>
            <w:r>
              <w:rPr>
                <w:rFonts w:hint="eastAsia" w:ascii="楷体" w:hAnsi="楷体" w:eastAsia="楷体" w:cs="宋体"/>
                <w:b/>
                <w:spacing w:val="-2"/>
                <w:sz w:val="18"/>
                <w:szCs w:val="18"/>
                <w:u w:val="single"/>
                <w:lang w:eastAsia="zh-CN"/>
              </w:rPr>
              <w:t>份额</w:t>
            </w:r>
            <w:r>
              <w:rPr>
                <w:rFonts w:hint="eastAsia" w:ascii="楷体" w:hAnsi="楷体" w:eastAsia="楷体" w:cs="宋体"/>
                <w:b/>
                <w:spacing w:val="-2"/>
                <w:sz w:val="18"/>
                <w:szCs w:val="18"/>
                <w:u w:val="single"/>
              </w:rPr>
              <w:t>按照设置的销售对象和销售起点进行销售，各</w:t>
            </w:r>
            <w:r>
              <w:rPr>
                <w:rFonts w:hint="eastAsia" w:ascii="楷体" w:hAnsi="楷体" w:eastAsia="楷体" w:cs="宋体"/>
                <w:b/>
                <w:spacing w:val="-2"/>
                <w:sz w:val="18"/>
                <w:szCs w:val="18"/>
                <w:u w:val="single"/>
                <w:lang w:eastAsia="zh-CN"/>
              </w:rPr>
              <w:t>份额</w:t>
            </w:r>
            <w:r>
              <w:rPr>
                <w:rFonts w:hint="eastAsia" w:ascii="楷体" w:hAnsi="楷体" w:eastAsia="楷体" w:cs="宋体"/>
                <w:b/>
                <w:spacing w:val="-2"/>
                <w:sz w:val="18"/>
                <w:szCs w:val="18"/>
                <w:u w:val="single"/>
              </w:rPr>
              <w:t>实际收取的销售服务费率和投资管理费率可能存在差异，客户根据产品销售时设置的条件自主选择购买。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tcBorders>
              <w:bottom w:val="single" w:color="auto" w:sz="4" w:space="0"/>
            </w:tcBorders>
            <w:noWrap w:val="0"/>
            <w:vAlign w:val="center"/>
          </w:tcPr>
          <w:p>
            <w:pPr>
              <w:pStyle w:val="23"/>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收益分配</w:t>
            </w:r>
          </w:p>
        </w:tc>
        <w:tc>
          <w:tcPr>
            <w:tcW w:w="7026" w:type="dxa"/>
            <w:tcBorders>
              <w:bottom w:val="single" w:color="auto" w:sz="4" w:space="0"/>
            </w:tcBorders>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本产品按投资周期进行现金分红</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2个工作日内到达投资者资金账户。</w:t>
            </w:r>
            <w:r>
              <w:rPr>
                <w:rFonts w:ascii="楷体" w:hAnsi="楷体" w:eastAsia="楷体" w:cs="宋体"/>
                <w:spacing w:val="-2"/>
                <w:sz w:val="18"/>
                <w:szCs w:val="18"/>
              </w:rPr>
              <w:t>详见下文</w:t>
            </w:r>
            <w:r>
              <w:rPr>
                <w:rFonts w:hint="eastAsia" w:ascii="楷体" w:hAnsi="楷体" w:eastAsia="楷体" w:cs="宋体"/>
                <w:spacing w:val="-2"/>
                <w:sz w:val="18"/>
                <w:szCs w:val="18"/>
              </w:rPr>
              <w:t>“九、收益分配”。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tcBorders>
              <w:top w:val="single" w:color="auto" w:sz="4" w:space="0"/>
              <w:left w:val="single" w:color="auto" w:sz="4" w:space="0"/>
              <w:bottom w:val="single" w:color="auto" w:sz="4" w:space="0"/>
              <w:right w:val="single" w:color="auto" w:sz="4" w:space="0"/>
            </w:tcBorders>
            <w:noWrap w:val="0"/>
            <w:vAlign w:val="center"/>
          </w:tcPr>
          <w:p>
            <w:pPr>
              <w:pStyle w:val="23"/>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color w:val="auto"/>
                <w:spacing w:val="-2"/>
                <w:sz w:val="18"/>
                <w:szCs w:val="18"/>
                <w:lang w:val="en-US" w:eastAsia="zh-CN"/>
              </w:rPr>
              <w:t>税收规定</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spacing w:before="6"/>
              <w:ind w:left="57" w:leftChars="0" w:right="57" w:rightChars="0"/>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p>
          <w:p>
            <w:pPr>
              <w:ind w:left="59" w:right="73" w:rightChars="35"/>
              <w:rPr>
                <w:rFonts w:hint="eastAsia" w:ascii="楷体" w:hAnsi="楷体" w:eastAsia="楷体" w:cs="宋体"/>
                <w:spacing w:val="-2"/>
                <w:szCs w:val="21"/>
              </w:rPr>
            </w:pP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6"/>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产品管理人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本产品管理人为</w:t>
      </w:r>
      <w:r>
        <w:rPr>
          <w:rFonts w:hint="eastAsia" w:ascii="楷体" w:hAnsi="楷体" w:eastAsia="楷体" w:cs="Calibri"/>
          <w:b/>
          <w:bCs/>
          <w:sz w:val="21"/>
          <w:szCs w:val="21"/>
          <w:u w:val="single"/>
        </w:rPr>
        <w:t>苏银理财有限责任公司</w:t>
      </w:r>
      <w:r>
        <w:rPr>
          <w:rFonts w:hint="eastAsia" w:ascii="楷体" w:hAnsi="楷体" w:eastAsia="楷体" w:cs="Calibri"/>
          <w:sz w:val="21"/>
          <w:szCs w:val="21"/>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监管机构批准的其他业务等。</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投资者在此授权并同意苏银理财享有以下权利：按照本理财产品合同的约定，管理、运用和处分理财计划资金；按照本理财产品合同的约定，及时、足额获得投资管理费；管理人有权根据本理财产品合同的约定提前终止或延长本理财产品的期限；管理人有权调整本理财产品的认购规模上限、认购起点、认购金额上限、认购资金的最低金额等要素；管理人有权依照法律规定和监管机构的要求将投资者的信息向有权部门或相关机构披露；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以理财产品投资管理人的名义，依照法律法规相关规定以及代表理财产品份额持有人的利益行使代为追索的权利（包括但不限于提起诉讼/仲裁、申请保全/执行的权利）或者实施其他法律行为；法律法规、监管政策和本理财计划文件约定的其他权利。</w:t>
      </w:r>
    </w:p>
    <w:p>
      <w:pPr>
        <w:numPr>
          <w:ilvl w:val="0"/>
          <w:numId w:val="6"/>
        </w:numPr>
        <w:shd w:val="clear" w:color="auto" w:fill="auto"/>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销售机构</w:t>
      </w:r>
    </w:p>
    <w:p>
      <w:pPr>
        <w:ind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rPr>
        <w:t>本产品可以通过商业银行、农村合作银行、村镇银行、农村信用合作社等吸收公众存款的银行业金融机构，或者国务院银行业监督管理机构认可的其他机构进行销售。销售机构负责理财产品宣传推广、投资者风险承受能力评估和投资者适当性管理、理财产品客户身份识别及反洗钱、反恐怖融资及非居民金融账户涉税信息调查、理财产品份额认购/申购/赎回、协助管理人与投资者订立理财产品合同、协助投资者与管理人沟通、接受投资者咨询和客户维护等销售服务工作。销售机构不承担产品投资、兑付和风险管理责任，产品的投资、兑付和风险管理责任由管理人苏银理财承担。</w:t>
      </w:r>
      <w:r>
        <w:rPr>
          <w:rFonts w:hint="eastAsia" w:ascii="楷体" w:hAnsi="楷体" w:eastAsia="楷体"/>
          <w:b w:val="0"/>
          <w:bCs w:val="0"/>
          <w:sz w:val="21"/>
          <w:szCs w:val="21"/>
          <w:highlight w:val="none"/>
          <w:u w:val="none"/>
          <w:lang w:val="en-US" w:eastAsia="zh-CN"/>
        </w:rPr>
        <w:t>本产品各份额销售机构如下：</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A份额：兴业银行股份有限公司/上海银行股份有限公司/上海农村商业银行股份有限公司/江苏银行股份有限公司/江苏江阴农村商业银行股份有限公司/宁波东海银行股份有限公司/齐鲁银行股份有限公司/苏银理财有限责任公司/九江银行股份有限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泗洪农村商业银行股份有限公司/江苏海安农村商业银行股份有限公司/江苏如皋农村商业银行股份有限公司/江苏仪征农村商业银行股份有限公司/江苏高淳农村商业银行股份有限公司/威海银行股份有限公司/兴业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B份额：兴业银行股份有限公司/江苏银行股份有限公司/宁波东海银行股份有限公司/齐鲁银行股份有限公司/苏银理财有限责任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泗洪农村商业银行股份有限公司/江苏海安农村商业银行股份有限公司/江苏如皋农村商业银行股份有限公司/江苏仪征农村商业银行股份有限公司/江苏高淳农村商业银行股份有限公司/威海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D份额：上海银行股份有限公司/江苏银行股份有限公司/江苏江阴农村商业银行股份有限公司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F份额：交通银行股份有限公司/北京农村商业银行股份有限公司/深圳农村商业银行股份有限公司/广州银行股份有限公司/广州农村商业银行股份有限公司/苏州银行股份有限公司/杭州联合农村商业银行股份有限公司/华侨银行有限公司/浙江绍兴瑞丰农村商业银行股份有限公司/浙江龙湾农村商业银行股份有限公司/潍坊银行股份有限公司/甘肃银行股份有限公司/台州银行股份有限公司/浙江乐清农村商业银行股份有限公司/山西银行股份有限公司/浙江余杭农村商业银行股份有限公司/浙江德清农村商业银行股份有限公司/浙江萧山农村商业银行股份有限公司/宁波慈溪农村商业银行股份有限公司/浙江温州瓯海农村商业银行股份有限公司/九江银行股份有限公司/浙商银行股份有限公司/浙江永康农村商业银行股份有限公司/浙江武义农村商业银行股份有限公司/浙江江山农村商业银行股份有限公司/浙江青田农村商业银行股份有限公司/浙江舟山定海海洋农村商业银行股份有限公司/浙江岱山农村商业银行股份有限公司/宁波通商银行股份有限公司/中邮邮惠万家银行有限责任公司/浙江桐庐农村商业银行股份有限公司/浙江淳安农村商业银行股份有限公司/宁波余姚农村商业银行股份有限公司/浙江永嘉农村商业银行股份有限公司/浙江嘉善农村商业银行股份有限公司/浙江海宁农村商业银行股份有限公司/浙江长兴农村商业银行股份有限公司/浙江上虞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G份额：徽商银行股份有限公司/深圳农村商业银行股份有限公司/广州农村商业银行股份有限公司/杭州联合农村商业银行股份有限公司/浙江绍兴瑞丰农村商业银行股份有限公司/山西银行股份有限公司/浙江余杭农村商业银行股份有限公司/浙江德清农村商业银行股份有限公司/浙江萧山农村商业银行股份有限公司/浙商银行股份有限公司/宁波通商银行股份有限公司/浙江嘉善农村商业银行股份有限公司/浙江海宁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J份额：上海银行股份有限公司/江苏银行股份有限公司/江苏如皋农村商业银行股份有限公司/威海银行股份有限公司/苏银理财有限责任公司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P份额：郑州银行股份有限公司/徽商银行股份有限公司（仅限合肥分行）</w:t>
      </w:r>
    </w:p>
    <w:p>
      <w:pPr>
        <w:keepNext w:val="0"/>
        <w:keepLines w:val="0"/>
        <w:pageBreakBefore w:val="0"/>
        <w:widowControl w:val="0"/>
        <w:kinsoku/>
        <w:wordWrap/>
        <w:overflowPunct/>
        <w:topLinePunct w:val="0"/>
        <w:bidi w:val="0"/>
        <w:snapToGrid/>
        <w:ind w:left="0" w:firstLine="420" w:firstLineChars="200"/>
        <w:textAlignment w:val="auto"/>
        <w:rPr>
          <w:rFonts w:hint="default"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A份额：江苏苏州农村商业银行股份有限公司/江苏扬州农村商业银行股份有限公司/江苏阜宁农村商业银行股份有限公司/江苏丹阳农村商业银行股份有限公司/江苏盐城农村商业银行股份有限公司/江苏如东农村商业银行股份有限公司/江苏东台农村商业银行股份有限公司/江苏江都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金湖农村商业银行股份有限公司/江苏灌云农村商业银行股份有限公司/江苏淮安农村商业银行股份有限公司/连云港东方农村商业银行股份有限公司/江苏高邮农村商业银行股份有限公司/江苏句容农村商业银行股份有限公司/江苏沭阳农村商业银行股份有限公司/江苏泗阳农村商业银行股份有限公司/江苏睢宁农村商业银行股份有限公司/江苏盱眙农村商业银行股份有限公司/江苏镇江农村商业银行股份有限公司/江苏宜兴农村商业银行股份有限公司/江苏溧水农村商业银行股份有限公司/江苏大丰农村商业银行股份有限公司/江苏泗洪农村商业银行股份有限公司/江苏启东农村商业银行股份有限公司/江苏海安农村商业银行股份有限公司/江苏仪征农村商业银行股份有限公司/江苏高淳农村商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default"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F份额：汉口银行股份有限公司/江苏张家港农村商业银行股份有限公司/河北银行股份有限公司/嘉兴银行股份有限公司/厦门银行股份有限公司/苏州银行股份有限公司/浙江龙湾农村商业银行股份有限公司/浙江义乌农村商业银行股份有限公司/浙江余杭农村商业银行股份有限公司/浙江德清农村商业银行股份有限公司/浙江萧山农村商业银行股份有限公司/宁波慈溪农村商业银行股份有限公司/浙江温州瓯海农村商业银行股份有限公司/莱商银行股份有限公司/浙江兰溪农村商业银行股份有限公司/浙江永康农村商业银行股份有限公司/浙江温岭农村商业银行股份有限公司/浙江岱山农村商业银行股份有限公司/浙江临安农村商业银行股份有限公司/宁波余姚农村商业银行股份有限公司/浙江嘉善农村商业银行股份有限公司/浙江上虞农村商业银行股份有限公司/兴业银行股份有限公司/浙江新昌农村商业银行股份有限公司</w:t>
      </w:r>
      <w:bookmarkStart w:id="0" w:name="_GoBack"/>
      <w:bookmarkEnd w:id="0"/>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ZN份额：河北银行股份有限公司/宁波通商银行股份有限公司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ZQ份额：江苏苏州农村商业银行股份有限公司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ZR份额：汉口银行股份有限公司</w:t>
      </w:r>
    </w:p>
    <w:p>
      <w:pPr>
        <w:numPr>
          <w:ilvl w:val="0"/>
          <w:numId w:val="6"/>
        </w:numPr>
        <w:shd w:val="clear" w:color="auto" w:fill="auto"/>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产品托管人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sz w:val="21"/>
          <w:szCs w:val="21"/>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6"/>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名词释义</w:t>
      </w:r>
    </w:p>
    <w:p>
      <w:pPr>
        <w:ind w:firstLine="420" w:firstLineChars="200"/>
        <w:rPr>
          <w:rFonts w:hint="eastAsia" w:ascii="楷体" w:hAnsi="楷体" w:eastAsia="楷体"/>
          <w:sz w:val="21"/>
          <w:szCs w:val="21"/>
        </w:rPr>
      </w:pPr>
      <w:r>
        <w:rPr>
          <w:rFonts w:hint="eastAsia" w:ascii="楷体" w:hAnsi="楷体" w:eastAsia="楷体"/>
          <w:sz w:val="21"/>
          <w:szCs w:val="21"/>
        </w:rPr>
        <w:t>在本理财产品说明书中，除非上下文另有明确约定，下列用词将具有如下含义：</w:t>
      </w:r>
    </w:p>
    <w:p>
      <w:pPr>
        <w:numPr>
          <w:ilvl w:val="0"/>
          <w:numId w:val="8"/>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理财产品用语</w:t>
      </w:r>
    </w:p>
    <w:p>
      <w:pPr>
        <w:numPr>
          <w:ilvl w:val="0"/>
          <w:numId w:val="9"/>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销售代码：指本理财产品可能设置一个或多个产品份额，管理人在理财产品销售管理过程中为区分不同产品份额，对各份额设置的内部识别码。</w:t>
      </w:r>
    </w:p>
    <w:p>
      <w:pPr>
        <w:numPr>
          <w:ilvl w:val="0"/>
          <w:numId w:val="9"/>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理财产品份额：指投资者持有本理财产品的单位数额。投资者基于其所持有的理财产品单位数额享有理财产品利益、承担理财产品风险。</w:t>
      </w:r>
    </w:p>
    <w:p>
      <w:pPr>
        <w:numPr>
          <w:ilvl w:val="0"/>
          <w:numId w:val="9"/>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理财产品资产净值/净资产：指产品资产总值减去产品负债总值后的价值。</w:t>
      </w:r>
    </w:p>
    <w:p>
      <w:pPr>
        <w:numPr>
          <w:ilvl w:val="0"/>
          <w:numId w:val="9"/>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产品资产总值：指产品拥有的各类有价证券、银行存款、应收款项及其他资产的价值总和。</w:t>
      </w:r>
    </w:p>
    <w:p>
      <w:pPr>
        <w:numPr>
          <w:ilvl w:val="0"/>
          <w:numId w:val="9"/>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产品负债总值：指产品运作及融资时形成的负债价值总和，包括融资资金本息、应付各项费用（包括托管费、销售服务费、投资管理费、超额业绩报酬、其他费用等）、应付税金及其他应付款项等。</w:t>
      </w:r>
    </w:p>
    <w:p>
      <w:pPr>
        <w:numPr>
          <w:ilvl w:val="0"/>
          <w:numId w:val="9"/>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理财产品份额单位净值/理财产品单位净值/单位净值：指每1份理财产品份额以人民币计价的价格。理财产品单位净值=理财资产净值/产品总份额。投资者按该份额单位净值进行理财产品申购、赎回和终止时分配。</w:t>
      </w:r>
    </w:p>
    <w:p>
      <w:pPr>
        <w:numPr>
          <w:ilvl w:val="0"/>
          <w:numId w:val="9"/>
        </w:numPr>
        <w:tabs>
          <w:tab w:val="left" w:pos="851"/>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lang w:val="en-US" w:eastAsia="zh-CN"/>
        </w:rPr>
        <w:t>流动性受限资产：</w:t>
      </w:r>
      <w:r>
        <w:rPr>
          <w:rFonts w:hint="eastAsia" w:ascii="楷体" w:hAnsi="楷体" w:eastAsia="楷体" w:cs="Calibri"/>
          <w:kern w:val="2"/>
          <w:sz w:val="21"/>
          <w:szCs w:val="21"/>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1"/>
          <w:szCs w:val="21"/>
          <w:highlight w:val="none"/>
          <w:lang w:val="en-US" w:eastAsia="zh-CN"/>
        </w:rPr>
        <w:t>法律法规或监管机构另有规定的，从其规定。</w:t>
      </w:r>
    </w:p>
    <w:p>
      <w:pPr>
        <w:numPr>
          <w:ilvl w:val="0"/>
          <w:numId w:val="9"/>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kern w:val="2"/>
          <w:sz w:val="21"/>
          <w:szCs w:val="21"/>
          <w:highlight w:val="none"/>
        </w:rPr>
        <w:t>7个工作日可变现资产</w:t>
      </w:r>
      <w:r>
        <w:rPr>
          <w:rFonts w:hint="eastAsia" w:ascii="楷体" w:hAnsi="楷体" w:eastAsia="楷体" w:cs="Calibri"/>
          <w:kern w:val="2"/>
          <w:sz w:val="21"/>
          <w:szCs w:val="21"/>
          <w:highlight w:val="none"/>
          <w:lang w:eastAsia="zh-CN"/>
        </w:rPr>
        <w:t>：</w:t>
      </w:r>
      <w:r>
        <w:rPr>
          <w:rFonts w:hint="eastAsia" w:ascii="楷体" w:hAnsi="楷体" w:eastAsia="楷体" w:cs="Calibri"/>
          <w:kern w:val="2"/>
          <w:sz w:val="21"/>
          <w:szCs w:val="21"/>
          <w:highlight w:val="none"/>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8"/>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期间与日期</w:t>
      </w:r>
    </w:p>
    <w:p>
      <w:pPr>
        <w:numPr>
          <w:ilvl w:val="0"/>
          <w:numId w:val="10"/>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工作日：指国家法定工作日。</w:t>
      </w:r>
    </w:p>
    <w:p>
      <w:pPr>
        <w:numPr>
          <w:ilvl w:val="0"/>
          <w:numId w:val="10"/>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交易日：</w:t>
      </w:r>
      <w:r>
        <w:rPr>
          <w:rFonts w:ascii="楷体" w:hAnsi="楷体" w:eastAsia="楷体" w:cs="Calibri"/>
          <w:sz w:val="21"/>
          <w:szCs w:val="21"/>
        </w:rPr>
        <w:t>指上海证券交易所和深圳证券交易所的正常开盘交易日</w:t>
      </w:r>
      <w:r>
        <w:rPr>
          <w:rFonts w:hint="eastAsia" w:ascii="楷体" w:hAnsi="楷体" w:eastAsia="楷体" w:cs="Calibri"/>
          <w:sz w:val="21"/>
          <w:szCs w:val="21"/>
        </w:rPr>
        <w:t>。</w:t>
      </w:r>
    </w:p>
    <w:p>
      <w:pPr>
        <w:numPr>
          <w:ilvl w:val="0"/>
          <w:numId w:val="10"/>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成立日：指本产品开始运作的日期。</w:t>
      </w:r>
    </w:p>
    <w:p>
      <w:pPr>
        <w:numPr>
          <w:ilvl w:val="0"/>
          <w:numId w:val="10"/>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份额登记日/份额确认日：指管理人对投资者提交的认购申请进行份额登记的日期。</w:t>
      </w:r>
    </w:p>
    <w:p>
      <w:pPr>
        <w:numPr>
          <w:ilvl w:val="0"/>
          <w:numId w:val="10"/>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终止日/到期日：指本产品终止的日期。</w:t>
      </w:r>
    </w:p>
    <w:p>
      <w:pPr>
        <w:numPr>
          <w:ilvl w:val="0"/>
          <w:numId w:val="10"/>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估值日：指产品管理人对理财产品项下资产进行估值的日期。</w:t>
      </w:r>
    </w:p>
    <w:p>
      <w:pPr>
        <w:numPr>
          <w:ilvl w:val="0"/>
          <w:numId w:val="10"/>
        </w:numPr>
        <w:tabs>
          <w:tab w:val="left" w:pos="728"/>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rPr>
        <w:t>兑付日：指投资者理财资金到达投资者资金账户的日期。</w:t>
      </w:r>
    </w:p>
    <w:p>
      <w:pPr>
        <w:numPr>
          <w:ilvl w:val="0"/>
          <w:numId w:val="10"/>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投资周期：投资周期指投资者持有理财产品份额所对应的理财资金由产品管理人进行投资运作的一段完整期间，每一个投资周期为该投资周期起始日至该投资周期终止日的理财期间。</w:t>
      </w:r>
    </w:p>
    <w:p>
      <w:pPr>
        <w:numPr>
          <w:ilvl w:val="0"/>
          <w:numId w:val="10"/>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开放日：指投资周期终止日。开放计划内的申购、赎回申请，将以开放日的净值进行确认。</w:t>
      </w:r>
    </w:p>
    <w:p>
      <w:pPr>
        <w:numPr>
          <w:ilvl w:val="0"/>
          <w:numId w:val="10"/>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产品存续期：指自理财产品成立日起，至理财产品终止日的期间。</w:t>
      </w:r>
    </w:p>
    <w:p>
      <w:pPr>
        <w:numPr>
          <w:ilvl w:val="0"/>
          <w:numId w:val="6"/>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投资管理</w:t>
      </w:r>
    </w:p>
    <w:p>
      <w:pPr>
        <w:numPr>
          <w:ilvl w:val="0"/>
          <w:numId w:val="11"/>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投资范围和比例</w:t>
      </w:r>
    </w:p>
    <w:p>
      <w:pPr>
        <w:ind w:firstLine="420" w:firstLineChars="200"/>
        <w:rPr>
          <w:rFonts w:hint="eastAsia" w:ascii="楷体" w:hAnsi="楷体" w:eastAsia="楷体"/>
          <w:sz w:val="21"/>
          <w:szCs w:val="21"/>
        </w:rPr>
      </w:pPr>
      <w:r>
        <w:rPr>
          <w:rFonts w:hint="eastAsia" w:ascii="楷体" w:hAnsi="楷体" w:eastAsia="楷体"/>
          <w:sz w:val="21"/>
          <w:szCs w:val="21"/>
        </w:rPr>
        <w:t>本理财产品直接或间接投资于货币市场工具类资产、银行存款（含结构性存款）、标准化债权类资产、非标准化债权类资产和监管机构允许投资的其他资产。具体资产投资比例为：货币市场工具、银行存款（含结构性存款）、债券以及符合监管要求的固定收益类资产占产品资产总值比例</w:t>
      </w:r>
      <w:r>
        <w:rPr>
          <w:rFonts w:hint="eastAsia" w:ascii="楷体" w:hAnsi="楷体" w:eastAsia="楷体"/>
          <w:sz w:val="21"/>
          <w:szCs w:val="21"/>
          <w:lang w:val="en-US" w:eastAsia="zh-CN"/>
        </w:rPr>
        <w:t>为</w:t>
      </w:r>
      <w:r>
        <w:rPr>
          <w:rFonts w:hint="eastAsia" w:ascii="楷体" w:hAnsi="楷体" w:eastAsia="楷体"/>
          <w:sz w:val="21"/>
          <w:szCs w:val="21"/>
        </w:rPr>
        <w:t>80%-100%，符合监管要求的其他资产占产品资产总值比例0%-20%，其中非标准化债权类资产合计投资比例不高于产品净资产50%。</w:t>
      </w:r>
    </w:p>
    <w:p>
      <w:pPr>
        <w:ind w:firstLine="420" w:firstLineChars="200"/>
        <w:rPr>
          <w:rFonts w:hint="eastAsia" w:ascii="楷体" w:hAnsi="楷体" w:eastAsia="楷体" w:cs="楷体"/>
          <w:sz w:val="21"/>
          <w:szCs w:val="21"/>
          <w:highlight w:val="none"/>
          <w:lang w:val="en-US" w:eastAsia="zh-CN"/>
        </w:rPr>
      </w:pPr>
      <w:r>
        <w:rPr>
          <w:rFonts w:hint="eastAsia" w:ascii="楷体" w:hAnsi="楷体" w:eastAsia="楷体"/>
          <w:sz w:val="21"/>
          <w:szCs w:val="21"/>
        </w:rPr>
        <w:t>本理财产品在开放日及开放日前7个工作日内持有不低于产品资产净值5%的现金或者到期日在一年以内的国债、中央银行票据和政策性金融债券；直接投资于流动性受限资</w:t>
      </w:r>
      <w:r>
        <w:rPr>
          <w:rFonts w:hint="eastAsia" w:ascii="楷体" w:hAnsi="楷体" w:eastAsia="楷体"/>
          <w:sz w:val="21"/>
          <w:szCs w:val="21"/>
          <w:highlight w:val="none"/>
        </w:rPr>
        <w:t>产的市值在开放日不得超过产品资产净值</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15%；在开放日前一工作日内，7个工作日可变现资产的可变现价值应当不低于产品资产净值</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10%；每日确认且需当日支付的净赎回申请不超过前一工作日理财产品7个工作日可变现资产的</w:t>
      </w:r>
      <w:r>
        <w:rPr>
          <w:rFonts w:hint="eastAsia" w:ascii="楷体" w:hAnsi="楷体" w:eastAsia="楷体" w:cs="楷体"/>
          <w:sz w:val="21"/>
          <w:szCs w:val="21"/>
          <w:highlight w:val="none"/>
        </w:rPr>
        <w:t>可变现价值。</w:t>
      </w:r>
    </w:p>
    <w:p>
      <w:pPr>
        <w:ind w:firstLine="420" w:firstLineChars="200"/>
        <w:rPr>
          <w:rFonts w:hint="eastAsia" w:ascii="楷体" w:hAnsi="楷体" w:eastAsia="楷体" w:cs="楷体"/>
          <w:sz w:val="21"/>
          <w:szCs w:val="21"/>
          <w:highlight w:val="none"/>
        </w:rPr>
      </w:pPr>
      <w:r>
        <w:rPr>
          <w:rFonts w:hint="eastAsia" w:ascii="楷体" w:hAnsi="楷体" w:eastAsia="楷体" w:cs="楷体"/>
          <w:sz w:val="21"/>
          <w:szCs w:val="21"/>
          <w:highlight w:val="none"/>
        </w:rPr>
        <w:t>本产品计划配置的备选非标准化债权类资产如下：</w:t>
      </w:r>
    </w:p>
    <w:p>
      <w:pPr>
        <w:numPr>
          <w:ilvl w:val="0"/>
          <w:numId w:val="12"/>
        </w:numPr>
        <w:ind w:firstLine="420" w:firstLineChars="200"/>
        <w:rPr>
          <w:rFonts w:hint="eastAsia" w:ascii="楷体" w:hAnsi="楷体" w:eastAsia="楷体"/>
          <w:color w:val="auto"/>
          <w:sz w:val="21"/>
          <w:szCs w:val="21"/>
        </w:rPr>
      </w:pPr>
      <w:r>
        <w:rPr>
          <w:rFonts w:hint="eastAsia" w:ascii="楷体" w:hAnsi="楷体" w:eastAsia="楷体" w:cs="楷体"/>
          <w:color w:val="auto"/>
          <w:kern w:val="2"/>
          <w:sz w:val="21"/>
          <w:szCs w:val="21"/>
          <w:highlight w:val="none"/>
          <w:lang w:val="en-US" w:eastAsia="zh-CN" w:bidi="ar-SA"/>
        </w:rPr>
        <w:t>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3）</w:t>
      </w:r>
      <w:r>
        <w:rPr>
          <w:rFonts w:hint="eastAsia" w:ascii="楷体" w:hAnsi="楷体" w:eastAsia="楷体"/>
          <w:color w:val="auto"/>
          <w:sz w:val="21"/>
          <w:szCs w:val="21"/>
          <w:lang w:eastAsia="zh-CN"/>
        </w:rPr>
        <w:t>非标准化债权类资产：融资人为富港建设集团有限公司。融资人经营正常，是依法设立的国有公司，主要股东为</w:t>
      </w:r>
      <w:r>
        <w:rPr>
          <w:rFonts w:hint="eastAsia" w:ascii="楷体" w:hAnsi="楷体" w:eastAsia="楷体"/>
          <w:color w:val="auto"/>
          <w:sz w:val="21"/>
          <w:szCs w:val="21"/>
          <w:lang w:val="en-US" w:eastAsia="zh-CN"/>
        </w:rPr>
        <w:t>如皋市人民政府和工银金融资产投资有限公司</w:t>
      </w:r>
      <w:r>
        <w:rPr>
          <w:rFonts w:hint="eastAsia" w:ascii="楷体" w:hAnsi="楷体" w:eastAsia="楷体"/>
          <w:color w:val="auto"/>
          <w:sz w:val="21"/>
          <w:szCs w:val="21"/>
          <w:lang w:eastAsia="zh-CN"/>
        </w:rPr>
        <w:t>，实际控制人为</w:t>
      </w:r>
      <w:r>
        <w:rPr>
          <w:rFonts w:hint="eastAsia" w:ascii="楷体" w:hAnsi="楷体" w:eastAsia="楷体"/>
          <w:color w:val="auto"/>
          <w:sz w:val="21"/>
          <w:szCs w:val="21"/>
          <w:lang w:val="en-US" w:eastAsia="zh-CN"/>
        </w:rPr>
        <w:t>如皋市人民政府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4）</w:t>
      </w:r>
      <w:r>
        <w:rPr>
          <w:rFonts w:hint="eastAsia" w:ascii="楷体" w:hAnsi="楷体" w:eastAsia="楷体"/>
          <w:color w:val="auto"/>
          <w:sz w:val="21"/>
          <w:szCs w:val="21"/>
          <w:lang w:eastAsia="zh-CN"/>
        </w:rPr>
        <w:t>非标准化债权类资产：融资人为泰州港城投资集团有限公司。融资人经营正常，是依法设立的国有公司，主要股东为泰州市国有资产监督管理委员会，实际控制人为泰州市国有资产监督管理委员会。（</w:t>
      </w:r>
      <w:r>
        <w:rPr>
          <w:rFonts w:hint="eastAsia" w:ascii="楷体" w:hAnsi="楷体" w:eastAsia="楷体"/>
          <w:color w:val="auto"/>
          <w:sz w:val="21"/>
          <w:szCs w:val="21"/>
          <w:lang w:val="en-US" w:eastAsia="zh-CN"/>
        </w:rPr>
        <w:t>5）</w:t>
      </w:r>
      <w:r>
        <w:rPr>
          <w:rFonts w:hint="eastAsia" w:ascii="楷体" w:hAnsi="楷体" w:eastAsia="楷体"/>
          <w:color w:val="auto"/>
          <w:sz w:val="21"/>
          <w:szCs w:val="21"/>
          <w:lang w:eastAsia="zh-CN"/>
        </w:rPr>
        <w:t>非标准化债权类资产：融资人为常州市武进建设资产经营有限公司。融资人经营正常，是依法设立的国有公司，主要股东为江苏武进经济发展集团有限公司，实际控制人为常州市武进区国有（集体）资产管理办公室。（</w:t>
      </w:r>
      <w:r>
        <w:rPr>
          <w:rFonts w:hint="eastAsia" w:ascii="楷体" w:hAnsi="楷体" w:eastAsia="楷体"/>
          <w:color w:val="auto"/>
          <w:sz w:val="21"/>
          <w:szCs w:val="21"/>
          <w:lang w:val="en-US" w:eastAsia="zh-CN"/>
        </w:rPr>
        <w:t>6）</w:t>
      </w:r>
      <w:r>
        <w:rPr>
          <w:rFonts w:hint="eastAsia" w:ascii="楷体" w:hAnsi="楷体" w:eastAsia="楷体"/>
          <w:color w:val="auto"/>
          <w:sz w:val="21"/>
          <w:szCs w:val="21"/>
          <w:lang w:eastAsia="zh-CN"/>
        </w:rPr>
        <w:t>非标准化债权类资产：融资人为无锡市太湖新城资产经营管理有限公司。融资人经营正常，是依法设立的国有公司，主要股东为无锡市太湖新城发展集团有限公司，实际控制人为无锡市人民政府国有资产监督管理委员会。（</w:t>
      </w:r>
      <w:r>
        <w:rPr>
          <w:rFonts w:hint="eastAsia" w:ascii="楷体" w:hAnsi="楷体" w:eastAsia="楷体"/>
          <w:color w:val="auto"/>
          <w:sz w:val="21"/>
          <w:szCs w:val="21"/>
          <w:lang w:val="en-US" w:eastAsia="zh-CN"/>
        </w:rPr>
        <w:t>7）</w:t>
      </w:r>
      <w:r>
        <w:rPr>
          <w:rFonts w:hint="eastAsia" w:ascii="楷体" w:hAnsi="楷体" w:eastAsia="楷体"/>
          <w:color w:val="auto"/>
          <w:sz w:val="21"/>
          <w:szCs w:val="21"/>
          <w:lang w:eastAsia="zh-CN"/>
        </w:rPr>
        <w:t>非标准化债权类资产：融资人为杭州西湖城市建设投资集团有限公司，融资人经营正常，是依法设立的国有公司，主要股东为杭州西湖投资集团有限公司，实际控制人为杭州市西湖区财政局。（</w:t>
      </w:r>
      <w:r>
        <w:rPr>
          <w:rFonts w:hint="eastAsia" w:ascii="楷体" w:hAnsi="楷体" w:eastAsia="楷体"/>
          <w:color w:val="auto"/>
          <w:sz w:val="21"/>
          <w:szCs w:val="21"/>
          <w:lang w:val="en-US" w:eastAsia="zh-CN"/>
        </w:rPr>
        <w:t>8）</w:t>
      </w:r>
      <w:r>
        <w:rPr>
          <w:rFonts w:hint="eastAsia" w:ascii="楷体" w:hAnsi="楷体" w:eastAsia="楷体"/>
          <w:color w:val="auto"/>
          <w:sz w:val="21"/>
          <w:szCs w:val="21"/>
          <w:lang w:eastAsia="zh-CN"/>
        </w:rPr>
        <w:t>非标准化债权类资产：融资人为盐城市国有资产投资集团有限公司。融资人经营正常，是依法设立的国有公司，主要股东为盐城市人民政府和江苏省财政厅，实际控制人为盐城市人民政府。（</w:t>
      </w:r>
      <w:r>
        <w:rPr>
          <w:rFonts w:hint="eastAsia" w:ascii="楷体" w:hAnsi="楷体" w:eastAsia="楷体"/>
          <w:color w:val="auto"/>
          <w:sz w:val="21"/>
          <w:szCs w:val="21"/>
          <w:lang w:val="en-US" w:eastAsia="zh-CN"/>
        </w:rPr>
        <w:t>9）</w:t>
      </w:r>
      <w:r>
        <w:rPr>
          <w:rFonts w:hint="eastAsia" w:ascii="楷体" w:hAnsi="楷体" w:eastAsia="楷体"/>
          <w:color w:val="auto"/>
          <w:sz w:val="21"/>
          <w:szCs w:val="21"/>
          <w:lang w:eastAsia="zh-CN"/>
        </w:rPr>
        <w:t>非标准化债权类资产：融资人为江苏淮阴城市产业投资集团有限公司。融资人经营正常，是依法设立的国有公司，主要股东为淮安国控投资集团有限公司，实际控制人为淮安市人民政府。（</w:t>
      </w:r>
      <w:r>
        <w:rPr>
          <w:rFonts w:hint="eastAsia" w:ascii="楷体" w:hAnsi="楷体" w:eastAsia="楷体"/>
          <w:color w:val="auto"/>
          <w:sz w:val="21"/>
          <w:szCs w:val="21"/>
          <w:lang w:val="en-US" w:eastAsia="zh-CN"/>
        </w:rPr>
        <w:t>10）</w:t>
      </w:r>
      <w:r>
        <w:rPr>
          <w:rFonts w:hint="eastAsia" w:ascii="楷体" w:hAnsi="楷体" w:eastAsia="楷体"/>
          <w:color w:val="auto"/>
          <w:sz w:val="21"/>
          <w:szCs w:val="21"/>
          <w:lang w:eastAsia="zh-CN"/>
        </w:rPr>
        <w:t>非标准化债权类资产：融资人为宁波象港开发控股集团有限公司。融资人经营正常，是依法设立的国有公司，主要股东为象山县国有资产管理中心，实际控制人为象山县国有资产管理中心。（</w:t>
      </w:r>
      <w:r>
        <w:rPr>
          <w:rFonts w:hint="eastAsia" w:ascii="楷体" w:hAnsi="楷体" w:eastAsia="楷体"/>
          <w:color w:val="auto"/>
          <w:sz w:val="21"/>
          <w:szCs w:val="21"/>
          <w:lang w:val="en-US" w:eastAsia="zh-CN"/>
        </w:rPr>
        <w:t>11）</w:t>
      </w:r>
      <w:r>
        <w:rPr>
          <w:rFonts w:hint="eastAsia" w:ascii="楷体" w:hAnsi="楷体" w:eastAsia="楷体"/>
          <w:color w:val="auto"/>
          <w:sz w:val="21"/>
          <w:szCs w:val="21"/>
          <w:lang w:eastAsia="zh-CN"/>
        </w:rPr>
        <w:t>非标准化债权类资产：融资人为杭州萧山交通投资集团有限公司。融资人经营正常，是依法设立的国有公司，主要股东为杭州萧山国有资产经营集团有限公司，实际控制人为杭州市萧山区人民政府。（</w:t>
      </w:r>
      <w:r>
        <w:rPr>
          <w:rFonts w:hint="eastAsia" w:ascii="楷体" w:hAnsi="楷体" w:eastAsia="楷体"/>
          <w:color w:val="auto"/>
          <w:sz w:val="21"/>
          <w:szCs w:val="21"/>
          <w:lang w:val="en-US" w:eastAsia="zh-CN"/>
        </w:rPr>
        <w:t>12）</w:t>
      </w:r>
      <w:r>
        <w:rPr>
          <w:rFonts w:hint="eastAsia" w:ascii="楷体" w:hAnsi="楷体" w:eastAsia="楷体"/>
          <w:color w:val="auto"/>
          <w:sz w:val="21"/>
          <w:szCs w:val="21"/>
          <w:lang w:eastAsia="zh-CN"/>
        </w:rPr>
        <w:t>非标准化债权类资产：融资人为无锡市梁溪产业发展集团有限公司。融资人经营正常，是依法设立的国有公司，主要股东为无锡市梁溪区人民政府国有资产监督管理办公室和无锡市梁溪城市运营服务集团有限公司，实际控制人为无锡市梁溪区人民政府国有资产监督管理办公室。（</w:t>
      </w:r>
      <w:r>
        <w:rPr>
          <w:rFonts w:hint="eastAsia" w:ascii="楷体" w:hAnsi="楷体" w:eastAsia="楷体"/>
          <w:color w:val="auto"/>
          <w:sz w:val="21"/>
          <w:szCs w:val="21"/>
          <w:lang w:val="en-US" w:eastAsia="zh-CN"/>
        </w:rPr>
        <w:t>13）</w:t>
      </w:r>
      <w:r>
        <w:rPr>
          <w:rFonts w:hint="eastAsia" w:ascii="楷体" w:hAnsi="楷体" w:eastAsia="楷体"/>
          <w:color w:val="auto"/>
          <w:sz w:val="21"/>
          <w:szCs w:val="21"/>
          <w:lang w:eastAsia="zh-CN"/>
        </w:rPr>
        <w:t>非标准化债权类资产：融资人为浙江杭州青山湖科技城投资集团有限公司。融资人经营正常，是依法设立的国有公司，主要股东为杭州市临安区国有股权控股有限公司和工银金融资产投资有限公司，实际控制人为杭州市</w:t>
      </w:r>
      <w:r>
        <w:rPr>
          <w:rFonts w:hint="eastAsia" w:ascii="楷体" w:hAnsi="楷体" w:eastAsia="楷体"/>
          <w:color w:val="auto"/>
          <w:sz w:val="21"/>
          <w:szCs w:val="21"/>
          <w:lang w:val="en-US" w:eastAsia="zh-CN"/>
        </w:rPr>
        <w:t>临安</w:t>
      </w:r>
      <w:r>
        <w:rPr>
          <w:rFonts w:hint="eastAsia" w:ascii="楷体" w:hAnsi="楷体" w:eastAsia="楷体"/>
          <w:color w:val="auto"/>
          <w:sz w:val="21"/>
          <w:szCs w:val="21"/>
          <w:lang w:eastAsia="zh-CN"/>
        </w:rPr>
        <w:t>区国有资产管理服务中心。（</w:t>
      </w:r>
      <w:r>
        <w:rPr>
          <w:rFonts w:hint="eastAsia" w:ascii="楷体" w:hAnsi="楷体" w:eastAsia="楷体"/>
          <w:color w:val="auto"/>
          <w:sz w:val="21"/>
          <w:szCs w:val="21"/>
          <w:lang w:val="en-US" w:eastAsia="zh-CN"/>
        </w:rPr>
        <w:t>14）</w:t>
      </w:r>
      <w:r>
        <w:rPr>
          <w:rFonts w:hint="eastAsia" w:ascii="楷体" w:hAnsi="楷体" w:eastAsia="楷体"/>
          <w:color w:val="auto"/>
          <w:sz w:val="21"/>
          <w:szCs w:val="21"/>
          <w:lang w:eastAsia="zh-CN"/>
        </w:rPr>
        <w:t>非标准化债权类资产：融资人为台州市黄岩国有资本投资运营集团有限公司。融资人经营正常，是依法设立的国有公司，主要股东为台州市黄岩区财政局（台州市黄岩区人民政府国有资产监督管理办公室），实际控制人为台州市黄岩区财政局（台州市黄岩区人民政府国有资产监督管理办公室）。（</w:t>
      </w:r>
      <w:r>
        <w:rPr>
          <w:rFonts w:hint="eastAsia" w:ascii="楷体" w:hAnsi="楷体" w:eastAsia="楷体"/>
          <w:color w:val="auto"/>
          <w:sz w:val="21"/>
          <w:szCs w:val="21"/>
          <w:lang w:val="en-US" w:eastAsia="zh-CN"/>
        </w:rPr>
        <w:t>15）</w:t>
      </w:r>
      <w:r>
        <w:rPr>
          <w:rFonts w:hint="eastAsia" w:ascii="楷体" w:hAnsi="楷体" w:eastAsia="楷体"/>
          <w:color w:val="auto"/>
          <w:sz w:val="21"/>
          <w:szCs w:val="21"/>
          <w:lang w:eastAsia="zh-CN"/>
        </w:rPr>
        <w:t>非标准化债权类资产：融资人为盐城市东亭产业发展集团有限公司。融资人经营正常，是依法设立的国有公司，主要股东为</w:t>
      </w:r>
      <w:r>
        <w:rPr>
          <w:rFonts w:hint="eastAsia" w:ascii="楷体" w:hAnsi="楷体" w:eastAsia="楷体"/>
          <w:color w:val="auto"/>
          <w:sz w:val="21"/>
          <w:szCs w:val="21"/>
          <w:lang w:val="en-US" w:eastAsia="zh-CN"/>
        </w:rPr>
        <w:t>盐城市人民政府</w:t>
      </w:r>
      <w:r>
        <w:rPr>
          <w:rFonts w:hint="eastAsia" w:ascii="楷体" w:hAnsi="楷体" w:eastAsia="楷体"/>
          <w:color w:val="auto"/>
          <w:sz w:val="21"/>
          <w:szCs w:val="21"/>
          <w:lang w:eastAsia="zh-CN"/>
        </w:rPr>
        <w:t>，实际控制人为</w:t>
      </w:r>
      <w:r>
        <w:rPr>
          <w:rFonts w:hint="eastAsia" w:ascii="楷体" w:hAnsi="楷体" w:eastAsia="楷体"/>
          <w:color w:val="auto"/>
          <w:sz w:val="21"/>
          <w:szCs w:val="21"/>
          <w:lang w:val="en-US" w:eastAsia="zh-CN"/>
        </w:rPr>
        <w:t>盐城市人民政府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16）</w:t>
      </w:r>
      <w:r>
        <w:rPr>
          <w:rFonts w:hint="eastAsia" w:ascii="楷体" w:hAnsi="楷体" w:eastAsia="楷体"/>
          <w:color w:val="auto"/>
          <w:sz w:val="21"/>
          <w:szCs w:val="21"/>
          <w:lang w:eastAsia="zh-CN"/>
        </w:rPr>
        <w:t>非标准化债权类资产：融资人为泰州国控投资集团有限公司。融资人经营正常，是依法设立的国有公司，主要股东为泰州市政府国有资产监督管理委员会，实际控制人为泰州市政府国有资产监督管理委员会。（</w:t>
      </w:r>
      <w:r>
        <w:rPr>
          <w:rFonts w:hint="eastAsia" w:ascii="楷体" w:hAnsi="楷体" w:eastAsia="楷体"/>
          <w:color w:val="auto"/>
          <w:sz w:val="21"/>
          <w:szCs w:val="21"/>
          <w:lang w:val="en-US" w:eastAsia="zh-CN"/>
        </w:rPr>
        <w:t>17）</w:t>
      </w:r>
      <w:r>
        <w:rPr>
          <w:rFonts w:hint="eastAsia" w:ascii="楷体" w:hAnsi="楷体" w:eastAsia="楷体"/>
          <w:color w:val="auto"/>
          <w:sz w:val="21"/>
          <w:szCs w:val="21"/>
          <w:lang w:eastAsia="zh-CN"/>
        </w:rPr>
        <w:t>非标准化债权类资产：融资人为无锡惠山高科集团有限公司。融资人经营正常，是依法设立的国有公司，主要股东为</w:t>
      </w:r>
      <w:r>
        <w:rPr>
          <w:rFonts w:hint="eastAsia" w:ascii="楷体" w:hAnsi="楷体" w:eastAsia="楷体"/>
          <w:color w:val="auto"/>
          <w:sz w:val="21"/>
          <w:szCs w:val="21"/>
          <w:lang w:val="en-US" w:eastAsia="zh-CN"/>
        </w:rPr>
        <w:t>无锡惠山高科产业控股集团有限公司</w:t>
      </w:r>
      <w:r>
        <w:rPr>
          <w:rFonts w:hint="eastAsia" w:ascii="楷体" w:hAnsi="楷体" w:eastAsia="楷体"/>
          <w:color w:val="auto"/>
          <w:sz w:val="21"/>
          <w:szCs w:val="21"/>
          <w:lang w:eastAsia="zh-CN"/>
        </w:rPr>
        <w:t>，实际控制人为</w:t>
      </w:r>
      <w:r>
        <w:rPr>
          <w:rFonts w:hint="eastAsia" w:ascii="楷体" w:hAnsi="楷体" w:eastAsia="楷体"/>
          <w:color w:val="auto"/>
          <w:sz w:val="21"/>
          <w:szCs w:val="21"/>
          <w:lang w:val="en-US" w:eastAsia="zh-CN"/>
        </w:rPr>
        <w:t>无锡惠山经济技术开发区管理委员会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18）</w:t>
      </w:r>
      <w:r>
        <w:rPr>
          <w:rFonts w:hint="eastAsia" w:ascii="楷体" w:hAnsi="楷体" w:eastAsia="楷体"/>
          <w:color w:val="auto"/>
          <w:sz w:val="21"/>
          <w:szCs w:val="21"/>
          <w:lang w:eastAsia="zh-CN"/>
        </w:rPr>
        <w:t>非标准化债权类资产：融资人为仪征市扬子文旅控股集团有限公司。融资人经营正常，是依法设立的国有公司，主要股东为</w:t>
      </w:r>
      <w:r>
        <w:rPr>
          <w:rFonts w:hint="eastAsia" w:ascii="楷体" w:hAnsi="楷体" w:eastAsia="楷体"/>
          <w:color w:val="auto"/>
          <w:sz w:val="21"/>
          <w:szCs w:val="21"/>
          <w:lang w:val="en-US" w:eastAsia="zh-CN"/>
        </w:rPr>
        <w:t>仪征市国有资产管理中心</w:t>
      </w:r>
      <w:r>
        <w:rPr>
          <w:rFonts w:hint="eastAsia" w:ascii="楷体" w:hAnsi="楷体" w:eastAsia="楷体"/>
          <w:color w:val="auto"/>
          <w:sz w:val="21"/>
          <w:szCs w:val="21"/>
          <w:lang w:eastAsia="zh-CN"/>
        </w:rPr>
        <w:t>，实际控制人为</w:t>
      </w:r>
      <w:r>
        <w:rPr>
          <w:rFonts w:hint="eastAsia" w:ascii="楷体" w:hAnsi="楷体" w:eastAsia="楷体"/>
          <w:color w:val="auto"/>
          <w:sz w:val="21"/>
          <w:szCs w:val="21"/>
          <w:lang w:val="en-US" w:eastAsia="zh-CN"/>
        </w:rPr>
        <w:t>仪征市财政局</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19）</w:t>
      </w:r>
      <w:r>
        <w:rPr>
          <w:rFonts w:hint="eastAsia" w:ascii="楷体" w:hAnsi="楷体" w:eastAsia="楷体"/>
          <w:color w:val="auto"/>
          <w:sz w:val="21"/>
          <w:szCs w:val="21"/>
          <w:lang w:eastAsia="zh-CN"/>
        </w:rPr>
        <w:t>非标准化债权类资产：融资人为台州市路桥区社会事业发展集团有限公司。融资人经营正常，是依法设立的国有公司，主要股东为</w:t>
      </w:r>
      <w:r>
        <w:rPr>
          <w:rFonts w:hint="eastAsia" w:ascii="楷体" w:hAnsi="楷体" w:eastAsia="楷体"/>
          <w:color w:val="auto"/>
          <w:sz w:val="21"/>
          <w:szCs w:val="21"/>
          <w:lang w:val="en-US" w:eastAsia="zh-CN"/>
        </w:rPr>
        <w:t>台州市路桥公共资产投资管理集团有限公司</w:t>
      </w:r>
      <w:r>
        <w:rPr>
          <w:rFonts w:hint="eastAsia" w:ascii="楷体" w:hAnsi="楷体" w:eastAsia="楷体"/>
          <w:color w:val="auto"/>
          <w:sz w:val="21"/>
          <w:szCs w:val="21"/>
          <w:lang w:eastAsia="zh-CN"/>
        </w:rPr>
        <w:t>，实际控制人为</w:t>
      </w:r>
      <w:r>
        <w:rPr>
          <w:rFonts w:hint="eastAsia" w:ascii="楷体" w:hAnsi="楷体" w:eastAsia="楷体"/>
          <w:color w:val="auto"/>
          <w:sz w:val="21"/>
          <w:szCs w:val="21"/>
          <w:lang w:val="en-US" w:eastAsia="zh-CN"/>
        </w:rPr>
        <w:t>台州市路桥区国有资产工作中心</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20）</w:t>
      </w:r>
      <w:r>
        <w:rPr>
          <w:rFonts w:hint="eastAsia" w:ascii="楷体" w:hAnsi="楷体" w:eastAsia="楷体"/>
          <w:color w:val="auto"/>
          <w:sz w:val="21"/>
          <w:szCs w:val="21"/>
          <w:lang w:eastAsia="zh-CN"/>
        </w:rPr>
        <w:t>非标准化债权类资产：融资人为江苏钟吾城乡投资发展集团有限公司。融资人经营正常，是依法设立的国有公司，主要股东为</w:t>
      </w:r>
      <w:r>
        <w:rPr>
          <w:rFonts w:hint="eastAsia" w:ascii="楷体" w:hAnsi="楷体" w:eastAsia="楷体"/>
          <w:color w:val="auto"/>
          <w:sz w:val="21"/>
          <w:szCs w:val="21"/>
          <w:lang w:val="en-US" w:eastAsia="zh-CN"/>
        </w:rPr>
        <w:t>徐州市人民政府</w:t>
      </w:r>
      <w:r>
        <w:rPr>
          <w:rFonts w:hint="eastAsia" w:ascii="楷体" w:hAnsi="楷体" w:eastAsia="楷体"/>
          <w:color w:val="auto"/>
          <w:sz w:val="21"/>
          <w:szCs w:val="21"/>
          <w:lang w:eastAsia="zh-CN"/>
        </w:rPr>
        <w:t>，实际控制人为</w:t>
      </w:r>
      <w:r>
        <w:rPr>
          <w:rFonts w:hint="eastAsia" w:ascii="楷体" w:hAnsi="楷体" w:eastAsia="楷体"/>
          <w:color w:val="auto"/>
          <w:sz w:val="21"/>
          <w:szCs w:val="21"/>
          <w:lang w:val="en-US" w:eastAsia="zh-CN"/>
        </w:rPr>
        <w:t>徐州市人民政府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21）</w:t>
      </w:r>
      <w:r>
        <w:rPr>
          <w:rFonts w:hint="eastAsia" w:ascii="楷体" w:hAnsi="楷体" w:eastAsia="楷体"/>
          <w:color w:val="auto"/>
          <w:sz w:val="21"/>
          <w:szCs w:val="21"/>
          <w:lang w:eastAsia="zh-CN"/>
        </w:rPr>
        <w:t>非标准化债权类资产：融资人为杭州富阳城市建设投资集团有限公司。融资人经营正常，是依法设立的国有公司，主要股东为</w:t>
      </w:r>
      <w:r>
        <w:rPr>
          <w:rFonts w:hint="eastAsia" w:ascii="楷体" w:hAnsi="楷体" w:eastAsia="楷体"/>
          <w:color w:val="auto"/>
          <w:sz w:val="21"/>
          <w:szCs w:val="21"/>
          <w:lang w:val="en-US" w:eastAsia="zh-CN"/>
        </w:rPr>
        <w:t>杭州市富阳区人民政府国有资产监督管理办公司</w:t>
      </w:r>
      <w:r>
        <w:rPr>
          <w:rFonts w:hint="eastAsia" w:ascii="楷体" w:hAnsi="楷体" w:eastAsia="楷体"/>
          <w:color w:val="auto"/>
          <w:sz w:val="21"/>
          <w:szCs w:val="21"/>
          <w:lang w:eastAsia="zh-CN"/>
        </w:rPr>
        <w:t>，实际控制人为</w:t>
      </w:r>
      <w:r>
        <w:rPr>
          <w:rFonts w:hint="eastAsia" w:ascii="楷体" w:hAnsi="楷体" w:eastAsia="楷体"/>
          <w:color w:val="auto"/>
          <w:sz w:val="21"/>
          <w:szCs w:val="21"/>
          <w:lang w:val="en-US" w:eastAsia="zh-CN"/>
        </w:rPr>
        <w:t>杭州市富阳区人民政府国有资产监督管理办公司</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22）</w:t>
      </w:r>
      <w:r>
        <w:rPr>
          <w:rFonts w:hint="eastAsia" w:ascii="楷体" w:hAnsi="楷体" w:eastAsia="楷体"/>
          <w:color w:val="auto"/>
          <w:sz w:val="21"/>
          <w:szCs w:val="21"/>
          <w:lang w:eastAsia="zh-CN"/>
        </w:rPr>
        <w:t>非标准化债权类资产：融资人为扬州新材料国资控股集团有限公司。融资人经营正常，是依法设立的国有公司，主要股东为</w:t>
      </w:r>
      <w:r>
        <w:rPr>
          <w:rFonts w:hint="eastAsia" w:ascii="楷体" w:hAnsi="楷体" w:eastAsia="楷体"/>
          <w:color w:val="auto"/>
          <w:sz w:val="21"/>
          <w:szCs w:val="21"/>
          <w:lang w:val="en-US" w:eastAsia="zh-CN"/>
        </w:rPr>
        <w:t>扬州市兴仪投资控股集团有限公司和仪征市扬子文旅控股集团有限公司</w:t>
      </w:r>
      <w:r>
        <w:rPr>
          <w:rFonts w:hint="eastAsia" w:ascii="楷体" w:hAnsi="楷体" w:eastAsia="楷体"/>
          <w:color w:val="auto"/>
          <w:sz w:val="21"/>
          <w:szCs w:val="21"/>
          <w:lang w:eastAsia="zh-CN"/>
        </w:rPr>
        <w:t>，实际控制人为</w:t>
      </w:r>
      <w:r>
        <w:rPr>
          <w:rFonts w:hint="eastAsia" w:ascii="楷体" w:hAnsi="楷体" w:eastAsia="楷体"/>
          <w:color w:val="auto"/>
          <w:sz w:val="21"/>
          <w:szCs w:val="21"/>
          <w:lang w:val="en-US" w:eastAsia="zh-CN"/>
        </w:rPr>
        <w:t>扬州市人民政府</w:t>
      </w:r>
      <w:r>
        <w:rPr>
          <w:rFonts w:hint="eastAsia" w:ascii="楷体" w:hAnsi="楷体" w:eastAsia="楷体"/>
          <w:color w:val="auto"/>
          <w:sz w:val="21"/>
          <w:szCs w:val="21"/>
          <w:lang w:eastAsia="zh-CN"/>
        </w:rPr>
        <w:t>。</w:t>
      </w:r>
    </w:p>
    <w:p>
      <w:pPr>
        <w:numPr>
          <w:ilvl w:val="-1"/>
          <w:numId w:val="0"/>
        </w:numPr>
        <w:ind w:firstLine="558" w:firstLineChars="266"/>
        <w:rPr>
          <w:rFonts w:hint="eastAsia" w:ascii="楷体" w:hAnsi="楷体" w:eastAsia="楷体"/>
          <w:sz w:val="21"/>
          <w:szCs w:val="21"/>
        </w:rPr>
      </w:pPr>
      <w:r>
        <w:rPr>
          <w:rFonts w:hint="eastAsia" w:ascii="楷体" w:hAnsi="楷体" w:eastAsia="楷体"/>
          <w:sz w:val="21"/>
          <w:szCs w:val="21"/>
          <w:lang w:eastAsia="zh-CN"/>
        </w:rPr>
        <w:t>（</w:t>
      </w:r>
      <w:r>
        <w:rPr>
          <w:rFonts w:hint="eastAsia" w:ascii="楷体" w:hAnsi="楷体" w:eastAsia="楷体"/>
          <w:sz w:val="21"/>
          <w:szCs w:val="21"/>
          <w:lang w:val="en-US" w:eastAsia="zh-CN"/>
        </w:rPr>
        <w:t>1）-（2）各</w:t>
      </w:r>
      <w:r>
        <w:rPr>
          <w:rFonts w:hint="eastAsia" w:ascii="楷体" w:hAnsi="楷体" w:eastAsia="楷体" w:cs="楷体"/>
          <w:kern w:val="2"/>
          <w:sz w:val="21"/>
          <w:szCs w:val="21"/>
          <w:highlight w:val="none"/>
          <w:lang w:val="en-US" w:eastAsia="zh-CN" w:bidi="ar-SA"/>
        </w:rPr>
        <w:t>资产到期日不超过理财产品投资周期终止日，循环期不还本、摊还期过手摊还本息；</w:t>
      </w:r>
      <w:r>
        <w:rPr>
          <w:rFonts w:hint="eastAsia" w:ascii="楷体" w:hAnsi="楷体" w:eastAsia="楷体"/>
          <w:sz w:val="21"/>
          <w:szCs w:val="21"/>
          <w:lang w:eastAsia="zh-CN"/>
        </w:rPr>
        <w:t>（</w:t>
      </w:r>
      <w:r>
        <w:rPr>
          <w:rFonts w:hint="eastAsia" w:ascii="楷体" w:hAnsi="楷体" w:eastAsia="楷体"/>
          <w:sz w:val="21"/>
          <w:szCs w:val="21"/>
          <w:lang w:val="en-US" w:eastAsia="zh-CN"/>
        </w:rPr>
        <w:t>3）-（22）各</w:t>
      </w:r>
      <w:r>
        <w:rPr>
          <w:rFonts w:hint="eastAsia" w:ascii="楷体" w:hAnsi="楷体" w:eastAsia="楷体"/>
          <w:sz w:val="21"/>
          <w:szCs w:val="21"/>
          <w:lang w:eastAsia="zh-CN"/>
        </w:rPr>
        <w:t>资产到期日不超过理财产品投资周期终止日，定期付息、到期一次性还本。</w:t>
      </w:r>
    </w:p>
    <w:p>
      <w:pPr>
        <w:ind w:firstLine="420" w:firstLineChars="200"/>
        <w:rPr>
          <w:rFonts w:hint="eastAsia" w:ascii="楷体" w:hAnsi="楷体" w:eastAsia="楷体"/>
          <w:sz w:val="21"/>
          <w:szCs w:val="21"/>
        </w:rPr>
      </w:pPr>
      <w:r>
        <w:rPr>
          <w:rFonts w:hint="eastAsia" w:ascii="楷体" w:hAnsi="楷体" w:eastAsia="楷体"/>
          <w:sz w:val="21"/>
          <w:szCs w:val="21"/>
        </w:rPr>
        <w:t>产品存续期内若本理财产品投资的</w:t>
      </w:r>
      <w:r>
        <w:rPr>
          <w:rFonts w:hint="eastAsia" w:ascii="楷体" w:hAnsi="楷体" w:eastAsia="楷体" w:cs="楷体"/>
          <w:kern w:val="2"/>
          <w:sz w:val="21"/>
          <w:szCs w:val="21"/>
          <w:highlight w:val="none"/>
          <w:lang w:val="en-US" w:eastAsia="zh-CN" w:bidi="ar-SA"/>
        </w:rPr>
        <w:t>个人贷款债权</w:t>
      </w:r>
      <w:r>
        <w:rPr>
          <w:rFonts w:hint="eastAsia" w:ascii="楷体" w:hAnsi="楷体" w:eastAsia="楷体"/>
          <w:sz w:val="21"/>
          <w:szCs w:val="21"/>
          <w:highlight w:val="none"/>
        </w:rPr>
        <w:t>资产</w:t>
      </w:r>
      <w:r>
        <w:rPr>
          <w:rFonts w:hint="eastAsia" w:ascii="楷体" w:hAnsi="楷体" w:eastAsia="楷体"/>
          <w:sz w:val="21"/>
          <w:szCs w:val="21"/>
        </w:rPr>
        <w:t>有所调整，管理人将选择优质企业作为融资人，且融资项目已履行管理人内部审批流程，融资人业务经营正常，融资项目还款来源明确，并在本理财产品的定期报告中披露。</w:t>
      </w:r>
    </w:p>
    <w:p>
      <w:pPr>
        <w:ind w:firstLine="420" w:firstLineChars="200"/>
        <w:rPr>
          <w:rFonts w:hint="eastAsia" w:ascii="楷体" w:hAnsi="楷体" w:eastAsia="楷体"/>
          <w:sz w:val="24"/>
          <w:szCs w:val="24"/>
        </w:rPr>
      </w:pPr>
      <w:r>
        <w:rPr>
          <w:rFonts w:hint="eastAsia" w:ascii="楷体" w:hAnsi="楷体" w:eastAsia="楷体"/>
          <w:sz w:val="21"/>
          <w:szCs w:val="21"/>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11"/>
        </w:numPr>
        <w:tabs>
          <w:tab w:val="left" w:pos="993"/>
        </w:tabs>
        <w:ind w:left="0" w:firstLine="422" w:firstLineChars="200"/>
        <w:outlineLvl w:val="2"/>
        <w:rPr>
          <w:rFonts w:hint="eastAsia" w:ascii="楷体" w:hAnsi="楷体" w:eastAsia="楷体" w:cs="Calibri"/>
          <w:b/>
          <w:sz w:val="21"/>
          <w:szCs w:val="21"/>
          <w:lang w:val="en-US" w:eastAsia="zh-CN"/>
        </w:rPr>
      </w:pPr>
      <w:r>
        <w:rPr>
          <w:rFonts w:hint="eastAsia" w:ascii="楷体" w:hAnsi="楷体" w:eastAsia="楷体" w:cs="Calibri"/>
          <w:b/>
          <w:sz w:val="21"/>
          <w:szCs w:val="21"/>
          <w:lang w:val="en-US" w:eastAsia="zh-CN"/>
        </w:rPr>
        <w:t>投资策略</w:t>
      </w:r>
    </w:p>
    <w:p>
      <w:pPr>
        <w:ind w:firstLine="420" w:firstLineChars="200"/>
        <w:rPr>
          <w:rFonts w:hint="default" w:ascii="楷体" w:hAnsi="楷体" w:eastAsia="楷体"/>
          <w:sz w:val="21"/>
          <w:szCs w:val="21"/>
          <w:lang w:val="en-US" w:eastAsia="zh-CN"/>
        </w:rPr>
      </w:pPr>
      <w:r>
        <w:rPr>
          <w:rFonts w:hint="default" w:ascii="楷体" w:hAnsi="楷体" w:eastAsia="楷体"/>
          <w:sz w:val="21"/>
          <w:szCs w:val="21"/>
          <w:lang w:val="en-US" w:eastAsia="zh-CN"/>
        </w:rPr>
        <w:t>本理财产品计划通过债券、非标准化债权类资产的配置获取稳健收益，同时适时适量配置银行存款，包括同业存放、结构性存款等。其中，拟开展的结构性存款主要为信用挂钩型结构性存款，该产品本质是内嵌收益互换合约的存款，挂钩标的包括优质同业存单、高评级信用债等资产，相关挂钩主体均需严格通过我司风险评估，在严控信用风险的前提下实现产品收益增厚的目标。</w:t>
      </w:r>
    </w:p>
    <w:p>
      <w:pPr>
        <w:numPr>
          <w:ilvl w:val="0"/>
          <w:numId w:val="11"/>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投资集中度限制</w:t>
      </w:r>
    </w:p>
    <w:p>
      <w:pPr>
        <w:numPr>
          <w:ilvl w:val="0"/>
          <w:numId w:val="13"/>
        </w:numPr>
        <w:tabs>
          <w:tab w:val="left" w:pos="728"/>
        </w:tabs>
        <w:ind w:left="0" w:firstLine="420" w:firstLineChars="200"/>
        <w:rPr>
          <w:rFonts w:ascii="楷体" w:hAnsi="楷体" w:eastAsia="楷体" w:cs="Calibri"/>
          <w:sz w:val="21"/>
          <w:szCs w:val="21"/>
        </w:rPr>
      </w:pPr>
      <w:r>
        <w:rPr>
          <w:rFonts w:hint="eastAsia" w:ascii="楷体" w:hAnsi="楷体" w:eastAsia="楷体" w:cs="Calibri"/>
          <w:sz w:val="21"/>
          <w:szCs w:val="21"/>
        </w:rPr>
        <w:t>本产品持有单只证券或者单只公募证券投资基金的市值不得超过产品净资产的</w:t>
      </w:r>
      <w:r>
        <w:rPr>
          <w:rFonts w:ascii="楷体" w:hAnsi="楷体" w:eastAsia="楷体" w:cs="Calibri"/>
          <w:sz w:val="21"/>
          <w:szCs w:val="21"/>
        </w:rPr>
        <w:t>10%</w:t>
      </w:r>
      <w:r>
        <w:rPr>
          <w:rFonts w:hint="eastAsia" w:ascii="楷体" w:hAnsi="楷体" w:eastAsia="楷体" w:cs="Calibri"/>
          <w:sz w:val="21"/>
          <w:szCs w:val="21"/>
        </w:rPr>
        <w:t>。</w:t>
      </w:r>
    </w:p>
    <w:p>
      <w:pPr>
        <w:numPr>
          <w:ilvl w:val="0"/>
          <w:numId w:val="13"/>
        </w:numPr>
        <w:tabs>
          <w:tab w:val="left" w:pos="728"/>
        </w:tabs>
        <w:ind w:left="0" w:firstLine="420" w:firstLineChars="200"/>
        <w:rPr>
          <w:rFonts w:ascii="楷体" w:hAnsi="楷体" w:eastAsia="楷体" w:cs="Calibri"/>
          <w:sz w:val="21"/>
          <w:szCs w:val="21"/>
        </w:rPr>
      </w:pPr>
      <w:r>
        <w:rPr>
          <w:rFonts w:hint="eastAsia" w:ascii="楷体" w:hAnsi="楷体" w:eastAsia="楷体" w:cs="Calibri"/>
          <w:sz w:val="21"/>
          <w:szCs w:val="21"/>
        </w:rPr>
        <w:t>管理人全部公募产品持有单只证券或单只公募证券投资基金的市值，不得超过该证券市值或该公募证券投资基金市值的</w:t>
      </w:r>
      <w:r>
        <w:rPr>
          <w:rFonts w:ascii="楷体" w:hAnsi="楷体" w:eastAsia="楷体" w:cs="Calibri"/>
          <w:sz w:val="21"/>
          <w:szCs w:val="21"/>
        </w:rPr>
        <w:t>30%</w:t>
      </w:r>
      <w:r>
        <w:rPr>
          <w:rFonts w:hint="eastAsia" w:ascii="楷体" w:hAnsi="楷体" w:eastAsia="楷体" w:cs="Calibri"/>
          <w:sz w:val="21"/>
          <w:szCs w:val="21"/>
        </w:rPr>
        <w:t>。</w:t>
      </w:r>
    </w:p>
    <w:p>
      <w:pPr>
        <w:numPr>
          <w:ilvl w:val="0"/>
          <w:numId w:val="13"/>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sz w:val="21"/>
          <w:szCs w:val="21"/>
          <w:highlight w:val="none"/>
        </w:rPr>
        <w:t>管理人全部产品持有单一上市公司发行的股票，不得超过该上市公司可流通股票的30%。</w:t>
      </w:r>
    </w:p>
    <w:p>
      <w:pPr>
        <w:ind w:firstLine="420" w:firstLineChars="200"/>
        <w:rPr>
          <w:rFonts w:hint="eastAsia" w:ascii="楷体" w:hAnsi="楷体" w:eastAsia="楷体"/>
          <w:sz w:val="21"/>
          <w:szCs w:val="21"/>
        </w:rPr>
      </w:pPr>
      <w:r>
        <w:rPr>
          <w:rFonts w:hint="eastAsia" w:ascii="楷体" w:hAnsi="楷体" w:eastAsia="楷体"/>
          <w:sz w:val="21"/>
          <w:szCs w:val="21"/>
        </w:rPr>
        <w:t>金融监督管理部门另有规定的除外。</w:t>
      </w:r>
    </w:p>
    <w:p>
      <w:pPr>
        <w:ind w:firstLine="420" w:firstLineChars="200"/>
        <w:rPr>
          <w:rFonts w:hint="eastAsia" w:ascii="楷体" w:hAnsi="楷体" w:eastAsia="楷体"/>
          <w:sz w:val="21"/>
          <w:szCs w:val="21"/>
        </w:rPr>
      </w:pPr>
      <w:r>
        <w:rPr>
          <w:rFonts w:hint="eastAsia" w:ascii="楷体" w:hAnsi="楷体" w:eastAsia="楷体"/>
          <w:sz w:val="21"/>
          <w:szCs w:val="21"/>
        </w:rPr>
        <w:t>非因管理人主观因素导致突破上述比例限制的，产品管理人在流动性受限资产可出售、可转让或者恢复交易的</w:t>
      </w:r>
      <w:r>
        <w:rPr>
          <w:rFonts w:ascii="楷体" w:hAnsi="楷体" w:eastAsia="楷体"/>
          <w:sz w:val="21"/>
          <w:szCs w:val="21"/>
        </w:rPr>
        <w:t>1</w:t>
      </w:r>
      <w:r>
        <w:rPr>
          <w:rFonts w:hint="eastAsia" w:ascii="楷体" w:hAnsi="楷体" w:eastAsia="楷体"/>
          <w:sz w:val="21"/>
          <w:szCs w:val="21"/>
        </w:rPr>
        <w:t>0个交易日内调整至符合要求。</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杠杆水平限制</w:t>
      </w:r>
    </w:p>
    <w:p>
      <w:pPr>
        <w:ind w:firstLine="420" w:firstLineChars="200"/>
        <w:rPr>
          <w:rFonts w:hint="eastAsia" w:ascii="楷体" w:hAnsi="楷体" w:eastAsia="楷体"/>
          <w:sz w:val="21"/>
          <w:szCs w:val="21"/>
        </w:rPr>
      </w:pPr>
      <w:r>
        <w:rPr>
          <w:rFonts w:hint="eastAsia" w:ascii="楷体" w:hAnsi="楷体" w:eastAsia="楷体"/>
          <w:sz w:val="21"/>
          <w:szCs w:val="21"/>
        </w:rPr>
        <w:t>本理财产品资产总值/理财产品资产净值不超过140%（如监管有最新规定的参照监管规定调整）。</w:t>
      </w:r>
    </w:p>
    <w:p>
      <w:pPr>
        <w:numPr>
          <w:ilvl w:val="0"/>
          <w:numId w:val="11"/>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投资范围调整</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11"/>
        </w:numPr>
        <w:tabs>
          <w:tab w:val="left" w:pos="993"/>
        </w:tabs>
        <w:ind w:left="0" w:firstLine="422" w:firstLineChars="200"/>
        <w:outlineLvl w:val="2"/>
        <w:rPr>
          <w:rFonts w:hint="eastAsia" w:ascii="楷体" w:hAnsi="楷体" w:eastAsia="楷体" w:cs="Calibri"/>
          <w:b/>
          <w:sz w:val="21"/>
          <w:szCs w:val="21"/>
          <w:lang w:val="en-US" w:eastAsia="zh-CN"/>
        </w:rPr>
      </w:pPr>
      <w:r>
        <w:rPr>
          <w:rFonts w:hint="eastAsia" w:ascii="楷体" w:hAnsi="楷体" w:eastAsia="楷体" w:cs="Calibri"/>
          <w:b/>
          <w:sz w:val="21"/>
          <w:szCs w:val="21"/>
          <w:lang w:val="en-US" w:eastAsia="zh-CN"/>
        </w:rPr>
        <w:t>投资合作机构</w:t>
      </w:r>
    </w:p>
    <w:p>
      <w:pPr>
        <w:ind w:firstLine="420" w:firstLineChars="200"/>
        <w:rPr>
          <w:rFonts w:hint="eastAsia" w:ascii="楷体" w:hAnsi="楷体" w:eastAsia="楷体"/>
          <w:sz w:val="21"/>
          <w:szCs w:val="21"/>
        </w:rPr>
      </w:pPr>
      <w:r>
        <w:rPr>
          <w:rFonts w:hint="eastAsia" w:ascii="楷体" w:hAnsi="楷体" w:eastAsia="楷体"/>
          <w:sz w:val="21"/>
          <w:szCs w:val="21"/>
        </w:rPr>
        <w:t>投资合作机构主要职责是对理财产品受托资金进行投资管理，苏银理财已按投资决策流程对投资合作机构进行了准入，并持续开展投资合作机构的存续期管理。本产品投资合作机构</w:t>
      </w:r>
      <w:r>
        <w:rPr>
          <w:rFonts w:hint="eastAsia" w:ascii="楷体" w:hAnsi="楷体" w:eastAsia="楷体"/>
          <w:sz w:val="21"/>
          <w:szCs w:val="21"/>
          <w:lang w:val="en-US" w:eastAsia="zh-CN"/>
        </w:rPr>
        <w:t>如下</w:t>
      </w:r>
      <w:r>
        <w:rPr>
          <w:rFonts w:hint="eastAsia" w:ascii="楷体" w:hAnsi="楷体" w:eastAsia="楷体"/>
          <w:sz w:val="21"/>
          <w:szCs w:val="21"/>
        </w:rPr>
        <w:t>：</w:t>
      </w:r>
    </w:p>
    <w:p>
      <w:pPr>
        <w:ind w:firstLine="420" w:firstLineChars="200"/>
        <w:rPr>
          <w:rFonts w:hint="eastAsia" w:ascii="楷体" w:hAnsi="楷体" w:eastAsia="楷体"/>
          <w:b w:val="0"/>
          <w:bCs w:val="0"/>
          <w:sz w:val="21"/>
          <w:szCs w:val="21"/>
          <w:lang w:val="en-US" w:eastAsia="zh-CN"/>
        </w:rPr>
      </w:pP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1 \* GB3 \* MERGEFORMAT </w:instrText>
      </w:r>
      <w:r>
        <w:rPr>
          <w:rFonts w:hint="default" w:ascii="Calibri" w:hAnsi="Calibri" w:eastAsia="楷体" w:cs="Calibri"/>
          <w:b w:val="0"/>
          <w:bCs w:val="0"/>
          <w:sz w:val="21"/>
          <w:szCs w:val="21"/>
        </w:rPr>
        <w:fldChar w:fldCharType="separate"/>
      </w:r>
      <w:r>
        <w:t>①</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弘业期货股份有限公司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弘业期货股份有限公司是经中国证监会批准设立的大型期货公司，总部位于江苏南京，公司在北京、上海、深圳等国内主要金融中心和重点城市设立40多家营业部和分公司。</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2 \* GB3 \* MERGEFORMAT </w:instrText>
      </w:r>
      <w:r>
        <w:rPr>
          <w:rFonts w:hint="default" w:ascii="Calibri" w:hAnsi="Calibri" w:eastAsia="楷体" w:cs="Calibri"/>
          <w:b w:val="0"/>
          <w:bCs w:val="0"/>
          <w:sz w:val="21"/>
          <w:szCs w:val="21"/>
        </w:rPr>
        <w:fldChar w:fldCharType="separate"/>
      </w:r>
      <w:r>
        <w:t>②</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江苏省国际信托有限责任公司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3 \* GB3 \* MERGEFORMAT </w:instrText>
      </w:r>
      <w:r>
        <w:rPr>
          <w:rFonts w:hint="default" w:ascii="Calibri" w:hAnsi="Calibri" w:eastAsia="楷体" w:cs="Calibri"/>
          <w:b w:val="0"/>
          <w:bCs w:val="0"/>
          <w:sz w:val="21"/>
          <w:szCs w:val="21"/>
        </w:rPr>
        <w:fldChar w:fldCharType="separate"/>
      </w:r>
      <w:r>
        <w:t>③</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创金合信基金管理有限公司</w:t>
      </w:r>
      <w:r>
        <w:rPr>
          <w:rFonts w:hint="eastAsia" w:ascii="楷体" w:hAnsi="楷体" w:eastAsia="楷体"/>
          <w:b w:val="0"/>
          <w:bCs w:val="0"/>
          <w:sz w:val="21"/>
          <w:szCs w:val="21"/>
          <w:lang w:eastAsia="zh-CN"/>
        </w:rPr>
        <w:t>：</w:t>
      </w:r>
      <w:r>
        <w:rPr>
          <w:rFonts w:ascii="楷体" w:hAnsi="楷体" w:eastAsia="楷体"/>
          <w:b w:val="0"/>
          <w:bCs w:val="0"/>
          <w:sz w:val="21"/>
          <w:szCs w:val="21"/>
        </w:rPr>
        <w:t>创金合信基金管理有限公司成立于2014年7月9日，由第一创业证券股份有限公司、深圳市金合信投资合伙企业（有限合伙）共同发起设立，注册地为深圳。</w:t>
      </w:r>
      <w:r>
        <w:rPr>
          <w:rFonts w:ascii="楷体" w:hAnsi="楷体" w:eastAsia="楷体"/>
          <w:b w:val="0"/>
          <w:bCs w:val="0"/>
          <w:sz w:val="21"/>
          <w:szCs w:val="21"/>
        </w:rPr>
        <w:fldChar w:fldCharType="begin"/>
      </w:r>
      <w:r>
        <w:rPr>
          <w:rFonts w:ascii="楷体" w:hAnsi="楷体" w:eastAsia="楷体"/>
          <w:b w:val="0"/>
          <w:bCs w:val="0"/>
          <w:sz w:val="21"/>
          <w:szCs w:val="21"/>
        </w:rPr>
        <w:instrText xml:space="preserve"> = 4 \* GB3 \* MERGEFORMAT </w:instrText>
      </w:r>
      <w:r>
        <w:rPr>
          <w:rFonts w:ascii="楷体" w:hAnsi="楷体" w:eastAsia="楷体"/>
          <w:b w:val="0"/>
          <w:bCs w:val="0"/>
          <w:sz w:val="21"/>
          <w:szCs w:val="21"/>
        </w:rPr>
        <w:fldChar w:fldCharType="separate"/>
      </w:r>
      <w:r>
        <w:t>④</w:t>
      </w:r>
      <w:r>
        <w:rPr>
          <w:rFonts w:ascii="楷体" w:hAnsi="楷体" w:eastAsia="楷体"/>
          <w:b w:val="0"/>
          <w:bCs w:val="0"/>
          <w:sz w:val="21"/>
          <w:szCs w:val="21"/>
        </w:rPr>
        <w:fldChar w:fldCharType="end"/>
      </w:r>
      <w:r>
        <w:rPr>
          <w:rFonts w:hint="eastAsia" w:ascii="楷体" w:hAnsi="楷体" w:eastAsia="楷体"/>
          <w:b w:val="0"/>
          <w:bCs w:val="0"/>
          <w:sz w:val="21"/>
          <w:szCs w:val="21"/>
          <w:lang w:val="en-US" w:eastAsia="zh-CN"/>
        </w:rPr>
        <w:t>华鑫国际信托有限公司：华鑫国际信托有限公司于2010年2月获得中国银行业监督管理委员会批准重新登记，并于同年3月正式挂牌开业，实际控制人为中国华电集团有限公司，注册资本73.95亿元。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5 \* GB3 \* MERGEFORMAT </w:instrText>
      </w:r>
      <w:r>
        <w:rPr>
          <w:rFonts w:hint="eastAsia" w:ascii="楷体" w:hAnsi="楷体" w:eastAsia="楷体"/>
          <w:b w:val="0"/>
          <w:bCs w:val="0"/>
          <w:sz w:val="21"/>
          <w:szCs w:val="21"/>
          <w:lang w:val="en-US" w:eastAsia="zh-CN"/>
        </w:rPr>
        <w:fldChar w:fldCharType="separate"/>
      </w:r>
      <w:r>
        <w:t>⑤</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中国国际金融股份有限公司：中国国际金融股份有限公司于1995年7月31日成立，实际控制人为中央汇金投资有限责任公司，注册资本4,827,256,868元。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6 \* GB3 \* MERGEFORMAT </w:instrText>
      </w:r>
      <w:r>
        <w:rPr>
          <w:rFonts w:hint="eastAsia" w:ascii="楷体" w:hAnsi="楷体" w:eastAsia="楷体"/>
          <w:b w:val="0"/>
          <w:bCs w:val="0"/>
          <w:sz w:val="21"/>
          <w:szCs w:val="21"/>
          <w:lang w:val="en-US" w:eastAsia="zh-CN"/>
        </w:rPr>
        <w:fldChar w:fldCharType="separate"/>
      </w:r>
      <w:r>
        <w:t>⑥</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粮信托有限责任公司：中粮信托有限责任公司成立于2009年7月27日，是中国银行保险监督管理委员会核准的国有控股金融机构，注册资本28.3095亿元，前三大股东分别为中粮资本投资有限公司、蒙特利尔银行、中粮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7 \* GB3 \* MERGEFORMAT </w:instrText>
      </w:r>
      <w:r>
        <w:rPr>
          <w:rFonts w:hint="eastAsia" w:ascii="楷体" w:hAnsi="楷体" w:eastAsia="楷体"/>
          <w:b w:val="0"/>
          <w:bCs w:val="0"/>
          <w:sz w:val="21"/>
          <w:szCs w:val="21"/>
          <w:lang w:val="en-US" w:eastAsia="zh-CN"/>
        </w:rPr>
        <w:fldChar w:fldCharType="separate"/>
      </w:r>
      <w:r>
        <w:t>⑦</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对外经济贸易信托有限公司：中国对外经济贸易信托有限公司成立于1987年9月30日，是中国银行保险监督管理委员会核准的国有控股金融机构，注册资本80亿元，股东为中化资本有限公司和中化集团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8 \* GB3 \* MERGEFORMAT </w:instrText>
      </w:r>
      <w:r>
        <w:rPr>
          <w:rFonts w:hint="eastAsia" w:ascii="楷体" w:hAnsi="楷体" w:eastAsia="楷体"/>
          <w:b w:val="0"/>
          <w:bCs w:val="0"/>
          <w:sz w:val="21"/>
          <w:szCs w:val="21"/>
          <w:lang w:val="en-US" w:eastAsia="zh-CN"/>
        </w:rPr>
        <w:fldChar w:fldCharType="separate"/>
      </w:r>
      <w:r>
        <w:t>⑧</w:t>
      </w:r>
      <w:r>
        <w:rPr>
          <w:rFonts w:hint="eastAsia" w:ascii="楷体" w:hAnsi="楷体" w:eastAsia="楷体"/>
          <w:b w:val="0"/>
          <w:bCs w:val="0"/>
          <w:sz w:val="21"/>
          <w:szCs w:val="21"/>
          <w:lang w:val="en-US" w:eastAsia="zh-CN"/>
        </w:rPr>
        <w:fldChar w:fldCharType="end"/>
      </w:r>
      <w:r>
        <w:rPr>
          <w:rFonts w:hint="default" w:ascii="楷体" w:hAnsi="楷体" w:eastAsia="楷体"/>
          <w:b w:val="0"/>
          <w:bCs w:val="0"/>
          <w:sz w:val="21"/>
          <w:szCs w:val="21"/>
          <w:lang w:val="en-US" w:eastAsia="zh-CN"/>
        </w:rPr>
        <w:t>南方资本管理有限公司</w:t>
      </w:r>
      <w:r>
        <w:rPr>
          <w:rFonts w:hint="eastAsia" w:ascii="楷体" w:hAnsi="楷体" w:eastAsia="楷体"/>
          <w:b w:val="0"/>
          <w:bCs w:val="0"/>
          <w:sz w:val="21"/>
          <w:szCs w:val="21"/>
          <w:lang w:val="en-US" w:eastAsia="zh-CN"/>
        </w:rPr>
        <w:t>：</w:t>
      </w:r>
      <w:r>
        <w:rPr>
          <w:rFonts w:hint="default" w:ascii="楷体" w:hAnsi="楷体" w:eastAsia="楷体"/>
          <w:b w:val="0"/>
          <w:bCs w:val="0"/>
          <w:sz w:val="21"/>
          <w:szCs w:val="21"/>
          <w:lang w:val="en-US" w:eastAsia="zh-CN"/>
        </w:rPr>
        <w:t>南方资本管理有限公司成立于2013年11月14日，注册资本5.42亿元人民币，注册地为深圳前海。经中国证监会核准，南方资本业务范围为特定客户资产管理业务以及中国证监会许可的其他业务。公司股东为南方基金管理股份有限公司（100%）。</w:t>
      </w:r>
      <w:r>
        <w:rPr>
          <w:rFonts w:hint="default" w:ascii="楷体" w:hAnsi="楷体" w:eastAsia="楷体"/>
          <w:b w:val="0"/>
          <w:bCs w:val="0"/>
          <w:sz w:val="21"/>
          <w:szCs w:val="21"/>
          <w:lang w:val="en-US" w:eastAsia="zh-CN"/>
        </w:rPr>
        <w:fldChar w:fldCharType="begin"/>
      </w:r>
      <w:r>
        <w:rPr>
          <w:rFonts w:hint="default" w:ascii="楷体" w:hAnsi="楷体" w:eastAsia="楷体"/>
          <w:b w:val="0"/>
          <w:bCs w:val="0"/>
          <w:sz w:val="21"/>
          <w:szCs w:val="21"/>
          <w:lang w:val="en-US" w:eastAsia="zh-CN"/>
        </w:rPr>
        <w:instrText xml:space="preserve"> = 9 \* GB3 \* MERGEFORMAT </w:instrText>
      </w:r>
      <w:r>
        <w:rPr>
          <w:rFonts w:hint="default" w:ascii="楷体" w:hAnsi="楷体" w:eastAsia="楷体"/>
          <w:b w:val="0"/>
          <w:bCs w:val="0"/>
          <w:sz w:val="21"/>
          <w:szCs w:val="21"/>
          <w:lang w:val="en-US" w:eastAsia="zh-CN"/>
        </w:rPr>
        <w:fldChar w:fldCharType="separate"/>
      </w:r>
      <w:r>
        <w:t>⑨</w:t>
      </w:r>
      <w:r>
        <w:rPr>
          <w:rFonts w:hint="default"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国联证券股份有限公司：国联证券股份有限公司1992 年11月成立，前身为无锡市证券公司，2008年5月通过改制更名为国联证券股份有限公司，注册地为无锡市，注册资本28.3亿元人民币。</w:t>
      </w:r>
    </w:p>
    <w:p>
      <w:pPr>
        <w:ind w:firstLine="420" w:firstLineChars="200"/>
        <w:rPr>
          <w:sz w:val="21"/>
          <w:szCs w:val="21"/>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变化，管理人将按照监管规定和内部管理制度要求对合作机构进行准入，签署相关协议后，披露新增的投资合作机构。</w:t>
      </w:r>
    </w:p>
    <w:p>
      <w:pPr>
        <w:numPr>
          <w:ilvl w:val="0"/>
          <w:numId w:val="6"/>
        </w:numPr>
        <w:tabs>
          <w:tab w:val="left" w:pos="1134"/>
        </w:tabs>
        <w:ind w:firstLine="422" w:firstLineChars="200"/>
        <w:outlineLvl w:val="1"/>
        <w:rPr>
          <w:rFonts w:ascii="楷体" w:hAnsi="楷体" w:eastAsia="楷体"/>
          <w:b/>
          <w:sz w:val="21"/>
          <w:szCs w:val="21"/>
        </w:rPr>
      </w:pPr>
      <w:r>
        <w:rPr>
          <w:rFonts w:hint="eastAsia" w:ascii="楷体" w:hAnsi="楷体" w:eastAsia="楷体"/>
          <w:b/>
          <w:sz w:val="21"/>
          <w:szCs w:val="21"/>
        </w:rPr>
        <w:t>产品认购</w:t>
      </w:r>
    </w:p>
    <w:p>
      <w:pPr>
        <w:numPr>
          <w:ilvl w:val="0"/>
          <w:numId w:val="14"/>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以及认购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14"/>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numPr>
          <w:ilvl w:val="-1"/>
          <w:numId w:val="0"/>
        </w:numPr>
        <w:ind w:left="0" w:firstLine="420" w:firstLineChars="20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lang w:val="en-US" w:eastAsia="zh-CN"/>
        </w:rPr>
        <w:t>认购份额=认购金额/产品份额面值，认购份额以四舍五入的方法保留到小数点后两位。</w:t>
      </w:r>
    </w:p>
    <w:p>
      <w:pPr>
        <w:numPr>
          <w:ilvl w:val="0"/>
          <w:numId w:val="6"/>
        </w:numPr>
        <w:tabs>
          <w:tab w:val="left" w:pos="1134"/>
        </w:tabs>
        <w:ind w:firstLine="422" w:firstLineChars="200"/>
        <w:outlineLvl w:val="1"/>
        <w:rPr>
          <w:rFonts w:hint="eastAsia"/>
          <w:sz w:val="21"/>
          <w:szCs w:val="21"/>
        </w:rPr>
      </w:pPr>
      <w:r>
        <w:rPr>
          <w:rFonts w:hint="eastAsia" w:ascii="楷体" w:hAnsi="楷体" w:eastAsia="楷体"/>
          <w:b/>
          <w:sz w:val="21"/>
          <w:szCs w:val="21"/>
          <w:highlight w:val="none"/>
        </w:rPr>
        <w:t>产品申购、赎回</w:t>
      </w:r>
    </w:p>
    <w:p>
      <w:pPr>
        <w:numPr>
          <w:ilvl w:val="0"/>
          <w:numId w:val="15"/>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投资周期、开放计划</w:t>
      </w:r>
    </w:p>
    <w:p>
      <w:pPr>
        <w:ind w:firstLine="420" w:firstLineChars="200"/>
        <w:rPr>
          <w:rFonts w:hint="eastAsia" w:ascii="楷体" w:hAnsi="楷体" w:eastAsia="楷体"/>
          <w:sz w:val="21"/>
          <w:szCs w:val="21"/>
        </w:rPr>
      </w:pPr>
      <w:r>
        <w:rPr>
          <w:rFonts w:hint="eastAsia" w:ascii="楷体" w:hAnsi="楷体" w:eastAsia="楷体"/>
          <w:sz w:val="21"/>
          <w:szCs w:val="21"/>
        </w:rPr>
        <w:t>本产品在每个投资周期结束前设置开放计划，时间为投资周期终止日前7</w:t>
      </w:r>
      <w:r>
        <w:rPr>
          <w:rFonts w:hint="eastAsia" w:ascii="楷体" w:hAnsi="楷体" w:eastAsia="楷体"/>
          <w:sz w:val="21"/>
          <w:szCs w:val="21"/>
          <w:lang w:val="en-US" w:eastAsia="zh-CN"/>
        </w:rPr>
        <w:t>个工作</w:t>
      </w:r>
      <w:r>
        <w:rPr>
          <w:rFonts w:hint="eastAsia" w:ascii="楷体" w:hAnsi="楷体" w:eastAsia="楷体"/>
          <w:sz w:val="21"/>
          <w:szCs w:val="21"/>
        </w:rPr>
        <w:t>日（含投资周期终止日），开放计划最后一日（即投资周期终止日）为开放日。投资者可在开放计划时间内通过销售机构提出申购/赎回申请（以各销售机构设置的开放时间为准），</w:t>
      </w:r>
      <w:r>
        <w:rPr>
          <w:rFonts w:hint="eastAsia" w:ascii="楷体" w:hAnsi="楷体" w:eastAsia="楷体"/>
          <w:b/>
          <w:sz w:val="21"/>
          <w:szCs w:val="21"/>
          <w:u w:val="single"/>
        </w:rPr>
        <w:t>除开放计划外的其他时间，管理人不接受投资者申购、赎回申请。</w:t>
      </w:r>
      <w:r>
        <w:rPr>
          <w:rFonts w:hint="eastAsia" w:ascii="楷体" w:hAnsi="楷体" w:eastAsia="楷体" w:cs="Calibri"/>
          <w:sz w:val="21"/>
          <w:szCs w:val="21"/>
        </w:rPr>
        <w:t>后续投资周期及开放计划受资产运作情况、节假日安排等要素限制，管理人将在每个投资周期结束前通过本理财产品说明书约定的方式披露下一周期开放计划。</w:t>
      </w:r>
    </w:p>
    <w:p>
      <w:pPr>
        <w:numPr>
          <w:ilvl w:val="0"/>
          <w:numId w:val="15"/>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申购、赎回的规则</w:t>
      </w:r>
    </w:p>
    <w:p>
      <w:pPr>
        <w:numPr>
          <w:ilvl w:val="0"/>
          <w:numId w:val="1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申购、赎回的原则：投资者必须在产品开放计划内提出申购、赎回申请</w:t>
      </w:r>
      <w:r>
        <w:rPr>
          <w:rFonts w:hint="eastAsia" w:ascii="楷体" w:hAnsi="楷体" w:eastAsia="楷体" w:cs="Calibri"/>
          <w:sz w:val="21"/>
          <w:szCs w:val="21"/>
          <w:lang w:eastAsia="zh-CN"/>
        </w:rPr>
        <w:t>，</w:t>
      </w:r>
      <w:r>
        <w:rPr>
          <w:rFonts w:hint="eastAsia" w:ascii="楷体" w:hAnsi="楷体" w:eastAsia="楷体" w:cs="Calibri"/>
          <w:sz w:val="21"/>
          <w:szCs w:val="21"/>
        </w:rPr>
        <w:t>采用金额申购、份额赎回的原则，即申购以金额申请，赎回以份额申请。投资者提出申购申请时，须备足购买资金</w:t>
      </w:r>
      <w:r>
        <w:rPr>
          <w:rFonts w:hint="eastAsia" w:ascii="楷体" w:hAnsi="楷体" w:eastAsia="楷体" w:cs="Calibri"/>
          <w:sz w:val="21"/>
          <w:szCs w:val="21"/>
          <w:lang w:val="en-US" w:eastAsia="zh-CN"/>
        </w:rPr>
        <w:t>；</w:t>
      </w:r>
      <w:r>
        <w:rPr>
          <w:rFonts w:hint="eastAsia" w:ascii="楷体" w:hAnsi="楷体" w:eastAsia="楷体" w:cs="Calibri"/>
          <w:sz w:val="21"/>
          <w:szCs w:val="21"/>
        </w:rPr>
        <w:t>投资者提出赎回申请时，须有足够的理财产品份额余额。在开放计划内提交的申购/赎回申请可以在产品开放日</w:t>
      </w:r>
      <w:r>
        <w:rPr>
          <w:rFonts w:hint="eastAsia" w:ascii="楷体" w:hAnsi="楷体" w:eastAsia="楷体" w:cs="Calibri"/>
          <w:sz w:val="21"/>
          <w:szCs w:val="21"/>
          <w:lang w:val="en-US" w:eastAsia="zh-CN"/>
        </w:rPr>
        <w:t>闭市</w:t>
      </w:r>
      <w:r>
        <w:rPr>
          <w:rFonts w:hint="eastAsia" w:ascii="楷体" w:hAnsi="楷体" w:eastAsia="楷体" w:cs="Calibri"/>
          <w:sz w:val="21"/>
          <w:szCs w:val="21"/>
        </w:rPr>
        <w:t>前撤销，之后不得撤销。</w:t>
      </w:r>
      <w:r>
        <w:rPr>
          <w:rFonts w:hint="eastAsia" w:ascii="楷体" w:hAnsi="楷体" w:eastAsia="楷体"/>
          <w:sz w:val="21"/>
          <w:szCs w:val="21"/>
        </w:rPr>
        <w:t>（</w:t>
      </w:r>
      <w:r>
        <w:rPr>
          <w:rFonts w:hint="eastAsia" w:ascii="楷体" w:hAnsi="楷体" w:eastAsia="楷体" w:cs="Calibri"/>
          <w:sz w:val="21"/>
          <w:szCs w:val="21"/>
          <w:lang w:val="en-US" w:eastAsia="zh-CN"/>
        </w:rPr>
        <w:t>闭市时间</w:t>
      </w:r>
      <w:r>
        <w:rPr>
          <w:rFonts w:hint="eastAsia" w:ascii="楷体" w:hAnsi="楷体" w:eastAsia="楷体"/>
          <w:sz w:val="21"/>
          <w:szCs w:val="21"/>
        </w:rPr>
        <w:t>以各销售机构设置为准）</w:t>
      </w:r>
    </w:p>
    <w:p>
      <w:pPr>
        <w:numPr>
          <w:ilvl w:val="0"/>
          <w:numId w:val="1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确认：投资者申购/赎回本产品时采用“未知价”原则，投资者在开放计划时间内通过销售机构提出的申购/赎回申请，管理人于开放日后1个工作日按开放日单位净值对申购/赎回申请予以统一确认，未赎回的份额自动进入下一个投资周期。</w:t>
      </w:r>
    </w:p>
    <w:p>
      <w:pPr>
        <w:ind w:firstLine="420" w:firstLineChars="200"/>
        <w:rPr>
          <w:rFonts w:hint="eastAsia" w:ascii="楷体" w:hAnsi="楷体" w:eastAsia="楷体"/>
          <w:sz w:val="21"/>
          <w:szCs w:val="21"/>
          <w:highlight w:val="none"/>
        </w:rPr>
      </w:pPr>
      <w:r>
        <w:rPr>
          <w:rFonts w:hint="eastAsia" w:ascii="楷体" w:hAnsi="楷体" w:eastAsia="楷体" w:cs="Calibri"/>
          <w:sz w:val="21"/>
          <w:szCs w:val="21"/>
          <w:highlight w:val="none"/>
          <w:lang w:val="en-US" w:eastAsia="zh-CN"/>
        </w:rPr>
        <w:t>管理人在份额登记日对投资者的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申请登记成功后并收到投资者全额交付的款项，视为投资者的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申请生效。投资者应在</w:t>
      </w:r>
      <w:r>
        <w:rPr>
          <w:rFonts w:hint="eastAsia" w:ascii="楷体" w:hAnsi="楷体" w:eastAsia="楷体"/>
          <w:sz w:val="21"/>
          <w:szCs w:val="21"/>
          <w:highlight w:val="none"/>
        </w:rPr>
        <w:t>开放日后</w:t>
      </w:r>
      <w:r>
        <w:rPr>
          <w:rFonts w:hint="eastAsia" w:ascii="楷体" w:hAnsi="楷体" w:eastAsia="楷体" w:cs="Calibri"/>
          <w:sz w:val="21"/>
          <w:szCs w:val="21"/>
          <w:highlight w:val="none"/>
          <w:lang w:val="en-US" w:eastAsia="zh-CN"/>
        </w:rPr>
        <w:t>及时查询最终的成交情况以及</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和销售机构的事由出现，造成申购</w:t>
      </w:r>
      <w:r>
        <w:rPr>
          <w:rFonts w:hint="eastAsia" w:ascii="楷体" w:hAnsi="楷体" w:eastAsia="楷体" w:cs="Calibri"/>
          <w:sz w:val="21"/>
          <w:szCs w:val="21"/>
          <w:highlight w:val="none"/>
          <w:lang w:val="en-US" w:eastAsia="zh-CN"/>
        </w:rPr>
        <w:t>申请</w:t>
      </w:r>
      <w:r>
        <w:rPr>
          <w:rFonts w:hint="eastAsia" w:ascii="楷体" w:hAnsi="楷体" w:eastAsia="楷体"/>
          <w:sz w:val="21"/>
          <w:szCs w:val="21"/>
          <w:highlight w:val="none"/>
        </w:rPr>
        <w:t>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投资者赎回资金将在确认日后2个工作日内到达投资者资金账户。</w:t>
      </w:r>
    </w:p>
    <w:p>
      <w:pPr>
        <w:numPr>
          <w:ilvl w:val="0"/>
          <w:numId w:val="15"/>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申购份额的计算</w:t>
      </w:r>
    </w:p>
    <w:p>
      <w:pPr>
        <w:ind w:firstLine="420" w:firstLineChars="200"/>
        <w:rPr>
          <w:rFonts w:hint="eastAsia" w:ascii="楷体" w:hAnsi="楷体" w:eastAsia="楷体"/>
          <w:sz w:val="21"/>
          <w:szCs w:val="21"/>
        </w:rPr>
      </w:pPr>
      <w:r>
        <w:rPr>
          <w:rFonts w:hint="eastAsia" w:ascii="楷体" w:hAnsi="楷体" w:eastAsia="楷体"/>
          <w:sz w:val="21"/>
          <w:szCs w:val="21"/>
        </w:rPr>
        <w:t>申购份额=申购金额/开放日产品单位净值</w:t>
      </w:r>
      <w:r>
        <w:rPr>
          <w:rFonts w:hint="eastAsia" w:ascii="楷体" w:hAnsi="楷体" w:eastAsia="楷体"/>
          <w:sz w:val="21"/>
          <w:szCs w:val="21"/>
          <w:lang w:eastAsia="zh-CN"/>
        </w:rPr>
        <w:t>，</w:t>
      </w:r>
      <w:r>
        <w:rPr>
          <w:rFonts w:hint="eastAsia" w:ascii="楷体" w:hAnsi="楷体" w:eastAsia="楷体"/>
          <w:sz w:val="21"/>
          <w:szCs w:val="21"/>
        </w:rPr>
        <w:t>申购份额以四舍五入的方法保留到小数点后两位</w:t>
      </w:r>
    </w:p>
    <w:p>
      <w:pPr>
        <w:numPr>
          <w:ilvl w:val="0"/>
          <w:numId w:val="15"/>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赎回金额的计算</w:t>
      </w:r>
    </w:p>
    <w:p>
      <w:pPr>
        <w:ind w:firstLine="420" w:firstLineChars="200"/>
        <w:rPr>
          <w:rFonts w:hint="eastAsia" w:ascii="楷体" w:hAnsi="楷体" w:eastAsia="楷体"/>
          <w:sz w:val="21"/>
          <w:szCs w:val="21"/>
        </w:rPr>
      </w:pPr>
      <w:r>
        <w:rPr>
          <w:rFonts w:hint="eastAsia" w:ascii="楷体" w:hAnsi="楷体" w:eastAsia="楷体"/>
          <w:sz w:val="21"/>
          <w:szCs w:val="21"/>
        </w:rPr>
        <w:t>赎回金额=赎回份额*开放日产品单位净值</w:t>
      </w:r>
      <w:r>
        <w:rPr>
          <w:rFonts w:hint="eastAsia" w:ascii="楷体" w:hAnsi="楷体" w:eastAsia="楷体"/>
          <w:sz w:val="21"/>
          <w:szCs w:val="21"/>
          <w:lang w:eastAsia="zh-CN"/>
        </w:rPr>
        <w:t>，</w:t>
      </w:r>
      <w:r>
        <w:rPr>
          <w:rFonts w:hint="eastAsia" w:ascii="楷体" w:hAnsi="楷体" w:eastAsia="楷体"/>
          <w:sz w:val="21"/>
          <w:szCs w:val="21"/>
        </w:rPr>
        <w:t>赎回金额以四舍五入的方法保留到小数点后两位</w:t>
      </w:r>
    </w:p>
    <w:p>
      <w:pPr>
        <w:numPr>
          <w:ilvl w:val="0"/>
          <w:numId w:val="15"/>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巨额赎回</w:t>
      </w:r>
      <w:r>
        <w:rPr>
          <w:rFonts w:hint="eastAsia" w:ascii="楷体" w:hAnsi="楷体" w:eastAsia="楷体" w:cs="Calibri"/>
          <w:b/>
          <w:sz w:val="21"/>
          <w:szCs w:val="21"/>
          <w:lang w:eastAsia="zh-CN"/>
        </w:rPr>
        <w:t>：</w:t>
      </w:r>
      <w:r>
        <w:rPr>
          <w:rFonts w:hint="eastAsia" w:ascii="楷体" w:hAnsi="楷体" w:eastAsia="楷体" w:cs="Calibri"/>
          <w:b/>
          <w:sz w:val="21"/>
          <w:szCs w:val="21"/>
          <w:lang w:val="en-US" w:eastAsia="zh-CN"/>
        </w:rPr>
        <w:t>详见“产品要素”</w:t>
      </w:r>
    </w:p>
    <w:p>
      <w:pPr>
        <w:numPr>
          <w:ilvl w:val="0"/>
          <w:numId w:val="15"/>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特殊情形及处理</w:t>
      </w:r>
    </w:p>
    <w:p>
      <w:pPr>
        <w:ind w:firstLine="422" w:firstLineChars="200"/>
        <w:rPr>
          <w:rFonts w:ascii="楷体" w:hAnsi="楷体" w:eastAsia="楷体"/>
          <w:b/>
          <w:bCs/>
          <w:sz w:val="21"/>
          <w:szCs w:val="21"/>
        </w:rPr>
      </w:pPr>
      <w:r>
        <w:rPr>
          <w:rFonts w:ascii="楷体" w:hAnsi="楷体" w:eastAsia="楷体"/>
          <w:b/>
          <w:bCs/>
          <w:sz w:val="21"/>
          <w:szCs w:val="21"/>
        </w:rPr>
        <w:t>1.</w:t>
      </w:r>
      <w:r>
        <w:rPr>
          <w:rFonts w:hint="eastAsia" w:ascii="楷体" w:hAnsi="楷体" w:eastAsia="楷体"/>
          <w:b/>
          <w:bCs/>
          <w:sz w:val="21"/>
          <w:szCs w:val="21"/>
        </w:rPr>
        <w:t>除以下情形外，管理人不得拒绝接受或暂停接受投资者的申购申请：</w:t>
      </w:r>
    </w:p>
    <w:p>
      <w:pPr>
        <w:numPr>
          <w:ilvl w:val="0"/>
          <w:numId w:val="0"/>
        </w:numPr>
        <w:tabs>
          <w:tab w:val="left" w:pos="728"/>
        </w:tabs>
        <w:ind w:left="0" w:leftChars="0" w:firstLine="420" w:firstLineChars="200"/>
        <w:rPr>
          <w:rFonts w:ascii="楷体" w:hAnsi="楷体" w:eastAsia="楷体" w:cs="Calibri"/>
          <w:sz w:val="21"/>
          <w:szCs w:val="21"/>
        </w:rPr>
      </w:pPr>
      <w:r>
        <w:rPr>
          <w:rFonts w:hint="eastAsia" w:ascii="楷体" w:hAnsi="楷体" w:eastAsia="楷体" w:cs="Calibri"/>
          <w:sz w:val="21"/>
          <w:szCs w:val="21"/>
        </w:rPr>
        <w:t>（1）不可抗力的原因导致产品无法正常运作</w:t>
      </w:r>
      <w:r>
        <w:rPr>
          <w:rFonts w:hint="eastAsia" w:ascii="楷体" w:hAnsi="楷体" w:eastAsia="楷体" w:cs="Calibri"/>
          <w:sz w:val="21"/>
          <w:szCs w:val="21"/>
          <w:lang w:eastAsia="zh-CN"/>
        </w:rPr>
        <w:t>；</w:t>
      </w:r>
      <w:r>
        <w:rPr>
          <w:rFonts w:hint="eastAsia" w:ascii="楷体" w:hAnsi="楷体" w:eastAsia="楷体" w:cs="Calibri"/>
          <w:sz w:val="21"/>
          <w:szCs w:val="21"/>
        </w:rPr>
        <w:t>（2）超出产品单一投资者持有上限</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3</w:t>
      </w:r>
      <w:r>
        <w:rPr>
          <w:rFonts w:hint="eastAsia" w:ascii="楷体" w:hAnsi="楷体" w:eastAsia="楷体" w:cs="Calibri"/>
          <w:sz w:val="21"/>
          <w:szCs w:val="21"/>
        </w:rPr>
        <w:t>）发生《理财产品说明书》约定的暂停估值的情形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4</w:t>
      </w:r>
      <w:r>
        <w:rPr>
          <w:rFonts w:hint="eastAsia" w:ascii="楷体" w:hAnsi="楷体" w:eastAsia="楷体" w:cs="Calibri"/>
          <w:sz w:val="21"/>
          <w:szCs w:val="21"/>
        </w:rPr>
        <w:t>）管理人接受某笔或者某些申购申请有可能导致单一投资者持有理财计划份额的比例达到或者超过50%的情形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5</w:t>
      </w:r>
      <w:r>
        <w:rPr>
          <w:rFonts w:hint="eastAsia" w:ascii="楷体" w:hAnsi="楷体" w:eastAsia="楷体" w:cs="Calibri"/>
          <w:sz w:val="21"/>
          <w:szCs w:val="21"/>
        </w:rPr>
        <w:t>）当接受某笔或某些申购申请可能对存量理财计划份额持有人利益构成潜在重大不利影响时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6</w:t>
      </w:r>
      <w:r>
        <w:rPr>
          <w:rFonts w:hint="eastAsia" w:ascii="楷体" w:hAnsi="楷体" w:eastAsia="楷体" w:cs="Calibri"/>
          <w:sz w:val="21"/>
          <w:szCs w:val="21"/>
        </w:rPr>
        <w:t>）法律、法规规定认定的其他情形。</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若管理人决定拒绝接受或暂停接受投资者的申购申请，则将会在3个交易日内根据《理财产品说明书》约定的信息披露方式向投资者进行信息披露。若投资者的全部或部分申购申请被拒绝，被拒绝申购款项本金将退还给投资者，管理人不承担申购款项在该期间所产生的利息等损失。在上述暂停或拒绝申购的情况消除后，管理人将及时恢复申购业务的办理。</w:t>
      </w:r>
    </w:p>
    <w:p>
      <w:pPr>
        <w:ind w:firstLine="422" w:firstLineChars="200"/>
        <w:rPr>
          <w:rFonts w:ascii="楷体" w:hAnsi="楷体" w:eastAsia="楷体"/>
          <w:b/>
          <w:bCs/>
          <w:sz w:val="21"/>
          <w:szCs w:val="21"/>
        </w:rPr>
      </w:pPr>
      <w:r>
        <w:rPr>
          <w:rFonts w:ascii="楷体" w:hAnsi="楷体" w:eastAsia="楷体"/>
          <w:b/>
          <w:bCs/>
          <w:sz w:val="21"/>
          <w:szCs w:val="21"/>
        </w:rPr>
        <w:t>2.</w:t>
      </w:r>
      <w:r>
        <w:rPr>
          <w:rFonts w:hint="eastAsia" w:ascii="楷体" w:hAnsi="楷体" w:eastAsia="楷体"/>
          <w:b/>
          <w:bCs/>
          <w:sz w:val="21"/>
          <w:szCs w:val="21"/>
        </w:rPr>
        <w:t>除以下情形外，管理人不得暂停接受投资者的赎回申请或延缓支付赎回款项：</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（1）不可抗力的原因导致管理人不能支付赎回款项</w:t>
      </w:r>
      <w:r>
        <w:rPr>
          <w:rFonts w:hint="eastAsia" w:ascii="楷体" w:hAnsi="楷体" w:eastAsia="楷体" w:cs="Calibri"/>
          <w:sz w:val="21"/>
          <w:szCs w:val="21"/>
          <w:lang w:eastAsia="zh-CN"/>
        </w:rPr>
        <w:t>；</w:t>
      </w:r>
      <w:r>
        <w:rPr>
          <w:rFonts w:hint="eastAsia" w:ascii="楷体" w:hAnsi="楷体" w:eastAsia="楷体" w:cs="Calibri"/>
          <w:sz w:val="21"/>
          <w:szCs w:val="21"/>
        </w:rPr>
        <w:t>（2）触发巨额赎回条款</w:t>
      </w:r>
      <w:r>
        <w:rPr>
          <w:rFonts w:hint="eastAsia" w:ascii="楷体" w:hAnsi="楷体" w:eastAsia="楷体" w:cs="Calibri"/>
          <w:sz w:val="21"/>
          <w:szCs w:val="21"/>
          <w:lang w:eastAsia="zh-CN"/>
        </w:rPr>
        <w:t>；</w:t>
      </w:r>
      <w:r>
        <w:rPr>
          <w:rFonts w:hint="eastAsia" w:ascii="楷体" w:hAnsi="楷体" w:eastAsia="楷体" w:cs="Calibri"/>
          <w:sz w:val="21"/>
          <w:szCs w:val="21"/>
        </w:rPr>
        <w:t>（3）发生《理财产品说明书》约定的暂停估值的情形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（4）当接受某笔或某些赎回申请可能对存量理财计划份额持有人利益构成潜在重大不利影响时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（5）发生单个投资者单个开放日申请赎回理财计划份额超过理财产品总份额10%的情形</w:t>
      </w:r>
      <w:r>
        <w:rPr>
          <w:rFonts w:hint="eastAsia" w:ascii="楷体" w:hAnsi="楷体" w:eastAsia="楷体" w:cs="Calibri"/>
          <w:sz w:val="21"/>
          <w:szCs w:val="21"/>
          <w:lang w:eastAsia="zh-CN"/>
        </w:rPr>
        <w:t>；</w:t>
      </w:r>
      <w:r>
        <w:rPr>
          <w:rFonts w:hint="eastAsia" w:ascii="楷体" w:hAnsi="楷体" w:eastAsia="楷体" w:cs="Calibri"/>
          <w:sz w:val="21"/>
          <w:szCs w:val="21"/>
        </w:rPr>
        <w:t>（6）法律、法规规定认定的其他情形。</w:t>
      </w:r>
    </w:p>
    <w:p>
      <w:pPr>
        <w:numPr>
          <w:ilvl w:val="0"/>
          <w:numId w:val="0"/>
        </w:numPr>
        <w:tabs>
          <w:tab w:val="left" w:pos="728"/>
        </w:tabs>
        <w:ind w:firstLine="420" w:firstLineChars="200"/>
        <w:rPr>
          <w:rFonts w:hint="eastAsia" w:ascii="楷体" w:hAnsi="楷体" w:eastAsia="楷体" w:cs="Calibri"/>
          <w:sz w:val="21"/>
          <w:szCs w:val="21"/>
        </w:rPr>
      </w:pPr>
      <w:r>
        <w:rPr>
          <w:rFonts w:hint="eastAsia" w:ascii="楷体" w:hAnsi="楷体" w:eastAsia="楷体" w:cs="Calibri"/>
          <w:sz w:val="21"/>
          <w:szCs w:val="21"/>
        </w:rPr>
        <w:t>若管理人决定</w:t>
      </w:r>
      <w:r>
        <w:rPr>
          <w:rFonts w:hint="eastAsia" w:ascii="楷体" w:hAnsi="楷体" w:eastAsia="楷体"/>
          <w:sz w:val="21"/>
          <w:szCs w:val="21"/>
        </w:rPr>
        <w:t>暂停接受投资者的赎回申请或延缓支付赎回款项</w:t>
      </w:r>
      <w:r>
        <w:rPr>
          <w:rFonts w:hint="eastAsia" w:ascii="楷体" w:hAnsi="楷体" w:eastAsia="楷体" w:cs="Calibri"/>
          <w:sz w:val="21"/>
          <w:szCs w:val="21"/>
        </w:rPr>
        <w:t>，则将会在3个交易日内根据《理财产品说明书》约定的信息披露方式向投资者进行信息披露。若投资者的全部或部分赎回申请被拒绝，投资者可将当日未能受理部分予以撤销。在上述</w:t>
      </w:r>
      <w:r>
        <w:rPr>
          <w:rFonts w:hint="eastAsia" w:ascii="楷体" w:hAnsi="楷体" w:eastAsia="楷体"/>
          <w:sz w:val="21"/>
          <w:szCs w:val="21"/>
        </w:rPr>
        <w:t>暂停接受投资者的赎回申请或延缓支付赎回款项的情况消除后</w:t>
      </w:r>
      <w:r>
        <w:rPr>
          <w:rFonts w:hint="eastAsia" w:ascii="楷体" w:hAnsi="楷体" w:eastAsia="楷体" w:cs="Calibri"/>
          <w:sz w:val="21"/>
          <w:szCs w:val="21"/>
        </w:rPr>
        <w:t>，管理人将及时恢复申购业务的办理。</w:t>
      </w:r>
    </w:p>
    <w:p>
      <w:pPr>
        <w:numPr>
          <w:ilvl w:val="0"/>
          <w:numId w:val="6"/>
        </w:numPr>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收益分配</w:t>
      </w:r>
    </w:p>
    <w:p>
      <w:pPr>
        <w:ind w:firstLine="420" w:firstLineChars="200"/>
        <w:rPr>
          <w:rFonts w:hint="eastAsia" w:ascii="楷体" w:hAnsi="楷体" w:eastAsia="楷体"/>
          <w:sz w:val="21"/>
          <w:szCs w:val="21"/>
        </w:rPr>
      </w:pPr>
      <w:r>
        <w:rPr>
          <w:rFonts w:hint="eastAsia" w:ascii="楷体" w:hAnsi="楷体" w:eastAsia="楷体"/>
          <w:sz w:val="21"/>
          <w:szCs w:val="21"/>
        </w:rPr>
        <w:t>本产品</w:t>
      </w:r>
      <w:r>
        <w:rPr>
          <w:rFonts w:hint="eastAsia" w:ascii="楷体" w:hAnsi="楷体" w:eastAsia="楷体"/>
          <w:sz w:val="21"/>
          <w:szCs w:val="21"/>
          <w:lang w:val="en-US" w:eastAsia="zh-CN"/>
        </w:rPr>
        <w:t>计划</w:t>
      </w:r>
      <w:r>
        <w:rPr>
          <w:rFonts w:hint="eastAsia" w:ascii="楷体" w:hAnsi="楷体" w:eastAsia="楷体"/>
          <w:sz w:val="21"/>
          <w:szCs w:val="21"/>
        </w:rPr>
        <w:t>按投资周期进行现金分红。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将于投资周期终止日后2个工作日内分配至投资者资金账户。</w:t>
      </w:r>
    </w:p>
    <w:p>
      <w:pPr>
        <w:ind w:firstLine="422" w:firstLineChars="200"/>
        <w:rPr>
          <w:rFonts w:hint="eastAsia" w:ascii="楷体" w:hAnsi="楷体" w:eastAsia="楷体"/>
          <w:sz w:val="21"/>
          <w:szCs w:val="21"/>
          <w:lang w:eastAsia="zh-CN"/>
        </w:rPr>
      </w:pPr>
      <w:r>
        <w:rPr>
          <w:rFonts w:hint="eastAsia" w:ascii="楷体" w:hAnsi="楷体" w:eastAsia="楷体"/>
          <w:b/>
          <w:sz w:val="21"/>
          <w:szCs w:val="21"/>
          <w:u w:val="single"/>
        </w:rPr>
        <w:t>以下示例均为假设情况，不代表本产品实际投资业绩</w:t>
      </w:r>
      <w:r>
        <w:rPr>
          <w:rFonts w:hint="eastAsia" w:ascii="楷体" w:hAnsi="楷体" w:eastAsia="楷体"/>
          <w:b/>
          <w:sz w:val="21"/>
          <w:szCs w:val="21"/>
          <w:u w:val="single"/>
          <w:lang w:eastAsia="zh-CN"/>
        </w:rPr>
        <w:t>。</w:t>
      </w:r>
    </w:p>
    <w:p>
      <w:pPr>
        <w:ind w:firstLine="420" w:firstLineChars="200"/>
        <w:rPr>
          <w:rFonts w:hint="eastAsia" w:ascii="楷体" w:hAnsi="楷体" w:eastAsia="楷体"/>
          <w:sz w:val="21"/>
          <w:szCs w:val="21"/>
        </w:rPr>
      </w:pPr>
      <w:r>
        <w:rPr>
          <w:rFonts w:hint="eastAsia" w:ascii="楷体" w:hAnsi="楷体" w:eastAsia="楷体"/>
          <w:sz w:val="21"/>
          <w:szCs w:val="21"/>
        </w:rPr>
        <w:t>1.情景一</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假定投资者在该投资周期持有该产品的份额为10,000.00份，该投资周期扣除固定费用（包括托管费、销售服务费、投资管理费）、运作产品所必须缴纳的税费、提取业绩报酬（如有）后，产品单位净值为1.0</w:t>
      </w:r>
      <w:r>
        <w:rPr>
          <w:rFonts w:hint="eastAsia" w:ascii="楷体" w:hAnsi="楷体" w:eastAsia="楷体"/>
          <w:sz w:val="21"/>
          <w:szCs w:val="21"/>
          <w:lang w:val="en-US" w:eastAsia="zh-CN"/>
        </w:rPr>
        <w:t>3</w:t>
      </w:r>
      <w:r>
        <w:rPr>
          <w:rFonts w:hint="eastAsia" w:ascii="楷体" w:hAnsi="楷体" w:eastAsia="楷体"/>
          <w:sz w:val="21"/>
          <w:szCs w:val="21"/>
        </w:rPr>
        <w:t>20。理财产品单位净值大于面值，管理人可进行现金分红，每份额可获得的现金分红为0.0</w:t>
      </w:r>
      <w:r>
        <w:rPr>
          <w:rFonts w:hint="eastAsia" w:ascii="楷体" w:hAnsi="楷体" w:eastAsia="楷体"/>
          <w:sz w:val="21"/>
          <w:szCs w:val="21"/>
          <w:lang w:val="en-US" w:eastAsia="zh-CN"/>
        </w:rPr>
        <w:t>3</w:t>
      </w:r>
      <w:r>
        <w:rPr>
          <w:rFonts w:hint="eastAsia" w:ascii="楷体" w:hAnsi="楷体" w:eastAsia="楷体"/>
          <w:sz w:val="21"/>
          <w:szCs w:val="21"/>
        </w:rPr>
        <w:t>20。</w:t>
      </w:r>
    </w:p>
    <w:p>
      <w:pPr>
        <w:ind w:firstLine="420" w:firstLineChars="200"/>
        <w:rPr>
          <w:rFonts w:hint="eastAsia" w:ascii="楷体" w:hAnsi="楷体" w:eastAsia="楷体"/>
          <w:sz w:val="21"/>
          <w:szCs w:val="21"/>
        </w:rPr>
      </w:pPr>
      <w:r>
        <w:rPr>
          <w:rFonts w:hint="eastAsia" w:ascii="楷体" w:hAnsi="楷体" w:eastAsia="楷体"/>
          <w:sz w:val="21"/>
          <w:szCs w:val="21"/>
        </w:rPr>
        <w:t>该投资周期投资者可得分红=10,000.00×0.0</w:t>
      </w:r>
      <w:r>
        <w:rPr>
          <w:rFonts w:hint="eastAsia" w:ascii="楷体" w:hAnsi="楷体" w:eastAsia="楷体"/>
          <w:sz w:val="21"/>
          <w:szCs w:val="21"/>
          <w:lang w:val="en-US" w:eastAsia="zh-CN"/>
        </w:rPr>
        <w:t>3</w:t>
      </w:r>
      <w:r>
        <w:rPr>
          <w:rFonts w:hint="eastAsia" w:ascii="楷体" w:hAnsi="楷体" w:eastAsia="楷体"/>
          <w:sz w:val="21"/>
          <w:szCs w:val="21"/>
        </w:rPr>
        <w:t>20=</w:t>
      </w:r>
      <w:r>
        <w:rPr>
          <w:rFonts w:hint="eastAsia" w:ascii="楷体" w:hAnsi="楷体" w:eastAsia="楷体"/>
          <w:sz w:val="21"/>
          <w:szCs w:val="21"/>
          <w:lang w:val="en-US" w:eastAsia="zh-CN"/>
        </w:rPr>
        <w:t>3</w:t>
      </w:r>
      <w:r>
        <w:rPr>
          <w:rFonts w:hint="eastAsia" w:ascii="楷体" w:hAnsi="楷体" w:eastAsia="楷体"/>
          <w:sz w:val="21"/>
          <w:szCs w:val="21"/>
        </w:rPr>
        <w:t>20.00（元）</w:t>
      </w:r>
    </w:p>
    <w:p>
      <w:pPr>
        <w:ind w:firstLine="420" w:firstLineChars="200"/>
        <w:rPr>
          <w:rFonts w:hint="eastAsia" w:ascii="楷体" w:hAnsi="楷体" w:eastAsia="楷体"/>
          <w:sz w:val="21"/>
          <w:szCs w:val="21"/>
        </w:rPr>
      </w:pPr>
      <w:r>
        <w:rPr>
          <w:rFonts w:hint="eastAsia" w:ascii="楷体" w:hAnsi="楷体" w:eastAsia="楷体"/>
          <w:sz w:val="21"/>
          <w:szCs w:val="21"/>
        </w:rPr>
        <w:t>2.情景二</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0.9975。理财产品单位净值小于面值，该投资周期无现金分红。</w:t>
      </w:r>
    </w:p>
    <w:p>
      <w:pPr>
        <w:ind w:firstLine="422" w:firstLineChars="200"/>
        <w:rPr>
          <w:rFonts w:hint="eastAsia"/>
          <w:sz w:val="21"/>
          <w:szCs w:val="21"/>
        </w:rPr>
      </w:pPr>
      <w:r>
        <w:rPr>
          <w:rFonts w:hint="eastAsia" w:ascii="楷体" w:hAnsi="楷体" w:eastAsia="楷体"/>
          <w:b/>
          <w:sz w:val="21"/>
          <w:szCs w:val="21"/>
          <w:u w:val="single"/>
        </w:rPr>
        <w:t>上述情况假设仅用于向投资者示例现金分红计算方法之用，并不代表管理人对实际分红情况的预期判断，也不代表以上所有情形或某一情形一定会发生，或管理人认为发生的可能性很大。投资者获得的最终</w:t>
      </w:r>
      <w:r>
        <w:rPr>
          <w:rFonts w:hint="eastAsia" w:ascii="楷体" w:hAnsi="楷体" w:eastAsia="楷体"/>
          <w:b/>
          <w:sz w:val="21"/>
          <w:szCs w:val="21"/>
          <w:u w:val="single"/>
          <w:lang w:val="en-US" w:eastAsia="zh-CN"/>
        </w:rPr>
        <w:t>收益</w:t>
      </w:r>
      <w:r>
        <w:rPr>
          <w:rFonts w:hint="eastAsia" w:ascii="楷体" w:hAnsi="楷体" w:eastAsia="楷体"/>
          <w:b/>
          <w:sz w:val="21"/>
          <w:szCs w:val="21"/>
          <w:u w:val="single"/>
        </w:rPr>
        <w:t>以产品实际运作表现及管理人实际支付为准。</w:t>
      </w:r>
    </w:p>
    <w:p>
      <w:pPr>
        <w:numPr>
          <w:ilvl w:val="0"/>
          <w:numId w:val="6"/>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rPr>
        <w:t>产品终止</w:t>
      </w:r>
    </w:p>
    <w:p>
      <w:pPr>
        <w:numPr>
          <w:ilvl w:val="0"/>
          <w:numId w:val="0"/>
        </w:numPr>
        <w:tabs>
          <w:tab w:val="left" w:pos="728"/>
        </w:tabs>
        <w:ind w:leftChars="200"/>
        <w:rPr>
          <w:rFonts w:hint="eastAsia" w:ascii="楷体" w:hAnsi="楷体" w:eastAsia="楷体" w:cs="Calibri"/>
          <w:sz w:val="21"/>
          <w:szCs w:val="21"/>
        </w:rPr>
      </w:pPr>
      <w:r>
        <w:rPr>
          <w:rFonts w:hint="eastAsia" w:ascii="楷体" w:hAnsi="楷体" w:eastAsia="楷体" w:cs="Calibri"/>
          <w:sz w:val="21"/>
          <w:szCs w:val="21"/>
          <w:lang w:eastAsia="zh-CN"/>
        </w:rPr>
        <w:t>（</w:t>
      </w:r>
      <w:r>
        <w:rPr>
          <w:rFonts w:hint="eastAsia" w:ascii="楷体" w:hAnsi="楷体" w:eastAsia="楷体" w:cs="Calibri"/>
          <w:sz w:val="21"/>
          <w:szCs w:val="21"/>
          <w:lang w:val="en-US" w:eastAsia="zh-CN"/>
        </w:rPr>
        <w:t>一）</w:t>
      </w:r>
      <w:r>
        <w:rPr>
          <w:rFonts w:hint="eastAsia" w:ascii="楷体" w:hAnsi="楷体" w:eastAsia="楷体" w:cs="Calibri"/>
          <w:sz w:val="21"/>
          <w:szCs w:val="21"/>
        </w:rPr>
        <w:t>提前终止</w:t>
      </w:r>
    </w:p>
    <w:p>
      <w:pPr>
        <w:numPr>
          <w:ilvl w:val="-1"/>
          <w:numId w:val="0"/>
        </w:numPr>
        <w:ind w:left="0" w:firstLine="420" w:firstLineChars="200"/>
        <w:rPr>
          <w:rFonts w:ascii="楷体" w:hAnsi="楷体" w:eastAsia="楷体" w:cs="Calibri"/>
          <w:sz w:val="21"/>
          <w:szCs w:val="21"/>
        </w:rPr>
      </w:pPr>
      <w:r>
        <w:rPr>
          <w:rFonts w:hint="eastAsia" w:ascii="楷体" w:hAnsi="楷体" w:eastAsia="楷体"/>
          <w:color w:val="auto"/>
          <w:sz w:val="21"/>
          <w:szCs w:val="21"/>
        </w:rPr>
        <w:t>在理财产品投资运作期间内，投资者无权要求提前终止该理财产品。在理财产品投资运作期间内，当出现下列情形之一时，产品管理人有权部分或全部终止本产品：</w:t>
      </w:r>
      <w:r>
        <w:rPr>
          <w:rFonts w:hint="eastAsia" w:ascii="楷体" w:hAnsi="楷体" w:eastAsia="楷体" w:cs="Calibri"/>
          <w:color w:val="auto"/>
          <w:sz w:val="21"/>
          <w:szCs w:val="21"/>
        </w:rPr>
        <w:t>因不可抗力原因导致理财产品无法继续运作</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rPr>
        <w:t>因法律法规变化或国家金融政策调整、紧急措施出台影响产品继续正常运作</w:t>
      </w:r>
      <w:r>
        <w:rPr>
          <w:rFonts w:hint="eastAsia" w:ascii="楷体" w:hAnsi="楷体" w:eastAsia="楷体" w:cs="Calibri"/>
          <w:color w:val="auto"/>
          <w:sz w:val="21"/>
          <w:szCs w:val="21"/>
          <w:lang w:eastAsia="zh-CN"/>
        </w:rPr>
        <w:t>；</w:t>
      </w:r>
      <w:r>
        <w:rPr>
          <w:rFonts w:hint="eastAsia" w:ascii="楷体" w:hAnsi="楷体" w:eastAsia="楷体" w:cs="Calibri"/>
          <w:sz w:val="21"/>
          <w:szCs w:val="21"/>
          <w:lang w:val="en-US" w:eastAsia="zh-CN"/>
        </w:rPr>
        <w:t>理财产品所投资产提前到期；</w:t>
      </w:r>
      <w:r>
        <w:rPr>
          <w:rFonts w:hint="eastAsia" w:ascii="楷体" w:hAnsi="楷体" w:eastAsia="楷体" w:cs="Calibri"/>
          <w:color w:val="auto"/>
          <w:sz w:val="21"/>
          <w:szCs w:val="21"/>
        </w:rPr>
        <w:t>提前终止产品比维持产品运作更有利于保护投资者权益</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rPr>
        <w:t>法律法规规定或监管部门认定的其他情形</w:t>
      </w:r>
      <w:r>
        <w:rPr>
          <w:rFonts w:hint="eastAsia" w:ascii="楷体" w:hAnsi="楷体" w:eastAsia="楷体" w:cs="Calibri"/>
          <w:sz w:val="21"/>
          <w:szCs w:val="21"/>
          <w:lang w:val="en-US" w:eastAsia="zh-CN"/>
        </w:rPr>
        <w:t>，以及管理人有合理理由认为影响本理财产品正常运作的其他情形</w:t>
      </w:r>
      <w:r>
        <w:rPr>
          <w:rFonts w:hint="eastAsia" w:ascii="楷体" w:hAnsi="楷体" w:eastAsia="楷体" w:cs="Calibri"/>
          <w:sz w:val="21"/>
          <w:szCs w:val="21"/>
        </w:rPr>
        <w:t>。</w:t>
      </w:r>
    </w:p>
    <w:p>
      <w:pPr>
        <w:ind w:firstLine="420" w:firstLineChars="200"/>
        <w:rPr>
          <w:rFonts w:hint="eastAsia" w:ascii="楷体" w:hAnsi="楷体" w:eastAsia="楷体"/>
          <w:sz w:val="21"/>
          <w:szCs w:val="21"/>
          <w:highlight w:val="none"/>
        </w:rPr>
      </w:pPr>
      <w:r>
        <w:rPr>
          <w:rFonts w:hint="eastAsia" w:ascii="楷体" w:hAnsi="楷体" w:eastAsia="楷体"/>
          <w:color w:val="auto"/>
          <w:sz w:val="21"/>
          <w:szCs w:val="21"/>
        </w:rPr>
        <w:t>如管理人提前终止本理财产品，将至少提前2个工作日（含）按说明书约定的信息披露方式予以披露</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明确</w:t>
      </w:r>
      <w:r>
        <w:rPr>
          <w:rFonts w:hint="eastAsia" w:ascii="楷体" w:hAnsi="楷体" w:eastAsia="楷体" w:cs="Times New Roman"/>
          <w:color w:val="auto"/>
          <w:sz w:val="21"/>
          <w:szCs w:val="21"/>
        </w:rPr>
        <w:t>提前终止日</w:t>
      </w:r>
      <w:r>
        <w:rPr>
          <w:rFonts w:hint="eastAsia" w:ascii="楷体" w:hAnsi="楷体" w:eastAsia="楷体"/>
          <w:color w:val="auto"/>
          <w:sz w:val="21"/>
          <w:szCs w:val="21"/>
        </w:rPr>
        <w:t>。</w:t>
      </w:r>
      <w:r>
        <w:rPr>
          <w:rFonts w:hint="eastAsia" w:ascii="楷体" w:hAnsi="楷体" w:eastAsia="楷体"/>
          <w:sz w:val="21"/>
          <w:szCs w:val="21"/>
          <w:lang w:val="en-US" w:eastAsia="zh-CN"/>
        </w:rPr>
        <w:t>投资者的投资本金和收益（如有）将于</w:t>
      </w:r>
      <w:r>
        <w:rPr>
          <w:rFonts w:hint="eastAsia" w:ascii="楷体" w:hAnsi="楷体" w:eastAsia="楷体" w:cs="Times New Roman"/>
          <w:color w:val="auto"/>
          <w:sz w:val="21"/>
          <w:szCs w:val="21"/>
        </w:rPr>
        <w:t>提前终止日</w:t>
      </w:r>
      <w:r>
        <w:rPr>
          <w:rFonts w:hint="eastAsia" w:ascii="楷体" w:hAnsi="楷体" w:eastAsia="楷体"/>
          <w:sz w:val="21"/>
          <w:szCs w:val="21"/>
          <w:lang w:val="en-US" w:eastAsia="zh-CN"/>
        </w:rPr>
        <w:t>后5个工作日以内划至投资者指定账户，如遇法定节假日则相应顺延。</w:t>
      </w:r>
      <w:r>
        <w:rPr>
          <w:rFonts w:hint="eastAsia" w:ascii="楷体" w:hAnsi="楷体" w:eastAsia="楷体"/>
          <w:color w:val="auto"/>
          <w:sz w:val="21"/>
          <w:szCs w:val="21"/>
        </w:rPr>
        <w:t>理财产品提前终止日（含当日）</w:t>
      </w:r>
      <w:r>
        <w:rPr>
          <w:rFonts w:hint="eastAsia" w:ascii="楷体" w:hAnsi="楷体" w:eastAsia="楷体"/>
          <w:sz w:val="21"/>
          <w:szCs w:val="21"/>
          <w:lang w:val="en-US" w:eastAsia="zh-CN"/>
        </w:rPr>
        <w:t>至资金实际到账日之间，投资者资金不计息</w:t>
      </w:r>
      <w:r>
        <w:rPr>
          <w:rFonts w:hint="eastAsia" w:ascii="楷体" w:hAnsi="楷体" w:eastAsia="楷体"/>
          <w:sz w:val="21"/>
          <w:szCs w:val="21"/>
          <w:highlight w:val="none"/>
        </w:rPr>
        <w:t>。</w:t>
      </w:r>
    </w:p>
    <w:p>
      <w:pPr>
        <w:numPr>
          <w:ilvl w:val="0"/>
          <w:numId w:val="0"/>
        </w:numPr>
        <w:tabs>
          <w:tab w:val="left" w:pos="993"/>
        </w:tabs>
        <w:ind w:leftChars="200"/>
        <w:rPr>
          <w:rFonts w:hint="eastAsia" w:ascii="楷体" w:hAnsi="楷体" w:eastAsia="楷体" w:cs="Calibri"/>
          <w:b w:val="0"/>
          <w:color w:val="auto"/>
          <w:sz w:val="21"/>
          <w:szCs w:val="21"/>
        </w:rPr>
      </w:pPr>
      <w:r>
        <w:rPr>
          <w:rFonts w:hint="eastAsia" w:ascii="楷体" w:hAnsi="楷体" w:eastAsia="楷体" w:cs="Calibri"/>
          <w:b w:val="0"/>
          <w:color w:val="auto"/>
          <w:sz w:val="21"/>
          <w:szCs w:val="21"/>
          <w:lang w:val="en-US" w:eastAsia="zh-CN"/>
        </w:rPr>
        <w:t>（二）正常终止</w:t>
      </w:r>
    </w:p>
    <w:p>
      <w:pPr>
        <w:ind w:firstLine="420" w:firstLineChars="200"/>
        <w:rPr>
          <w:rFonts w:hint="eastAsia" w:ascii="楷体" w:hAnsi="楷体" w:eastAsia="楷体"/>
          <w:sz w:val="21"/>
          <w:szCs w:val="21"/>
          <w:highlight w:val="none"/>
        </w:rPr>
      </w:pPr>
      <w:r>
        <w:rPr>
          <w:rFonts w:hint="eastAsia" w:ascii="楷体" w:hAnsi="楷体" w:eastAsia="楷体"/>
          <w:sz w:val="21"/>
          <w:szCs w:val="21"/>
          <w:lang w:val="en-US" w:eastAsia="zh-CN"/>
        </w:rPr>
        <w:t>投资者持有本理财产品至产品到期日，投资者的投资本金和收益（如有）将在产品到期后一次性支付。理财产品正常终止的，投资者的投资本金和收益（如有）将于产品到期日后5个工作日以内划至投资者指定账户，如遇法定节假日则相应顺延。</w:t>
      </w:r>
      <w:r>
        <w:rPr>
          <w:rFonts w:hint="eastAsia" w:ascii="楷体" w:hAnsi="楷体" w:eastAsia="楷体" w:cs="Calibri"/>
          <w:sz w:val="21"/>
          <w:szCs w:val="21"/>
        </w:rPr>
        <w:t>超过5个工作日的，将依约定进行公告</w:t>
      </w:r>
      <w:r>
        <w:rPr>
          <w:rFonts w:hint="eastAsia" w:ascii="楷体" w:hAnsi="楷体" w:eastAsia="楷体" w:cs="Calibri"/>
          <w:sz w:val="21"/>
          <w:szCs w:val="21"/>
          <w:lang w:eastAsia="zh-CN"/>
        </w:rPr>
        <w:t>。</w:t>
      </w:r>
      <w:r>
        <w:rPr>
          <w:rFonts w:hint="eastAsia" w:ascii="楷体" w:hAnsi="楷体" w:eastAsia="楷体"/>
          <w:sz w:val="21"/>
          <w:szCs w:val="21"/>
          <w:lang w:val="en-US" w:eastAsia="zh-CN"/>
        </w:rPr>
        <w:t>产品到期日</w:t>
      </w:r>
      <w:r>
        <w:rPr>
          <w:rFonts w:hint="eastAsia" w:ascii="楷体" w:hAnsi="楷体" w:eastAsia="楷体"/>
          <w:color w:val="auto"/>
          <w:sz w:val="21"/>
          <w:szCs w:val="21"/>
        </w:rPr>
        <w:t>（含当日）</w:t>
      </w:r>
      <w:r>
        <w:rPr>
          <w:rFonts w:hint="eastAsia" w:ascii="楷体" w:hAnsi="楷体" w:eastAsia="楷体"/>
          <w:sz w:val="21"/>
          <w:szCs w:val="21"/>
          <w:lang w:val="en-US" w:eastAsia="zh-CN"/>
        </w:rPr>
        <w:t>至资金实际到账日之间，投资者资金不计息</w:t>
      </w:r>
      <w:r>
        <w:rPr>
          <w:rFonts w:hint="eastAsia" w:ascii="楷体" w:hAnsi="楷体" w:eastAsia="楷体"/>
          <w:sz w:val="21"/>
          <w:szCs w:val="21"/>
          <w:highlight w:val="none"/>
          <w:lang w:val="en-US" w:eastAsia="zh-CN"/>
        </w:rPr>
        <w:t>。</w:t>
      </w:r>
    </w:p>
    <w:p>
      <w:pPr>
        <w:numPr>
          <w:ilvl w:val="0"/>
          <w:numId w:val="17"/>
        </w:numPr>
        <w:ind w:firstLine="420" w:firstLineChars="20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numPr>
          <w:ilvl w:val="-1"/>
          <w:numId w:val="0"/>
        </w:numPr>
        <w:tabs>
          <w:tab w:val="left" w:pos="0"/>
        </w:tabs>
        <w:ind w:left="0" w:leftChars="0" w:firstLine="420" w:firstLineChars="200"/>
        <w:rPr>
          <w:rFonts w:hint="eastAsia" w:ascii="楷体" w:hAnsi="楷体" w:eastAsia="楷体" w:cs="Calibri"/>
          <w:color w:val="auto"/>
          <w:sz w:val="21"/>
          <w:szCs w:val="21"/>
          <w:lang w:eastAsia="zh-CN"/>
        </w:rPr>
      </w:pPr>
      <w:r>
        <w:rPr>
          <w:rFonts w:hint="eastAsia" w:ascii="楷体" w:hAnsi="楷体" w:eastAsia="楷体"/>
          <w:color w:val="auto"/>
          <w:sz w:val="21"/>
          <w:szCs w:val="21"/>
        </w:rPr>
        <w:t>出现以下情况，产品管理人有权延长本理财产品</w:t>
      </w:r>
      <w:r>
        <w:rPr>
          <w:rFonts w:hint="eastAsia" w:ascii="楷体" w:hAnsi="楷体" w:eastAsia="楷体"/>
          <w:color w:val="auto"/>
          <w:sz w:val="21"/>
          <w:szCs w:val="21"/>
          <w:lang w:val="en-US" w:eastAsia="zh-CN"/>
        </w:rPr>
        <w:t>的到期</w:t>
      </w:r>
      <w:r>
        <w:rPr>
          <w:rFonts w:hint="eastAsia" w:ascii="楷体" w:hAnsi="楷体" w:eastAsia="楷体"/>
          <w:color w:val="auto"/>
          <w:sz w:val="21"/>
          <w:szCs w:val="21"/>
        </w:rPr>
        <w:t>日：</w:t>
      </w:r>
      <w:r>
        <w:rPr>
          <w:rFonts w:hint="eastAsia" w:ascii="楷体" w:hAnsi="楷体" w:eastAsia="楷体" w:cs="Calibri"/>
          <w:color w:val="auto"/>
          <w:sz w:val="21"/>
          <w:szCs w:val="21"/>
        </w:rPr>
        <w:t>产品终止日遇非工作日则顺延至下一工作日，投资者资金到账日将相应调整；因市场成交量不足、资产限制赎回、暂停交易、缺乏意愿交易对手</w:t>
      </w:r>
      <w:r>
        <w:rPr>
          <w:rFonts w:hint="eastAsia" w:ascii="楷体" w:hAnsi="楷体" w:eastAsia="楷体" w:cs="Calibri"/>
          <w:sz w:val="21"/>
          <w:szCs w:val="21"/>
          <w:highlight w:val="none"/>
          <w:lang w:eastAsia="zh-CN"/>
        </w:rPr>
        <w:t>、底层资产违约</w:t>
      </w:r>
      <w:r>
        <w:rPr>
          <w:rFonts w:hint="eastAsia" w:ascii="楷体" w:hAnsi="楷体" w:eastAsia="楷体" w:cs="Calibri"/>
          <w:color w:val="auto"/>
          <w:sz w:val="21"/>
          <w:szCs w:val="21"/>
        </w:rPr>
        <w:t>等原因，导致产品项下对应的投资标的无法及时变现；因资金在途等原因，导致未能及时收回资金；其他产品管理人认为需要延期兑付的情形</w:t>
      </w:r>
      <w:r>
        <w:rPr>
          <w:rFonts w:hint="eastAsia" w:ascii="楷体" w:hAnsi="楷体" w:eastAsia="楷体" w:cs="Calibri"/>
          <w:color w:val="auto"/>
          <w:sz w:val="21"/>
          <w:szCs w:val="21"/>
          <w:lang w:eastAsia="zh-CN"/>
        </w:rPr>
        <w:t>。</w:t>
      </w:r>
    </w:p>
    <w:p>
      <w:pPr>
        <w:numPr>
          <w:ilvl w:val="-1"/>
          <w:numId w:val="0"/>
        </w:numPr>
        <w:tabs>
          <w:tab w:val="left" w:pos="0"/>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产品管理人决定延期兑付的，将至少提前</w:t>
      </w:r>
      <w:r>
        <w:rPr>
          <w:rFonts w:ascii="楷体" w:hAnsi="楷体" w:eastAsia="楷体"/>
          <w:color w:val="auto"/>
          <w:sz w:val="21"/>
          <w:szCs w:val="21"/>
        </w:rPr>
        <w:t>2</w:t>
      </w:r>
      <w:r>
        <w:rPr>
          <w:rFonts w:hint="eastAsia" w:ascii="楷体" w:hAnsi="楷体" w:eastAsia="楷体"/>
          <w:color w:val="auto"/>
          <w:sz w:val="21"/>
          <w:szCs w:val="21"/>
        </w:rPr>
        <w:t>个工作日（含）按说明书约定的信息披露方式予以披露。</w:t>
      </w:r>
    </w:p>
    <w:p>
      <w:pPr>
        <w:numPr>
          <w:ilvl w:val="0"/>
          <w:numId w:val="0"/>
        </w:numPr>
        <w:tabs>
          <w:tab w:val="left" w:pos="993"/>
        </w:tabs>
        <w:ind w:leftChars="200"/>
        <w:rPr>
          <w:rFonts w:hint="eastAsia" w:ascii="楷体" w:hAnsi="楷体" w:eastAsia="楷体" w:cs="Calibri"/>
          <w:color w:val="auto"/>
          <w:sz w:val="21"/>
          <w:szCs w:val="21"/>
        </w:rPr>
      </w:pP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四）</w:t>
      </w: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投资者可得资金=投资者持有份额×产品到期时单位净值</w:t>
      </w:r>
      <w:r>
        <w:rPr>
          <w:rFonts w:hint="eastAsia" w:ascii="楷体" w:hAnsi="楷体" w:eastAsia="楷体"/>
          <w:color w:val="auto"/>
          <w:sz w:val="21"/>
          <w:szCs w:val="21"/>
          <w:lang w:eastAsia="zh-CN"/>
        </w:rPr>
        <w:t>，</w:t>
      </w:r>
      <w:r>
        <w:rPr>
          <w:rFonts w:hint="eastAsia" w:ascii="楷体" w:hAnsi="楷体" w:eastAsia="楷体"/>
          <w:color w:val="auto"/>
          <w:sz w:val="21"/>
          <w:szCs w:val="21"/>
        </w:rPr>
        <w:t>投资者可得资金以四舍五入的方法保留到小数点后两位。</w:t>
      </w:r>
    </w:p>
    <w:p>
      <w:pPr>
        <w:numPr>
          <w:ilvl w:val="0"/>
          <w:numId w:val="0"/>
        </w:numPr>
        <w:tabs>
          <w:tab w:val="left" w:pos="993"/>
        </w:tabs>
        <w:ind w:leftChars="200"/>
        <w:rPr>
          <w:rFonts w:hint="eastAsia" w:ascii="楷体" w:hAnsi="楷体" w:eastAsia="楷体" w:cs="Calibri"/>
          <w:color w:val="auto"/>
          <w:sz w:val="21"/>
          <w:szCs w:val="21"/>
          <w:lang w:eastAsia="zh-CN"/>
        </w:rPr>
      </w:pPr>
      <w:r>
        <w:rPr>
          <w:rFonts w:hint="eastAsia" w:ascii="楷体" w:hAnsi="楷体" w:eastAsia="楷体" w:cs="Calibri"/>
          <w:color w:val="auto"/>
          <w:sz w:val="21"/>
          <w:szCs w:val="21"/>
          <w:lang w:eastAsia="zh-CN"/>
        </w:rPr>
        <w:t>（五）终止清算</w:t>
      </w:r>
    </w:p>
    <w:p>
      <w:pPr>
        <w:numPr>
          <w:ilvl w:val="0"/>
          <w:numId w:val="0"/>
        </w:numPr>
        <w:tabs>
          <w:tab w:val="left" w:pos="993"/>
        </w:tabs>
        <w:ind w:firstLine="420" w:firstLineChars="200"/>
        <w:rPr>
          <w:rFonts w:hint="eastAsia" w:ascii="楷体" w:hAnsi="楷体" w:eastAsia="楷体" w:cs="Calibri"/>
          <w:color w:val="auto"/>
          <w:sz w:val="21"/>
          <w:szCs w:val="21"/>
          <w:lang w:eastAsia="zh-CN"/>
        </w:rPr>
      </w:pPr>
      <w:r>
        <w:rPr>
          <w:rFonts w:hint="eastAsia" w:ascii="楷体" w:hAnsi="楷体" w:eastAsia="楷体" w:cs="Calibri"/>
          <w:color w:val="auto"/>
          <w:sz w:val="21"/>
          <w:szCs w:val="21"/>
          <w:lang w:eastAsia="zh-CN"/>
        </w:rPr>
        <w:t>投资者的投资本金和收益（如有）将于产品到期日（产品终止日）后 5 个工作日以内划至投资者指定账户，如遇法定节假日或公休日则相应顺延。产品到期日（产品终止日）至资金实际到账日之间，投资者资金不计息。</w:t>
      </w:r>
    </w:p>
    <w:p>
      <w:pPr>
        <w:numPr>
          <w:ilvl w:val="0"/>
          <w:numId w:val="6"/>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lang w:val="en-US" w:eastAsia="zh-CN"/>
        </w:rPr>
        <w:t>情景示例</w:t>
      </w:r>
      <w:r>
        <w:rPr>
          <w:rFonts w:hint="eastAsia" w:ascii="楷体" w:hAnsi="楷体" w:eastAsia="楷体"/>
          <w:b/>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客户赎回/</w:t>
      </w:r>
      <w:r>
        <w:rPr>
          <w:rFonts w:hint="eastAsia" w:ascii="楷体" w:hAnsi="楷体" w:eastAsia="楷体"/>
          <w:color w:val="auto"/>
          <w:sz w:val="21"/>
          <w:szCs w:val="21"/>
        </w:rPr>
        <w:t>到期时，产品单位净值为</w:t>
      </w:r>
      <w:r>
        <w:rPr>
          <w:rFonts w:ascii="楷体" w:hAnsi="楷体" w:eastAsia="楷体"/>
          <w:color w:val="auto"/>
          <w:sz w:val="21"/>
          <w:szCs w:val="21"/>
        </w:rPr>
        <w:t>1.04</w:t>
      </w:r>
      <w:r>
        <w:rPr>
          <w:rFonts w:hint="eastAsia" w:ascii="楷体" w:hAnsi="楷体" w:eastAsia="楷体"/>
          <w:color w:val="auto"/>
          <w:sz w:val="21"/>
          <w:szCs w:val="21"/>
          <w:lang w:val="en-US" w:eastAsia="zh-CN"/>
        </w:rPr>
        <w:t>5503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1.04</w:t>
      </w:r>
      <w:r>
        <w:rPr>
          <w:rFonts w:hint="eastAsia" w:ascii="楷体" w:hAnsi="楷体" w:eastAsia="楷体"/>
          <w:color w:val="auto"/>
          <w:sz w:val="21"/>
          <w:szCs w:val="21"/>
          <w:lang w:val="en-US" w:eastAsia="zh-CN"/>
        </w:rPr>
        <w:t>5503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ascii="楷体" w:hAnsi="楷体" w:eastAsia="楷体"/>
          <w:color w:val="auto"/>
          <w:sz w:val="21"/>
          <w:szCs w:val="21"/>
        </w:rPr>
        <w:t>4</w:t>
      </w:r>
      <w:r>
        <w:rPr>
          <w:rFonts w:hint="eastAsia" w:ascii="楷体" w:hAnsi="楷体" w:eastAsia="楷体"/>
          <w:color w:val="auto"/>
          <w:sz w:val="21"/>
          <w:szCs w:val="21"/>
          <w:lang w:val="en-US" w:eastAsia="zh-CN"/>
        </w:rPr>
        <w:t>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ascii="楷体" w:hAnsi="楷体" w:eastAsia="楷体"/>
          <w:color w:val="auto"/>
          <w:sz w:val="21"/>
          <w:szCs w:val="21"/>
        </w:rPr>
        <w:t>4</w:t>
      </w:r>
      <w:r>
        <w:rPr>
          <w:rFonts w:hint="eastAsia" w:ascii="楷体" w:hAnsi="楷体" w:eastAsia="楷体"/>
          <w:color w:val="auto"/>
          <w:sz w:val="21"/>
          <w:szCs w:val="21"/>
          <w:lang w:val="en-US" w:eastAsia="zh-CN"/>
        </w:rPr>
        <w:t>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ascii="楷体" w:hAnsi="楷体" w:eastAsia="楷体"/>
          <w:color w:val="auto"/>
          <w:sz w:val="21"/>
          <w:szCs w:val="21"/>
        </w:rPr>
        <w:t>4</w:t>
      </w:r>
      <w:r>
        <w:rPr>
          <w:rFonts w:hint="eastAsia" w:ascii="楷体" w:hAnsi="楷体" w:eastAsia="楷体"/>
          <w:color w:val="auto"/>
          <w:sz w:val="21"/>
          <w:szCs w:val="21"/>
          <w:lang w:val="en-US" w:eastAsia="zh-CN"/>
        </w:rPr>
        <w:t>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客户赎回/</w:t>
      </w:r>
      <w:r>
        <w:rPr>
          <w:rFonts w:hint="eastAsia" w:ascii="楷体" w:hAnsi="楷体" w:eastAsia="楷体"/>
          <w:color w:val="auto"/>
          <w:sz w:val="21"/>
          <w:szCs w:val="21"/>
        </w:rPr>
        <w:t>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ind w:left="0" w:leftChars="0" w:firstLine="422" w:firstLineChars="200"/>
      </w:pPr>
      <w:r>
        <w:rPr>
          <w:rFonts w:hint="eastAsia" w:ascii="楷体" w:hAnsi="楷体" w:eastAsia="楷体"/>
          <w:b/>
          <w:color w:val="auto"/>
          <w:sz w:val="21"/>
          <w:szCs w:val="21"/>
          <w:u w:val="single"/>
        </w:rPr>
        <w:t>上述情况假设仅用于向投资者示例收益计算方法之用，并不代表管理人对实际投资情况的预期判断，</w:t>
      </w:r>
      <w:r>
        <w:rPr>
          <w:rFonts w:hint="eastAsia" w:ascii="楷体" w:hAnsi="楷体" w:eastAsia="楷体"/>
          <w:b/>
          <w:color w:val="auto"/>
          <w:sz w:val="21"/>
          <w:szCs w:val="21"/>
          <w:u w:val="single"/>
          <w:lang w:val="en-US" w:eastAsia="zh-CN"/>
        </w:rPr>
        <w:t>也不代表</w:t>
      </w:r>
      <w:r>
        <w:rPr>
          <w:rFonts w:hint="eastAsia" w:ascii="楷体" w:hAnsi="楷体" w:eastAsia="楷体"/>
          <w:b/>
          <w:color w:val="auto"/>
          <w:sz w:val="21"/>
          <w:szCs w:val="21"/>
          <w:u w:val="single"/>
        </w:rPr>
        <w:t>以上所有情形或某一情形一定会发生，或管理人认为发生的可能性很大。投资者获得的最终收益以产品实际运作表现及管理人实际支付为准。</w:t>
      </w:r>
    </w:p>
    <w:p>
      <w:pPr>
        <w:numPr>
          <w:ilvl w:val="0"/>
          <w:numId w:val="6"/>
        </w:numPr>
        <w:tabs>
          <w:tab w:val="left" w:pos="1428"/>
        </w:tabs>
        <w:ind w:firstLine="422" w:firstLineChars="200"/>
        <w:outlineLvl w:val="1"/>
        <w:rPr>
          <w:rFonts w:ascii="楷体" w:hAnsi="楷体" w:eastAsia="楷体" w:cs="Calibri"/>
          <w:b w:val="0"/>
          <w:bCs/>
          <w:sz w:val="21"/>
          <w:szCs w:val="21"/>
        </w:rPr>
      </w:pPr>
      <w:r>
        <w:rPr>
          <w:rFonts w:hint="eastAsia" w:ascii="楷体" w:hAnsi="楷体" w:eastAsia="楷体"/>
          <w:b/>
          <w:sz w:val="21"/>
          <w:szCs w:val="21"/>
        </w:rPr>
        <w:t>产品费用</w:t>
      </w:r>
    </w:p>
    <w:p>
      <w:pPr>
        <w:ind w:firstLine="420" w:firstLineChars="200"/>
        <w:rPr>
          <w:rFonts w:hint="default" w:ascii="楷体" w:hAnsi="楷体" w:eastAsia="楷体" w:cs="Calibri"/>
          <w:b w:val="0"/>
          <w:bCs/>
          <w:sz w:val="21"/>
          <w:szCs w:val="21"/>
          <w:lang w:val="en-US" w:eastAsia="zh-CN"/>
        </w:rPr>
      </w:pPr>
      <w:r>
        <w:rPr>
          <w:rFonts w:hint="eastAsia" w:ascii="楷体" w:hAnsi="楷体" w:eastAsia="楷体"/>
          <w:b w:val="0"/>
          <w:bCs/>
          <w:sz w:val="21"/>
          <w:szCs w:val="21"/>
        </w:rPr>
        <w:t>本产品费用包括托管费、销售服务费、投资管理费、超额业绩报酬（如有）以及产品运作和清算中产生的其他费用等。</w:t>
      </w:r>
      <w:r>
        <w:rPr>
          <w:rFonts w:hint="eastAsia" w:ascii="楷体" w:hAnsi="楷体" w:eastAsia="楷体" w:cs="Calibri"/>
          <w:b w:val="0"/>
          <w:bCs/>
          <w:sz w:val="21"/>
          <w:szCs w:val="21"/>
        </w:rPr>
        <w:t>计提方法、计提标准和支付方式</w:t>
      </w:r>
      <w:r>
        <w:rPr>
          <w:rFonts w:hint="eastAsia" w:ascii="楷体" w:hAnsi="楷体" w:eastAsia="楷体" w:cs="Calibri"/>
          <w:b w:val="0"/>
          <w:bCs/>
          <w:sz w:val="21"/>
          <w:szCs w:val="21"/>
          <w:lang w:val="en-US" w:eastAsia="zh-CN"/>
        </w:rPr>
        <w:t>如下：</w:t>
      </w:r>
    </w:p>
    <w:p>
      <w:pPr>
        <w:numPr>
          <w:ilvl w:val="0"/>
          <w:numId w:val="18"/>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托管费：本产品的托管费每日计提，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支付，由托管行收取。计算方法如下：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8"/>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销售服务费：本产品的销售服务费每日计提，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支付，由销售机构收取。计算方法如下：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numPr>
          <w:ilvl w:val="0"/>
          <w:numId w:val="18"/>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投资管理费：本产品的投资管理费每日计提，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支付，由管理人收取。计算方法如下：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8"/>
        </w:numPr>
        <w:tabs>
          <w:tab w:val="left" w:pos="728"/>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rPr>
        <w:t>超额业绩报酬：管理人按投资周期收取超额业绩报酬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8"/>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8"/>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numPr>
          <w:ilvl w:val="0"/>
          <w:numId w:val="18"/>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ind w:firstLine="420" w:firstLineChars="200"/>
        <w:rPr>
          <w:rFonts w:hint="default" w:eastAsia="楷体"/>
          <w:sz w:val="21"/>
          <w:szCs w:val="21"/>
          <w:lang w:val="en-US" w:eastAsia="zh-CN"/>
        </w:rPr>
      </w:pPr>
      <w:r>
        <w:rPr>
          <w:rFonts w:hint="eastAsia" w:ascii="楷体" w:hAnsi="楷体" w:eastAsia="楷体"/>
          <w:sz w:val="21"/>
          <w:szCs w:val="21"/>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w:t>
      </w:r>
      <w:r>
        <w:rPr>
          <w:rFonts w:hint="eastAsia" w:ascii="楷体" w:hAnsi="楷体" w:eastAsia="楷体"/>
          <w:sz w:val="21"/>
          <w:szCs w:val="21"/>
          <w:lang w:val="en-US" w:eastAsia="zh-CN"/>
        </w:rPr>
        <w:t>产品存续期内管理人有权根据产品运行情况制定费率优惠措施，优惠后实际执行的费率以管理人公告为准。</w:t>
      </w:r>
    </w:p>
    <w:p>
      <w:pPr>
        <w:numPr>
          <w:ilvl w:val="0"/>
          <w:numId w:val="6"/>
        </w:numPr>
        <w:tabs>
          <w:tab w:val="left" w:pos="1428"/>
        </w:tabs>
        <w:ind w:firstLine="422" w:firstLineChars="200"/>
        <w:outlineLvl w:val="1"/>
        <w:rPr>
          <w:rFonts w:ascii="楷体" w:hAnsi="楷体" w:eastAsia="楷体"/>
          <w:b/>
          <w:sz w:val="21"/>
          <w:szCs w:val="21"/>
        </w:rPr>
      </w:pPr>
      <w:r>
        <w:rPr>
          <w:rFonts w:hint="eastAsia" w:ascii="楷体" w:hAnsi="楷体" w:eastAsia="楷体"/>
          <w:b/>
          <w:sz w:val="21"/>
          <w:szCs w:val="21"/>
        </w:rPr>
        <w:t>产品估值</w:t>
      </w:r>
    </w:p>
    <w:p>
      <w:pPr>
        <w:keepNext w:val="0"/>
        <w:keepLines w:val="0"/>
        <w:pageBreakBefore w:val="0"/>
        <w:widowControl w:val="0"/>
        <w:numPr>
          <w:ilvl w:val="0"/>
          <w:numId w:val="19"/>
        </w:numPr>
        <w:tabs>
          <w:tab w:val="left" w:pos="993"/>
        </w:tabs>
        <w:kinsoku/>
        <w:wordWrap/>
        <w:overflowPunct/>
        <w:topLinePunct w:val="0"/>
        <w:bidi w:val="0"/>
        <w:snapToGrid/>
        <w:ind w:left="0" w:firstLine="422" w:firstLineChars="200"/>
        <w:textAlignment w:val="auto"/>
        <w:outlineLvl w:val="2"/>
        <w:rPr>
          <w:rFonts w:hint="eastAsia" w:ascii="楷体" w:hAnsi="楷体" w:eastAsia="楷体" w:cs="Calibri"/>
          <w:b/>
          <w:sz w:val="21"/>
          <w:szCs w:val="21"/>
        </w:rPr>
      </w:pPr>
      <w:r>
        <w:rPr>
          <w:rFonts w:hint="eastAsia" w:ascii="楷体" w:hAnsi="楷体" w:eastAsia="楷体" w:cs="Calibri"/>
          <w:b/>
          <w:sz w:val="21"/>
          <w:szCs w:val="21"/>
        </w:rPr>
        <w:t>估值对象</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本产品所拥有的各类证券、银行存款、应收款项及其它资产及负债。</w:t>
      </w:r>
    </w:p>
    <w:p>
      <w:pPr>
        <w:keepNext w:val="0"/>
        <w:keepLines w:val="0"/>
        <w:pageBreakBefore w:val="0"/>
        <w:widowControl w:val="0"/>
        <w:numPr>
          <w:ilvl w:val="0"/>
          <w:numId w:val="19"/>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估值要求</w:t>
      </w:r>
    </w:p>
    <w:p>
      <w:pPr>
        <w:keepNext w:val="0"/>
        <w:keepLines w:val="0"/>
        <w:pageBreakBefore w:val="0"/>
        <w:widowControl w:val="0"/>
        <w:numPr>
          <w:ilvl w:val="0"/>
          <w:numId w:val="20"/>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本产品资产估值的目的是客观、准确的反映资产净值，确定理财产品资产净值，并为理财产品的</w:t>
      </w:r>
      <w:r>
        <w:rPr>
          <w:rFonts w:hint="eastAsia" w:ascii="楷体" w:hAnsi="楷体" w:eastAsia="楷体" w:cs="Calibri"/>
          <w:sz w:val="21"/>
          <w:szCs w:val="21"/>
          <w:lang w:val="en-US" w:eastAsia="zh-CN"/>
        </w:rPr>
        <w:t>申购、赎回和</w:t>
      </w:r>
      <w:r>
        <w:rPr>
          <w:rFonts w:hint="eastAsia" w:ascii="楷体" w:hAnsi="楷体" w:eastAsia="楷体" w:cs="Calibri"/>
          <w:sz w:val="21"/>
          <w:szCs w:val="21"/>
        </w:rPr>
        <w:t>兑付提供计价依据。</w:t>
      </w:r>
    </w:p>
    <w:p>
      <w:pPr>
        <w:keepNext w:val="0"/>
        <w:keepLines w:val="0"/>
        <w:pageBreakBefore w:val="0"/>
        <w:widowControl w:val="0"/>
        <w:numPr>
          <w:ilvl w:val="0"/>
          <w:numId w:val="20"/>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本产品单位净值精确到小数点后</w:t>
      </w:r>
      <w:r>
        <w:rPr>
          <w:rFonts w:hint="eastAsia" w:ascii="楷体" w:hAnsi="楷体" w:eastAsia="楷体" w:cs="Calibri"/>
          <w:sz w:val="21"/>
          <w:szCs w:val="21"/>
          <w:lang w:val="en-US" w:eastAsia="zh-CN"/>
        </w:rPr>
        <w:t>6</w:t>
      </w:r>
      <w:r>
        <w:rPr>
          <w:rFonts w:hint="eastAsia" w:ascii="楷体" w:hAnsi="楷体" w:eastAsia="楷体" w:cs="Calibri"/>
          <w:sz w:val="21"/>
          <w:szCs w:val="21"/>
        </w:rPr>
        <w:t>位，小数点</w:t>
      </w:r>
      <w:r>
        <w:rPr>
          <w:rFonts w:hint="eastAsia" w:ascii="楷体" w:hAnsi="楷体" w:eastAsia="楷体" w:cs="Calibri"/>
          <w:sz w:val="21"/>
          <w:szCs w:val="21"/>
          <w:lang w:val="en-US" w:eastAsia="zh-CN"/>
        </w:rPr>
        <w:t>6</w:t>
      </w:r>
      <w:r>
        <w:rPr>
          <w:rFonts w:hint="eastAsia" w:ascii="楷体" w:hAnsi="楷体" w:eastAsia="楷体" w:cs="Calibri"/>
          <w:sz w:val="21"/>
          <w:szCs w:val="21"/>
        </w:rPr>
        <w:t>位后截位。</w:t>
      </w:r>
    </w:p>
    <w:p>
      <w:pPr>
        <w:keepNext w:val="0"/>
        <w:keepLines w:val="0"/>
        <w:pageBreakBefore w:val="0"/>
        <w:widowControl w:val="0"/>
        <w:numPr>
          <w:ilvl w:val="0"/>
          <w:numId w:val="20"/>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本产品每日估值，存续期内每周按说明书约定方式披露单位净值，每个开放日结束后2个工作日内通过本理财产品说明书约定方式披露上一投资周期终止日的单位净值、份额累计净值、</w:t>
      </w:r>
      <w:r>
        <w:rPr>
          <w:rFonts w:hint="eastAsia" w:ascii="楷体" w:hAnsi="楷体" w:eastAsia="楷体" w:cs="Calibri"/>
          <w:sz w:val="21"/>
          <w:szCs w:val="21"/>
          <w:lang w:eastAsia="zh-CN"/>
        </w:rPr>
        <w:t>认/申购价格</w:t>
      </w:r>
      <w:r>
        <w:rPr>
          <w:rFonts w:hint="eastAsia" w:ascii="楷体" w:hAnsi="楷体" w:eastAsia="楷体" w:cs="Calibri"/>
          <w:sz w:val="21"/>
          <w:szCs w:val="21"/>
        </w:rPr>
        <w:t>和赎回价格。</w:t>
      </w:r>
    </w:p>
    <w:p>
      <w:pPr>
        <w:keepNext w:val="0"/>
        <w:keepLines w:val="0"/>
        <w:pageBreakBefore w:val="0"/>
        <w:widowControl w:val="0"/>
        <w:numPr>
          <w:ilvl w:val="0"/>
          <w:numId w:val="19"/>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估值方法</w:t>
      </w:r>
    </w:p>
    <w:p>
      <w:pPr>
        <w:keepNext w:val="0"/>
        <w:keepLines w:val="0"/>
        <w:pageBreakBefore w:val="0"/>
        <w:widowControl w:val="0"/>
        <w:numPr>
          <w:ilvl w:val="0"/>
          <w:numId w:val="21"/>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存款类资产、货币市场工具：以本金列示，逐日计提利息。</w:t>
      </w:r>
    </w:p>
    <w:p>
      <w:pPr>
        <w:keepNext w:val="0"/>
        <w:keepLines w:val="0"/>
        <w:pageBreakBefore w:val="0"/>
        <w:widowControl w:val="0"/>
        <w:numPr>
          <w:ilvl w:val="0"/>
          <w:numId w:val="21"/>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货币市场基金：以估值截止时间点能够取得的最新每万份收益进行估值。</w:t>
      </w:r>
    </w:p>
    <w:p>
      <w:pPr>
        <w:keepNext w:val="0"/>
        <w:keepLines w:val="0"/>
        <w:pageBreakBefore w:val="0"/>
        <w:widowControl w:val="0"/>
        <w:numPr>
          <w:ilvl w:val="0"/>
          <w:numId w:val="21"/>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债券类资产：按公允价值进行估值，采用市价、第三方估值机构提供的估值价格、合理的估值技术或监管机构认可的其他估值方法进行估值。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21"/>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债权类资产：按公允价值进行估值，采用合理的估值技术或监管机构认可的估值方法进行估值。</w:t>
      </w:r>
    </w:p>
    <w:p>
      <w:pPr>
        <w:keepNext w:val="0"/>
        <w:keepLines w:val="0"/>
        <w:pageBreakBefore w:val="0"/>
        <w:widowControl w:val="0"/>
        <w:numPr>
          <w:ilvl w:val="0"/>
          <w:numId w:val="21"/>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证券、基金、保险等资产管理计划和信托计划等资产（不含货币市场基金）：按照证券、基金、保险等资产管理计划和信托计划的管理人和托管人共同确认的最新净值或投资收益进行估值。</w:t>
      </w:r>
    </w:p>
    <w:p>
      <w:pPr>
        <w:keepNext w:val="0"/>
        <w:keepLines w:val="0"/>
        <w:pageBreakBefore w:val="0"/>
        <w:widowControl w:val="0"/>
        <w:numPr>
          <w:ilvl w:val="0"/>
          <w:numId w:val="21"/>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商品及衍生品类资产：按公允价值进行估值，采用市价、第三方估值机构提供的估值价格、合理的估值技术或监管机构认可的其他估值方法进行估值。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21"/>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其他资产：按公允价值进行估值，采用合理的估值技术或监管机构认可的估值方法进行估值。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r>
        <w:rPr>
          <w:rFonts w:hint="eastAsia" w:ascii="楷体" w:hAnsi="楷体" w:eastAsia="楷体"/>
          <w:sz w:val="21"/>
          <w:szCs w:val="21"/>
        </w:rPr>
        <w:t>如有新增事项或变更事项，按国家最新规定或管理人最新约定进行估值。</w:t>
      </w:r>
    </w:p>
    <w:p>
      <w:pPr>
        <w:keepNext w:val="0"/>
        <w:keepLines w:val="0"/>
        <w:pageBreakBefore w:val="0"/>
        <w:widowControl w:val="0"/>
        <w:numPr>
          <w:ilvl w:val="0"/>
          <w:numId w:val="19"/>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估值错误的处理</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资管计划管理人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keepNext w:val="0"/>
        <w:keepLines w:val="0"/>
        <w:pageBreakBefore w:val="0"/>
        <w:widowControl w:val="0"/>
        <w:numPr>
          <w:ilvl w:val="0"/>
          <w:numId w:val="19"/>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暂停估值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r>
        <w:rPr>
          <w:rFonts w:hint="eastAsia" w:ascii="楷体" w:hAnsi="楷体" w:eastAsia="楷体"/>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6"/>
        </w:numPr>
        <w:tabs>
          <w:tab w:val="left" w:pos="1428"/>
        </w:tabs>
        <w:ind w:firstLine="422" w:firstLineChars="200"/>
        <w:outlineLvl w:val="1"/>
        <w:rPr>
          <w:rFonts w:ascii="楷体" w:hAnsi="楷体" w:eastAsia="楷体"/>
          <w:b/>
          <w:sz w:val="21"/>
          <w:szCs w:val="21"/>
        </w:rPr>
      </w:pPr>
      <w:r>
        <w:rPr>
          <w:rFonts w:hint="eastAsia" w:ascii="楷体" w:hAnsi="楷体" w:eastAsia="楷体"/>
          <w:b/>
          <w:sz w:val="21"/>
          <w:szCs w:val="21"/>
        </w:rPr>
        <w:t>信息披露</w:t>
      </w:r>
    </w:p>
    <w:p>
      <w:pPr>
        <w:numPr>
          <w:ilvl w:val="0"/>
          <w:numId w:val="22"/>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23"/>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23"/>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22"/>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2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产品净值：每周向投资者披露一次产品的资产净值和份额净值。</w:t>
      </w:r>
    </w:p>
    <w:p>
      <w:pPr>
        <w:numPr>
          <w:ilvl w:val="0"/>
          <w:numId w:val="2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2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2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2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2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2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24"/>
        </w:numPr>
        <w:tabs>
          <w:tab w:val="left" w:pos="728"/>
        </w:tabs>
        <w:ind w:left="0" w:firstLine="420" w:firstLineChars="200"/>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6"/>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rPr>
        <w:t>其他</w:t>
      </w:r>
    </w:p>
    <w:p>
      <w:pPr>
        <w:numPr>
          <w:ilvl w:val="0"/>
          <w:numId w:val="2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2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rPr>
          <w:rFonts w:ascii="楷体" w:hAnsi="楷体" w:eastAsia="楷体"/>
          <w:color w:val="auto"/>
          <w:sz w:val="21"/>
          <w:szCs w:val="21"/>
        </w:rPr>
      </w:pP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有关的任何争议，应当首先通过双方之间的友好协商解决；协商不成的，双方均有权提交产品管理人所在地有管辖权的人民法院诉讼解决。</w:t>
      </w:r>
    </w:p>
    <w:p>
      <w:pPr>
        <w:pStyle w:val="2"/>
        <w:rPr>
          <w:rFonts w:hint="eastAsia"/>
        </w:rPr>
      </w:pPr>
    </w:p>
    <w:p>
      <w:pPr>
        <w:rPr>
          <w:rFonts w:hint="eastAsia" w:ascii="楷体" w:hAnsi="楷体" w:eastAsia="楷体"/>
          <w:b/>
          <w:sz w:val="28"/>
          <w:szCs w:val="28"/>
        </w:rPr>
      </w:pPr>
      <w:r>
        <w:rPr>
          <w:rFonts w:hint="eastAsia" w:ascii="楷体" w:hAnsi="楷体" w:eastAsia="楷体"/>
          <w:b/>
          <w:sz w:val="28"/>
          <w:szCs w:val="28"/>
        </w:rPr>
        <w:br w:type="page"/>
      </w:r>
    </w:p>
    <w:p>
      <w:pPr>
        <w:jc w:val="center"/>
        <w:rPr>
          <w:rFonts w:hint="eastAsia" w:ascii="楷体" w:hAnsi="楷体" w:eastAsia="楷体"/>
          <w:b/>
          <w:sz w:val="28"/>
          <w:szCs w:val="28"/>
        </w:rPr>
      </w:pPr>
      <w:r>
        <w:rPr>
          <w:rFonts w:hint="eastAsia" w:ascii="楷体" w:hAnsi="楷体" w:eastAsia="楷体"/>
          <w:b/>
          <w:sz w:val="28"/>
          <w:szCs w:val="28"/>
        </w:rPr>
        <w:t>苏银理财有限责任公司理财产品投资协议书</w:t>
      </w:r>
    </w:p>
    <w:p>
      <w:pPr>
        <w:jc w:val="center"/>
        <w:rPr>
          <w:rFonts w:hint="eastAsia" w:ascii="楷体" w:hAnsi="楷体" w:eastAsia="楷体"/>
          <w:b/>
          <w:sz w:val="28"/>
          <w:szCs w:val="28"/>
        </w:rPr>
      </w:pPr>
      <w:r>
        <w:rPr>
          <w:rFonts w:hint="eastAsia" w:ascii="楷体" w:hAnsi="楷体" w:eastAsia="楷体"/>
          <w:b/>
          <w:sz w:val="24"/>
          <w:szCs w:val="24"/>
        </w:rPr>
        <w:t>理财非存款、产品有风险、投资须谨慎</w:t>
      </w:r>
    </w:p>
    <w:p>
      <w:pPr>
        <w:ind w:firstLine="420" w:firstLineChars="200"/>
        <w:rPr>
          <w:rFonts w:hint="eastAsia" w:ascii="楷体" w:hAnsi="楷体" w:eastAsia="楷体" w:cs="Times New Roman"/>
          <w:b w:val="0"/>
          <w:sz w:val="21"/>
          <w:szCs w:val="21"/>
        </w:rPr>
      </w:pPr>
      <w:r>
        <w:rPr>
          <w:rFonts w:hint="eastAsia" w:ascii="楷体" w:hAnsi="楷体" w:eastAsia="楷体" w:cs="Times New Roman"/>
          <w:sz w:val="21"/>
          <w:szCs w:val="21"/>
        </w:rPr>
        <w:t>经甲方（</w:t>
      </w:r>
      <w:r>
        <w:rPr>
          <w:rFonts w:hint="eastAsia" w:ascii="楷体" w:hAnsi="楷体" w:eastAsia="楷体" w:cs="Times New Roman"/>
          <w:sz w:val="21"/>
          <w:szCs w:val="21"/>
          <w:lang w:val="en-US" w:eastAsia="zh-CN"/>
        </w:rPr>
        <w:t>投资者</w:t>
      </w:r>
      <w:r>
        <w:rPr>
          <w:rFonts w:hint="eastAsia" w:ascii="楷体" w:hAnsi="楷体" w:eastAsia="楷体" w:cs="Times New Roman"/>
          <w:sz w:val="21"/>
          <w:szCs w:val="21"/>
        </w:rPr>
        <w:t>）与乙方（</w:t>
      </w:r>
      <w:r>
        <w:rPr>
          <w:rFonts w:hint="eastAsia" w:ascii="楷体" w:hAnsi="楷体" w:eastAsia="楷体" w:cs="Times New Roman"/>
          <w:sz w:val="21"/>
          <w:szCs w:val="21"/>
          <w:lang w:val="en-US" w:eastAsia="zh-CN"/>
        </w:rPr>
        <w:t>苏银</w:t>
      </w:r>
      <w:r>
        <w:rPr>
          <w:rFonts w:hint="eastAsia" w:ascii="楷体" w:hAnsi="楷体" w:eastAsia="楷体" w:cs="Times New Roman"/>
          <w:sz w:val="21"/>
          <w:szCs w:val="21"/>
        </w:rPr>
        <w:t>理财有限责任公司</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以下简称“苏银理财”</w:t>
      </w:r>
      <w:r>
        <w:rPr>
          <w:rFonts w:hint="eastAsia" w:ascii="楷体" w:hAnsi="楷体" w:eastAsia="楷体" w:cs="Times New Roman"/>
          <w:sz w:val="21"/>
          <w:szCs w:val="21"/>
        </w:rPr>
        <w:t>）协商一致，就甲方向乙方购买理财产品，达成协议如下：</w:t>
      </w:r>
    </w:p>
    <w:p>
      <w:pPr>
        <w:ind w:firstLine="422" w:firstLineChars="200"/>
        <w:rPr>
          <w:rFonts w:hint="eastAsia" w:ascii="楷体" w:hAnsi="楷体" w:eastAsia="楷体"/>
          <w:b/>
          <w:sz w:val="21"/>
          <w:szCs w:val="21"/>
        </w:rPr>
      </w:pPr>
      <w:r>
        <w:rPr>
          <w:rFonts w:hint="eastAsia" w:ascii="楷体" w:hAnsi="楷体" w:eastAsia="楷体"/>
          <w:b/>
          <w:sz w:val="21"/>
          <w:szCs w:val="21"/>
        </w:rPr>
        <w:t>一、重要声明</w:t>
      </w:r>
    </w:p>
    <w:p>
      <w:pPr>
        <w:ind w:firstLine="420" w:firstLineChars="200"/>
        <w:rPr>
          <w:rFonts w:hint="eastAsia" w:ascii="楷体" w:hAnsi="楷体" w:eastAsia="楷体"/>
          <w:b/>
          <w:sz w:val="21"/>
          <w:szCs w:val="21"/>
          <w:u w:val="single"/>
        </w:rPr>
      </w:pPr>
      <w:r>
        <w:rPr>
          <w:rFonts w:hint="eastAsia" w:ascii="楷体" w:hAnsi="楷体" w:eastAsia="楷体"/>
          <w:sz w:val="21"/>
          <w:szCs w:val="21"/>
        </w:rPr>
        <w:t>本投资协议书与</w:t>
      </w:r>
      <w:r>
        <w:rPr>
          <w:rFonts w:hint="eastAsia" w:ascii="楷体" w:hAnsi="楷体" w:eastAsia="楷体"/>
          <w:sz w:val="21"/>
          <w:szCs w:val="21"/>
          <w:lang w:val="en-US" w:eastAsia="zh-CN"/>
        </w:rPr>
        <w:t>理财产品（</w:t>
      </w:r>
      <w:r>
        <w:rPr>
          <w:rFonts w:hint="eastAsia" w:ascii="楷体" w:hAnsi="楷体" w:eastAsia="楷体"/>
          <w:sz w:val="21"/>
          <w:szCs w:val="21"/>
        </w:rPr>
        <w:t>代理</w:t>
      </w:r>
      <w:r>
        <w:rPr>
          <w:rFonts w:hint="eastAsia" w:ascii="楷体" w:hAnsi="楷体" w:eastAsia="楷体"/>
          <w:sz w:val="21"/>
          <w:szCs w:val="21"/>
          <w:lang w:eastAsia="zh-CN"/>
        </w:rPr>
        <w:t>）</w:t>
      </w:r>
      <w:r>
        <w:rPr>
          <w:rFonts w:hint="eastAsia" w:ascii="楷体" w:hAnsi="楷体" w:eastAsia="楷体"/>
          <w:sz w:val="21"/>
          <w:szCs w:val="21"/>
        </w:rPr>
        <w:t>销售协议书、理财产品说明书、风险揭示书、投资者权益须知等销售文件构成完整的不可分割的理财产品合同。</w:t>
      </w:r>
      <w:r>
        <w:rPr>
          <w:rFonts w:hint="eastAsia" w:ascii="楷体" w:hAnsi="楷体" w:eastAsia="楷体"/>
          <w:sz w:val="21"/>
          <w:szCs w:val="21"/>
          <w:lang w:val="en-US" w:eastAsia="zh-CN"/>
        </w:rPr>
        <w:t>乙方</w:t>
      </w:r>
      <w:r>
        <w:rPr>
          <w:rFonts w:hint="eastAsia" w:ascii="楷体" w:hAnsi="楷体" w:eastAsia="楷体"/>
          <w:sz w:val="21"/>
          <w:szCs w:val="21"/>
        </w:rPr>
        <w:t>作为理财产品管理人建议投资者在购买对应期次理财产品（以下简称“本理财产品”）前认真阅读相关理财产品合同或咨询专业理财经理。</w:t>
      </w:r>
      <w:r>
        <w:rPr>
          <w:rFonts w:hint="eastAsia" w:ascii="楷体" w:hAnsi="楷体" w:eastAsia="楷体"/>
          <w:sz w:val="21"/>
          <w:szCs w:val="21"/>
          <w:lang w:val="en-US" w:eastAsia="zh-CN"/>
        </w:rPr>
        <w:t>甲方</w:t>
      </w:r>
      <w:r>
        <w:rPr>
          <w:rFonts w:hint="eastAsia" w:ascii="楷体" w:hAnsi="楷体" w:eastAsia="楷体"/>
          <w:sz w:val="21"/>
          <w:szCs w:val="21"/>
        </w:rPr>
        <w:t>签署本投资协议（含电子渠道确认）则被视为已详细阅读过本投资协议及完整理财产品合同，并充分理解合同条款和潜在风险，自愿购买本理财产品，并遵守理财产品合同中的各项规定。</w:t>
      </w:r>
      <w:r>
        <w:rPr>
          <w:rFonts w:hint="eastAsia" w:ascii="楷体" w:hAnsi="楷体" w:eastAsia="楷体"/>
          <w:b/>
          <w:sz w:val="21"/>
          <w:szCs w:val="21"/>
          <w:u w:val="single"/>
        </w:rPr>
        <w:t>本理财产品不保证本金和收益。受各种市场波动因素影响，本理财产品可能存在包括但不限于政策风险、信用风险、市场风险、流动性风险、管理风险、操作风险、兑付延期风险、提前终止风险、信息传递风险、代销风险、</w:t>
      </w:r>
      <w:r>
        <w:rPr>
          <w:rFonts w:hint="eastAsia" w:ascii="楷体" w:hAnsi="楷体" w:eastAsia="楷体"/>
          <w:b/>
          <w:sz w:val="21"/>
          <w:szCs w:val="21"/>
          <w:u w:val="single"/>
          <w:lang w:val="en-US" w:eastAsia="zh-CN"/>
        </w:rPr>
        <w:t>关联交易风险、</w:t>
      </w:r>
      <w:r>
        <w:rPr>
          <w:rFonts w:hint="eastAsia" w:ascii="楷体" w:hAnsi="楷体" w:eastAsia="楷体"/>
          <w:b/>
          <w:sz w:val="21"/>
          <w:szCs w:val="21"/>
          <w:u w:val="single"/>
        </w:rPr>
        <w:t>标的资产的特别投资风险及其他风险，具体风险因素由</w:t>
      </w:r>
      <w:r>
        <w:rPr>
          <w:rFonts w:hint="eastAsia" w:ascii="楷体" w:hAnsi="楷体" w:eastAsia="楷体"/>
          <w:b/>
          <w:sz w:val="21"/>
          <w:szCs w:val="21"/>
          <w:u w:val="single"/>
          <w:lang w:val="en-US" w:eastAsia="zh-CN"/>
        </w:rPr>
        <w:t>乙方</w:t>
      </w:r>
      <w:r>
        <w:rPr>
          <w:rFonts w:hint="eastAsia" w:ascii="楷体" w:hAnsi="楷体" w:eastAsia="楷体"/>
          <w:b/>
          <w:sz w:val="21"/>
          <w:szCs w:val="21"/>
          <w:u w:val="single"/>
        </w:rPr>
        <w:t>在理财产品风险揭示书中揭示。请您</w:t>
      </w:r>
      <w:r>
        <w:rPr>
          <w:rFonts w:hint="eastAsia" w:ascii="楷体" w:hAnsi="楷体" w:eastAsia="楷体"/>
          <w:b/>
          <w:sz w:val="21"/>
          <w:szCs w:val="21"/>
          <w:u w:val="single"/>
          <w:lang w:val="en-US" w:eastAsia="zh-CN"/>
        </w:rPr>
        <w:t>仔细阅读并</w:t>
      </w:r>
      <w:r>
        <w:rPr>
          <w:rFonts w:hint="eastAsia" w:ascii="楷体" w:hAnsi="楷体" w:eastAsia="楷体"/>
          <w:b/>
          <w:sz w:val="21"/>
          <w:szCs w:val="21"/>
          <w:u w:val="single"/>
        </w:rPr>
        <w:t>充分认识投资风险，谨慎投资。</w:t>
      </w:r>
    </w:p>
    <w:p>
      <w:pPr>
        <w:ind w:firstLine="422" w:firstLineChars="200"/>
        <w:rPr>
          <w:rFonts w:hint="eastAsia" w:ascii="楷体" w:hAnsi="楷体" w:eastAsia="楷体"/>
          <w:b/>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甲方</w:t>
      </w:r>
      <w:r>
        <w:rPr>
          <w:rFonts w:hint="eastAsia" w:ascii="楷体" w:hAnsi="楷体" w:eastAsia="楷体"/>
          <w:b/>
          <w:sz w:val="21"/>
          <w:szCs w:val="21"/>
        </w:rPr>
        <w:t>的权利义务</w:t>
      </w:r>
    </w:p>
    <w:p>
      <w:pPr>
        <w:numPr>
          <w:ilvl w:val="0"/>
          <w:numId w:val="0"/>
        </w:numPr>
        <w:ind w:left="0" w:firstLine="422" w:firstLineChars="200"/>
        <w:rPr>
          <w:rFonts w:hint="eastAsia" w:ascii="楷体" w:hAnsi="楷体" w:eastAsia="楷体" w:cs="Times New Roman"/>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甲方</w:t>
      </w:r>
      <w:r>
        <w:rPr>
          <w:rFonts w:hint="eastAsia" w:ascii="楷体" w:hAnsi="楷体" w:eastAsia="楷体"/>
          <w:b/>
          <w:sz w:val="21"/>
          <w:szCs w:val="21"/>
        </w:rPr>
        <w:t>的权利：</w:t>
      </w:r>
      <w:r>
        <w:rPr>
          <w:rFonts w:hint="eastAsia" w:ascii="楷体" w:hAnsi="楷体" w:eastAsia="楷体" w:cs="Times New Roman"/>
          <w:sz w:val="21"/>
          <w:szCs w:val="21"/>
        </w:rPr>
        <w:t>按理财产品合同的约定取得理财收益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cs="Times New Roman"/>
          <w:sz w:val="21"/>
          <w:szCs w:val="21"/>
        </w:rPr>
        <w:t>；按理财产品合同的约定查询获得披露的理财产品信息资料；产品终止后对清算后的理财产品资产净值按理财产品持有份额比例参与分配；要求</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或理财产品托管人及时</w:t>
      </w:r>
      <w:r>
        <w:rPr>
          <w:rFonts w:hint="eastAsia" w:ascii="楷体" w:hAnsi="楷体" w:eastAsia="楷体" w:cs="Times New Roman"/>
          <w:sz w:val="21"/>
          <w:szCs w:val="21"/>
          <w:lang w:val="en-US" w:eastAsia="zh-CN"/>
        </w:rPr>
        <w:t>履行</w:t>
      </w:r>
      <w:r>
        <w:rPr>
          <w:rFonts w:hint="eastAsia" w:ascii="楷体" w:hAnsi="楷体" w:eastAsia="楷体" w:cs="Times New Roman"/>
          <w:sz w:val="21"/>
          <w:szCs w:val="21"/>
        </w:rPr>
        <w:t>法律法规、理财产品合同所规定的义务；对</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、理财产品托管人损害其合法权益</w:t>
      </w:r>
      <w:r>
        <w:rPr>
          <w:rFonts w:hint="eastAsia" w:ascii="楷体" w:hAnsi="楷体" w:eastAsia="楷体" w:cs="Times New Roman"/>
          <w:sz w:val="21"/>
          <w:szCs w:val="21"/>
          <w:lang w:val="en-US" w:eastAsia="zh-CN"/>
        </w:rPr>
        <w:t>的行为</w:t>
      </w:r>
      <w:r>
        <w:rPr>
          <w:rFonts w:hint="eastAsia" w:ascii="楷体" w:hAnsi="楷体" w:eastAsia="楷体" w:cs="Times New Roman"/>
          <w:sz w:val="21"/>
          <w:szCs w:val="21"/>
        </w:rPr>
        <w:t>而要求予以赔偿；法律法规、理财产品合同规定的其它权利。</w:t>
      </w:r>
    </w:p>
    <w:p>
      <w:pPr>
        <w:numPr>
          <w:ilvl w:val="0"/>
          <w:numId w:val="26"/>
        </w:numPr>
        <w:ind w:left="0" w:firstLine="422" w:firstLineChars="200"/>
        <w:rPr>
          <w:rFonts w:hint="eastAsia" w:ascii="楷体" w:hAnsi="楷体" w:eastAsia="楷体" w:cs="Times New Roman"/>
          <w:sz w:val="21"/>
          <w:szCs w:val="21"/>
        </w:rPr>
      </w:pPr>
      <w:r>
        <w:rPr>
          <w:rFonts w:hint="eastAsia" w:ascii="楷体" w:hAnsi="楷体" w:eastAsia="楷体"/>
          <w:b/>
          <w:sz w:val="21"/>
          <w:szCs w:val="21"/>
          <w:lang w:val="en-US" w:eastAsia="zh-CN"/>
        </w:rPr>
        <w:t>甲方</w:t>
      </w:r>
      <w:r>
        <w:rPr>
          <w:rFonts w:hint="eastAsia" w:ascii="楷体" w:hAnsi="楷体" w:eastAsia="楷体"/>
          <w:b/>
          <w:sz w:val="21"/>
          <w:szCs w:val="21"/>
        </w:rPr>
        <w:t>的义务：</w:t>
      </w:r>
      <w:r>
        <w:rPr>
          <w:rFonts w:hint="eastAsia" w:ascii="楷体" w:hAnsi="楷体" w:eastAsia="楷体" w:cs="Times New Roman"/>
          <w:sz w:val="21"/>
          <w:szCs w:val="21"/>
        </w:rPr>
        <w:t>遵守有关法律法规和理财产品合同的约定；以其对理财产品的投资额为限承担本理财产品亏损或者终止的有限责任；不从事任何有损本理财产品及本理财产品其他理财产品合同当事人合法权益的活动；返还其在理财投资过程中取得的不当得利；法律法规</w:t>
      </w:r>
      <w:r>
        <w:rPr>
          <w:rFonts w:hint="eastAsia" w:ascii="楷体" w:hAnsi="楷体" w:eastAsia="楷体" w:cs="Times New Roman"/>
          <w:sz w:val="21"/>
          <w:szCs w:val="21"/>
          <w:lang w:val="en-US" w:eastAsia="zh-CN"/>
        </w:rPr>
        <w:t>以及</w:t>
      </w:r>
      <w:r>
        <w:rPr>
          <w:rFonts w:hint="eastAsia" w:ascii="楷体" w:hAnsi="楷体" w:eastAsia="楷体" w:cs="Times New Roman"/>
          <w:sz w:val="21"/>
          <w:szCs w:val="21"/>
        </w:rPr>
        <w:t>理财产品合同所规定的其它义务。</w:t>
      </w:r>
    </w:p>
    <w:p>
      <w:pPr>
        <w:ind w:firstLine="422" w:firstLineChars="200"/>
        <w:rPr>
          <w:rFonts w:hint="eastAsia" w:ascii="楷体" w:hAnsi="楷体" w:eastAsia="楷体"/>
          <w:b/>
          <w:sz w:val="21"/>
          <w:szCs w:val="21"/>
        </w:rPr>
      </w:pPr>
      <w:r>
        <w:rPr>
          <w:rFonts w:hint="eastAsia" w:ascii="楷体" w:hAnsi="楷体" w:eastAsia="楷体"/>
          <w:b/>
          <w:sz w:val="21"/>
          <w:szCs w:val="21"/>
        </w:rPr>
        <w:t>三、</w:t>
      </w:r>
      <w:r>
        <w:rPr>
          <w:rFonts w:hint="eastAsia" w:ascii="楷体" w:hAnsi="楷体" w:eastAsia="楷体"/>
          <w:b/>
          <w:sz w:val="21"/>
          <w:szCs w:val="21"/>
          <w:lang w:val="en-US" w:eastAsia="zh-CN"/>
        </w:rPr>
        <w:t>乙方</w:t>
      </w:r>
      <w:r>
        <w:rPr>
          <w:rFonts w:hint="eastAsia" w:ascii="楷体" w:hAnsi="楷体" w:eastAsia="楷体"/>
          <w:b/>
          <w:sz w:val="21"/>
          <w:szCs w:val="21"/>
        </w:rPr>
        <w:t>的权利义务</w:t>
      </w:r>
    </w:p>
    <w:p>
      <w:pPr>
        <w:ind w:firstLine="422" w:firstLineChars="200"/>
        <w:rPr>
          <w:rFonts w:hint="eastAsia" w:ascii="楷体" w:hAnsi="楷体" w:eastAsia="楷体"/>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乙方</w:t>
      </w:r>
      <w:r>
        <w:rPr>
          <w:rFonts w:hint="eastAsia" w:ascii="楷体" w:hAnsi="楷体" w:eastAsia="楷体"/>
          <w:b/>
          <w:sz w:val="21"/>
          <w:szCs w:val="21"/>
        </w:rPr>
        <w:t>的权利：</w:t>
      </w:r>
      <w:r>
        <w:rPr>
          <w:rFonts w:hint="eastAsia" w:ascii="楷体" w:hAnsi="楷体" w:eastAsia="楷体"/>
          <w:sz w:val="21"/>
          <w:szCs w:val="21"/>
        </w:rPr>
        <w:t>乙方按照法律法规和理财产品</w:t>
      </w:r>
      <w:r>
        <w:rPr>
          <w:rFonts w:hint="eastAsia" w:ascii="楷体" w:hAnsi="楷体" w:eastAsia="楷体"/>
          <w:sz w:val="21"/>
          <w:szCs w:val="21"/>
          <w:lang w:val="en-US" w:eastAsia="zh-CN"/>
        </w:rPr>
        <w:t>合同</w:t>
      </w:r>
      <w:r>
        <w:rPr>
          <w:rFonts w:hint="eastAsia" w:ascii="楷体" w:hAnsi="楷体" w:eastAsia="楷体"/>
          <w:sz w:val="21"/>
          <w:szCs w:val="21"/>
        </w:rPr>
        <w:t>的约定，诚实信用、谨慎勤勉地实施投资管理行为，以专业技能管理理财产品资产，依法维护理财产品全体投资者的利益；</w:t>
      </w:r>
    </w:p>
    <w:p>
      <w:pPr>
        <w:numPr>
          <w:ilvl w:val="0"/>
          <w:numId w:val="0"/>
        </w:numPr>
        <w:ind w:left="0" w:firstLine="0"/>
        <w:rPr>
          <w:rFonts w:hint="eastAsia" w:ascii="楷体" w:hAnsi="楷体" w:eastAsia="楷体"/>
          <w:sz w:val="21"/>
          <w:szCs w:val="21"/>
        </w:rPr>
      </w:pPr>
      <w:r>
        <w:rPr>
          <w:rFonts w:hint="eastAsia" w:ascii="楷体" w:hAnsi="楷体" w:eastAsia="楷体"/>
          <w:sz w:val="21"/>
          <w:szCs w:val="21"/>
        </w:rPr>
        <w:t>为理财产品的利益依法为理财产品进行融资；按照法律法规，代表理财产品对被投资企业行使行使权利（如被投资企业股东权利等）；以</w:t>
      </w:r>
      <w:r>
        <w:rPr>
          <w:rFonts w:hint="eastAsia" w:ascii="楷体" w:hAnsi="楷体" w:eastAsia="楷体"/>
          <w:sz w:val="21"/>
          <w:szCs w:val="21"/>
          <w:lang w:val="en-US" w:eastAsia="zh-CN"/>
        </w:rPr>
        <w:t>乙方</w:t>
      </w:r>
      <w:r>
        <w:rPr>
          <w:rFonts w:hint="eastAsia" w:ascii="楷体" w:hAnsi="楷体" w:eastAsia="楷体"/>
          <w:sz w:val="21"/>
          <w:szCs w:val="21"/>
        </w:rPr>
        <w:t>名义，代表理财份额持有人利益行使诉讼权利或者实施其他法律行为；依据法律法规和理财产品合同的约定监督理财产品托管人，如认为理财产品托管人违反了法律法规或理财产品合同约定，对理财产品资产、其它理财产品合同当事人的利益造成重大损失的，应及时呈报监管机构，以及采取其它必要措施以保护本理财产品及相关理财产品合同当事人的利益；选择、更换律师、审计师、证券经纪商或其他为理财产品提供服务的外部机构并确定有关费率；法律法规、理财产品合同规定的其它权利。</w:t>
      </w:r>
    </w:p>
    <w:p>
      <w:pPr>
        <w:numPr>
          <w:ilvl w:val="0"/>
          <w:numId w:val="0"/>
        </w:numPr>
        <w:ind w:left="0" w:firstLine="527" w:firstLineChars="250"/>
        <w:jc w:val="left"/>
        <w:rPr>
          <w:rFonts w:ascii="楷体" w:hAnsi="楷体" w:eastAsia="楷体"/>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乙方</w:t>
      </w:r>
      <w:r>
        <w:rPr>
          <w:rFonts w:hint="eastAsia" w:ascii="楷体" w:hAnsi="楷体" w:eastAsia="楷体"/>
          <w:b/>
          <w:sz w:val="21"/>
          <w:szCs w:val="21"/>
        </w:rPr>
        <w:t>的义务：</w:t>
      </w:r>
      <w:r>
        <w:rPr>
          <w:rFonts w:hint="eastAsia" w:ascii="楷体" w:hAnsi="楷体" w:eastAsia="楷体"/>
          <w:sz w:val="21"/>
          <w:szCs w:val="21"/>
        </w:rPr>
        <w:t>遵守法律法规和理财产品合同的约定；</w:t>
      </w:r>
      <w:r>
        <w:rPr>
          <w:rFonts w:hint="eastAsia" w:ascii="楷体" w:hAnsi="楷体" w:eastAsia="楷体" w:cs="Times New Roman"/>
          <w:sz w:val="21"/>
          <w:szCs w:val="21"/>
        </w:rPr>
        <w:t>恪尽职守，依照诚实信用、勤勉尽责的原则，谨慎、有效管理和运用理</w:t>
      </w:r>
      <w:r>
        <w:rPr>
          <w:rFonts w:hint="eastAsia" w:ascii="楷体" w:hAnsi="楷体" w:eastAsia="楷体" w:cs="Times New Roman"/>
          <w:sz w:val="21"/>
          <w:szCs w:val="21"/>
          <w:lang w:val="en-US" w:eastAsia="zh-CN"/>
        </w:rPr>
        <w:t>财</w:t>
      </w:r>
      <w:r>
        <w:rPr>
          <w:rFonts w:hint="eastAsia" w:ascii="楷体" w:hAnsi="楷体" w:eastAsia="楷体" w:cs="Times New Roman"/>
          <w:sz w:val="21"/>
          <w:szCs w:val="21"/>
        </w:rPr>
        <w:t>资产；</w:t>
      </w:r>
      <w:r>
        <w:rPr>
          <w:rFonts w:hint="eastAsia" w:ascii="楷体" w:hAnsi="楷体" w:eastAsia="楷体"/>
          <w:sz w:val="21"/>
          <w:szCs w:val="21"/>
        </w:rPr>
        <w:t>设置相应的部门并配备足够的具有专业资格的人员进行理财投资分析、决策，以专业化的经营方式管理和运作理财资产，防范和减少风险；建立健全内部控制制度，保证</w:t>
      </w:r>
      <w:r>
        <w:rPr>
          <w:rFonts w:hint="eastAsia" w:ascii="楷体" w:hAnsi="楷体" w:eastAsia="楷体"/>
          <w:sz w:val="21"/>
          <w:szCs w:val="21"/>
          <w:lang w:val="en-US" w:eastAsia="zh-CN"/>
        </w:rPr>
        <w:t>乙方</w:t>
      </w:r>
      <w:r>
        <w:rPr>
          <w:rFonts w:hint="eastAsia" w:ascii="楷体" w:hAnsi="楷体" w:eastAsia="楷体"/>
          <w:sz w:val="21"/>
          <w:szCs w:val="21"/>
        </w:rPr>
        <w:t>的固有财产和理财财产相互独立，对所管理的不同理财财产分别管理、分别记账，进行投资；除依据法律法规和理财产品合同的约定外，不得利用理财资产为</w:t>
      </w:r>
      <w:r>
        <w:rPr>
          <w:rFonts w:hint="eastAsia" w:ascii="楷体" w:hAnsi="楷体" w:eastAsia="楷体"/>
          <w:sz w:val="21"/>
          <w:szCs w:val="21"/>
          <w:lang w:val="en-US" w:eastAsia="zh-CN"/>
        </w:rPr>
        <w:t>乙方</w:t>
      </w:r>
      <w:r>
        <w:rPr>
          <w:rFonts w:hint="eastAsia" w:ascii="楷体" w:hAnsi="楷体" w:eastAsia="楷体"/>
          <w:sz w:val="21"/>
          <w:szCs w:val="21"/>
        </w:rPr>
        <w:t>自身及任何第三方谋取利益；接受理财产品托管人对理财产品投资运作的监督；严格按照法律法规和理财产品合同的约定履行信息披露及报告义务；依据理财产品合同</w:t>
      </w:r>
      <w:r>
        <w:rPr>
          <w:rFonts w:hint="eastAsia" w:ascii="楷体" w:hAnsi="楷体" w:eastAsia="楷体" w:cs="Times New Roman"/>
          <w:sz w:val="21"/>
          <w:szCs w:val="21"/>
          <w:lang w:val="en-US" w:eastAsia="zh-CN"/>
        </w:rPr>
        <w:t>约定</w:t>
      </w:r>
      <w:r>
        <w:rPr>
          <w:rFonts w:hint="eastAsia" w:ascii="楷体" w:hAnsi="楷体" w:eastAsia="楷体"/>
          <w:sz w:val="21"/>
          <w:szCs w:val="21"/>
        </w:rPr>
        <w:t>制订理财收益分配方案并向本理财产品的理财份额持有人分配理财收益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sz w:val="21"/>
          <w:szCs w:val="21"/>
        </w:rPr>
        <w:t>；不从事任何有损本理财产品</w:t>
      </w:r>
      <w:r>
        <w:rPr>
          <w:rFonts w:hint="eastAsia" w:ascii="楷体" w:hAnsi="楷体" w:eastAsia="楷体"/>
          <w:sz w:val="21"/>
          <w:szCs w:val="21"/>
          <w:lang w:val="en-US" w:eastAsia="zh-CN"/>
        </w:rPr>
        <w:t>其他</w:t>
      </w:r>
      <w:r>
        <w:rPr>
          <w:rFonts w:hint="eastAsia" w:ascii="楷体" w:hAnsi="楷体" w:eastAsia="楷体"/>
          <w:sz w:val="21"/>
          <w:szCs w:val="21"/>
        </w:rPr>
        <w:t>当事人合法权益的活动。法律法规、理财产品合同规定的其它权利。</w:t>
      </w:r>
    </w:p>
    <w:p>
      <w:pPr>
        <w:ind w:firstLine="422" w:firstLineChars="200"/>
        <w:rPr>
          <w:rFonts w:ascii="楷体" w:hAnsi="楷体" w:eastAsia="楷体"/>
          <w:b/>
          <w:sz w:val="21"/>
          <w:szCs w:val="21"/>
        </w:rPr>
      </w:pPr>
      <w:r>
        <w:rPr>
          <w:rFonts w:hint="eastAsia" w:ascii="楷体" w:hAnsi="楷体" w:eastAsia="楷体"/>
          <w:b/>
          <w:sz w:val="21"/>
          <w:szCs w:val="21"/>
          <w:lang w:val="en-US" w:eastAsia="zh-CN"/>
        </w:rPr>
        <w:t>四</w:t>
      </w:r>
      <w:r>
        <w:rPr>
          <w:rFonts w:hint="eastAsia" w:ascii="楷体" w:hAnsi="楷体" w:eastAsia="楷体"/>
          <w:b/>
          <w:sz w:val="21"/>
          <w:szCs w:val="21"/>
        </w:rPr>
        <w:t>、</w:t>
      </w:r>
      <w:r>
        <w:rPr>
          <w:rFonts w:ascii="楷体" w:hAnsi="楷体" w:eastAsia="楷体"/>
          <w:b/>
          <w:sz w:val="21"/>
          <w:szCs w:val="21"/>
        </w:rPr>
        <w:t>违约责任</w:t>
      </w:r>
    </w:p>
    <w:p>
      <w:pPr>
        <w:ind w:firstLine="420" w:firstLineChars="20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由于本协议一方当事人的过错，造成本协议不能履行或不能完全履行的，由有过错的一方承担违约责任；如双方同时负有过错，则应由双方各自按照过错程度承担责任。</w:t>
      </w:r>
    </w:p>
    <w:p>
      <w:pPr>
        <w:ind w:firstLine="422" w:firstLineChars="200"/>
        <w:rPr>
          <w:rFonts w:hint="eastAsia" w:ascii="楷体" w:hAnsi="楷体" w:eastAsia="楷体"/>
          <w:sz w:val="21"/>
          <w:szCs w:val="21"/>
        </w:rPr>
      </w:pPr>
      <w:r>
        <w:rPr>
          <w:rFonts w:hint="eastAsia" w:ascii="楷体" w:hAnsi="楷体" w:eastAsia="楷体"/>
          <w:b/>
          <w:sz w:val="21"/>
          <w:szCs w:val="21"/>
          <w:lang w:val="en-US" w:eastAsia="zh-CN"/>
        </w:rPr>
        <w:t xml:space="preserve">2. </w:t>
      </w:r>
      <w:r>
        <w:rPr>
          <w:rFonts w:hint="eastAsia" w:ascii="楷体" w:hAnsi="楷体" w:eastAsia="楷体"/>
          <w:b/>
          <w:sz w:val="21"/>
          <w:szCs w:val="21"/>
        </w:rPr>
        <w:t>双方同意，发生下列情况造成损失时，按以下约定承担责任</w:t>
      </w:r>
      <w:r>
        <w:rPr>
          <w:rFonts w:hint="eastAsia" w:ascii="楷体" w:hAnsi="楷体" w:eastAsia="楷体"/>
          <w:sz w:val="21"/>
          <w:szCs w:val="21"/>
        </w:rPr>
        <w:t>：</w:t>
      </w:r>
    </w:p>
    <w:p>
      <w:pPr>
        <w:ind w:firstLine="420" w:firstLineChars="200"/>
        <w:rPr>
          <w:rFonts w:hint="eastAsia" w:ascii="楷体" w:hAnsi="楷体" w:eastAsia="楷体"/>
          <w:sz w:val="21"/>
          <w:szCs w:val="21"/>
        </w:rPr>
      </w:pPr>
      <w:r>
        <w:rPr>
          <w:rFonts w:hint="eastAsia" w:ascii="楷体" w:hAnsi="楷体" w:eastAsia="楷体"/>
          <w:sz w:val="21"/>
          <w:szCs w:val="21"/>
        </w:rPr>
        <w:t>（1）对由于国家有关法律、法规、规章、政策的变化，监管机构管理规则的修改、紧急措施的出台等原因而导致的相关风险及损失，双方当事人互不承担责任；</w:t>
      </w:r>
    </w:p>
    <w:p>
      <w:pPr>
        <w:ind w:firstLine="420" w:firstLineChars="200"/>
        <w:rPr>
          <w:rFonts w:ascii="楷体" w:hAnsi="楷体" w:eastAsia="楷体"/>
          <w:sz w:val="21"/>
          <w:szCs w:val="21"/>
        </w:rPr>
      </w:pPr>
      <w:r>
        <w:rPr>
          <w:rFonts w:hint="eastAsia" w:ascii="楷体" w:hAnsi="楷体" w:eastAsia="楷体"/>
          <w:sz w:val="21"/>
          <w:szCs w:val="21"/>
        </w:rPr>
        <w:t>（2）</w:t>
      </w:r>
      <w:r>
        <w:rPr>
          <w:rFonts w:hint="eastAsia" w:ascii="楷体" w:hAnsi="楷体" w:eastAsia="楷体"/>
          <w:b/>
          <w:sz w:val="21"/>
          <w:szCs w:val="21"/>
        </w:rPr>
        <w:t>如甲方违反本协议</w:t>
      </w:r>
      <w:r>
        <w:rPr>
          <w:rFonts w:hint="eastAsia" w:ascii="楷体" w:hAnsi="楷体" w:eastAsia="楷体"/>
          <w:b/>
          <w:sz w:val="21"/>
          <w:szCs w:val="21"/>
          <w:lang w:val="en-US" w:eastAsia="zh-CN"/>
        </w:rPr>
        <w:t>约定</w:t>
      </w:r>
      <w:r>
        <w:rPr>
          <w:rFonts w:hint="eastAsia" w:ascii="楷体" w:hAnsi="楷体" w:eastAsia="楷体"/>
          <w:b/>
          <w:sz w:val="21"/>
          <w:szCs w:val="21"/>
        </w:rPr>
        <w:t>，或本产品甲方所涉及的资金被有权机关全部或部分冻结或者扣划</w:t>
      </w:r>
      <w:r>
        <w:rPr>
          <w:rFonts w:hint="eastAsia" w:ascii="楷体" w:hAnsi="楷体" w:eastAsia="楷体" w:cs="Times New Roman"/>
          <w:b/>
          <w:sz w:val="21"/>
          <w:szCs w:val="21"/>
        </w:rPr>
        <w:t>，或乙方发现或有合理理由怀疑甲方或其资金存在洗钱、恐怖融资、逃税等嫌疑</w:t>
      </w:r>
      <w:r>
        <w:rPr>
          <w:rFonts w:hint="eastAsia" w:ascii="楷体" w:hAnsi="楷体" w:eastAsia="楷体" w:cs="Times New Roman"/>
          <w:b/>
          <w:sz w:val="21"/>
          <w:szCs w:val="21"/>
          <w:lang w:eastAsia="zh-CN"/>
        </w:rPr>
        <w:t>，</w:t>
      </w:r>
      <w:r>
        <w:rPr>
          <w:rFonts w:hint="eastAsia" w:ascii="楷体" w:hAnsi="楷体" w:eastAsia="楷体" w:cs="Times New Roman"/>
          <w:b/>
          <w:sz w:val="21"/>
          <w:szCs w:val="21"/>
        </w:rPr>
        <w:t>乙方有权</w:t>
      </w:r>
      <w:r>
        <w:rPr>
          <w:rFonts w:hint="eastAsia" w:ascii="楷体" w:hAnsi="楷体" w:eastAsia="楷体"/>
          <w:b/>
          <w:sz w:val="21"/>
          <w:szCs w:val="21"/>
        </w:rPr>
        <w:t>提前终止本合同，且乙方不承担相应责任，如因甲方的违约违法违规行为给乙方或产品其他投资者造成损失的，甲方应承担</w:t>
      </w:r>
      <w:r>
        <w:rPr>
          <w:rFonts w:hint="eastAsia" w:ascii="楷体" w:hAnsi="楷体" w:eastAsia="楷体"/>
          <w:b/>
          <w:sz w:val="21"/>
          <w:szCs w:val="21"/>
          <w:lang w:val="en-US" w:eastAsia="zh-CN"/>
        </w:rPr>
        <w:t>相应法律责任及违约责任</w:t>
      </w:r>
      <w:r>
        <w:rPr>
          <w:rFonts w:hint="eastAsia" w:ascii="楷体" w:hAnsi="楷体" w:eastAsia="楷体"/>
          <w:b/>
          <w:sz w:val="21"/>
          <w:szCs w:val="21"/>
        </w:rPr>
        <w:t>。</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五</w:t>
      </w:r>
      <w:r>
        <w:rPr>
          <w:rFonts w:hint="eastAsia" w:ascii="楷体" w:hAnsi="楷体" w:eastAsia="楷体"/>
          <w:b/>
          <w:sz w:val="21"/>
          <w:szCs w:val="21"/>
        </w:rPr>
        <w:t>、免责条款</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由于地震、火灾、战争等不可抗力导致的交易中断、延误等风险及损失，</w:t>
      </w:r>
      <w:r>
        <w:rPr>
          <w:rFonts w:hint="eastAsia" w:ascii="楷体" w:hAnsi="楷体" w:eastAsia="楷体"/>
          <w:sz w:val="21"/>
          <w:szCs w:val="21"/>
          <w:lang w:val="en-US" w:eastAsia="zh-CN"/>
        </w:rPr>
        <w:t>乙方</w:t>
      </w:r>
      <w:r>
        <w:rPr>
          <w:rFonts w:hint="eastAsia" w:ascii="楷体" w:hAnsi="楷体" w:eastAsia="楷体"/>
          <w:sz w:val="21"/>
          <w:szCs w:val="21"/>
        </w:rPr>
        <w:t>不承担责任，但应在条件允许的情况下通知</w:t>
      </w:r>
      <w:r>
        <w:rPr>
          <w:rFonts w:hint="eastAsia" w:ascii="楷体" w:hAnsi="楷体" w:eastAsia="楷体"/>
          <w:sz w:val="21"/>
          <w:szCs w:val="21"/>
          <w:lang w:val="en-US" w:eastAsia="zh-CN"/>
        </w:rPr>
        <w:t>甲方</w:t>
      </w:r>
      <w:r>
        <w:rPr>
          <w:rFonts w:hint="eastAsia" w:ascii="楷体" w:hAnsi="楷体" w:eastAsia="楷体"/>
          <w:sz w:val="21"/>
          <w:szCs w:val="21"/>
        </w:rPr>
        <w:t>，并采取一切必要的补救措施以减小不可抗力造成的损失。</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2. </w:t>
      </w:r>
      <w:r>
        <w:rPr>
          <w:rFonts w:hint="eastAsia" w:ascii="楷体" w:hAnsi="楷体" w:eastAsia="楷体"/>
          <w:sz w:val="21"/>
          <w:szCs w:val="21"/>
        </w:rPr>
        <w:t>由于国家的有关法律、法规、规章、政策的改变、紧急措施的出台而导致的风险，</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0"/>
        <w:rPr>
          <w:rFonts w:ascii="楷体" w:hAnsi="楷体" w:eastAsia="楷体"/>
          <w:sz w:val="21"/>
          <w:szCs w:val="21"/>
        </w:rPr>
      </w:pPr>
      <w:r>
        <w:rPr>
          <w:rFonts w:hint="eastAsia" w:ascii="楷体" w:hAnsi="楷体" w:eastAsia="楷体"/>
          <w:sz w:val="21"/>
          <w:szCs w:val="21"/>
          <w:lang w:val="en-US" w:eastAsia="zh-CN"/>
        </w:rPr>
        <w:t>3. 乙方</w:t>
      </w:r>
      <w:r>
        <w:rPr>
          <w:rFonts w:hint="eastAsia" w:ascii="楷体" w:hAnsi="楷体" w:eastAsia="楷体"/>
          <w:sz w:val="21"/>
          <w:szCs w:val="21"/>
        </w:rPr>
        <w:t>依照恪尽职守、诚实信用、谨慎勤勉的原则管理和运用理财产品财产，</w:t>
      </w:r>
      <w:r>
        <w:rPr>
          <w:rFonts w:hint="eastAsia" w:ascii="楷体" w:hAnsi="楷体" w:eastAsia="楷体"/>
          <w:b/>
          <w:bCs/>
          <w:sz w:val="21"/>
          <w:szCs w:val="21"/>
        </w:rPr>
        <w:t>但不保证理财产品财产中的认（申）购资金本金不受损失，也不保证一定盈利及最低收益。</w:t>
      </w:r>
      <w:r>
        <w:rPr>
          <w:rFonts w:hint="eastAsia" w:ascii="楷体" w:hAnsi="楷体" w:eastAsia="楷体"/>
          <w:sz w:val="21"/>
          <w:szCs w:val="21"/>
        </w:rPr>
        <w:t>本理财产品运作过程中，</w:t>
      </w:r>
      <w:r>
        <w:rPr>
          <w:rFonts w:hint="eastAsia" w:ascii="楷体" w:hAnsi="楷体" w:eastAsia="楷体"/>
          <w:sz w:val="21"/>
          <w:szCs w:val="21"/>
          <w:lang w:val="en-US" w:eastAsia="zh-CN"/>
        </w:rPr>
        <w:t>乙方</w:t>
      </w:r>
      <w:r>
        <w:rPr>
          <w:rFonts w:hint="eastAsia" w:ascii="楷体" w:hAnsi="楷体" w:eastAsia="楷体"/>
          <w:sz w:val="21"/>
          <w:szCs w:val="21"/>
        </w:rPr>
        <w:t>依据产品合同约定管理和运用理财产品财产所产生的风险，由理财产品财产及</w:t>
      </w:r>
      <w:r>
        <w:rPr>
          <w:rFonts w:hint="eastAsia" w:ascii="楷体" w:hAnsi="楷体" w:eastAsia="楷体"/>
          <w:sz w:val="21"/>
          <w:szCs w:val="21"/>
          <w:lang w:val="en-US" w:eastAsia="zh-CN"/>
        </w:rPr>
        <w:t>甲方</w:t>
      </w:r>
      <w:r>
        <w:rPr>
          <w:rFonts w:hint="eastAsia" w:ascii="楷体" w:hAnsi="楷体" w:eastAsia="楷体"/>
          <w:sz w:val="21"/>
          <w:szCs w:val="21"/>
        </w:rPr>
        <w:t>承担。</w:t>
      </w:r>
      <w:r>
        <w:rPr>
          <w:rFonts w:hint="eastAsia" w:ascii="楷体" w:hAnsi="楷体" w:eastAsia="楷体"/>
          <w:b/>
          <w:bCs/>
          <w:sz w:val="21"/>
          <w:szCs w:val="21"/>
          <w:lang w:val="en-US" w:eastAsia="zh-CN"/>
        </w:rPr>
        <w:t>甲方</w:t>
      </w:r>
      <w:r>
        <w:rPr>
          <w:rFonts w:hint="eastAsia" w:ascii="楷体" w:hAnsi="楷体" w:eastAsia="楷体"/>
          <w:b/>
          <w:bCs/>
          <w:sz w:val="21"/>
          <w:szCs w:val="21"/>
        </w:rPr>
        <w:t>应充分知晓投资运营的相关风险，具体风险详见风险揭示书及理财产品说明书的具体约定，其风险应由</w:t>
      </w:r>
      <w:r>
        <w:rPr>
          <w:rFonts w:hint="eastAsia" w:ascii="楷体" w:hAnsi="楷体" w:eastAsia="楷体"/>
          <w:b/>
          <w:bCs/>
          <w:sz w:val="21"/>
          <w:szCs w:val="21"/>
          <w:lang w:val="en-US" w:eastAsia="zh-CN"/>
        </w:rPr>
        <w:t>甲方</w:t>
      </w:r>
      <w:r>
        <w:rPr>
          <w:rFonts w:hint="eastAsia" w:ascii="楷体" w:hAnsi="楷体" w:eastAsia="楷体"/>
          <w:b/>
          <w:bCs/>
          <w:sz w:val="21"/>
          <w:szCs w:val="21"/>
        </w:rPr>
        <w:t>自担</w:t>
      </w:r>
      <w:r>
        <w:rPr>
          <w:rFonts w:hint="eastAsia" w:ascii="楷体" w:hAnsi="楷体" w:eastAsia="楷体"/>
          <w:sz w:val="21"/>
          <w:szCs w:val="21"/>
        </w:rPr>
        <w:t>。</w:t>
      </w:r>
    </w:p>
    <w:p>
      <w:pPr>
        <w:ind w:firstLine="420"/>
        <w:rPr>
          <w:rFonts w:ascii="楷体" w:hAnsi="楷体" w:eastAsia="楷体"/>
          <w:sz w:val="21"/>
          <w:szCs w:val="21"/>
        </w:rPr>
      </w:pPr>
      <w:r>
        <w:rPr>
          <w:rFonts w:hint="eastAsia" w:ascii="楷体" w:hAnsi="楷体" w:eastAsia="楷体"/>
          <w:sz w:val="21"/>
          <w:szCs w:val="21"/>
          <w:lang w:val="en-US" w:eastAsia="zh-CN"/>
        </w:rPr>
        <w:t xml:space="preserve">4. </w:t>
      </w:r>
      <w:r>
        <w:rPr>
          <w:rFonts w:hint="eastAsia" w:ascii="楷体" w:hAnsi="楷体" w:eastAsia="楷体"/>
          <w:sz w:val="21"/>
          <w:szCs w:val="21"/>
        </w:rPr>
        <w:t>非因</w:t>
      </w:r>
      <w:r>
        <w:rPr>
          <w:rFonts w:hint="eastAsia" w:ascii="楷体" w:hAnsi="楷体" w:eastAsia="楷体"/>
          <w:sz w:val="21"/>
          <w:szCs w:val="21"/>
          <w:lang w:val="en-US" w:eastAsia="zh-CN"/>
        </w:rPr>
        <w:t>乙方</w:t>
      </w:r>
      <w:r>
        <w:rPr>
          <w:rFonts w:hint="eastAsia" w:ascii="楷体" w:hAnsi="楷体" w:eastAsia="楷体"/>
          <w:sz w:val="21"/>
          <w:szCs w:val="21"/>
        </w:rPr>
        <w:t>原因（包括但不限于</w:t>
      </w:r>
      <w:r>
        <w:rPr>
          <w:rFonts w:hint="eastAsia" w:ascii="楷体" w:hAnsi="楷体" w:eastAsia="楷体"/>
          <w:sz w:val="21"/>
          <w:szCs w:val="21"/>
          <w:lang w:val="en-US" w:eastAsia="zh-CN"/>
        </w:rPr>
        <w:t>甲方</w:t>
      </w:r>
      <w:r>
        <w:rPr>
          <w:rFonts w:hint="eastAsia" w:ascii="楷体" w:hAnsi="楷体" w:eastAsia="楷体"/>
          <w:sz w:val="21"/>
          <w:szCs w:val="21"/>
        </w:rPr>
        <w:t>遗失本协议、理财产品合同被盗用、</w:t>
      </w:r>
      <w:r>
        <w:rPr>
          <w:rFonts w:hint="eastAsia" w:ascii="楷体" w:hAnsi="楷体" w:eastAsia="楷体"/>
          <w:sz w:val="21"/>
          <w:szCs w:val="21"/>
          <w:lang w:val="en-US" w:eastAsia="zh-CN"/>
        </w:rPr>
        <w:t>甲方</w:t>
      </w:r>
      <w:r>
        <w:rPr>
          <w:rFonts w:hint="eastAsia" w:ascii="楷体" w:hAnsi="楷体" w:eastAsia="楷体"/>
          <w:sz w:val="21"/>
          <w:szCs w:val="21"/>
        </w:rPr>
        <w:t>资金账户被司法机关等有权部门冻结、扣划及其他投资者自身原因、投资标的固有风险等原因）造成的损失，</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六</w:t>
      </w:r>
      <w:r>
        <w:rPr>
          <w:rFonts w:hint="eastAsia" w:ascii="楷体" w:hAnsi="楷体" w:eastAsia="楷体"/>
          <w:b/>
          <w:sz w:val="21"/>
          <w:szCs w:val="21"/>
        </w:rPr>
        <w:t>、协议的生效、变更及终止</w:t>
      </w:r>
    </w:p>
    <w:p>
      <w:pPr>
        <w:ind w:firstLine="420"/>
        <w:rPr>
          <w:rStyle w:val="20"/>
          <w:rFonts w:hint="eastAsia" w:ascii="楷体" w:hAnsi="楷体" w:eastAsia="楷体" w:cs="Times New Roman"/>
          <w:sz w:val="21"/>
          <w:szCs w:val="21"/>
          <w:highlight w:val="none"/>
        </w:rPr>
      </w:pPr>
      <w:r>
        <w:rPr>
          <w:rFonts w:hint="eastAsia" w:ascii="楷体" w:hAnsi="楷体" w:eastAsia="楷体"/>
          <w:sz w:val="21"/>
          <w:szCs w:val="21"/>
          <w:highlight w:val="none"/>
          <w:lang w:val="en-US" w:eastAsia="zh-CN"/>
        </w:rPr>
        <w:t>1.</w:t>
      </w:r>
      <w:r>
        <w:rPr>
          <w:rFonts w:hint="eastAsia" w:ascii="楷体" w:hAnsi="楷体" w:eastAsia="楷体" w:cs="Times New Roman"/>
          <w:sz w:val="21"/>
          <w:szCs w:val="21"/>
          <w:highlight w:val="none"/>
        </w:rPr>
        <w:t>本协议自</w:t>
      </w:r>
      <w:r>
        <w:rPr>
          <w:rFonts w:hint="eastAsia" w:ascii="楷体" w:hAnsi="楷体" w:eastAsia="楷体"/>
          <w:sz w:val="21"/>
          <w:szCs w:val="21"/>
          <w:highlight w:val="none"/>
          <w:lang w:val="en-US" w:eastAsia="zh-CN"/>
        </w:rPr>
        <w:t>甲方</w:t>
      </w:r>
      <w:r>
        <w:rPr>
          <w:rFonts w:hint="eastAsia" w:ascii="楷体" w:hAnsi="楷体" w:eastAsia="楷体" w:cs="Times New Roman"/>
          <w:sz w:val="21"/>
          <w:szCs w:val="21"/>
          <w:highlight w:val="none"/>
        </w:rPr>
        <w:t>成功缴纳全额</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资金并经</w:t>
      </w:r>
      <w:r>
        <w:rPr>
          <w:rFonts w:hint="eastAsia" w:ascii="楷体" w:hAnsi="楷体" w:eastAsia="楷体"/>
          <w:sz w:val="21"/>
          <w:szCs w:val="21"/>
          <w:highlight w:val="none"/>
          <w:lang w:val="en-US" w:eastAsia="zh-CN"/>
        </w:rPr>
        <w:t>苏银</w:t>
      </w:r>
      <w:r>
        <w:rPr>
          <w:rFonts w:hint="eastAsia" w:ascii="楷体" w:hAnsi="楷体" w:eastAsia="楷体" w:cs="Times New Roman"/>
          <w:sz w:val="21"/>
          <w:szCs w:val="21"/>
          <w:highlight w:val="none"/>
        </w:rPr>
        <w:t>理财系统确认购买份额后成立并生效。投资者在办理理财产品</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交易后，需通过销售机构查询</w:t>
      </w:r>
      <w:r>
        <w:rPr>
          <w:rFonts w:hint="eastAsia" w:ascii="楷体" w:hAnsi="楷体" w:eastAsia="楷体"/>
          <w:sz w:val="21"/>
          <w:szCs w:val="21"/>
          <w:highlight w:val="none"/>
          <w:lang w:val="en-US" w:eastAsia="zh-CN"/>
        </w:rPr>
        <w:t>份额确认情况</w:t>
      </w:r>
      <w:r>
        <w:rPr>
          <w:rFonts w:hint="eastAsia" w:ascii="楷体" w:hAnsi="楷体" w:eastAsia="楷体" w:cs="Times New Roman"/>
          <w:sz w:val="21"/>
          <w:szCs w:val="21"/>
          <w:highlight w:val="none"/>
        </w:rPr>
        <w:t>。</w:t>
      </w:r>
    </w:p>
    <w:p>
      <w:pPr>
        <w:ind w:firstLine="420"/>
        <w:rPr>
          <w:rFonts w:hint="eastAsia" w:ascii="楷体" w:hAnsi="楷体" w:eastAsia="楷体" w:cs="Times New Roman"/>
          <w:sz w:val="21"/>
          <w:szCs w:val="21"/>
          <w:highlight w:val="none"/>
        </w:rPr>
      </w:pPr>
      <w:r>
        <w:rPr>
          <w:rFonts w:hint="eastAsia" w:ascii="楷体" w:hAnsi="楷体" w:eastAsia="楷体" w:cs="Times New Roman"/>
          <w:sz w:val="21"/>
          <w:szCs w:val="21"/>
          <w:highlight w:val="none"/>
          <w:lang w:val="en-US" w:eastAsia="zh-CN"/>
        </w:rPr>
        <w:t>2.</w:t>
      </w:r>
      <w:r>
        <w:rPr>
          <w:rFonts w:hint="eastAsia" w:ascii="楷体" w:hAnsi="楷体" w:eastAsia="楷体" w:cs="Times New Roman"/>
          <w:sz w:val="21"/>
          <w:szCs w:val="21"/>
          <w:highlight w:val="none"/>
        </w:rPr>
        <w:t>本协议及理财产品合同项下各方权利义务履行完毕之日，本协议自动终止。</w:t>
      </w:r>
    </w:p>
    <w:p>
      <w:pPr>
        <w:ind w:firstLine="420"/>
        <w:rPr>
          <w:rFonts w:ascii="楷体" w:hAnsi="楷体" w:eastAsia="楷体"/>
          <w:b/>
          <w:sz w:val="21"/>
          <w:szCs w:val="21"/>
        </w:rPr>
      </w:pPr>
      <w:r>
        <w:rPr>
          <w:rFonts w:hint="eastAsia" w:ascii="楷体" w:hAnsi="楷体" w:eastAsia="楷体"/>
          <w:b/>
          <w:sz w:val="21"/>
          <w:szCs w:val="21"/>
          <w:lang w:val="en-US" w:eastAsia="zh-CN"/>
        </w:rPr>
        <w:t>七</w:t>
      </w:r>
      <w:r>
        <w:rPr>
          <w:rFonts w:hint="eastAsia" w:ascii="楷体" w:hAnsi="楷体" w:eastAsia="楷体"/>
          <w:b/>
          <w:sz w:val="21"/>
          <w:szCs w:val="21"/>
        </w:rPr>
        <w:t>、本合同的订立、生效、履行、解释、修改和终止等事项均适用中华人民共和国（不包括香港特别行政区、澳门特别行政区和台湾地区）法律。</w:t>
      </w:r>
    </w:p>
    <w:p>
      <w:pPr>
        <w:ind w:left="0" w:leftChars="0" w:firstLine="420" w:firstLineChars="200"/>
        <w:rPr>
          <w:rFonts w:hint="eastAsia" w:ascii="楷体" w:hAnsi="楷体" w:eastAsia="楷体"/>
          <w:sz w:val="21"/>
          <w:szCs w:val="21"/>
        </w:rPr>
      </w:pPr>
      <w:r>
        <w:rPr>
          <w:rFonts w:hint="eastAsia" w:ascii="楷体" w:hAnsi="楷体" w:eastAsia="楷体"/>
          <w:sz w:val="21"/>
          <w:szCs w:val="21"/>
        </w:rPr>
        <w:t>因本合同引起的或与本合同有关的任何争议，应当首先通过双方之间的友好协商解决；协商不成的，双方均有权提交</w:t>
      </w:r>
      <w:r>
        <w:rPr>
          <w:rFonts w:hint="eastAsia" w:ascii="楷体" w:hAnsi="楷体" w:eastAsia="楷体"/>
          <w:sz w:val="21"/>
          <w:szCs w:val="21"/>
          <w:lang w:val="en-US" w:eastAsia="zh-CN"/>
        </w:rPr>
        <w:t>乙方</w:t>
      </w:r>
      <w:r>
        <w:rPr>
          <w:rFonts w:hint="eastAsia" w:ascii="楷体" w:hAnsi="楷体" w:eastAsia="楷体"/>
          <w:sz w:val="21"/>
          <w:szCs w:val="21"/>
        </w:rPr>
        <w:t>所在地有管辖权的人民法院诉讼解决。</w:t>
      </w:r>
    </w:p>
    <w:p>
      <w:pPr>
        <w:ind w:firstLine="420"/>
        <w:rPr>
          <w:rFonts w:hint="default" w:ascii="楷体" w:hAnsi="楷体" w:eastAsia="楷体"/>
          <w:b/>
          <w:sz w:val="21"/>
          <w:szCs w:val="21"/>
          <w:lang w:val="en-US" w:eastAsia="zh-CN"/>
        </w:rPr>
      </w:pPr>
      <w:r>
        <w:rPr>
          <w:rFonts w:hint="eastAsia" w:ascii="楷体" w:hAnsi="楷体" w:eastAsia="楷体"/>
          <w:b/>
          <w:sz w:val="21"/>
          <w:szCs w:val="21"/>
          <w:lang w:val="en-US" w:eastAsia="zh-CN"/>
        </w:rPr>
        <w:t>八</w:t>
      </w:r>
      <w:r>
        <w:rPr>
          <w:rFonts w:hint="eastAsia" w:ascii="楷体" w:hAnsi="楷体" w:eastAsia="楷体"/>
          <w:b/>
          <w:sz w:val="21"/>
          <w:szCs w:val="21"/>
        </w:rPr>
        <w:t>、</w:t>
      </w:r>
      <w:r>
        <w:rPr>
          <w:rFonts w:hint="eastAsia" w:ascii="楷体" w:hAnsi="楷体" w:eastAsia="楷体"/>
          <w:b/>
          <w:sz w:val="21"/>
          <w:szCs w:val="21"/>
          <w:lang w:val="en-US" w:eastAsia="zh-CN"/>
        </w:rPr>
        <w:t>投资协议书未尽事宜，以理财产品说明书、风险揭示书、理财产品（代理）销售协议书、投资者权益须知的约定内容为准。签署本协议视为同意并接受以上法律文件的所有内容。</w:t>
      </w:r>
    </w:p>
    <w:p>
      <w:pPr>
        <w:numPr>
          <w:ilvl w:val="0"/>
          <w:numId w:val="0"/>
        </w:numPr>
        <w:ind w:firstLine="420" w:firstLineChars="200"/>
        <w:rPr>
          <w:rFonts w:hint="eastAsia" w:ascii="楷体" w:hAnsi="楷体" w:eastAsia="楷体"/>
          <w:sz w:val="21"/>
          <w:szCs w:val="21"/>
        </w:rPr>
      </w:pPr>
      <w:r>
        <w:rPr>
          <w:rFonts w:ascii="楷体" w:hAnsi="楷体" w:eastAsia="楷体"/>
          <w:sz w:val="21"/>
          <w:szCs w:val="21"/>
        </w:rPr>
        <w:t>甲方</w:t>
      </w:r>
      <w:r>
        <w:rPr>
          <w:rFonts w:hint="eastAsia" w:ascii="楷体" w:hAnsi="楷体" w:eastAsia="楷体"/>
          <w:sz w:val="21"/>
          <w:szCs w:val="21"/>
        </w:rPr>
        <w:t xml:space="preserve">（个人客户签字）：      </w:t>
      </w:r>
      <w:r>
        <w:rPr>
          <w:rFonts w:ascii="楷体" w:hAnsi="楷体" w:eastAsia="楷体"/>
          <w:sz w:val="21"/>
          <w:szCs w:val="21"/>
        </w:rPr>
        <w:t>甲方</w:t>
      </w:r>
      <w:r>
        <w:rPr>
          <w:rFonts w:hint="eastAsia" w:ascii="楷体" w:hAnsi="楷体" w:eastAsia="楷体"/>
          <w:sz w:val="21"/>
          <w:szCs w:val="21"/>
        </w:rPr>
        <w:t>（机构客户盖章）：</w:t>
      </w:r>
    </w:p>
    <w:p>
      <w:pPr>
        <w:rPr>
          <w:rFonts w:hint="eastAsia" w:ascii="楷体" w:hAnsi="楷体" w:eastAsia="楷体"/>
          <w:sz w:val="21"/>
          <w:szCs w:val="21"/>
        </w:rPr>
      </w:pPr>
    </w:p>
    <w:p>
      <w:pPr>
        <w:rPr>
          <w:rFonts w:hint="eastAsia" w:ascii="楷体" w:hAnsi="楷体" w:eastAsia="楷体"/>
          <w:sz w:val="21"/>
          <w:szCs w:val="21"/>
        </w:rPr>
      </w:pPr>
    </w:p>
    <w:p>
      <w:pPr>
        <w:rPr>
          <w:rFonts w:hint="eastAsia" w:ascii="楷体" w:hAnsi="楷体" w:eastAsia="楷体"/>
          <w:sz w:val="21"/>
          <w:szCs w:val="21"/>
        </w:rPr>
      </w:pPr>
      <w:r>
        <w:rPr>
          <w:rFonts w:hint="eastAsia" w:ascii="楷体" w:hAnsi="楷体" w:eastAsia="楷体"/>
          <w:szCs w:val="21"/>
        </w:rPr>
        <w:t xml:space="preserve">                               </w:t>
      </w:r>
      <w:r>
        <w:rPr>
          <w:rFonts w:hint="eastAsia" w:ascii="楷体" w:hAnsi="楷体" w:eastAsia="楷体"/>
          <w:sz w:val="21"/>
          <w:szCs w:val="21"/>
        </w:rPr>
        <w:t>机构客户法定代表人或授权代表（签字或盖章）</w:t>
      </w:r>
    </w:p>
    <w:p>
      <w:pPr>
        <w:rPr>
          <w:rFonts w:hint="eastAsia" w:ascii="楷体" w:hAnsi="楷体" w:eastAsia="楷体"/>
          <w:sz w:val="21"/>
          <w:szCs w:val="21"/>
        </w:rPr>
      </w:pPr>
    </w:p>
    <w:p>
      <w:pPr>
        <w:autoSpaceDE w:val="0"/>
        <w:autoSpaceDN w:val="0"/>
        <w:adjustRightInd w:val="0"/>
        <w:ind w:firstLine="4410" w:firstLineChars="2100"/>
        <w:jc w:val="left"/>
        <w:rPr>
          <w:rFonts w:hint="eastAsia" w:ascii="楷体" w:hAnsi="楷体" w:eastAsia="楷体"/>
          <w:sz w:val="21"/>
          <w:szCs w:val="21"/>
        </w:rPr>
      </w:pPr>
      <w:r>
        <w:rPr>
          <w:rFonts w:ascii="楷体" w:hAnsi="楷体" w:eastAsia="楷体"/>
          <w:sz w:val="21"/>
          <w:szCs w:val="21"/>
        </w:rPr>
        <w:t>签署日期：</w:t>
      </w:r>
      <w:r>
        <w:rPr>
          <w:rFonts w:hint="eastAsia" w:ascii="楷体" w:hAnsi="楷体" w:eastAsia="楷体"/>
          <w:sz w:val="21"/>
          <w:szCs w:val="21"/>
        </w:rPr>
        <w:t xml:space="preserve">      </w:t>
      </w:r>
      <w:r>
        <w:rPr>
          <w:rFonts w:ascii="楷体" w:hAnsi="楷体" w:eastAsia="楷体"/>
          <w:sz w:val="21"/>
          <w:szCs w:val="21"/>
        </w:rPr>
        <w:t>年</w:t>
      </w:r>
      <w:r>
        <w:rPr>
          <w:rFonts w:hint="eastAsia" w:ascii="楷体" w:hAnsi="楷体" w:eastAsia="楷体"/>
          <w:sz w:val="21"/>
          <w:szCs w:val="21"/>
        </w:rPr>
        <w:t xml:space="preserve">      </w:t>
      </w:r>
      <w:r>
        <w:rPr>
          <w:rFonts w:ascii="楷体" w:hAnsi="楷体" w:eastAsia="楷体"/>
          <w:sz w:val="21"/>
          <w:szCs w:val="21"/>
        </w:rPr>
        <w:t>月</w:t>
      </w:r>
      <w:r>
        <w:rPr>
          <w:rFonts w:hint="eastAsia" w:ascii="楷体" w:hAnsi="楷体" w:eastAsia="楷体"/>
          <w:sz w:val="21"/>
          <w:szCs w:val="21"/>
        </w:rPr>
        <w:t xml:space="preserve">     日</w:t>
      </w:r>
    </w:p>
    <w:p/>
    <w:sectPr>
      <w:headerReference r:id="rId9" w:type="first"/>
      <w:headerReference r:id="rId7" w:type="default"/>
      <w:footerReference r:id="rId10" w:type="default"/>
      <w:head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黑体" w:eastAsia="黑体" w:cs="黑体"/>
        <w:spacing w:val="-2"/>
        <w:sz w:val="24"/>
        <w:szCs w:val="24"/>
      </w:rPr>
    </w:pPr>
    <w:r>
      <w:pict>
        <v:shape id="WordPictureWatermark367144751" o:spid="_x0000_s4098" o:spt="75" type="#_x0000_t75" style="position:absolute;left:0pt;height:862.85pt;width:1137.35pt;mso-position-horizontal:center;mso-position-horizontal-relative:margin;mso-position-vertical:center;mso-position-vertical-relative:margin;z-index:-251652096;mso-width-relative:page;mso-height-relative:page;" filled="f" stroked="f" coordsize="21600,21600" o:allowincell="f">
          <v:path/>
          <v:fill on="f" focussize="0,0"/>
          <v:stroke on="f"/>
          <v:imagedata r:id="rId1" gain="19661f" blacklevel="22938f" o:title="苏银理财"/>
          <o:lock v:ext="edit" aspectratio="t"/>
        </v:shape>
      </w:pict>
    </w:r>
    <w:r>
      <w:pict>
        <v:shape id="图片 2" o:spid="_x0000_s4099" o:spt="75" alt="说明: C:\Users\JSYH\Desktop\苏银理财.png" type="#_x0000_t75" style="position:absolute;left:0pt;margin-left:308.95pt;margin-top:-7.5pt;height:33.45pt;width:104.35pt;mso-wrap-distance-bottom:0pt;mso-wrap-distance-left:9pt;mso-wrap-distance-right:9pt;mso-wrap-distance-top:0pt;z-index:251666432;mso-width-relative:page;mso-height-relative:page;" filled="f" stroked="f" coordsize="21600,21600">
          <v:path/>
          <v:fill on="f" focussize="0,0"/>
          <v:stroke on="f"/>
          <v:imagedata r:id="rId2" o:title="苏银理财"/>
          <o:lock v:ext="edit" grouping="f" aspectratio="t"/>
          <w10:wrap type="square"/>
        </v:shape>
      </w:pict>
    </w:r>
    <w:r>
      <w:rPr>
        <w:rFonts w:hint="eastAsia" w:ascii="黑体" w:eastAsia="黑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50" o:spid="_x0000_s4100" o:spt="75" type="#_x0000_t75" style="position:absolute;left:0pt;height:862.85pt;width:1137.35pt;mso-position-horizontal:center;mso-position-horizontal-relative:margin;mso-position-vertical:center;mso-position-vertical-relative:margin;z-index:-251653120;mso-width-relative:page;mso-height-relative:page;" filled="f" stroked="f" coordsize="21600,21600" o:allowincell="f">
          <v:path/>
          <v:fill on="f" focussize="0,0"/>
          <v:stroke on="f"/>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49" o:spid="_x0000_s4097" o:spt="75" type="#_x0000_t75" style="position:absolute;left:0pt;height:862.85pt;width:1137.35pt;mso-position-horizontal:center;mso-position-horizontal-relative:margin;mso-position-vertical:center;mso-position-vertical-relative:margin;z-index:-251654144;mso-width-relative:page;mso-height-relative:page;" filled="f" stroked="f" coordsize="21600,21600" o:allowincell="f">
          <v:path/>
          <v:fill on="f" focussize="0,0"/>
          <v:stroke on="f"/>
          <v:imagedata r:id="rId1" gain="19661f" blacklevel="22938f" o:title="苏银理财"/>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4102" o:spt="75" type="#_x0000_t75" style="position:absolute;left:0pt;height:862.85pt;width:1137.35pt;mso-position-horizontal:center;mso-position-horizontal-relative:margin;mso-position-vertical:center;mso-position-vertical-relative:margin;z-index:-251655168;mso-width-relative:page;mso-height-relative:page;" filled="f" stroked="f" coordsize="21600,21600" o:allowincell="f">
          <v:path/>
          <v:fill on="f" focussize="0,0"/>
          <v:stroke on="f"/>
          <v:imagedata r:id="rId1" gain="19661f" blacklevel="22938f" o:title="苏银理财"/>
          <o:lock v:ext="edit" aspectratio="t"/>
        </v:shape>
      </w:pict>
    </w:r>
    <w:r>
      <w:pict>
        <v:shape id="_x0000_s4103" o:spid="_x0000_s4103" o:spt="75" alt="说明: 说明: C:\Users\JSYH\Desktop\苏银理财.png" type="#_x0000_t75" style="position:absolute;left:0pt;margin-left:308.95pt;margin-top:-7.5pt;height:33.45pt;width:104.35pt;mso-wrap-distance-bottom:0pt;mso-wrap-distance-left:9pt;mso-wrap-distance-right:9pt;mso-wrap-distance-top:0pt;z-index:251665408;mso-width-relative:page;mso-height-relative:page;" filled="f" stroked="f" coordsize="21600,21600">
          <v:path/>
          <v:fill on="f" focussize="0,0"/>
          <v:stroke on="f"/>
          <v:imagedata r:id="rId2" o:title="苏银理财"/>
          <o:lock v:ext="edit" grouping="f" aspectratio="t"/>
          <w10:wrap type="square"/>
        </v:shape>
      </w:pict>
    </w:r>
    <w:r>
      <w:rPr>
        <w:rFonts w:hint="eastAsia" w:ascii="楷体" w:hAnsi="楷体" w:eastAsia="楷体" w:cs="黑体"/>
        <w:b/>
        <w:bCs/>
        <w:spacing w:val="-2"/>
        <w:sz w:val="24"/>
        <w:szCs w:val="24"/>
      </w:rPr>
      <w:t>理财非存款、产品有风险、投资须谨慎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4104" o:spt="75" type="#_x0000_t75" style="position:absolute;left:0pt;height:862.85pt;width:1137.35pt;mso-position-horizontal:center;mso-position-horizontal-relative:margin;mso-position-vertical:center;mso-position-vertical-relative:margin;z-index:-251656192;mso-width-relative:page;mso-height-relative:page;" filled="f" stroked="f" coordsize="21600,21600" o:allowincell="f">
          <v:path/>
          <v:fill on="f" focussize="0,0"/>
          <v:stroke on="f"/>
          <v:imagedata r:id="rId1" gain="19661f" blacklevel="22938f" o:title="苏银理财"/>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4101" o:spt="75" type="#_x0000_t75" style="position:absolute;left:0pt;height:862.85pt;width:1137.35pt;mso-position-horizontal:center;mso-position-horizontal-relative:margin;mso-position-vertical:center;mso-position-vertical-relative:margin;z-index:-251657216;mso-width-relative:page;mso-height-relative:page;" filled="f" stroked="f" coordsize="21600,21600" o:allowincell="f">
          <v:path/>
          <v:fill on="f" focussize="0,0"/>
          <v:stroke on="f"/>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68638"/>
    <w:multiLevelType w:val="singleLevel"/>
    <w:tmpl w:val="A9D68638"/>
    <w:lvl w:ilvl="0" w:tentative="0">
      <w:start w:val="3"/>
      <w:numFmt w:val="chineseCounting"/>
      <w:suff w:val="nothing"/>
      <w:lvlText w:val="（%1）"/>
      <w:lvlJc w:val="left"/>
      <w:rPr>
        <w:rFonts w:hint="eastAsia"/>
      </w:r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3743EB"/>
    <w:multiLevelType w:val="multilevel"/>
    <w:tmpl w:val="0C37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A52050"/>
    <w:multiLevelType w:val="multilevel"/>
    <w:tmpl w:val="1CA52050"/>
    <w:lvl w:ilvl="0" w:tentative="0">
      <w:start w:val="1"/>
      <w:numFmt w:val="chineseCountingThousand"/>
      <w:lvlText w:val="%1、"/>
      <w:lvlJc w:val="left"/>
      <w:pPr>
        <w:ind w:left="0" w:firstLine="0"/>
      </w:pPr>
      <w:rPr>
        <w:rFonts w:hint="eastAsia" w:ascii="楷体" w:hAnsi="楷体" w:eastAsia="楷体" w:cs="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D42F757"/>
    <w:multiLevelType w:val="singleLevel"/>
    <w:tmpl w:val="2D42F757"/>
    <w:lvl w:ilvl="0" w:tentative="0">
      <w:start w:val="2"/>
      <w:numFmt w:val="chineseCounting"/>
      <w:suff w:val="nothing"/>
      <w:lvlText w:val="（%1）"/>
      <w:lvlJc w:val="left"/>
      <w:rPr>
        <w:rFonts w:hint="eastAsia"/>
      </w:rPr>
    </w:lvl>
  </w:abstractNum>
  <w:abstractNum w:abstractNumId="10">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5714B71"/>
    <w:multiLevelType w:val="multilevel"/>
    <w:tmpl w:val="45714B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2915C06"/>
    <w:multiLevelType w:val="multilevel"/>
    <w:tmpl w:val="52915C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8D10B54"/>
    <w:multiLevelType w:val="multilevel"/>
    <w:tmpl w:val="58D10B5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7267532"/>
    <w:multiLevelType w:val="multilevel"/>
    <w:tmpl w:val="6726753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8541B78"/>
    <w:multiLevelType w:val="singleLevel"/>
    <w:tmpl w:val="78541B78"/>
    <w:lvl w:ilvl="0" w:tentative="0">
      <w:start w:val="1"/>
      <w:numFmt w:val="decimal"/>
      <w:suff w:val="nothing"/>
      <w:lvlText w:val="（%1）"/>
      <w:lvlJc w:val="left"/>
    </w:lvl>
  </w:abstractNum>
  <w:abstractNum w:abstractNumId="24">
    <w:nsid w:val="790DC278"/>
    <w:multiLevelType w:val="singleLevel"/>
    <w:tmpl w:val="790DC278"/>
    <w:lvl w:ilvl="0" w:tentative="0">
      <w:start w:val="2"/>
      <w:numFmt w:val="decimal"/>
      <w:lvlText w:val="%1."/>
      <w:lvlJc w:val="left"/>
      <w:pPr>
        <w:tabs>
          <w:tab w:val="left" w:pos="312"/>
        </w:tabs>
      </w:pPr>
    </w:lvl>
  </w:abstractNum>
  <w:abstractNum w:abstractNumId="25">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4"/>
  </w:num>
  <w:num w:numId="7">
    <w:abstractNumId w:val="24"/>
  </w:num>
  <w:num w:numId="8">
    <w:abstractNumId w:val="18"/>
  </w:num>
  <w:num w:numId="9">
    <w:abstractNumId w:val="19"/>
  </w:num>
  <w:num w:numId="10">
    <w:abstractNumId w:val="7"/>
  </w:num>
  <w:num w:numId="11">
    <w:abstractNumId w:val="22"/>
  </w:num>
  <w:num w:numId="12">
    <w:abstractNumId w:val="23"/>
  </w:num>
  <w:num w:numId="13">
    <w:abstractNumId w:val="17"/>
  </w:num>
  <w:num w:numId="14">
    <w:abstractNumId w:val="13"/>
  </w:num>
  <w:num w:numId="15">
    <w:abstractNumId w:val="8"/>
  </w:num>
  <w:num w:numId="16">
    <w:abstractNumId w:val="3"/>
  </w:num>
  <w:num w:numId="17">
    <w:abstractNumId w:val="0"/>
  </w:num>
  <w:num w:numId="18">
    <w:abstractNumId w:val="25"/>
  </w:num>
  <w:num w:numId="19">
    <w:abstractNumId w:val="16"/>
  </w:num>
  <w:num w:numId="20">
    <w:abstractNumId w:val="14"/>
  </w:num>
  <w:num w:numId="21">
    <w:abstractNumId w:val="2"/>
  </w:num>
  <w:num w:numId="22">
    <w:abstractNumId w:val="15"/>
  </w:num>
  <w:num w:numId="23">
    <w:abstractNumId w:val="1"/>
  </w:num>
  <w:num w:numId="24">
    <w:abstractNumId w:val="20"/>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90BCA"/>
    <w:rsid w:val="2EBF3300"/>
    <w:rsid w:val="37D90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40"/>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1"/>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38"/>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42"/>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uiPriority w:val="99"/>
    <w:pPr>
      <w:snapToGrid w:val="0"/>
      <w:jc w:val="left"/>
    </w:pPr>
    <w:rPr>
      <w:sz w:val="18"/>
      <w:szCs w:val="18"/>
    </w:rPr>
  </w:style>
  <w:style w:type="paragraph" w:styleId="12">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paragraph" w:customStyle="1" w:styleId="22">
    <w:name w:val="_Style 21"/>
    <w:semiHidden/>
    <w:qFormat/>
    <w:uiPriority w:val="99"/>
    <w:rPr>
      <w:rFonts w:ascii="Times New Roman" w:hAnsi="Times New Roman" w:eastAsia="宋体" w:cs="Times New Roman"/>
      <w:kern w:val="2"/>
      <w:sz w:val="21"/>
      <w:szCs w:val="22"/>
      <w:lang w:val="en-US" w:eastAsia="zh-CN" w:bidi="ar-SA"/>
    </w:rPr>
  </w:style>
  <w:style w:type="paragraph" w:customStyle="1" w:styleId="2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styleId="24">
    <w:name w:val="List Paragraph"/>
    <w:basedOn w:val="1"/>
    <w:qFormat/>
    <w:uiPriority w:val="72"/>
    <w:pPr>
      <w:ind w:firstLine="420" w:firstLineChars="200"/>
    </w:p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6">
    <w:name w:val="页眉 Char"/>
    <w:link w:val="10"/>
    <w:qFormat/>
    <w:uiPriority w:val="99"/>
    <w:rPr>
      <w:rFonts w:ascii="Times New Roman" w:hAnsi="Times New Roman" w:eastAsia="宋体" w:cs="Times New Roman"/>
      <w:kern w:val="0"/>
      <w:sz w:val="18"/>
      <w:szCs w:val="18"/>
    </w:rPr>
  </w:style>
  <w:style w:type="character" w:customStyle="1" w:styleId="27">
    <w:name w:val="标题 1 Char"/>
    <w:link w:val="3"/>
    <w:qFormat/>
    <w:uiPriority w:val="1"/>
    <w:rPr>
      <w:rFonts w:ascii="黑体" w:hAnsi="Times New Roman" w:eastAsia="黑体" w:cs="Times New Roman"/>
      <w:b/>
      <w:bCs/>
      <w:kern w:val="0"/>
      <w:sz w:val="36"/>
      <w:szCs w:val="36"/>
    </w:rPr>
  </w:style>
  <w:style w:type="character" w:customStyle="1" w:styleId="28">
    <w:name w:val="批注文字 Char"/>
    <w:link w:val="6"/>
    <w:qFormat/>
    <w:uiPriority w:val="99"/>
    <w:rPr>
      <w:rFonts w:ascii="Times New Roman" w:hAnsi="Times New Roman" w:eastAsia="宋体" w:cs="Times New Roman"/>
    </w:rPr>
  </w:style>
  <w:style w:type="character" w:customStyle="1" w:styleId="29">
    <w:name w:val="脚注文本 Char"/>
    <w:link w:val="11"/>
    <w:semiHidden/>
    <w:qFormat/>
    <w:uiPriority w:val="99"/>
    <w:rPr>
      <w:rFonts w:ascii="Times New Roman" w:hAnsi="Times New Roman" w:eastAsia="宋体" w:cs="Times New Roman"/>
      <w:sz w:val="18"/>
      <w:szCs w:val="18"/>
    </w:rPr>
  </w:style>
  <w:style w:type="character" w:customStyle="1" w:styleId="30">
    <w:name w:val="页脚 Char"/>
    <w:link w:val="9"/>
    <w:qFormat/>
    <w:uiPriority w:val="99"/>
    <w:rPr>
      <w:rFonts w:ascii="Times New Roman" w:hAnsi="Times New Roman" w:eastAsia="宋体" w:cs="Times New Roman"/>
      <w:kern w:val="0"/>
      <w:sz w:val="18"/>
      <w:szCs w:val="18"/>
    </w:rPr>
  </w:style>
  <w:style w:type="character" w:customStyle="1" w:styleId="31">
    <w:name w:val="批注框文本 Char"/>
    <w:link w:val="8"/>
    <w:semiHidden/>
    <w:qFormat/>
    <w:uiPriority w:val="99"/>
    <w:rPr>
      <w:rFonts w:ascii="Times New Roman" w:hAnsi="Times New Roman" w:eastAsia="宋体" w:cs="Times New Roman"/>
      <w:kern w:val="0"/>
      <w:sz w:val="18"/>
      <w:szCs w:val="18"/>
    </w:rPr>
  </w:style>
  <w:style w:type="character" w:customStyle="1" w:styleId="32">
    <w:name w:val="标题 2 Char"/>
    <w:link w:val="4"/>
    <w:qFormat/>
    <w:uiPriority w:val="9"/>
    <w:rPr>
      <w:rFonts w:ascii="Cambria" w:hAnsi="Cambria" w:eastAsia="宋体" w:cs="Times New Roman"/>
      <w:b/>
      <w:bCs/>
      <w:kern w:val="0"/>
      <w:sz w:val="32"/>
      <w:szCs w:val="32"/>
    </w:rPr>
  </w:style>
  <w:style w:type="character" w:customStyle="1" w:styleId="33">
    <w:name w:val="日期 Char"/>
    <w:basedOn w:val="17"/>
    <w:link w:val="7"/>
    <w:semiHidden/>
    <w:qFormat/>
    <w:uiPriority w:val="99"/>
    <w:rPr>
      <w:rFonts w:ascii="Times New Roman" w:hAnsi="Times New Roman" w:eastAsia="宋体" w:cs="Times New Roman"/>
    </w:rPr>
  </w:style>
  <w:style w:type="character" w:customStyle="1" w:styleId="34">
    <w:name w:val="脚注文本 字符"/>
    <w:semiHidden/>
    <w:qFormat/>
    <w:uiPriority w:val="99"/>
    <w:rPr>
      <w:rFonts w:ascii="Times New Roman" w:hAnsi="Times New Roman" w:eastAsia="宋体" w:cs="Times New Roman"/>
      <w:kern w:val="2"/>
      <w:sz w:val="18"/>
      <w:szCs w:val="18"/>
    </w:rPr>
  </w:style>
  <w:style w:type="character" w:customStyle="1" w:styleId="35">
    <w:name w:val="批注主题 Char"/>
    <w:link w:val="14"/>
    <w:semiHidden/>
    <w:qFormat/>
    <w:uiPriority w:val="99"/>
    <w:rPr>
      <w:rFonts w:ascii="Times New Roman" w:hAnsi="Times New Roman" w:eastAsia="宋体" w:cs="Times New Roman"/>
      <w:b/>
      <w:bCs/>
    </w:rPr>
  </w:style>
  <w:style w:type="character" w:customStyle="1" w:styleId="36">
    <w:name w:val="标题 3 Char"/>
    <w:link w:val="5"/>
    <w:qFormat/>
    <w:uiPriority w:val="1"/>
    <w:rPr>
      <w:rFonts w:ascii="宋体" w:hAnsi="Times New Roman" w:eastAsia="宋体" w:cs="Times New Roman"/>
      <w:b/>
      <w:bCs/>
      <w:kern w:val="0"/>
      <w:sz w:val="20"/>
      <w:szCs w:val="21"/>
    </w:rPr>
  </w:style>
  <w:style w:type="character" w:customStyle="1" w:styleId="37">
    <w:name w:val="正文文本 Char"/>
    <w:link w:val="2"/>
    <w:qFormat/>
    <w:uiPriority w:val="1"/>
    <w:rPr>
      <w:rFonts w:ascii="宋体" w:hAnsi="Times New Roman" w:eastAsia="宋体" w:cs="Times New Roman"/>
      <w:kern w:val="0"/>
      <w:sz w:val="20"/>
      <w:szCs w:val="21"/>
    </w:rPr>
  </w:style>
  <w:style w:type="character" w:customStyle="1" w:styleId="38">
    <w:name w:val="正文文本 字符"/>
    <w:link w:val="2"/>
    <w:qFormat/>
    <w:uiPriority w:val="1"/>
    <w:rPr>
      <w:rFonts w:ascii="宋体" w:hAnsi="Times New Roman" w:eastAsia="宋体" w:cs="Times New Roman"/>
      <w:kern w:val="0"/>
      <w:sz w:val="20"/>
      <w:szCs w:val="21"/>
    </w:rPr>
  </w:style>
  <w:style w:type="character" w:customStyle="1" w:styleId="39">
    <w:name w:val="标题 1 字符"/>
    <w:link w:val="3"/>
    <w:qFormat/>
    <w:uiPriority w:val="1"/>
    <w:rPr>
      <w:rFonts w:ascii="黑体" w:hAnsi="Times New Roman" w:eastAsia="黑体" w:cs="Times New Roman"/>
      <w:b/>
      <w:bCs/>
      <w:kern w:val="0"/>
      <w:sz w:val="36"/>
      <w:szCs w:val="36"/>
    </w:rPr>
  </w:style>
  <w:style w:type="character" w:customStyle="1" w:styleId="40">
    <w:name w:val="标题 2 字符"/>
    <w:link w:val="4"/>
    <w:qFormat/>
    <w:uiPriority w:val="9"/>
    <w:rPr>
      <w:rFonts w:ascii="Cambria" w:hAnsi="Cambria" w:eastAsia="宋体" w:cs="Times New Roman"/>
      <w:b/>
      <w:bCs/>
      <w:kern w:val="0"/>
      <w:sz w:val="32"/>
      <w:szCs w:val="32"/>
    </w:rPr>
  </w:style>
  <w:style w:type="character" w:customStyle="1" w:styleId="41">
    <w:name w:val="标题 3 字符"/>
    <w:link w:val="5"/>
    <w:qFormat/>
    <w:uiPriority w:val="1"/>
    <w:rPr>
      <w:rFonts w:ascii="宋体" w:hAnsi="Times New Roman" w:eastAsia="宋体" w:cs="Times New Roman"/>
      <w:b/>
      <w:bCs/>
      <w:kern w:val="0"/>
      <w:sz w:val="20"/>
      <w:szCs w:val="21"/>
    </w:rPr>
  </w:style>
  <w:style w:type="character" w:customStyle="1" w:styleId="42">
    <w:name w:val="批注文字 字符"/>
    <w:link w:val="6"/>
    <w:qFormat/>
    <w:uiPriority w:val="99"/>
    <w:rPr>
      <w:rFonts w:ascii="Times New Roman" w:hAnsi="Times New Roman" w:eastAsia="宋体" w:cs="Times New Roman"/>
    </w:rPr>
  </w:style>
  <w:style w:type="character" w:customStyle="1" w:styleId="43">
    <w:name w:val="日期 字符"/>
    <w:basedOn w:val="17"/>
    <w:link w:val="7"/>
    <w:semiHidden/>
    <w:qFormat/>
    <w:uiPriority w:val="99"/>
    <w:rPr>
      <w:rFonts w:ascii="Times New Roman" w:hAnsi="Times New Roman" w:eastAsia="宋体" w:cs="Times New Roman"/>
    </w:rPr>
  </w:style>
  <w:style w:type="character" w:customStyle="1" w:styleId="44">
    <w:name w:val="批注框文本 字符"/>
    <w:link w:val="8"/>
    <w:semiHidden/>
    <w:qFormat/>
    <w:uiPriority w:val="99"/>
    <w:rPr>
      <w:rFonts w:ascii="Times New Roman" w:hAnsi="Times New Roman" w:eastAsia="宋体" w:cs="Times New Roman"/>
      <w:kern w:val="0"/>
      <w:sz w:val="18"/>
      <w:szCs w:val="18"/>
    </w:rPr>
  </w:style>
  <w:style w:type="character" w:customStyle="1" w:styleId="45">
    <w:name w:val="页脚 字符"/>
    <w:link w:val="9"/>
    <w:qFormat/>
    <w:uiPriority w:val="99"/>
    <w:rPr>
      <w:rFonts w:ascii="Times New Roman" w:hAnsi="Times New Roman" w:eastAsia="宋体" w:cs="Times New Roman"/>
      <w:kern w:val="0"/>
      <w:sz w:val="18"/>
      <w:szCs w:val="18"/>
    </w:rPr>
  </w:style>
  <w:style w:type="character" w:customStyle="1" w:styleId="46">
    <w:name w:val="页眉 字符"/>
    <w:link w:val="10"/>
    <w:qFormat/>
    <w:uiPriority w:val="99"/>
    <w:rPr>
      <w:rFonts w:ascii="Times New Roman" w:hAnsi="Times New Roman" w:eastAsia="宋体" w:cs="Times New Roman"/>
      <w:kern w:val="0"/>
      <w:sz w:val="18"/>
      <w:szCs w:val="18"/>
    </w:rPr>
  </w:style>
  <w:style w:type="character" w:customStyle="1" w:styleId="47">
    <w:name w:val="脚注文本 字符1"/>
    <w:link w:val="11"/>
    <w:qFormat/>
    <w:uiPriority w:val="99"/>
    <w:rPr>
      <w:rFonts w:ascii="Times New Roman" w:hAnsi="Times New Roman" w:eastAsia="宋体" w:cs="Times New Roman"/>
      <w:sz w:val="18"/>
      <w:szCs w:val="18"/>
    </w:rPr>
  </w:style>
  <w:style w:type="character" w:customStyle="1" w:styleId="48">
    <w:name w:val="批注主题 字符"/>
    <w:link w:val="14"/>
    <w:semiHidden/>
    <w:qFormat/>
    <w:uiPriority w:val="99"/>
    <w:rPr>
      <w:rFonts w:ascii="Times New Roman" w:hAnsi="Times New Roman" w:eastAsia="宋体" w:cs="Times New Roman"/>
      <w:b/>
      <w:bCs/>
    </w:rPr>
  </w:style>
  <w:style w:type="paragraph" w:customStyle="1" w:styleId="49">
    <w:name w:val="_Style 35"/>
    <w:semiHidden/>
    <w:qFormat/>
    <w:uiPriority w:val="99"/>
    <w:rPr>
      <w:rFonts w:ascii="Times New Roman" w:hAnsi="Times New Roman" w:eastAsia="宋体" w:cs="Times New Roman"/>
      <w:kern w:val="2"/>
      <w:sz w:val="21"/>
      <w:szCs w:val="22"/>
      <w:lang w:val="en-US" w:eastAsia="zh-CN" w:bidi="ar-SA"/>
    </w:rPr>
  </w:style>
  <w:style w:type="paragraph" w:customStyle="1" w:styleId="50">
    <w:name w:val="_Style 33"/>
    <w:semiHidden/>
    <w:qFormat/>
    <w:uiPriority w:val="99"/>
    <w:rPr>
      <w:rFonts w:ascii="Times New Roman" w:hAnsi="Times New Roman" w:eastAsia="宋体" w:cs="Times New Roman"/>
      <w:kern w:val="2"/>
      <w:sz w:val="21"/>
      <w:szCs w:val="22"/>
      <w:lang w:val="en-US" w:eastAsia="zh-CN" w:bidi="ar-SA"/>
    </w:rPr>
  </w:style>
  <w:style w:type="paragraph" w:customStyle="1" w:styleId="51">
    <w:name w:val="_Style 27"/>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100"/>
    <customShpInfo spid="_x0000_s4097"/>
    <customShpInfo spid="_x0000_s4102"/>
    <customShpInfo spid="_x0000_s4103"/>
    <customShpInfo spid="_x0000_s4104"/>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798</Words>
  <Characters>4551</Characters>
  <Lines>37</Lines>
  <Paragraphs>10</Paragraphs>
  <TotalTime>2</TotalTime>
  <ScaleCrop>false</ScaleCrop>
  <LinksUpToDate>false</LinksUpToDate>
  <CharactersWithSpaces>5339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2022-06-24T09:49:00Z</dcterms:created>
  <dc:creator>JSYH</dc:creator>
  <cp:lastModifiedBy>jsyh</cp:lastModifiedBy>
  <cp:lastPrinted>2025-05-30T08:12:00Z</cp:lastPrinted>
  <dcterms:modified xsi:type="dcterms:W3CDTF">2025-07-01T09:29:00Z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ADA14C399E3B4D118B4978CC3A002777</vt:lpwstr>
  </property>
</Properties>
</file>