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ageBreakBefore w:val="0"/>
        <w:spacing w:before="0" w:beforeAutospacing="0" w:after="0" w:afterAutospacing="0" w:line="240" w:lineRule="auto"/>
        <w:jc w:val="center"/>
        <w:rPr>
          <w:rFonts w:hint="eastAsia" w:ascii="楷体" w:hAnsi="楷体" w:eastAsia="楷体"/>
          <w:b/>
          <w:color w:val="auto"/>
          <w:sz w:val="28"/>
          <w:szCs w:val="28"/>
        </w:rPr>
      </w:pPr>
      <w:r>
        <w:rPr>
          <w:rFonts w:hint="eastAsia" w:ascii="楷体" w:hAnsi="楷体" w:eastAsia="楷体"/>
          <w:b/>
          <w:color w:val="auto"/>
          <w:sz w:val="28"/>
          <w:szCs w:val="28"/>
        </w:rPr>
        <w:t>“苏银理财</w:t>
      </w:r>
      <w:r>
        <w:rPr>
          <w:rFonts w:hint="eastAsia" w:ascii="楷体" w:hAnsi="楷体" w:eastAsia="楷体"/>
          <w:b/>
          <w:color w:val="auto"/>
          <w:sz w:val="28"/>
          <w:szCs w:val="28"/>
          <w:lang w:eastAsia="zh-CN"/>
        </w:rPr>
        <w:t>恒源封闭债权214期优选2年</w:t>
      </w:r>
      <w:r>
        <w:rPr>
          <w:rFonts w:hint="eastAsia" w:ascii="楷体" w:hAnsi="楷体" w:eastAsia="楷体"/>
          <w:b/>
          <w:color w:val="auto"/>
          <w:sz w:val="28"/>
          <w:szCs w:val="28"/>
        </w:rPr>
        <w:t>”理财产品风险揭示书</w:t>
      </w:r>
    </w:p>
    <w:p>
      <w:pPr>
        <w:spacing w:line="240" w:lineRule="auto"/>
        <w:jc w:val="center"/>
        <w:rPr>
          <w:rFonts w:hint="eastAsia" w:ascii="楷体" w:hAnsi="楷体" w:eastAsia="楷体" w:cs="宋体"/>
          <w:b/>
          <w:color w:val="auto"/>
          <w:kern w:val="0"/>
          <w:sz w:val="28"/>
          <w:szCs w:val="28"/>
        </w:rPr>
      </w:pPr>
      <w:r>
        <w:rPr>
          <w:rFonts w:hint="eastAsia" w:ascii="楷体" w:hAnsi="楷体" w:eastAsia="楷体" w:cs="宋体"/>
          <w:b/>
          <w:color w:val="auto"/>
          <w:kern w:val="0"/>
          <w:sz w:val="24"/>
          <w:szCs w:val="24"/>
        </w:rPr>
        <w:t>理财非存款、产品有风险、投资须谨慎</w:t>
      </w:r>
    </w:p>
    <w:p>
      <w:pPr>
        <w:pStyle w:val="13"/>
        <w:spacing w:before="0" w:beforeAutospacing="0" w:after="0" w:afterAutospacing="0" w:line="240" w:lineRule="atLeast"/>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尊敬的投资者：</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由于理财资金在管理运用过程中可能面临多种风险因素，根据</w:t>
      </w:r>
      <w:r>
        <w:rPr>
          <w:rFonts w:hint="eastAsia" w:ascii="楷体" w:hAnsi="楷体" w:eastAsia="楷体" w:cs="Times New Roman"/>
          <w:sz w:val="21"/>
          <w:szCs w:val="21"/>
          <w:lang w:val="en-US" w:eastAsia="zh-CN"/>
        </w:rPr>
        <w:t>国家金融监督管理总局（以下简称“金融监管总局”）</w:t>
      </w:r>
      <w:r>
        <w:rPr>
          <w:rFonts w:hint="eastAsia" w:ascii="楷体" w:hAnsi="楷体" w:eastAsia="楷体" w:cs="Times New Roman"/>
          <w:color w:val="auto"/>
          <w:sz w:val="21"/>
          <w:szCs w:val="21"/>
        </w:rPr>
        <w:t>相关监管规定，苏银理财有限责任公司（以下简称“苏银理财”</w:t>
      </w:r>
      <w:r>
        <w:rPr>
          <w:rFonts w:hint="eastAsia" w:ascii="楷体" w:hAnsi="楷体" w:eastAsia="楷体" w:cs="Times New Roman"/>
          <w:color w:val="auto"/>
          <w:sz w:val="21"/>
          <w:szCs w:val="21"/>
          <w:lang w:val="en-US" w:eastAsia="zh-CN"/>
        </w:rPr>
        <w:t>或“管理人”</w:t>
      </w:r>
      <w:r>
        <w:rPr>
          <w:rFonts w:hint="eastAsia" w:ascii="楷体" w:hAnsi="楷体" w:eastAsia="楷体" w:cs="Times New Roman"/>
          <w:color w:val="auto"/>
          <w:sz w:val="21"/>
          <w:szCs w:val="21"/>
        </w:rPr>
        <w:t>）作为本理财产品的产品管理人郑重提示您：在您选择购买理财产品前，请仔细阅读本理财产品</w:t>
      </w:r>
      <w:r>
        <w:rPr>
          <w:rFonts w:hint="eastAsia" w:ascii="楷体" w:hAnsi="楷体" w:eastAsia="楷体" w:cs="Times New Roman"/>
          <w:color w:val="auto"/>
          <w:sz w:val="21"/>
          <w:szCs w:val="21"/>
          <w:lang w:val="en-US" w:eastAsia="zh-CN"/>
        </w:rPr>
        <w:t>完整销售文件</w:t>
      </w:r>
      <w:r>
        <w:rPr>
          <w:rFonts w:hint="eastAsia" w:ascii="楷体" w:hAnsi="楷体" w:eastAsia="楷体" w:cs="Times New Roman"/>
          <w:color w:val="auto"/>
          <w:sz w:val="21"/>
          <w:szCs w:val="21"/>
        </w:rPr>
        <w:t>（包括《风险揭示书》、《理财产品说明书》、</w:t>
      </w:r>
      <w:r>
        <w:rPr>
          <w:rFonts w:ascii="楷体" w:hAnsi="楷体" w:eastAsia="楷体" w:cs="Times New Roman"/>
          <w:color w:val="auto"/>
          <w:sz w:val="21"/>
          <w:szCs w:val="21"/>
        </w:rPr>
        <w:t>《</w:t>
      </w:r>
      <w:r>
        <w:rPr>
          <w:rFonts w:hint="eastAsia" w:ascii="楷体" w:hAnsi="楷体" w:eastAsia="楷体" w:cs="Times New Roman"/>
          <w:color w:val="auto"/>
          <w:sz w:val="21"/>
          <w:szCs w:val="21"/>
          <w:lang w:val="en-US" w:eastAsia="zh-CN"/>
        </w:rPr>
        <w:t>理财</w:t>
      </w:r>
      <w:r>
        <w:rPr>
          <w:rFonts w:hint="eastAsia" w:ascii="楷体" w:hAnsi="楷体" w:eastAsia="楷体" w:cs="Times New Roman"/>
          <w:color w:val="auto"/>
          <w:sz w:val="21"/>
          <w:szCs w:val="21"/>
        </w:rPr>
        <w:t>产品投资协议书</w:t>
      </w:r>
      <w:r>
        <w:rPr>
          <w:rFonts w:ascii="楷体" w:hAnsi="楷体" w:eastAsia="楷体" w:cs="Times New Roman"/>
          <w:color w:val="auto"/>
          <w:sz w:val="21"/>
          <w:szCs w:val="21"/>
        </w:rPr>
        <w:t>》</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《投资者权益须知》</w:t>
      </w:r>
      <w:r>
        <w:rPr>
          <w:rFonts w:hint="eastAsia" w:ascii="楷体" w:hAnsi="楷体" w:eastAsia="楷体" w:cs="Times New Roman"/>
          <w:color w:val="auto"/>
          <w:sz w:val="21"/>
          <w:szCs w:val="21"/>
          <w:lang w:eastAsia="zh-CN"/>
        </w:rPr>
        <w:t>、</w:t>
      </w:r>
      <w:r>
        <w:rPr>
          <w:rFonts w:hint="eastAsia" w:ascii="楷体" w:hAnsi="楷体" w:eastAsia="楷体" w:cs="Times New Roman"/>
          <w:color w:val="auto"/>
          <w:sz w:val="21"/>
          <w:szCs w:val="21"/>
        </w:rPr>
        <w:t>《</w:t>
      </w:r>
      <w:r>
        <w:rPr>
          <w:rFonts w:hint="eastAsia" w:ascii="楷体" w:hAnsi="楷体" w:eastAsia="楷体" w:cs="Times New Roman"/>
          <w:color w:val="auto"/>
          <w:sz w:val="21"/>
          <w:szCs w:val="21"/>
          <w:lang w:eastAsia="zh-CN"/>
        </w:rPr>
        <w:t>理财产品（代理）销售协议书</w:t>
      </w:r>
      <w:r>
        <w:rPr>
          <w:rFonts w:hint="eastAsia" w:ascii="楷体" w:hAnsi="楷体" w:eastAsia="楷体" w:cs="Times New Roman"/>
          <w:color w:val="auto"/>
          <w:sz w:val="21"/>
          <w:szCs w:val="21"/>
        </w:rPr>
        <w:t>》），了解理财产品具体情况；在您购买理财产品后，请关注本理财产品的信息披露，及时获取相关信息。</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lang w:val="en-US" w:eastAsia="zh-CN"/>
        </w:rPr>
      </w:pPr>
      <w:r>
        <w:rPr>
          <w:rFonts w:hint="eastAsia" w:ascii="楷体" w:hAnsi="楷体" w:eastAsia="楷体" w:cs="Times New Roman"/>
          <w:color w:val="auto"/>
          <w:sz w:val="21"/>
          <w:szCs w:val="21"/>
        </w:rPr>
        <w:t>苏银理财作为本理财产品管理人承诺以诚实信用、勤勉尽责的原则管理和运用理财产品资产，</w:t>
      </w:r>
      <w:r>
        <w:rPr>
          <w:rFonts w:hint="eastAsia" w:ascii="楷体" w:hAnsi="楷体" w:eastAsia="楷体" w:cs="Times New Roman"/>
          <w:b/>
          <w:color w:val="auto"/>
          <w:sz w:val="21"/>
          <w:szCs w:val="21"/>
          <w:u w:val="single"/>
        </w:rPr>
        <w:t>但不保证理财产品一定盈利，也不保证最低收益，极端情况下有可能会损失部分甚至全部本金。</w:t>
      </w:r>
      <w:r>
        <w:rPr>
          <w:rFonts w:hint="eastAsia" w:ascii="楷体" w:hAnsi="楷体" w:eastAsia="楷体" w:cs="Times New Roman"/>
          <w:color w:val="auto"/>
          <w:sz w:val="21"/>
          <w:szCs w:val="21"/>
        </w:rPr>
        <w:t>本风险揭示书旨在揭示本理财产品可能面临的各种风险，请您务必充分认识以下风险。</w:t>
      </w:r>
    </w:p>
    <w:p>
      <w:pPr>
        <w:numPr>
          <w:ilvl w:val="0"/>
          <w:numId w:val="1"/>
        </w:numPr>
        <w:tabs>
          <w:tab w:val="left" w:pos="1134"/>
        </w:tabs>
        <w:spacing w:line="240" w:lineRule="atLeast"/>
        <w:ind w:left="0" w:firstLine="482" w:firstLineChars="200"/>
        <w:rPr>
          <w:rFonts w:hint="eastAsia" w:ascii="楷体" w:hAnsi="楷体" w:eastAsia="楷体"/>
          <w:b/>
          <w:color w:val="auto"/>
          <w:sz w:val="24"/>
          <w:szCs w:val="24"/>
        </w:rPr>
      </w:pPr>
      <w:r>
        <w:rPr>
          <w:rFonts w:hint="eastAsia" w:ascii="楷体" w:hAnsi="楷体" w:eastAsia="楷体"/>
          <w:b/>
          <w:color w:val="auto"/>
          <w:sz w:val="24"/>
          <w:szCs w:val="24"/>
        </w:rPr>
        <w:t>风险揭示</w:t>
      </w:r>
    </w:p>
    <w:p>
      <w:pPr>
        <w:pStyle w:val="13"/>
        <w:spacing w:before="0" w:beforeAutospacing="0" w:after="0" w:afterAutospacing="0" w:line="240" w:lineRule="atLeast"/>
        <w:ind w:firstLine="420" w:firstLineChars="200"/>
        <w:rPr>
          <w:rFonts w:hint="eastAsia" w:ascii="楷体" w:hAnsi="楷体" w:eastAsia="楷体" w:cs="Times New Roman"/>
          <w:color w:val="auto"/>
          <w:sz w:val="21"/>
          <w:szCs w:val="21"/>
        </w:rPr>
      </w:pPr>
      <w:r>
        <w:rPr>
          <w:rFonts w:hint="eastAsia" w:ascii="楷体" w:hAnsi="楷体" w:eastAsia="楷体" w:cs="Times New Roman"/>
          <w:color w:val="auto"/>
          <w:sz w:val="21"/>
          <w:szCs w:val="21"/>
        </w:rPr>
        <w:t>请投资者根据自身理财目标、投资经验、财务状况、风险承受能力以及其他相关情况慎重考虑购买本理财产品。本风险揭示书列示的风险指理财产品项下可能涉及的风险，包括但不限于：</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政策风险：</w:t>
      </w:r>
      <w:r>
        <w:rPr>
          <w:rFonts w:hint="eastAsia" w:ascii="楷体" w:hAnsi="楷体" w:eastAsia="楷体"/>
          <w:color w:val="auto"/>
          <w:sz w:val="21"/>
          <w:szCs w:val="21"/>
        </w:rPr>
        <w:t>本理财产品是根据当前相关法律法规、监管规定和国家政策设计的。如国家宏观政策以及市场相关法律法规、监管规定发生变化，可能影响理财产品的发行、交易、投资、兑付等工作流程的正常进行，从而影响本理财产品的投资运作，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信用风险：</w:t>
      </w:r>
      <w:r>
        <w:rPr>
          <w:rFonts w:hint="eastAsia" w:ascii="楷体" w:hAnsi="楷体" w:eastAsia="楷体"/>
          <w:color w:val="auto"/>
          <w:sz w:val="21"/>
          <w:szCs w:val="21"/>
        </w:rPr>
        <w:t>本理财产品</w:t>
      </w:r>
      <w:r>
        <w:rPr>
          <w:rFonts w:hint="eastAsia" w:ascii="楷体" w:hAnsi="楷体" w:eastAsia="楷体"/>
          <w:color w:val="auto"/>
          <w:sz w:val="21"/>
          <w:szCs w:val="21"/>
          <w:lang w:val="en-US" w:eastAsia="zh-CN"/>
        </w:rPr>
        <w:t>投资于各类金融</w:t>
      </w:r>
      <w:r>
        <w:rPr>
          <w:rFonts w:hint="eastAsia" w:ascii="楷体" w:hAnsi="楷体" w:eastAsia="楷体"/>
          <w:color w:val="auto"/>
          <w:sz w:val="21"/>
          <w:szCs w:val="21"/>
        </w:rPr>
        <w:t>资产，因此有可能由于发行主体或交易对手信用状况恶化导致交易违约，致使本理财产品到期实际收益不足业绩比较基准，该种情况下，</w:t>
      </w:r>
      <w:r>
        <w:rPr>
          <w:rFonts w:hint="eastAsia" w:ascii="楷体" w:hAnsi="楷体" w:eastAsia="楷体"/>
          <w:color w:val="auto"/>
          <w:sz w:val="21"/>
          <w:szCs w:val="21"/>
          <w:lang w:val="en-US" w:eastAsia="zh-CN"/>
        </w:rPr>
        <w:t>管理人</w:t>
      </w:r>
      <w:r>
        <w:rPr>
          <w:rFonts w:hint="eastAsia" w:ascii="楷体" w:hAnsi="楷体" w:eastAsia="楷体"/>
          <w:color w:val="auto"/>
          <w:sz w:val="21"/>
          <w:szCs w:val="21"/>
        </w:rPr>
        <w:t>将按照投资实际收益情况，并以资产变现实际收到的资金为限支付投资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收益，投资</w:t>
      </w:r>
      <w:r>
        <w:rPr>
          <w:rFonts w:hint="eastAsia" w:ascii="楷体" w:hAnsi="楷体" w:eastAsia="楷体"/>
          <w:color w:val="auto"/>
          <w:sz w:val="21"/>
          <w:szCs w:val="21"/>
          <w:lang w:val="en-US" w:eastAsia="zh-CN"/>
        </w:rPr>
        <w:t>者</w:t>
      </w:r>
      <w:r>
        <w:rPr>
          <w:rFonts w:hint="eastAsia" w:ascii="楷体" w:hAnsi="楷体" w:eastAsia="楷体"/>
          <w:color w:val="auto"/>
          <w:sz w:val="21"/>
          <w:szCs w:val="21"/>
        </w:rPr>
        <w:t>将自行承担由此而导致本金和收益遭受部分甚至全部损失的风险。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市场风险：</w:t>
      </w:r>
      <w:r>
        <w:rPr>
          <w:rFonts w:hint="eastAsia" w:ascii="楷体" w:hAnsi="楷体" w:eastAsia="楷体"/>
          <w:color w:val="auto"/>
          <w:sz w:val="21"/>
          <w:szCs w:val="21"/>
        </w:rPr>
        <w:t>本理财产品投资</w:t>
      </w:r>
      <w:r>
        <w:rPr>
          <w:rFonts w:hint="eastAsia" w:ascii="楷体" w:hAnsi="楷体" w:eastAsia="楷体"/>
          <w:color w:val="auto"/>
          <w:sz w:val="21"/>
          <w:szCs w:val="21"/>
          <w:lang w:val="en-US" w:eastAsia="zh-CN"/>
        </w:rPr>
        <w:t>的金融</w:t>
      </w:r>
      <w:r>
        <w:rPr>
          <w:rFonts w:hint="eastAsia" w:ascii="楷体" w:hAnsi="楷体" w:eastAsia="楷体"/>
          <w:color w:val="auto"/>
          <w:sz w:val="21"/>
          <w:szCs w:val="21"/>
        </w:rPr>
        <w:t>资产的价格受到经济因素、政治因素、投资心理和交易制度等各种因素的影响，可能导致本理财产品资产收益水平变化，投资者可能面临本金和收益遭受部分甚至全部损失的风险。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b/>
          <w:color w:val="auto"/>
          <w:sz w:val="21"/>
          <w:szCs w:val="21"/>
          <w:highlight w:val="none"/>
        </w:rPr>
      </w:pPr>
      <w:r>
        <w:rPr>
          <w:rFonts w:hint="eastAsia" w:ascii="楷体" w:hAnsi="楷体" w:eastAsia="楷体"/>
          <w:b/>
          <w:color w:val="auto"/>
          <w:sz w:val="21"/>
          <w:szCs w:val="21"/>
          <w:highlight w:val="none"/>
        </w:rPr>
        <w:t>流动性风险：</w:t>
      </w:r>
      <w:r>
        <w:rPr>
          <w:rFonts w:hint="eastAsia" w:ascii="楷体" w:hAnsi="楷体" w:eastAsia="楷体"/>
          <w:b w:val="0"/>
          <w:bCs/>
          <w:color w:val="auto"/>
          <w:sz w:val="21"/>
          <w:szCs w:val="21"/>
          <w:highlight w:val="none"/>
        </w:rPr>
        <w:t>在特定市场环境下，理财产品所投资的部分市场或资产可能出现流动性较差的情况，导致理财产品无法通过变现资产等途径以合理成本及时获得充足资金，无法</w:t>
      </w:r>
      <w:r>
        <w:rPr>
          <w:rFonts w:hint="eastAsia" w:ascii="楷体" w:hAnsi="楷体" w:eastAsia="楷体"/>
          <w:b w:val="0"/>
          <w:bCs/>
          <w:color w:val="auto"/>
          <w:sz w:val="21"/>
          <w:szCs w:val="21"/>
          <w:highlight w:val="none"/>
          <w:lang w:val="en-US" w:eastAsia="zh-CN"/>
        </w:rPr>
        <w:t>满足本理财产品履行相关</w:t>
      </w:r>
      <w:r>
        <w:rPr>
          <w:rFonts w:hint="eastAsia" w:ascii="楷体" w:hAnsi="楷体" w:eastAsia="楷体"/>
          <w:b w:val="0"/>
          <w:bCs/>
          <w:color w:val="auto"/>
          <w:sz w:val="21"/>
          <w:szCs w:val="21"/>
          <w:highlight w:val="none"/>
        </w:rPr>
        <w:t>支付义务，带来流动性风险。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管理风险：</w:t>
      </w:r>
      <w:r>
        <w:rPr>
          <w:rFonts w:hint="eastAsia" w:ascii="楷体" w:hAnsi="楷体" w:eastAsia="楷体"/>
          <w:color w:val="auto"/>
          <w:sz w:val="21"/>
          <w:szCs w:val="21"/>
        </w:rPr>
        <w:t>在本理财产品运作过程中，投资管理各方受经验、技能、执行力等综合因素的限制，可能会对本理财产品的运作和管理造成一定影响，投资者可能面临本金和收益遭受部分甚至全部损失的风险。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操作风险：</w:t>
      </w:r>
      <w:r>
        <w:rPr>
          <w:rFonts w:hint="eastAsia" w:ascii="楷体" w:hAnsi="楷体" w:eastAsia="楷体"/>
          <w:color w:val="auto"/>
          <w:sz w:val="21"/>
          <w:szCs w:val="21"/>
        </w:rPr>
        <w:t>如本理财产品管理人由于内部作业、人员管理、系统操作及事务处理不当或失误等，则投资者可能面临本金和收益遭受部分甚至全部损失的风险。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延期兑付风险：</w:t>
      </w:r>
      <w:r>
        <w:rPr>
          <w:rFonts w:hint="eastAsia" w:ascii="楷体" w:hAnsi="楷体" w:eastAsia="楷体"/>
          <w:color w:val="auto"/>
          <w:sz w:val="21"/>
          <w:szCs w:val="21"/>
        </w:rPr>
        <w:t>因市场成交量不足、资产限制赎回、暂停交易、缺乏意愿交易对手等原因，产品管理人未能及时完成资产变现而导致理财产品不能及时变现、持有期与资金需求日不匹配或不能按时支付清算分配金额，则投资者可能面临产品兑付延期、调整等风险，甚至由此投资者可能面临本金和收益遭受部分甚至全部损失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提前终止风险：</w:t>
      </w:r>
      <w:r>
        <w:rPr>
          <w:rFonts w:hint="eastAsia" w:ascii="楷体" w:hAnsi="楷体" w:eastAsia="楷体"/>
          <w:color w:val="auto"/>
          <w:sz w:val="21"/>
          <w:szCs w:val="21"/>
        </w:rPr>
        <w:t>为保护投资者利益，在本理财产品存续期间，产品管理人可根据本理财产品说明书约定的情况提前终止本理财产品。同时，由于不可抗力及/或意外事件导致产品管理人无法继续履行理财</w:t>
      </w:r>
      <w:r>
        <w:rPr>
          <w:rFonts w:hint="eastAsia" w:ascii="楷体" w:hAnsi="楷体" w:eastAsia="楷体"/>
          <w:color w:val="auto"/>
          <w:sz w:val="21"/>
          <w:szCs w:val="21"/>
          <w:lang w:val="en-US" w:eastAsia="zh-CN"/>
        </w:rPr>
        <w:t>产品销售文件</w:t>
      </w:r>
      <w:r>
        <w:rPr>
          <w:rFonts w:hint="eastAsia" w:ascii="楷体" w:hAnsi="楷体" w:eastAsia="楷体"/>
          <w:color w:val="auto"/>
          <w:sz w:val="21"/>
          <w:szCs w:val="21"/>
        </w:rPr>
        <w:t>的，产品管理人有权提前终止理财产品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并将发生不可抗力及/或意外事件后剩余的投资者应得理财资金划付至投资者清算账户。此外，如国家宏观政策、市场相关法律、行政法规或政策等发生变化，可能导致理财产品提前终止。上述情况下，投资者可能面临产品提前终止后再投资的风险。</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信息传递风险：</w:t>
      </w:r>
      <w:r>
        <w:rPr>
          <w:rFonts w:hint="eastAsia" w:ascii="楷体" w:hAnsi="楷体" w:eastAsia="楷体"/>
          <w:color w:val="auto"/>
          <w:sz w:val="21"/>
          <w:szCs w:val="21"/>
        </w:rPr>
        <w:t>产品管理人将按照本理财产品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中规定的信息披露方式及披露途径向投资者公示本理财产品的各类信息和重大事件，投资者应及时查询了解。如投资者未及时查询相关信息或由于不可抗力及/或意外事件的影响使得投资者无法及时了解理财产品信息，进而影响投资者的投资决策，因此产生的责任和风险由投资者自行承担。投资者预留的有效联系方式发生变更的，亦应及时通知产品管理人。如投资者未及时告知产品管理人联系方式变更或产品管理人在其认为需要时无法及时联系到投资者的，可能会影响投资者的投资决策，因此产生的责任和风险由投资者自行承担。</w:t>
      </w:r>
    </w:p>
    <w:p>
      <w:pPr>
        <w:numPr>
          <w:ilvl w:val="0"/>
          <w:numId w:val="2"/>
        </w:numPr>
        <w:tabs>
          <w:tab w:val="left" w:pos="993"/>
        </w:tabs>
        <w:spacing w:line="240" w:lineRule="atLeast"/>
        <w:ind w:left="0" w:firstLine="422" w:firstLineChars="200"/>
        <w:rPr>
          <w:rFonts w:hint="eastAsia" w:ascii="楷体" w:hAnsi="楷体" w:eastAsia="楷体"/>
          <w:sz w:val="21"/>
          <w:szCs w:val="21"/>
        </w:rPr>
      </w:pPr>
      <w:r>
        <w:rPr>
          <w:rFonts w:hint="eastAsia" w:ascii="楷体" w:hAnsi="楷体" w:eastAsia="楷体"/>
          <w:b/>
          <w:sz w:val="21"/>
          <w:szCs w:val="21"/>
          <w:highlight w:val="none"/>
        </w:rPr>
        <w:t>代销风险</w:t>
      </w:r>
      <w:r>
        <w:rPr>
          <w:rFonts w:hint="eastAsia" w:ascii="楷体" w:hAnsi="楷体" w:eastAsia="楷体"/>
          <w:b/>
          <w:sz w:val="21"/>
          <w:szCs w:val="21"/>
          <w:highlight w:val="none"/>
          <w:lang w:eastAsia="zh-CN"/>
        </w:rPr>
        <w:t>（</w:t>
      </w:r>
      <w:r>
        <w:rPr>
          <w:rFonts w:hint="eastAsia" w:ascii="楷体" w:hAnsi="楷体" w:eastAsia="楷体"/>
          <w:b/>
          <w:sz w:val="21"/>
          <w:szCs w:val="21"/>
          <w:highlight w:val="none"/>
          <w:lang w:val="en-US" w:eastAsia="zh-CN"/>
        </w:rPr>
        <w:t>如有）</w:t>
      </w:r>
      <w:r>
        <w:rPr>
          <w:rFonts w:hint="eastAsia" w:ascii="楷体" w:hAnsi="楷体" w:eastAsia="楷体"/>
          <w:b/>
          <w:sz w:val="21"/>
          <w:szCs w:val="21"/>
          <w:highlight w:val="none"/>
        </w:rPr>
        <w:t>：</w:t>
      </w:r>
      <w:r>
        <w:rPr>
          <w:rFonts w:hint="eastAsia" w:ascii="楷体" w:hAnsi="楷体" w:eastAsia="楷体"/>
          <w:b w:val="0"/>
          <w:bCs/>
          <w:sz w:val="21"/>
          <w:szCs w:val="21"/>
          <w:highlight w:val="none"/>
          <w:lang w:val="en-US" w:eastAsia="zh-CN"/>
        </w:rPr>
        <w:t>如</w:t>
      </w:r>
      <w:r>
        <w:rPr>
          <w:rFonts w:hint="eastAsia" w:ascii="楷体" w:hAnsi="楷体" w:eastAsia="楷体"/>
          <w:sz w:val="21"/>
          <w:szCs w:val="21"/>
          <w:highlight w:val="none"/>
        </w:rPr>
        <w:t>本产品通过代销渠道（非产品管理人自有渠道）销售，投资者认购</w:t>
      </w:r>
      <w:r>
        <w:rPr>
          <w:rFonts w:hint="eastAsia" w:ascii="楷体" w:hAnsi="楷体" w:eastAsia="楷体"/>
          <w:sz w:val="21"/>
          <w:szCs w:val="21"/>
          <w:highlight w:val="none"/>
          <w:lang w:val="en-US" w:eastAsia="zh-CN"/>
        </w:rPr>
        <w:t>/申购</w:t>
      </w:r>
      <w:r>
        <w:rPr>
          <w:rFonts w:hint="eastAsia" w:ascii="楷体" w:hAnsi="楷体" w:eastAsia="楷体"/>
          <w:sz w:val="21"/>
          <w:szCs w:val="21"/>
          <w:highlight w:val="none"/>
        </w:rPr>
        <w:t>理财产品的资金由代销机构从投资者资金账户扣收；份额赎回时，赎回资金按本理财产品</w:t>
      </w:r>
      <w:r>
        <w:rPr>
          <w:rFonts w:hint="eastAsia" w:ascii="楷体" w:hAnsi="楷体" w:eastAsia="楷体"/>
          <w:color w:val="auto"/>
          <w:sz w:val="21"/>
          <w:szCs w:val="21"/>
          <w:lang w:val="en-US" w:eastAsia="zh-CN"/>
        </w:rPr>
        <w:t>销售文件</w:t>
      </w:r>
      <w:r>
        <w:rPr>
          <w:rFonts w:hint="eastAsia" w:ascii="楷体" w:hAnsi="楷体" w:eastAsia="楷体"/>
          <w:sz w:val="21"/>
          <w:szCs w:val="21"/>
          <w:highlight w:val="none"/>
        </w:rPr>
        <w:t>约定划付至代销机构清算账户后，由代销机构向投资者划付投资者应得赎回资金。不同代销机构的销售渠道，</w:t>
      </w:r>
      <w:r>
        <w:rPr>
          <w:rFonts w:hint="eastAsia" w:ascii="楷体" w:hAnsi="楷体" w:eastAsia="楷体"/>
          <w:sz w:val="21"/>
          <w:szCs w:val="21"/>
        </w:rPr>
        <w:t>其</w:t>
      </w:r>
      <w:r>
        <w:rPr>
          <w:rFonts w:hint="eastAsia" w:ascii="楷体" w:hAnsi="楷体" w:eastAsia="楷体"/>
          <w:sz w:val="21"/>
          <w:szCs w:val="21"/>
          <w:highlight w:val="none"/>
        </w:rPr>
        <w:t>认购</w:t>
      </w:r>
      <w:r>
        <w:rPr>
          <w:rFonts w:hint="eastAsia" w:ascii="楷体" w:hAnsi="楷体" w:eastAsia="楷体"/>
          <w:sz w:val="21"/>
          <w:szCs w:val="21"/>
          <w:highlight w:val="none"/>
          <w:lang w:val="en-US" w:eastAsia="zh-CN"/>
        </w:rPr>
        <w:t>/申购</w:t>
      </w:r>
      <w:r>
        <w:rPr>
          <w:rFonts w:hint="eastAsia" w:ascii="楷体" w:hAnsi="楷体" w:eastAsia="楷体"/>
          <w:sz w:val="21"/>
          <w:szCs w:val="21"/>
        </w:rPr>
        <w:t>/赎回确认时效可能存在差异。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与代销机构协商解决，前述约定不免除因代销机构过错而依法应由代销机构承担的责任。</w:t>
      </w:r>
    </w:p>
    <w:p>
      <w:pPr>
        <w:numPr>
          <w:ilvl w:val="0"/>
          <w:numId w:val="2"/>
        </w:numPr>
        <w:tabs>
          <w:tab w:val="left" w:pos="993"/>
        </w:tabs>
        <w:spacing w:line="240" w:lineRule="atLeast"/>
        <w:ind w:left="0" w:firstLine="422" w:firstLineChars="200"/>
        <w:rPr>
          <w:rFonts w:hint="eastAsia" w:ascii="楷体" w:hAnsi="楷体" w:eastAsia="楷体"/>
          <w:color w:val="auto"/>
          <w:sz w:val="21"/>
          <w:szCs w:val="21"/>
        </w:rPr>
      </w:pPr>
      <w:r>
        <w:rPr>
          <w:rFonts w:hint="eastAsia" w:ascii="楷体" w:hAnsi="楷体" w:eastAsia="楷体"/>
          <w:b/>
          <w:color w:val="auto"/>
          <w:sz w:val="21"/>
          <w:szCs w:val="21"/>
        </w:rPr>
        <w:t>不可抗力风险：</w:t>
      </w:r>
      <w:r>
        <w:rPr>
          <w:rFonts w:hint="eastAsia" w:ascii="楷体" w:hAnsi="楷体" w:eastAsia="楷体"/>
          <w:color w:val="auto"/>
          <w:sz w:val="21"/>
          <w:szCs w:val="21"/>
        </w:rPr>
        <w:t>自然</w:t>
      </w:r>
      <w:r>
        <w:rPr>
          <w:rFonts w:hint="eastAsia" w:ascii="楷体" w:hAnsi="楷体" w:eastAsia="楷体"/>
          <w:color w:val="auto"/>
          <w:sz w:val="21"/>
          <w:szCs w:val="21"/>
          <w:highlight w:val="none"/>
        </w:rPr>
        <w:t>灾害、</w:t>
      </w:r>
      <w:r>
        <w:rPr>
          <w:rFonts w:hint="eastAsia" w:ascii="楷体" w:hAnsi="楷体" w:eastAsia="楷体"/>
          <w:sz w:val="21"/>
          <w:szCs w:val="21"/>
          <w:highlight w:val="none"/>
        </w:rPr>
        <w:t>疫情、严重传染病</w:t>
      </w:r>
      <w:r>
        <w:rPr>
          <w:rFonts w:hint="eastAsia" w:ascii="楷体" w:hAnsi="楷体" w:eastAsia="楷体"/>
          <w:sz w:val="21"/>
          <w:szCs w:val="21"/>
          <w:highlight w:val="none"/>
          <w:lang w:eastAsia="zh-CN"/>
        </w:rPr>
        <w:t>、</w:t>
      </w:r>
      <w:r>
        <w:rPr>
          <w:rFonts w:hint="eastAsia" w:ascii="楷体" w:hAnsi="楷体" w:eastAsia="楷体"/>
          <w:color w:val="auto"/>
          <w:sz w:val="21"/>
          <w:szCs w:val="21"/>
          <w:highlight w:val="none"/>
        </w:rPr>
        <w:t>金</w:t>
      </w:r>
      <w:r>
        <w:rPr>
          <w:rFonts w:hint="eastAsia" w:ascii="楷体" w:hAnsi="楷体" w:eastAsia="楷体"/>
          <w:color w:val="auto"/>
          <w:sz w:val="21"/>
          <w:szCs w:val="21"/>
        </w:rPr>
        <w:t>融市场危机、战争等不能预见、不能避免、不能克服的不可抗力因素，及/或系统故障、通讯故障、投资市场停止交易等意外事件非产品管理人所能控制的原因发生，可能对本理财产品的受理、成立、投资运作、资金返还、信息披露、公告通知等造成影响，甚至可能导致投资者的本金和收益可能遭受部分或全部的损失。对于由不可抗力及/或意外事件风险导致的任何损失，投资者须自行承担。</w:t>
      </w:r>
    </w:p>
    <w:p>
      <w:pPr>
        <w:numPr>
          <w:ilvl w:val="0"/>
          <w:numId w:val="2"/>
        </w:numPr>
        <w:tabs>
          <w:tab w:val="left" w:pos="993"/>
        </w:tabs>
        <w:ind w:left="0" w:firstLine="422" w:firstLineChars="200"/>
        <w:rPr>
          <w:rFonts w:hint="eastAsia" w:ascii="楷体" w:hAnsi="楷体" w:eastAsia="楷体"/>
          <w:color w:val="auto"/>
          <w:sz w:val="21"/>
          <w:szCs w:val="21"/>
        </w:rPr>
      </w:pPr>
      <w:r>
        <w:rPr>
          <w:rFonts w:hint="eastAsia" w:ascii="楷体" w:hAnsi="楷体" w:eastAsia="楷体" w:cs="Times New Roman"/>
          <w:b/>
          <w:bCs/>
          <w:color w:val="auto"/>
          <w:sz w:val="21"/>
          <w:szCs w:val="21"/>
        </w:rPr>
        <w:t>关联关系及关联交易风险</w:t>
      </w:r>
      <w:r>
        <w:rPr>
          <w:rFonts w:hint="eastAsia" w:ascii="楷体" w:hAnsi="楷体" w:eastAsia="楷体" w:cs="Times New Roman"/>
          <w:color w:val="auto"/>
          <w:sz w:val="21"/>
          <w:szCs w:val="21"/>
        </w:rPr>
        <w:t>：本理财产品由</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理财发行并作为管理人，独立履行产品管理职责，</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理财委托销售机构销售理财产品的，可能涉及委托</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银行股份有限公司（以下简称“</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银行”）作为理财产品的销售机构，负责理财产品的代理销售工作。</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理财是</w:t>
      </w:r>
      <w:r>
        <w:rPr>
          <w:rFonts w:hint="eastAsia" w:ascii="楷体" w:hAnsi="楷体" w:eastAsia="楷体" w:cs="Times New Roman"/>
          <w:color w:val="auto"/>
          <w:sz w:val="21"/>
          <w:szCs w:val="21"/>
          <w:lang w:val="en-US" w:eastAsia="zh-CN"/>
        </w:rPr>
        <w:t>江苏</w:t>
      </w:r>
      <w:r>
        <w:rPr>
          <w:rFonts w:hint="eastAsia" w:ascii="楷体" w:hAnsi="楷体" w:eastAsia="楷体" w:cs="Times New Roman"/>
          <w:color w:val="auto"/>
          <w:sz w:val="21"/>
          <w:szCs w:val="21"/>
        </w:rPr>
        <w:t>银行控股的子公司，二者互为关联方，可能出现关联交易行为。</w:t>
      </w:r>
      <w:r>
        <w:rPr>
          <w:rFonts w:hint="eastAsia" w:ascii="楷体" w:hAnsi="楷体" w:eastAsia="楷体" w:cs="Times New Roman"/>
          <w:color w:val="auto"/>
          <w:sz w:val="21"/>
          <w:szCs w:val="21"/>
          <w:lang w:val="en-US" w:eastAsia="zh-CN"/>
        </w:rPr>
        <w:t>苏银</w:t>
      </w:r>
      <w:r>
        <w:rPr>
          <w:rFonts w:hint="eastAsia" w:ascii="楷体" w:hAnsi="楷体" w:eastAsia="楷体" w:cs="Times New Roman"/>
          <w:color w:val="auto"/>
          <w:sz w:val="21"/>
          <w:szCs w:val="21"/>
        </w:rPr>
        <w:t>理财将严格遵守法律、行政法规和金融监督管理部门的规定对关联方进行准确识别，按规定及时进行审批、备案并进行充分披露，不会以本理财产品与关联方进行不正当交易、利益输送等违反相关监管规定的行为，以尽力降低关联交易风险，但仍存在无法完全排除关联交易的可能而导致影响投资者收益的风险。</w:t>
      </w:r>
    </w:p>
    <w:p>
      <w:pPr>
        <w:numPr>
          <w:ilvl w:val="0"/>
          <w:numId w:val="2"/>
        </w:numPr>
        <w:tabs>
          <w:tab w:val="left" w:pos="993"/>
        </w:tabs>
        <w:ind w:left="0" w:firstLine="422" w:firstLineChars="200"/>
        <w:rPr>
          <w:rFonts w:hint="eastAsia" w:ascii="楷体" w:hAnsi="楷体" w:eastAsia="楷体"/>
          <w:b/>
          <w:color w:val="auto"/>
          <w:sz w:val="21"/>
          <w:szCs w:val="21"/>
        </w:rPr>
      </w:pPr>
      <w:r>
        <w:rPr>
          <w:rFonts w:hint="eastAsia" w:ascii="楷体" w:hAnsi="楷体" w:eastAsia="楷体"/>
          <w:b/>
          <w:color w:val="auto"/>
          <w:sz w:val="21"/>
          <w:szCs w:val="21"/>
        </w:rPr>
        <w:t>特定投资标的风险：</w:t>
      </w:r>
    </w:p>
    <w:p>
      <w:pPr>
        <w:numPr>
          <w:ilvl w:val="0"/>
          <w:numId w:val="3"/>
        </w:numPr>
        <w:tabs>
          <w:tab w:val="left" w:pos="742"/>
        </w:tabs>
        <w:ind w:left="0" w:firstLine="420" w:firstLineChars="200"/>
        <w:rPr>
          <w:rFonts w:hint="eastAsia" w:ascii="楷体" w:hAnsi="楷体" w:eastAsia="楷体"/>
          <w:color w:val="auto"/>
          <w:sz w:val="21"/>
          <w:szCs w:val="21"/>
        </w:rPr>
      </w:pPr>
      <w:r>
        <w:rPr>
          <w:rFonts w:hint="eastAsia" w:ascii="楷体" w:hAnsi="楷体" w:eastAsia="楷体"/>
          <w:color w:val="auto"/>
          <w:sz w:val="21"/>
          <w:szCs w:val="21"/>
        </w:rPr>
        <w:t>债券投资的特殊风险</w:t>
      </w:r>
    </w:p>
    <w:p>
      <w:pPr>
        <w:numPr>
          <w:ilvl w:val="-1"/>
          <w:numId w:val="0"/>
        </w:numPr>
        <w:tabs>
          <w:tab w:val="left" w:pos="1092"/>
        </w:tabs>
        <w:ind w:left="0" w:leftChars="0" w:firstLine="420" w:firstLineChars="200"/>
        <w:rPr>
          <w:rFonts w:hint="eastAsia" w:ascii="楷体" w:hAnsi="楷体" w:eastAsia="楷体"/>
          <w:color w:val="auto"/>
          <w:sz w:val="21"/>
          <w:szCs w:val="21"/>
        </w:rPr>
      </w:pPr>
      <w:r>
        <w:rPr>
          <w:rFonts w:hint="default" w:ascii="Calibri" w:hAnsi="Calibri" w:eastAsia="楷体" w:cs="Calibri"/>
          <w:color w:val="auto"/>
          <w:sz w:val="21"/>
          <w:szCs w:val="21"/>
        </w:rPr>
        <w:t>①</w:t>
      </w:r>
      <w:r>
        <w:rPr>
          <w:rFonts w:hint="eastAsia" w:ascii="楷体" w:hAnsi="楷体" w:eastAsia="楷体"/>
          <w:color w:val="auto"/>
          <w:sz w:val="21"/>
          <w:szCs w:val="21"/>
        </w:rPr>
        <w:t>市场平均利率水平变化导致债券价格变化的风险。</w:t>
      </w:r>
      <w:r>
        <w:rPr>
          <w:rFonts w:hint="default" w:ascii="Calibri" w:hAnsi="Calibri" w:eastAsia="楷体" w:cs="Calibri"/>
          <w:color w:val="auto"/>
          <w:sz w:val="21"/>
          <w:szCs w:val="21"/>
        </w:rPr>
        <w:t>②</w:t>
      </w:r>
      <w:r>
        <w:rPr>
          <w:rFonts w:hint="eastAsia" w:ascii="楷体" w:hAnsi="楷体" w:eastAsia="楷体"/>
          <w:color w:val="auto"/>
          <w:sz w:val="21"/>
          <w:szCs w:val="21"/>
        </w:rPr>
        <w:t>债券市场不同期限、不同类别债券之间的利差变动导致相应期限和类别债券价格变化的风险。</w:t>
      </w:r>
      <w:r>
        <w:rPr>
          <w:rFonts w:hint="default" w:ascii="Calibri" w:hAnsi="Calibri" w:eastAsia="楷体" w:cs="Calibri"/>
          <w:color w:val="auto"/>
          <w:sz w:val="21"/>
          <w:szCs w:val="21"/>
        </w:rPr>
        <w:t>③</w:t>
      </w:r>
      <w:r>
        <w:rPr>
          <w:rFonts w:hint="eastAsia" w:ascii="楷体" w:hAnsi="楷体" w:eastAsia="楷体"/>
          <w:color w:val="auto"/>
          <w:sz w:val="21"/>
          <w:szCs w:val="21"/>
        </w:rPr>
        <w:t>债券的发行人的经营状况受到多种因素影响，如管理能力、财务状况、市场前景、行业竞争能力、技术更新、研究开发、人员素质等，都会导致发行人盈利发生变化，可能导致债券市场价格下跌或无法按时偿付本息，从而影响理财产品收益水平。</w:t>
      </w:r>
      <w:r>
        <w:rPr>
          <w:rFonts w:hint="eastAsia" w:ascii="楷体" w:hAnsi="楷体" w:eastAsia="楷体" w:cs="楷体"/>
          <w:color w:val="auto"/>
          <w:sz w:val="21"/>
          <w:szCs w:val="21"/>
        </w:rPr>
        <w:t>④</w:t>
      </w:r>
      <w:r>
        <w:rPr>
          <w:rFonts w:hint="eastAsia" w:ascii="楷体" w:hAnsi="楷体" w:eastAsia="楷体"/>
          <w:color w:val="auto"/>
          <w:sz w:val="21"/>
          <w:szCs w:val="21"/>
        </w:rPr>
        <w:t>债券发行人、担保人出现违约拒绝支付到期本息，或由于债券发行人、担保人信用质量降低导致债券价格下降及无法收回投资收益的风险。</w:t>
      </w:r>
      <w:r>
        <w:rPr>
          <w:rFonts w:hint="eastAsia" w:ascii="楷体" w:hAnsi="楷体" w:eastAsia="楷体" w:cs="楷体"/>
          <w:color w:val="auto"/>
          <w:sz w:val="21"/>
          <w:szCs w:val="21"/>
        </w:rPr>
        <w:t>⑤</w:t>
      </w:r>
      <w:r>
        <w:rPr>
          <w:rFonts w:hint="eastAsia" w:ascii="楷体" w:hAnsi="楷体" w:eastAsia="楷体"/>
          <w:color w:val="auto"/>
          <w:sz w:val="21"/>
          <w:szCs w:val="21"/>
        </w:rPr>
        <w:t>与信用等级较高的债券相比，投资于信用等级较低的债券将因为发行主体的偿还债务能力略低、受不利经济环境的影响更大以及违约风险更高等原因而面临更大的投资风险。</w:t>
      </w:r>
      <w:r>
        <w:rPr>
          <w:rFonts w:hint="eastAsia" w:ascii="楷体" w:hAnsi="楷体" w:eastAsia="楷体" w:cs="楷体"/>
          <w:color w:val="auto"/>
          <w:sz w:val="21"/>
          <w:szCs w:val="21"/>
        </w:rPr>
        <w:t>⑥</w:t>
      </w:r>
      <w:r>
        <w:rPr>
          <w:rFonts w:hint="eastAsia" w:ascii="楷体" w:hAnsi="楷体" w:eastAsia="楷体"/>
          <w:color w:val="auto"/>
          <w:sz w:val="21"/>
          <w:szCs w:val="21"/>
        </w:rPr>
        <w:t>相对于其他公开发行的债券，非公开定向债务融资工具、非公开发行公司债的流动性较差，其流通和转让均存在一定的限制，因此投资于非公开定向债务融资工具将面临较大的投资风险。</w:t>
      </w:r>
    </w:p>
    <w:p>
      <w:pPr>
        <w:numPr>
          <w:ilvl w:val="0"/>
          <w:numId w:val="3"/>
        </w:numPr>
        <w:tabs>
          <w:tab w:val="left" w:pos="742"/>
        </w:tabs>
        <w:rPr>
          <w:rFonts w:hint="eastAsia" w:ascii="楷体" w:hAnsi="楷体" w:eastAsia="楷体"/>
          <w:b/>
          <w:bCs w:val="0"/>
          <w:color w:val="auto"/>
          <w:sz w:val="21"/>
          <w:szCs w:val="21"/>
        </w:rPr>
      </w:pPr>
      <w:r>
        <w:rPr>
          <w:rFonts w:hint="eastAsia" w:ascii="楷体" w:hAnsi="楷体" w:eastAsia="楷体"/>
          <w:color w:val="auto"/>
          <w:sz w:val="21"/>
          <w:szCs w:val="21"/>
        </w:rPr>
        <w:t>非标准化债权的特殊风险</w:t>
      </w:r>
    </w:p>
    <w:p>
      <w:pPr>
        <w:numPr>
          <w:ilvl w:val="-1"/>
          <w:numId w:val="0"/>
        </w:numPr>
        <w:tabs>
          <w:tab w:val="left" w:pos="1092"/>
        </w:tabs>
        <w:ind w:left="0" w:leftChars="0" w:firstLine="422" w:firstLineChars="200"/>
        <w:rPr>
          <w:rFonts w:hint="eastAsia" w:ascii="楷体" w:hAnsi="楷体" w:eastAsia="楷体"/>
          <w:b/>
          <w:bCs w:val="0"/>
          <w:color w:val="auto"/>
          <w:sz w:val="21"/>
          <w:szCs w:val="21"/>
        </w:rPr>
      </w:pPr>
      <w:r>
        <w:rPr>
          <w:rFonts w:hint="default" w:ascii="Calibri" w:hAnsi="Calibri" w:eastAsia="楷体" w:cs="Calibri"/>
          <w:b/>
          <w:bCs w:val="0"/>
          <w:color w:val="auto"/>
          <w:sz w:val="21"/>
          <w:szCs w:val="21"/>
        </w:rPr>
        <w:t>①</w:t>
      </w:r>
      <w:r>
        <w:rPr>
          <w:rFonts w:hint="eastAsia" w:ascii="楷体" w:hAnsi="楷体" w:eastAsia="楷体"/>
          <w:b/>
          <w:bCs w:val="0"/>
          <w:color w:val="auto"/>
          <w:sz w:val="21"/>
          <w:szCs w:val="21"/>
        </w:rPr>
        <w:t>融资方还款履约能力可能的变化导致的信用风险。</w:t>
      </w:r>
      <w:r>
        <w:rPr>
          <w:rFonts w:hint="default" w:ascii="Calibri" w:hAnsi="Calibri" w:eastAsia="楷体" w:cs="Calibri"/>
          <w:b/>
          <w:bCs w:val="0"/>
          <w:color w:val="auto"/>
          <w:sz w:val="21"/>
          <w:szCs w:val="21"/>
        </w:rPr>
        <w:t>②</w:t>
      </w:r>
      <w:r>
        <w:rPr>
          <w:rFonts w:hint="eastAsia" w:ascii="楷体" w:hAnsi="楷体" w:eastAsia="楷体"/>
          <w:b/>
          <w:bCs w:val="0"/>
          <w:color w:val="auto"/>
          <w:sz w:val="21"/>
          <w:szCs w:val="21"/>
        </w:rPr>
        <w:t>债务人提前还款或逾期还款的风险。</w:t>
      </w:r>
      <w:r>
        <w:rPr>
          <w:rFonts w:hint="default" w:ascii="Calibri" w:hAnsi="Calibri" w:eastAsia="楷体" w:cs="Calibri"/>
          <w:b/>
          <w:bCs w:val="0"/>
          <w:color w:val="auto"/>
          <w:sz w:val="21"/>
          <w:szCs w:val="21"/>
        </w:rPr>
        <w:t>③</w:t>
      </w:r>
      <w:r>
        <w:rPr>
          <w:rFonts w:hint="eastAsia" w:ascii="楷体" w:hAnsi="楷体" w:eastAsia="楷体"/>
          <w:b/>
          <w:bCs w:val="0"/>
          <w:color w:val="auto"/>
          <w:sz w:val="21"/>
          <w:szCs w:val="21"/>
        </w:rPr>
        <w:t>保证人未履行保证义务的风险等。</w:t>
      </w:r>
    </w:p>
    <w:p>
      <w:pPr>
        <w:numPr>
          <w:ilvl w:val="0"/>
          <w:numId w:val="3"/>
        </w:numPr>
        <w:tabs>
          <w:tab w:val="left" w:pos="742"/>
        </w:tabs>
        <w:rPr>
          <w:rFonts w:hint="eastAsia" w:ascii="楷体" w:hAnsi="楷体" w:eastAsia="楷体"/>
          <w:color w:val="auto"/>
          <w:sz w:val="21"/>
          <w:szCs w:val="21"/>
        </w:rPr>
      </w:pPr>
      <w:r>
        <w:rPr>
          <w:rFonts w:hint="eastAsia" w:ascii="楷体" w:hAnsi="楷体" w:eastAsia="楷体"/>
          <w:color w:val="auto"/>
          <w:sz w:val="21"/>
          <w:szCs w:val="21"/>
        </w:rPr>
        <w:t>股票投资的特殊风险</w:t>
      </w:r>
    </w:p>
    <w:p>
      <w:pPr>
        <w:numPr>
          <w:ilvl w:val="0"/>
          <w:numId w:val="0"/>
        </w:numPr>
        <w:tabs>
          <w:tab w:val="left" w:pos="742"/>
        </w:tabs>
        <w:ind w:left="0" w:leftChars="0" w:firstLine="422" w:firstLineChars="200"/>
        <w:rPr>
          <w:rFonts w:hint="eastAsia" w:ascii="楷体" w:hAnsi="楷体" w:eastAsia="楷体"/>
          <w:b/>
          <w:bCs w:val="0"/>
          <w:color w:val="auto"/>
          <w:sz w:val="21"/>
          <w:szCs w:val="21"/>
        </w:rPr>
      </w:pPr>
      <w:r>
        <w:rPr>
          <w:rFonts w:hint="default" w:ascii="楷体" w:hAnsi="楷体" w:eastAsia="楷体"/>
          <w:b/>
          <w:bCs w:val="0"/>
          <w:color w:val="auto"/>
          <w:sz w:val="21"/>
          <w:szCs w:val="21"/>
        </w:rPr>
        <w:t>①</w:t>
      </w:r>
      <w:r>
        <w:rPr>
          <w:rFonts w:hint="eastAsia" w:ascii="楷体" w:hAnsi="楷体" w:eastAsia="楷体"/>
          <w:b/>
          <w:bCs w:val="0"/>
          <w:color w:val="auto"/>
          <w:sz w:val="21"/>
          <w:szCs w:val="21"/>
        </w:rPr>
        <w:t>国家货币政策、财政政策、产业政策等的变化对证券市场产生一定的影响，导致市场价格水平波动的风险。</w:t>
      </w:r>
      <w:r>
        <w:rPr>
          <w:rFonts w:hint="default" w:ascii="楷体" w:hAnsi="楷体" w:eastAsia="楷体"/>
          <w:b/>
          <w:bCs w:val="0"/>
          <w:color w:val="auto"/>
          <w:sz w:val="21"/>
          <w:szCs w:val="21"/>
        </w:rPr>
        <w:t>②</w:t>
      </w:r>
      <w:r>
        <w:rPr>
          <w:rFonts w:hint="eastAsia" w:ascii="楷体" w:hAnsi="楷体" w:eastAsia="楷体"/>
          <w:b/>
          <w:bCs w:val="0"/>
          <w:color w:val="auto"/>
          <w:sz w:val="21"/>
          <w:szCs w:val="21"/>
        </w:rPr>
        <w:t>宏观经济运行周期性波动，对股票市场的收益水平产生影响的风险。</w:t>
      </w:r>
      <w:r>
        <w:rPr>
          <w:rFonts w:hint="default" w:ascii="楷体" w:hAnsi="楷体" w:eastAsia="楷体"/>
          <w:b/>
          <w:bCs w:val="0"/>
          <w:color w:val="auto"/>
          <w:sz w:val="21"/>
          <w:szCs w:val="21"/>
        </w:rPr>
        <w:t>③</w:t>
      </w:r>
      <w:r>
        <w:rPr>
          <w:rFonts w:hint="eastAsia" w:ascii="楷体" w:hAnsi="楷体" w:eastAsia="楷体"/>
          <w:b/>
          <w:bCs w:val="0"/>
          <w:color w:val="auto"/>
          <w:sz w:val="21"/>
          <w:szCs w:val="21"/>
        </w:rPr>
        <w:t>上市公司的经营状况受多种因素影响，如市场、技术、竞争、管理、财务等都会导致公司盈利发生变化，从而导致股票价格变动的风险。</w:t>
      </w:r>
    </w:p>
    <w:p>
      <w:pPr>
        <w:pStyle w:val="13"/>
        <w:spacing w:before="0" w:beforeAutospacing="0" w:after="0" w:afterAutospacing="0"/>
        <w:ind w:firstLine="422" w:firstLineChars="200"/>
        <w:jc w:val="both"/>
        <w:rPr>
          <w:rFonts w:hint="eastAsia" w:ascii="楷体" w:hAnsi="楷体" w:eastAsia="楷体"/>
          <w:b/>
          <w:color w:val="auto"/>
          <w:sz w:val="21"/>
          <w:szCs w:val="21"/>
          <w:u w:val="single"/>
        </w:rPr>
      </w:pPr>
      <w:r>
        <w:rPr>
          <w:rFonts w:hint="eastAsia" w:ascii="楷体" w:hAnsi="楷体" w:eastAsia="楷体"/>
          <w:b/>
          <w:color w:val="auto"/>
          <w:sz w:val="21"/>
          <w:szCs w:val="21"/>
          <w:u w:val="single"/>
        </w:rPr>
        <w:t>上述风险揭示事项仅为列举性质，未能详尽列明投资者参与本理财产品所面临的全部风险和可能导致投资者资产损失的所有因素。在您选择购买理财产品前，请仔细阅读本理财产品完整销售文件（包括《风险揭示书》、《理财产品说明书》、《理财产品投资协议书》、《投资者权益须知》、《理财产品（代理）销售协议书》），同时向销售机构了解本理财产品的其他相关信息，并自己</w:t>
      </w:r>
      <w:r>
        <w:rPr>
          <w:rFonts w:hint="eastAsia" w:ascii="楷体" w:hAnsi="楷体" w:eastAsia="楷体"/>
          <w:b/>
          <w:color w:val="auto"/>
          <w:sz w:val="21"/>
          <w:szCs w:val="21"/>
          <w:u w:val="single"/>
          <w:lang w:val="en-US" w:eastAsia="zh-CN"/>
        </w:rPr>
        <w:t>独立做出</w:t>
      </w:r>
      <w:r>
        <w:rPr>
          <w:rFonts w:hint="eastAsia" w:ascii="楷体" w:hAnsi="楷体" w:eastAsia="楷体"/>
          <w:b/>
          <w:color w:val="auto"/>
          <w:sz w:val="21"/>
          <w:szCs w:val="21"/>
          <w:u w:val="single"/>
        </w:rPr>
        <w:t>是否认购本理财产品的决定。您签署本理财产品销售文件并将资金委托给苏银理财运作是您真实的意思表示。</w:t>
      </w:r>
    </w:p>
    <w:p>
      <w:pPr>
        <w:numPr>
          <w:ilvl w:val="0"/>
          <w:numId w:val="1"/>
        </w:numPr>
        <w:tabs>
          <w:tab w:val="left" w:pos="1134"/>
        </w:tabs>
        <w:ind w:left="0" w:firstLine="482" w:firstLineChars="200"/>
        <w:rPr>
          <w:rFonts w:ascii="楷体" w:hAnsi="楷体" w:eastAsia="楷体"/>
          <w:b/>
          <w:color w:val="auto"/>
          <w:sz w:val="24"/>
          <w:szCs w:val="24"/>
        </w:rPr>
      </w:pPr>
      <w:r>
        <w:rPr>
          <w:rFonts w:hint="eastAsia" w:ascii="楷体" w:hAnsi="楷体" w:eastAsia="楷体"/>
          <w:b/>
          <w:color w:val="auto"/>
          <w:sz w:val="24"/>
          <w:szCs w:val="24"/>
        </w:rPr>
        <w:t>投资者提示</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本理财产品不保证本金及收益，您的本金可能因市场变动或者交易违约等事项而蒙受相应损失，</w:t>
      </w:r>
      <w:r>
        <w:rPr>
          <w:rFonts w:hint="eastAsia" w:ascii="楷体" w:hAnsi="楷体" w:eastAsia="楷体"/>
          <w:b/>
          <w:bCs/>
          <w:color w:val="auto"/>
          <w:sz w:val="21"/>
          <w:szCs w:val="21"/>
          <w:u w:val="single"/>
        </w:rPr>
        <w:t>在最不利的情况下甚至可能损失全部本金。</w:t>
      </w:r>
      <w:r>
        <w:rPr>
          <w:rFonts w:hint="eastAsia" w:ascii="楷体" w:hAnsi="楷体" w:eastAsia="楷体"/>
          <w:b/>
          <w:color w:val="auto"/>
          <w:sz w:val="21"/>
          <w:szCs w:val="21"/>
          <w:u w:val="single"/>
        </w:rPr>
        <w:t>投资者应充分认识投资风险，谨慎投资。</w:t>
      </w:r>
    </w:p>
    <w:p>
      <w:pPr>
        <w:numPr>
          <w:ilvl w:val="0"/>
          <w:numId w:val="0"/>
        </w:numPr>
        <w:tabs>
          <w:tab w:val="left" w:pos="742"/>
        </w:tabs>
        <w:ind w:left="0" w:leftChars="0" w:firstLine="420" w:firstLineChars="200"/>
        <w:rPr>
          <w:rFonts w:hint="eastAsia" w:ascii="楷体" w:hAnsi="楷体" w:eastAsia="楷体"/>
          <w:color w:val="auto"/>
          <w:sz w:val="21"/>
          <w:szCs w:val="21"/>
        </w:rPr>
      </w:pPr>
      <w:r>
        <w:rPr>
          <w:rFonts w:hint="eastAsia" w:ascii="楷体" w:hAnsi="楷体" w:eastAsia="楷体"/>
          <w:color w:val="auto"/>
          <w:sz w:val="21"/>
          <w:szCs w:val="21"/>
        </w:rPr>
        <w:t>示例：如投资者购买本理财产品，本金为1万元，在理财产品资产组合项下资产全部亏损的最不利情况下，理财产品1万元本金将全部损失。</w:t>
      </w:r>
    </w:p>
    <w:p>
      <w:pPr>
        <w:numPr>
          <w:ilvl w:val="0"/>
          <w:numId w:val="4"/>
        </w:numPr>
        <w:tabs>
          <w:tab w:val="left" w:pos="742"/>
        </w:tabs>
        <w:ind w:left="0" w:firstLine="422" w:firstLineChars="200"/>
        <w:rPr>
          <w:rFonts w:ascii="楷体" w:hAnsi="楷体" w:eastAsia="楷体"/>
          <w:b/>
          <w:color w:val="auto"/>
          <w:sz w:val="21"/>
          <w:szCs w:val="21"/>
          <w:u w:val="single"/>
        </w:rPr>
      </w:pPr>
      <w:r>
        <w:rPr>
          <w:rFonts w:hint="eastAsia" w:ascii="楷体" w:hAnsi="楷体" w:eastAsia="楷体"/>
          <w:b/>
          <w:color w:val="auto"/>
          <w:sz w:val="21"/>
          <w:szCs w:val="21"/>
          <w:u w:val="single"/>
        </w:rPr>
        <w:t>本理财产品过往业绩不代表其未来表现，不等于理财产品实际收益。理财非存款、产品有风险、投资须谨慎。</w:t>
      </w:r>
    </w:p>
    <w:p>
      <w:pPr>
        <w:numPr>
          <w:ilvl w:val="0"/>
          <w:numId w:val="4"/>
        </w:numPr>
        <w:tabs>
          <w:tab w:val="left" w:pos="742"/>
        </w:tabs>
        <w:ind w:left="0" w:firstLine="420" w:firstLineChars="200"/>
        <w:rPr>
          <w:rFonts w:ascii="楷体" w:hAnsi="楷体" w:eastAsia="楷体"/>
          <w:color w:val="auto"/>
          <w:sz w:val="21"/>
          <w:szCs w:val="21"/>
          <w:highlight w:val="none"/>
        </w:rPr>
      </w:pPr>
      <w:r>
        <w:rPr>
          <w:rFonts w:hint="eastAsia" w:ascii="楷体" w:hAnsi="楷体" w:eastAsia="楷体"/>
          <w:color w:val="auto"/>
          <w:sz w:val="21"/>
          <w:szCs w:val="21"/>
          <w:highlight w:val="none"/>
        </w:rPr>
        <w:t>本理财产品类型为</w:t>
      </w:r>
      <w:r>
        <w:rPr>
          <w:rFonts w:hint="eastAsia" w:ascii="楷体" w:hAnsi="楷体" w:eastAsia="楷体" w:cs="Calibri"/>
          <w:b/>
          <w:color w:val="auto"/>
          <w:sz w:val="21"/>
          <w:szCs w:val="21"/>
          <w:highlight w:val="none"/>
          <w:u w:val="single"/>
        </w:rPr>
        <w:t>固定收益类、公募、封闭式</w:t>
      </w:r>
      <w:r>
        <w:rPr>
          <w:rFonts w:hint="eastAsia" w:ascii="楷体" w:hAnsi="楷体" w:eastAsia="楷体"/>
          <w:color w:val="auto"/>
          <w:sz w:val="21"/>
          <w:szCs w:val="21"/>
          <w:highlight w:val="none"/>
        </w:rPr>
        <w:t>，产品管理人对本理财产品的内部风险评级为</w:t>
      </w:r>
      <w:r>
        <w:rPr>
          <w:rFonts w:hint="eastAsia" w:ascii="楷体" w:hAnsi="楷体" w:eastAsia="楷体"/>
          <w:b/>
          <w:color w:val="auto"/>
          <w:sz w:val="21"/>
          <w:szCs w:val="21"/>
          <w:highlight w:val="none"/>
          <w:u w:val="single"/>
        </w:rPr>
        <w:t>★★二级，适合</w:t>
      </w:r>
      <w:r>
        <w:rPr>
          <w:rFonts w:hint="eastAsia" w:ascii="楷体" w:hAnsi="楷体" w:eastAsia="楷体" w:cs="Calibri"/>
          <w:b/>
          <w:color w:val="auto"/>
          <w:sz w:val="21"/>
          <w:szCs w:val="21"/>
          <w:highlight w:val="none"/>
          <w:u w:val="single"/>
        </w:rPr>
        <w:t>中低风险型</w:t>
      </w:r>
      <w:r>
        <w:rPr>
          <w:rFonts w:hint="eastAsia" w:ascii="楷体" w:hAnsi="楷体" w:eastAsia="楷体"/>
          <w:b/>
          <w:color w:val="auto"/>
          <w:sz w:val="21"/>
          <w:szCs w:val="21"/>
          <w:highlight w:val="none"/>
          <w:u w:val="single"/>
        </w:rPr>
        <w:t>投资者</w:t>
      </w:r>
      <w:r>
        <w:rPr>
          <w:rFonts w:hint="eastAsia" w:ascii="楷体" w:hAnsi="楷体" w:eastAsia="楷体"/>
          <w:color w:val="auto"/>
          <w:sz w:val="21"/>
          <w:szCs w:val="21"/>
          <w:highlight w:val="none"/>
          <w:u w:val="single"/>
        </w:rPr>
        <w:t>。</w:t>
      </w:r>
      <w:r>
        <w:rPr>
          <w:rFonts w:hint="eastAsia" w:ascii="楷体" w:hAnsi="楷体" w:eastAsia="楷体" w:cs="Calibri"/>
          <w:b/>
          <w:color w:val="auto"/>
          <w:sz w:val="21"/>
          <w:szCs w:val="21"/>
          <w:highlight w:val="none"/>
          <w:u w:val="single"/>
        </w:rPr>
        <w:t>如本产品通过代理销售机构渠道销售，理财产品评级以代理销售机构最终披露的评级结果为准。</w:t>
      </w:r>
    </w:p>
    <w:p>
      <w:pPr>
        <w:numPr>
          <w:ilvl w:val="0"/>
          <w:numId w:val="4"/>
        </w:numPr>
        <w:tabs>
          <w:tab w:val="left" w:pos="742"/>
        </w:tabs>
        <w:ind w:left="0" w:firstLine="420" w:firstLineChars="200"/>
        <w:rPr>
          <w:rFonts w:ascii="楷体" w:hAnsi="楷体" w:eastAsia="楷体"/>
          <w:color w:val="auto"/>
          <w:sz w:val="21"/>
          <w:szCs w:val="21"/>
        </w:rPr>
      </w:pPr>
      <w:r>
        <w:rPr>
          <w:rFonts w:hint="eastAsia" w:ascii="楷体" w:hAnsi="楷体" w:eastAsia="楷体"/>
          <w:color w:val="auto"/>
          <w:sz w:val="21"/>
          <w:szCs w:val="21"/>
        </w:rPr>
        <w:t>本产品销售工作及投资者适当性评估由销售机构负责。销售机构应确保个人投资者的风险承受能力等级不低于本产品风险评级。若个人投资者风险承受能力评估已超过一年，或影响风险承受能力的因素发生变化，请及时完成风险承受能力的重新评估</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并对评估结果签字确认</w:t>
      </w:r>
      <w:r>
        <w:rPr>
          <w:rFonts w:hint="eastAsia" w:ascii="楷体" w:hAnsi="楷体" w:eastAsia="楷体"/>
          <w:color w:val="auto"/>
          <w:sz w:val="21"/>
          <w:szCs w:val="21"/>
        </w:rPr>
        <w:t>。机构投资者无需进行风险承受能力评估。</w:t>
      </w:r>
    </w:p>
    <w:p>
      <w:pPr>
        <w:pStyle w:val="13"/>
        <w:numPr>
          <w:ilvl w:val="-1"/>
          <w:numId w:val="0"/>
        </w:numPr>
        <w:spacing w:before="0" w:beforeAutospacing="0" w:after="0" w:afterAutospacing="0" w:line="360" w:lineRule="auto"/>
        <w:ind w:left="0" w:firstLine="0"/>
        <w:jc w:val="right"/>
        <w:rPr>
          <w:rFonts w:hint="eastAsia" w:ascii="楷体" w:hAnsi="楷体" w:eastAsia="楷体"/>
          <w:b/>
          <w:color w:val="auto"/>
          <w:sz w:val="21"/>
          <w:szCs w:val="21"/>
        </w:rPr>
      </w:pPr>
      <w:r>
        <w:rPr>
          <w:rFonts w:hint="eastAsia" w:ascii="楷体" w:hAnsi="楷体" w:eastAsia="楷体"/>
          <w:b/>
          <w:color w:val="auto"/>
          <w:sz w:val="21"/>
          <w:szCs w:val="21"/>
        </w:rPr>
        <w:t>风险揭示方：苏银理财有限责任公司</w:t>
      </w:r>
    </w:p>
    <w:p>
      <w:pPr>
        <w:pStyle w:val="13"/>
        <w:numPr>
          <w:ilvl w:val="-1"/>
          <w:numId w:val="0"/>
        </w:numPr>
        <w:spacing w:before="0" w:beforeAutospacing="0" w:after="0" w:afterAutospacing="0" w:line="360" w:lineRule="auto"/>
        <w:ind w:left="0" w:firstLine="0"/>
        <w:jc w:val="center"/>
        <w:rPr>
          <w:rFonts w:hint="eastAsia" w:ascii="楷体" w:hAnsi="楷体" w:eastAsia="楷体"/>
          <w:b/>
          <w:color w:val="auto"/>
          <w:sz w:val="28"/>
          <w:szCs w:val="28"/>
        </w:rPr>
      </w:pPr>
      <w:r>
        <w:rPr>
          <w:rFonts w:hint="eastAsia" w:ascii="楷体" w:hAnsi="楷体" w:eastAsia="楷体"/>
          <w:b/>
          <w:color w:val="auto"/>
          <w:sz w:val="28"/>
          <w:szCs w:val="28"/>
        </w:rPr>
        <w:t>投资者风险确认函</w:t>
      </w:r>
    </w:p>
    <w:p>
      <w:pPr>
        <w:ind w:firstLine="420" w:firstLineChars="200"/>
        <w:rPr>
          <w:rFonts w:hint="eastAsia" w:ascii="楷体" w:hAnsi="楷体" w:eastAsia="楷体"/>
          <w:color w:val="auto"/>
          <w:sz w:val="21"/>
          <w:szCs w:val="21"/>
        </w:rPr>
      </w:pPr>
      <w:r>
        <w:rPr>
          <w:rFonts w:ascii="楷体" w:hAnsi="楷体" w:eastAsia="楷体"/>
          <w:color w:val="auto"/>
          <w:sz w:val="21"/>
          <w:szCs w:val="21"/>
        </w:rPr>
        <w:t>投资决策系由</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ascii="楷体" w:hAnsi="楷体" w:eastAsia="楷体"/>
          <w:color w:val="auto"/>
          <w:sz w:val="21"/>
          <w:szCs w:val="21"/>
        </w:rPr>
        <w:t>独立、自主、谨慎做出，</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机构确认已经收到本理财产品的风险揭示书，且已经认真阅读本理财产品完整</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（包括《风险揭示书》、《理财产品说明书》、《理财产品投资协议书》、《投资者权益须知》、《理财产品（代理）销售协议书》），充分了解并清楚知晓理财产品的风险，愿意承担相关风险，接受本理财产品</w:t>
      </w:r>
      <w:r>
        <w:rPr>
          <w:rFonts w:hint="eastAsia" w:ascii="楷体" w:hAnsi="楷体" w:eastAsia="楷体"/>
          <w:color w:val="auto"/>
          <w:sz w:val="21"/>
          <w:szCs w:val="21"/>
          <w:lang w:val="en-US" w:eastAsia="zh-CN"/>
        </w:rPr>
        <w:t>销售文件</w:t>
      </w:r>
      <w:r>
        <w:rPr>
          <w:rFonts w:hint="eastAsia" w:ascii="楷体" w:hAnsi="楷体" w:eastAsia="楷体"/>
          <w:color w:val="auto"/>
          <w:sz w:val="21"/>
          <w:szCs w:val="21"/>
        </w:rPr>
        <w:t>全部约定。</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机构确认理解投资本理财产品将涉及的所有风险，并将承担且有能力承担该等风险。</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承诺理财购买资金来源合法合规，</w:t>
      </w:r>
      <w:r>
        <w:rPr>
          <w:rFonts w:hint="eastAsia" w:ascii="楷体" w:hAnsi="楷体" w:eastAsia="楷体"/>
          <w:color w:val="auto"/>
          <w:sz w:val="21"/>
          <w:szCs w:val="21"/>
          <w:lang w:val="en-US" w:eastAsia="zh-CN"/>
        </w:rPr>
        <w:t>本人/</w:t>
      </w:r>
      <w:r>
        <w:rPr>
          <w:rFonts w:ascii="楷体" w:hAnsi="楷体" w:eastAsia="楷体"/>
          <w:color w:val="auto"/>
          <w:sz w:val="21"/>
          <w:szCs w:val="21"/>
        </w:rPr>
        <w:t>本</w:t>
      </w:r>
      <w:r>
        <w:rPr>
          <w:rFonts w:hint="eastAsia" w:ascii="楷体" w:hAnsi="楷体" w:eastAsia="楷体"/>
          <w:color w:val="auto"/>
          <w:sz w:val="21"/>
          <w:szCs w:val="21"/>
        </w:rPr>
        <w:t>机构</w:t>
      </w:r>
      <w:r>
        <w:rPr>
          <w:rFonts w:hint="eastAsia" w:ascii="楷体" w:hAnsi="楷体" w:eastAsia="楷体"/>
          <w:b w:val="0"/>
          <w:bCs/>
          <w:color w:val="auto"/>
          <w:sz w:val="21"/>
          <w:szCs w:val="21"/>
          <w:u w:val="none"/>
        </w:rPr>
        <w:t>将配合管理人及销售机构开展反洗钱、反恐怖融资及非居民金融账户涉税信息尽职调查等工作。</w:t>
      </w:r>
    </w:p>
    <w:p>
      <w:pPr>
        <w:ind w:firstLine="420" w:firstLineChars="200"/>
        <w:rPr>
          <w:rFonts w:hint="eastAsia" w:ascii="楷体" w:hAnsi="楷体" w:eastAsia="楷体"/>
          <w:b/>
          <w:color w:val="auto"/>
          <w:sz w:val="21"/>
          <w:szCs w:val="21"/>
        </w:rPr>
      </w:pPr>
      <w:r>
        <w:rPr>
          <w:rFonts w:hint="eastAsia" w:ascii="楷体" w:hAnsi="楷体" w:eastAsia="楷体"/>
          <w:color w:val="auto"/>
          <w:sz w:val="21"/>
          <w:szCs w:val="21"/>
        </w:rPr>
        <w:t>经销售机构评估，本人的风险承受能力评级结果为</w:t>
      </w:r>
      <w:r>
        <w:rPr>
          <w:rFonts w:ascii="楷体" w:hAnsi="楷体" w:eastAsia="楷体"/>
          <w:b/>
          <w:color w:val="auto"/>
          <w:sz w:val="21"/>
          <w:szCs w:val="21"/>
        </w:rPr>
        <w:t>：</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投资者本人填写</w:t>
      </w:r>
      <w:r>
        <w:rPr>
          <w:rFonts w:hint="eastAsia" w:ascii="楷体" w:hAnsi="楷体" w:eastAsia="楷体"/>
          <w:color w:val="auto"/>
          <w:sz w:val="21"/>
          <w:szCs w:val="21"/>
          <w:u w:val="single"/>
        </w:rPr>
        <w:t>）</w:t>
      </w:r>
    </w:p>
    <w:p>
      <w:pPr>
        <w:ind w:firstLine="420" w:firstLineChars="200"/>
        <w:rPr>
          <w:rFonts w:hint="eastAsia" w:ascii="楷体" w:hAnsi="楷体" w:eastAsia="楷体"/>
          <w:color w:val="auto"/>
          <w:sz w:val="21"/>
          <w:szCs w:val="21"/>
          <w:lang w:val="en-US" w:eastAsia="zh-CN"/>
        </w:rPr>
      </w:pPr>
      <w:r>
        <w:rPr>
          <w:rFonts w:hint="eastAsia" w:ascii="楷体" w:hAnsi="楷体" w:eastAsia="楷体"/>
          <w:color w:val="auto"/>
          <w:sz w:val="21"/>
          <w:szCs w:val="21"/>
        </w:rPr>
        <w:t>风险承受能力不低于本理财产品的风险评级，适合购买本理财产</w:t>
      </w:r>
      <w:r>
        <w:rPr>
          <w:rFonts w:hint="eastAsia" w:ascii="楷体" w:hAnsi="楷体" w:eastAsia="楷体"/>
          <w:color w:val="auto"/>
          <w:sz w:val="21"/>
          <w:szCs w:val="21"/>
          <w:highlight w:val="none"/>
        </w:rPr>
        <w:t>品。</w:t>
      </w:r>
      <w:r>
        <w:rPr>
          <w:rFonts w:hint="eastAsia" w:ascii="楷体" w:hAnsi="楷体" w:eastAsia="楷体"/>
          <w:sz w:val="21"/>
          <w:szCs w:val="21"/>
          <w:highlight w:val="none"/>
        </w:rPr>
        <w:t>如风险承受能力评估已超过一年，</w:t>
      </w:r>
      <w:r>
        <w:rPr>
          <w:rFonts w:ascii="楷体" w:hAnsi="楷体" w:eastAsia="楷体"/>
          <w:sz w:val="21"/>
          <w:szCs w:val="21"/>
          <w:highlight w:val="none"/>
        </w:rPr>
        <w:t>或</w:t>
      </w:r>
      <w:r>
        <w:rPr>
          <w:rFonts w:hint="eastAsia" w:ascii="楷体" w:hAnsi="楷体" w:eastAsia="楷体"/>
          <w:sz w:val="21"/>
          <w:szCs w:val="21"/>
          <w:highlight w:val="none"/>
        </w:rPr>
        <w:t>影响风险承受能力的因素发生变化，</w:t>
      </w:r>
      <w:r>
        <w:rPr>
          <w:rFonts w:hint="eastAsia" w:ascii="楷体" w:hAnsi="楷体" w:eastAsia="楷体"/>
          <w:color w:val="auto"/>
          <w:sz w:val="21"/>
          <w:szCs w:val="21"/>
          <w:highlight w:val="none"/>
        </w:rPr>
        <w:t>本人将</w:t>
      </w:r>
      <w:r>
        <w:rPr>
          <w:rFonts w:hint="eastAsia" w:ascii="楷体" w:hAnsi="楷体" w:eastAsia="楷体"/>
          <w:color w:val="auto"/>
          <w:sz w:val="21"/>
          <w:szCs w:val="21"/>
        </w:rPr>
        <w:t>及时完成风险承受能力的重新评估。</w:t>
      </w:r>
    </w:p>
    <w:p>
      <w:pPr>
        <w:ind w:firstLine="420" w:firstLineChars="200"/>
        <w:rPr>
          <w:rFonts w:hint="eastAsia" w:ascii="楷体" w:hAnsi="楷体" w:eastAsia="楷体"/>
          <w:color w:val="auto"/>
          <w:sz w:val="21"/>
          <w:szCs w:val="21"/>
          <w:u w:val="single"/>
        </w:rPr>
      </w:pPr>
      <w:r>
        <w:rPr>
          <w:rFonts w:hint="eastAsia" w:ascii="楷体" w:hAnsi="楷体" w:eastAsia="楷体"/>
          <w:color w:val="auto"/>
          <w:sz w:val="21"/>
          <w:szCs w:val="21"/>
        </w:rPr>
        <w:t>须</w:t>
      </w:r>
      <w:r>
        <w:rPr>
          <w:rFonts w:hint="eastAsia" w:ascii="楷体" w:hAnsi="楷体" w:eastAsia="楷体"/>
          <w:b/>
          <w:color w:val="auto"/>
          <w:sz w:val="21"/>
          <w:szCs w:val="21"/>
          <w:u w:val="single"/>
          <w:lang w:val="en-US" w:eastAsia="zh-CN"/>
        </w:rPr>
        <w:t>个人</w:t>
      </w:r>
      <w:r>
        <w:rPr>
          <w:rFonts w:hint="eastAsia" w:ascii="楷体" w:hAnsi="楷体" w:eastAsia="楷体"/>
          <w:b/>
          <w:color w:val="auto"/>
          <w:sz w:val="21"/>
          <w:szCs w:val="21"/>
          <w:u w:val="single"/>
        </w:rPr>
        <w:t>投资者本人亲笔抄录</w:t>
      </w:r>
      <w:r>
        <w:rPr>
          <w:rFonts w:hint="eastAsia" w:ascii="楷体" w:hAnsi="楷体" w:eastAsia="楷体"/>
          <w:color w:val="auto"/>
          <w:sz w:val="21"/>
          <w:szCs w:val="21"/>
        </w:rPr>
        <w:t>以下内容：</w:t>
      </w:r>
      <w:r>
        <w:rPr>
          <w:rFonts w:hint="eastAsia" w:ascii="楷体" w:hAnsi="楷体" w:eastAsia="楷体"/>
          <w:b/>
          <w:color w:val="auto"/>
          <w:sz w:val="21"/>
          <w:szCs w:val="21"/>
        </w:rPr>
        <w:t>“</w:t>
      </w:r>
      <w:r>
        <w:rPr>
          <w:rFonts w:hint="eastAsia" w:ascii="楷体" w:hAnsi="楷体" w:eastAsia="楷体"/>
          <w:b/>
          <w:color w:val="auto"/>
          <w:sz w:val="21"/>
          <w:szCs w:val="21"/>
          <w:u w:val="single"/>
        </w:rPr>
        <w:t>本人已经阅读风险揭示，愿意承担投资风险</w:t>
      </w:r>
      <w:r>
        <w:rPr>
          <w:rFonts w:hint="eastAsia" w:ascii="楷体" w:hAnsi="楷体" w:eastAsia="楷体"/>
          <w:b/>
          <w:color w:val="auto"/>
          <w:sz w:val="21"/>
          <w:szCs w:val="21"/>
        </w:rPr>
        <w:t>”</w:t>
      </w:r>
      <w:r>
        <w:rPr>
          <w:rFonts w:hint="eastAsia" w:ascii="楷体" w:hAnsi="楷体" w:eastAsia="楷体"/>
          <w:color w:val="auto"/>
          <w:sz w:val="21"/>
          <w:szCs w:val="21"/>
        </w:rPr>
        <w:t>。</w:t>
      </w:r>
    </w:p>
    <w:p>
      <w:pPr>
        <w:rPr>
          <w:rFonts w:hint="eastAsia" w:ascii="楷体" w:hAnsi="楷体" w:eastAsia="楷体"/>
          <w:color w:val="auto"/>
          <w:sz w:val="21"/>
          <w:szCs w:val="21"/>
          <w:u w:val="single"/>
        </w:rPr>
      </w:pPr>
      <w:r>
        <w:rPr>
          <w:rFonts w:hint="eastAsia" w:ascii="楷体" w:hAnsi="楷体" w:eastAsia="楷体"/>
          <w:color w:val="auto"/>
          <w:sz w:val="21"/>
          <w:szCs w:val="21"/>
          <w:u w:val="single"/>
        </w:rPr>
        <w:t xml:space="preserve">                                                           </w:t>
      </w:r>
      <w:r>
        <w:rPr>
          <w:rFonts w:hint="eastAsia" w:ascii="楷体" w:hAnsi="楷体" w:eastAsia="楷体"/>
          <w:color w:val="auto"/>
          <w:sz w:val="21"/>
          <w:szCs w:val="21"/>
          <w:u w:val="single"/>
          <w:lang w:val="en-US" w:eastAsia="zh-CN"/>
        </w:rPr>
        <w:t xml:space="preserve">      </w:t>
      </w:r>
      <w:r>
        <w:rPr>
          <w:rFonts w:hint="eastAsia" w:ascii="楷体" w:hAnsi="楷体" w:eastAsia="楷体"/>
          <w:color w:val="auto"/>
          <w:sz w:val="21"/>
          <w:szCs w:val="21"/>
          <w:u w:val="single"/>
        </w:rPr>
        <w:t xml:space="preserve">              </w:t>
      </w:r>
    </w:p>
    <w:p>
      <w:pPr>
        <w:jc w:val="both"/>
        <w:rPr>
          <w:rFonts w:hint="eastAsia" w:ascii="楷体" w:hAnsi="楷体" w:eastAsia="楷体"/>
          <w:color w:val="auto"/>
          <w:sz w:val="21"/>
          <w:szCs w:val="21"/>
        </w:rPr>
      </w:pPr>
      <w:r>
        <w:rPr>
          <w:rFonts w:hint="eastAsia" w:ascii="楷体" w:hAnsi="楷体" w:eastAsia="楷体"/>
          <w:color w:val="auto"/>
          <w:sz w:val="21"/>
          <w:szCs w:val="21"/>
        </w:rPr>
        <w:t>个人投资者签字：</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p>
    <w:p>
      <w:pPr>
        <w:ind w:firstLine="315" w:firstLineChars="150"/>
        <w:jc w:val="both"/>
        <w:rPr>
          <w:rFonts w:hint="eastAsia" w:ascii="楷体" w:hAnsi="楷体" w:eastAsia="楷体"/>
          <w:color w:val="auto"/>
          <w:sz w:val="21"/>
          <w:szCs w:val="21"/>
        </w:rPr>
      </w:pPr>
    </w:p>
    <w:p>
      <w:pPr>
        <w:ind w:firstLine="315" w:firstLineChars="150"/>
        <w:jc w:val="both"/>
        <w:rPr>
          <w:rFonts w:hint="eastAsia" w:ascii="楷体" w:hAnsi="楷体" w:eastAsia="楷体"/>
          <w:color w:val="auto"/>
          <w:sz w:val="21"/>
          <w:szCs w:val="21"/>
        </w:rPr>
      </w:pPr>
    </w:p>
    <w:p>
      <w:pPr>
        <w:rPr>
          <w:rFonts w:hint="eastAsia" w:ascii="楷体" w:hAnsi="楷体" w:eastAsia="楷体"/>
          <w:color w:val="auto"/>
          <w:sz w:val="21"/>
          <w:szCs w:val="21"/>
        </w:rPr>
      </w:pPr>
      <w:r>
        <w:rPr>
          <w:rFonts w:hint="eastAsia" w:ascii="楷体" w:hAnsi="楷体" w:eastAsia="楷体"/>
          <w:color w:val="auto"/>
          <w:sz w:val="21"/>
          <w:szCs w:val="21"/>
        </w:rPr>
        <w:t>机构投资者（盖章）：</w:t>
      </w:r>
    </w:p>
    <w:p>
      <w:pPr>
        <w:rPr>
          <w:rFonts w:ascii="楷体" w:hAnsi="楷体" w:eastAsia="楷体"/>
          <w:color w:val="auto"/>
          <w:sz w:val="21"/>
          <w:szCs w:val="21"/>
        </w:rPr>
      </w:pPr>
    </w:p>
    <w:p>
      <w:pPr>
        <w:pStyle w:val="13"/>
        <w:spacing w:before="0" w:beforeAutospacing="0" w:after="0" w:afterAutospacing="0" w:line="360" w:lineRule="auto"/>
        <w:jc w:val="right"/>
        <w:rPr>
          <w:rFonts w:ascii="楷体" w:hAnsi="楷体" w:eastAsia="楷体"/>
        </w:rPr>
      </w:pPr>
      <w:r>
        <w:rPr>
          <w:rFonts w:hint="eastAsia" w:ascii="楷体" w:hAnsi="楷体" w:eastAsia="楷体"/>
          <w:color w:val="auto"/>
          <w:sz w:val="21"/>
          <w:szCs w:val="21"/>
        </w:rPr>
        <w:t>机构投资者法定代表人或授权代表（签字或盖章）</w:t>
      </w:r>
      <w:r>
        <w:rPr>
          <w:rFonts w:hint="eastAsia" w:ascii="楷体" w:hAnsi="楷体" w:eastAsia="楷体"/>
          <w:color w:val="auto"/>
          <w:sz w:val="21"/>
          <w:szCs w:val="21"/>
          <w:lang w:val="en-US" w:eastAsia="zh-CN"/>
        </w:rPr>
        <w:t xml:space="preserve">                    </w:t>
      </w:r>
      <w:r>
        <w:rPr>
          <w:rFonts w:hint="eastAsia" w:ascii="楷体" w:hAnsi="楷体" w:eastAsia="楷体"/>
          <w:color w:val="auto"/>
          <w:sz w:val="21"/>
          <w:szCs w:val="21"/>
        </w:rPr>
        <w:t>年   月   日</w:t>
      </w:r>
      <w:r>
        <w:rPr>
          <w:rFonts w:hint="eastAsia" w:ascii="楷体" w:hAnsi="楷体" w:eastAsia="楷体"/>
          <w:b/>
          <w:sz w:val="36"/>
          <w:szCs w:val="36"/>
        </w:rPr>
        <w:t xml:space="preserve"> </w:t>
      </w:r>
    </w:p>
    <w:p>
      <w:pPr>
        <w:jc w:val="center"/>
        <w:rPr>
          <w:rFonts w:hint="eastAsia" w:ascii="楷体" w:hAnsi="楷体" w:eastAsia="楷体"/>
          <w:b/>
          <w:color w:val="auto"/>
          <w:sz w:val="28"/>
          <w:szCs w:val="28"/>
          <w:lang w:eastAsia="zh-CN"/>
        </w:rPr>
      </w:pPr>
      <w:r>
        <w:rPr>
          <w:rFonts w:hint="eastAsia" w:ascii="楷体" w:hAnsi="楷体" w:eastAsia="楷体"/>
          <w:b/>
          <w:sz w:val="36"/>
          <w:szCs w:val="36"/>
        </w:rPr>
        <w:br w:type="page"/>
      </w:r>
      <w:bookmarkStart w:id="0" w:name="_Hlk168577216"/>
      <w:r>
        <w:rPr>
          <w:rFonts w:hint="eastAsia" w:ascii="楷体" w:hAnsi="楷体" w:eastAsia="楷体"/>
          <w:b/>
          <w:color w:val="auto"/>
          <w:sz w:val="28"/>
          <w:szCs w:val="28"/>
        </w:rPr>
        <w:t>“</w:t>
      </w:r>
      <w:r>
        <w:rPr>
          <w:rFonts w:hint="eastAsia" w:ascii="楷体" w:hAnsi="楷体" w:eastAsia="楷体"/>
          <w:b/>
          <w:color w:val="auto"/>
          <w:sz w:val="28"/>
          <w:szCs w:val="28"/>
          <w:lang w:eastAsia="zh-CN"/>
        </w:rPr>
        <w:t>苏银理财恒源封闭债权214期优选2年</w:t>
      </w:r>
      <w:r>
        <w:rPr>
          <w:rFonts w:hint="eastAsia" w:ascii="楷体" w:hAnsi="楷体" w:eastAsia="楷体"/>
          <w:b/>
          <w:color w:val="auto"/>
          <w:sz w:val="28"/>
          <w:szCs w:val="28"/>
        </w:rPr>
        <w:t>”理财产品</w:t>
      </w:r>
      <w:r>
        <w:rPr>
          <w:rFonts w:hint="eastAsia" w:ascii="楷体" w:hAnsi="楷体" w:eastAsia="楷体"/>
          <w:b/>
          <w:color w:val="auto"/>
          <w:sz w:val="28"/>
          <w:szCs w:val="28"/>
          <w:lang w:val="en-US" w:eastAsia="zh-CN"/>
        </w:rPr>
        <w:t>说明书</w:t>
      </w:r>
    </w:p>
    <w:p>
      <w:pPr>
        <w:jc w:val="center"/>
        <w:rPr>
          <w:rFonts w:hint="eastAsia" w:ascii="楷体" w:hAnsi="楷体" w:eastAsia="楷体"/>
          <w:b/>
          <w:color w:val="auto"/>
          <w:sz w:val="24"/>
          <w:szCs w:val="24"/>
        </w:rPr>
      </w:pPr>
      <w:r>
        <w:rPr>
          <w:rFonts w:hint="eastAsia" w:ascii="楷体" w:hAnsi="楷体" w:eastAsia="楷体" w:cs="宋体"/>
          <w:b/>
          <w:color w:val="auto"/>
          <w:kern w:val="0"/>
          <w:sz w:val="24"/>
          <w:szCs w:val="24"/>
        </w:rPr>
        <w:t>理财非存款、产品有风险、投资须谨慎</w:t>
      </w:r>
    </w:p>
    <w:p>
      <w:pPr>
        <w:rPr>
          <w:rFonts w:hint="eastAsia" w:ascii="楷体" w:hAnsi="楷体" w:eastAsia="楷体"/>
          <w:b/>
          <w:color w:val="auto"/>
          <w:sz w:val="21"/>
          <w:szCs w:val="21"/>
        </w:rPr>
      </w:pPr>
      <w:r>
        <w:rPr>
          <w:rFonts w:hint="eastAsia" w:ascii="楷体" w:hAnsi="楷体" w:eastAsia="楷体"/>
          <w:b/>
          <w:color w:val="auto"/>
          <w:sz w:val="21"/>
          <w:szCs w:val="21"/>
        </w:rPr>
        <w:t>重要须知</w:t>
      </w:r>
    </w:p>
    <w:p>
      <w:pPr>
        <w:numPr>
          <w:ilvl w:val="0"/>
          <w:numId w:val="5"/>
        </w:numPr>
        <w:ind w:left="420" w:leftChars="0" w:hanging="420" w:firstLineChars="0"/>
        <w:rPr>
          <w:rFonts w:ascii="楷体" w:hAnsi="楷体" w:eastAsia="楷体"/>
          <w:color w:val="auto"/>
          <w:sz w:val="21"/>
          <w:szCs w:val="21"/>
        </w:rPr>
      </w:pPr>
      <w:r>
        <w:rPr>
          <w:rFonts w:hint="eastAsia" w:ascii="楷体" w:hAnsi="楷体" w:eastAsia="楷体"/>
          <w:color w:val="auto"/>
          <w:sz w:val="21"/>
          <w:szCs w:val="21"/>
        </w:rPr>
        <w:t>在购买本理财产品前，投资者应确保自己完全理解该项投资的性质和所涉及的风险，详细了解和审慎评估该理财产品的</w:t>
      </w:r>
      <w:r>
        <w:rPr>
          <w:rFonts w:hint="eastAsia" w:ascii="楷体" w:hAnsi="楷体" w:eastAsia="楷体"/>
          <w:color w:val="auto"/>
          <w:sz w:val="21"/>
          <w:szCs w:val="21"/>
          <w:lang w:val="en-US" w:eastAsia="zh-CN"/>
        </w:rPr>
        <w:t>资金投向</w:t>
      </w:r>
      <w:r>
        <w:rPr>
          <w:rFonts w:hint="eastAsia" w:ascii="楷体" w:hAnsi="楷体" w:eastAsia="楷体"/>
          <w:color w:val="auto"/>
          <w:sz w:val="21"/>
          <w:szCs w:val="21"/>
        </w:rPr>
        <w:t>、风险类型等基本情况，在慎重考虑后自行决定购买与自身风险承受能力和资产管理需求匹配的理财产品。</w:t>
      </w:r>
    </w:p>
    <w:p>
      <w:pPr>
        <w:numPr>
          <w:ilvl w:val="0"/>
          <w:numId w:val="5"/>
        </w:numPr>
        <w:ind w:left="420" w:leftChars="0" w:hanging="420" w:firstLineChars="0"/>
        <w:rPr>
          <w:rFonts w:ascii="楷体" w:hAnsi="楷体" w:eastAsia="楷体"/>
          <w:b/>
          <w:color w:val="auto"/>
          <w:sz w:val="21"/>
          <w:szCs w:val="21"/>
          <w:u w:val="single"/>
        </w:rPr>
      </w:pPr>
      <w:r>
        <w:rPr>
          <w:rFonts w:hint="eastAsia" w:ascii="楷体" w:hAnsi="楷体" w:eastAsia="楷体"/>
          <w:b/>
          <w:color w:val="auto"/>
          <w:sz w:val="21"/>
          <w:szCs w:val="21"/>
          <w:u w:val="single"/>
        </w:rPr>
        <w:t>本理财产品</w:t>
      </w:r>
      <w:r>
        <w:rPr>
          <w:rFonts w:hint="eastAsia" w:ascii="楷体" w:hAnsi="楷体" w:eastAsia="楷体"/>
          <w:b/>
          <w:color w:val="auto"/>
          <w:sz w:val="21"/>
          <w:szCs w:val="21"/>
          <w:u w:val="single"/>
          <w:lang w:val="en-US" w:eastAsia="zh-CN"/>
        </w:rPr>
        <w:t>不等同于银行存款，</w:t>
      </w:r>
      <w:r>
        <w:rPr>
          <w:rFonts w:hint="eastAsia" w:ascii="楷体" w:hAnsi="楷体" w:eastAsia="楷体"/>
          <w:b/>
          <w:color w:val="auto"/>
          <w:sz w:val="21"/>
          <w:szCs w:val="21"/>
          <w:u w:val="single"/>
        </w:rPr>
        <w:t>不保证本金及收益，您的本金可能因市场变动或者交易违约等事项而蒙受相应损失，投资者应充分认识投资风险，谨慎投资</w:t>
      </w:r>
      <w:r>
        <w:rPr>
          <w:rFonts w:hint="eastAsia" w:ascii="楷体" w:hAnsi="楷体" w:eastAsia="楷体"/>
          <w:b/>
          <w:color w:val="auto"/>
          <w:sz w:val="21"/>
          <w:szCs w:val="21"/>
          <w:u w:val="single"/>
          <w:lang w:eastAsia="zh-CN"/>
        </w:rPr>
        <w:t>。</w:t>
      </w:r>
    </w:p>
    <w:p>
      <w:pPr>
        <w:numPr>
          <w:ilvl w:val="0"/>
          <w:numId w:val="5"/>
        </w:numPr>
        <w:ind w:left="420" w:leftChars="0" w:hanging="420" w:firstLineChars="0"/>
        <w:rPr>
          <w:rFonts w:ascii="楷体" w:hAnsi="楷体" w:eastAsia="楷体"/>
          <w:b/>
          <w:color w:val="auto"/>
          <w:sz w:val="21"/>
          <w:szCs w:val="21"/>
          <w:u w:val="single"/>
        </w:rPr>
      </w:pPr>
      <w:r>
        <w:rPr>
          <w:rFonts w:hint="eastAsia" w:ascii="楷体" w:hAnsi="楷体" w:eastAsia="楷体"/>
          <w:b/>
          <w:color w:val="auto"/>
          <w:sz w:val="21"/>
          <w:szCs w:val="21"/>
          <w:u w:val="single"/>
        </w:rPr>
        <w:t>本理财产品过往业绩不代表其未来表现，不等于理财产品实际收益，投资须谨慎。</w:t>
      </w:r>
    </w:p>
    <w:p>
      <w:pPr>
        <w:numPr>
          <w:ilvl w:val="0"/>
          <w:numId w:val="5"/>
        </w:numPr>
        <w:ind w:left="420" w:leftChars="0" w:hanging="420" w:firstLineChars="0"/>
        <w:rPr>
          <w:rFonts w:ascii="楷体" w:hAnsi="楷体" w:eastAsia="楷体"/>
          <w:b/>
          <w:color w:val="auto"/>
          <w:sz w:val="21"/>
          <w:szCs w:val="21"/>
          <w:u w:val="single"/>
        </w:rPr>
      </w:pPr>
      <w:r>
        <w:rPr>
          <w:rFonts w:hint="eastAsia" w:ascii="楷体" w:hAnsi="楷体" w:eastAsia="楷体"/>
          <w:b/>
          <w:color w:val="auto"/>
          <w:sz w:val="21"/>
          <w:szCs w:val="21"/>
          <w:u w:val="single"/>
        </w:rPr>
        <w:t>本理财产品的任何业绩比较区间、业绩比较基准</w:t>
      </w:r>
      <w:r>
        <w:rPr>
          <w:rFonts w:hint="eastAsia" w:ascii="楷体" w:hAnsi="楷体" w:eastAsia="楷体"/>
          <w:b/>
          <w:color w:val="auto"/>
          <w:sz w:val="21"/>
          <w:szCs w:val="21"/>
          <w:u w:val="single"/>
          <w:lang w:val="en-US" w:eastAsia="zh-CN"/>
        </w:rPr>
        <w:t>等</w:t>
      </w:r>
      <w:r>
        <w:rPr>
          <w:rFonts w:hint="eastAsia" w:ascii="楷体" w:hAnsi="楷体" w:eastAsia="楷体"/>
          <w:b/>
          <w:color w:val="auto"/>
          <w:sz w:val="21"/>
          <w:szCs w:val="21"/>
          <w:u w:val="single"/>
        </w:rPr>
        <w:t>类似表述均属不具有法律约束力的用语</w:t>
      </w:r>
      <w:r>
        <w:rPr>
          <w:rFonts w:hint="eastAsia" w:ascii="楷体" w:hAnsi="楷体" w:eastAsia="楷体"/>
          <w:b/>
          <w:color w:val="auto"/>
          <w:sz w:val="21"/>
          <w:szCs w:val="21"/>
          <w:u w:val="single"/>
          <w:lang w:eastAsia="zh-CN"/>
        </w:rPr>
        <w:t>。</w:t>
      </w:r>
      <w:r>
        <w:rPr>
          <w:rFonts w:hint="eastAsia" w:ascii="楷体" w:hAnsi="楷体" w:eastAsia="楷体"/>
          <w:b/>
          <w:color w:val="auto"/>
          <w:szCs w:val="21"/>
          <w:highlight w:val="none"/>
          <w:u w:val="single"/>
        </w:rPr>
        <w:t>业绩比较基准</w:t>
      </w:r>
      <w:r>
        <w:rPr>
          <w:rFonts w:hint="eastAsia" w:ascii="楷体" w:hAnsi="楷体" w:eastAsia="楷体"/>
          <w:b/>
          <w:color w:val="auto"/>
          <w:sz w:val="21"/>
          <w:szCs w:val="21"/>
          <w:highlight w:val="none"/>
          <w:u w:val="single"/>
          <w:lang w:val="en-US" w:eastAsia="zh-CN"/>
        </w:rPr>
        <w:t>为</w:t>
      </w:r>
      <w:r>
        <w:rPr>
          <w:rFonts w:hint="eastAsia" w:ascii="楷体" w:hAnsi="楷体" w:eastAsia="楷体"/>
          <w:b/>
          <w:color w:val="auto"/>
          <w:szCs w:val="21"/>
          <w:highlight w:val="none"/>
          <w:u w:val="single"/>
        </w:rPr>
        <w:t>管理人基于产品性质、投资策略、过往经验等因素对产品设定的投资目标。业绩比较基准不是预期收益率，不代表产品的未来表现和实际收益，不构成对产品收益的承诺。</w:t>
      </w:r>
    </w:p>
    <w:p>
      <w:pPr>
        <w:numPr>
          <w:ilvl w:val="0"/>
          <w:numId w:val="5"/>
        </w:numPr>
        <w:ind w:left="420" w:leftChars="0" w:hanging="420" w:firstLineChars="0"/>
        <w:rPr>
          <w:rFonts w:ascii="楷体" w:hAnsi="楷体" w:eastAsia="楷体"/>
          <w:sz w:val="21"/>
          <w:szCs w:val="21"/>
        </w:rPr>
      </w:pPr>
      <w:r>
        <w:rPr>
          <w:rFonts w:hint="eastAsia" w:ascii="楷体" w:hAnsi="楷体" w:eastAsia="楷体"/>
          <w:sz w:val="21"/>
          <w:szCs w:val="21"/>
        </w:rPr>
        <w:t>《风险揭示书》、《理财产品说明书》、《理财产品投资协议书》</w:t>
      </w:r>
      <w:r>
        <w:rPr>
          <w:rFonts w:hint="eastAsia" w:ascii="楷体" w:hAnsi="楷体" w:eastAsia="楷体"/>
          <w:sz w:val="21"/>
          <w:szCs w:val="21"/>
          <w:lang w:eastAsia="zh-CN"/>
        </w:rPr>
        <w:t>、</w:t>
      </w:r>
      <w:r>
        <w:rPr>
          <w:rFonts w:hint="eastAsia" w:ascii="楷体" w:hAnsi="楷体" w:eastAsia="楷体"/>
          <w:sz w:val="21"/>
          <w:szCs w:val="21"/>
        </w:rPr>
        <w:t>《投资者权益须知》、《理财产品（代理）销售协议书》共同构成本理财产品完整</w:t>
      </w:r>
      <w:r>
        <w:rPr>
          <w:rFonts w:hint="eastAsia" w:ascii="楷体" w:hAnsi="楷体" w:eastAsia="楷体"/>
          <w:sz w:val="21"/>
          <w:szCs w:val="21"/>
          <w:lang w:val="en-US" w:eastAsia="zh-CN"/>
        </w:rPr>
        <w:t>且</w:t>
      </w:r>
      <w:r>
        <w:rPr>
          <w:rFonts w:hint="eastAsia" w:ascii="楷体" w:hAnsi="楷体" w:eastAsia="楷体"/>
          <w:sz w:val="21"/>
          <w:szCs w:val="21"/>
        </w:rPr>
        <w:t>不可分割的</w:t>
      </w:r>
      <w:r>
        <w:rPr>
          <w:rFonts w:hint="eastAsia" w:ascii="楷体" w:hAnsi="楷体" w:eastAsia="楷体"/>
          <w:sz w:val="21"/>
          <w:szCs w:val="21"/>
          <w:lang w:val="en-US" w:eastAsia="zh-CN"/>
        </w:rPr>
        <w:t>销售文件</w:t>
      </w:r>
      <w:r>
        <w:rPr>
          <w:rFonts w:hint="eastAsia" w:ascii="楷体" w:hAnsi="楷体" w:eastAsia="楷体"/>
          <w:sz w:val="21"/>
          <w:szCs w:val="21"/>
        </w:rPr>
        <w:t>。</w:t>
      </w:r>
    </w:p>
    <w:p>
      <w:pPr>
        <w:numPr>
          <w:ilvl w:val="0"/>
          <w:numId w:val="5"/>
        </w:numPr>
        <w:ind w:left="420" w:leftChars="0" w:hanging="420" w:firstLineChars="0"/>
        <w:rPr>
          <w:rFonts w:ascii="楷体" w:hAnsi="楷体" w:eastAsia="楷体"/>
          <w:color w:val="auto"/>
          <w:sz w:val="21"/>
          <w:szCs w:val="21"/>
        </w:rPr>
      </w:pPr>
      <w:r>
        <w:rPr>
          <w:rFonts w:hint="eastAsia" w:ascii="楷体" w:hAnsi="楷体" w:eastAsia="楷体"/>
          <w:color w:val="auto"/>
          <w:sz w:val="21"/>
          <w:szCs w:val="21"/>
        </w:rPr>
        <w:t>本理财产品涉及的主要风险包括政策风险、信用风险、市场风险、流动性风险、管理风险、操作风险、延期兑付风险、提前终止风险、信息传递风险、代销风险</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如有）</w:t>
      </w:r>
      <w:r>
        <w:rPr>
          <w:rFonts w:hint="eastAsia" w:ascii="楷体" w:hAnsi="楷体" w:eastAsia="楷体"/>
          <w:color w:val="auto"/>
          <w:sz w:val="21"/>
          <w:szCs w:val="21"/>
        </w:rPr>
        <w:t>、其他风险等。请仔细阅读《“</w:t>
      </w:r>
      <w:r>
        <w:rPr>
          <w:rFonts w:hint="eastAsia" w:ascii="楷体" w:hAnsi="楷体" w:eastAsia="楷体"/>
          <w:color w:val="auto"/>
          <w:sz w:val="21"/>
          <w:szCs w:val="21"/>
          <w:lang w:eastAsia="zh-CN"/>
        </w:rPr>
        <w:t>苏银理财恒源封闭债权214期优选2年</w:t>
      </w:r>
      <w:r>
        <w:rPr>
          <w:rFonts w:hint="eastAsia" w:ascii="楷体" w:hAnsi="楷体" w:eastAsia="楷体"/>
          <w:color w:val="auto"/>
          <w:sz w:val="21"/>
          <w:szCs w:val="21"/>
        </w:rPr>
        <w:t>”理财产品风险揭示书》的“风险揭示”部分。</w:t>
      </w:r>
    </w:p>
    <w:p>
      <w:pPr>
        <w:widowControl/>
        <w:numPr>
          <w:ilvl w:val="0"/>
          <w:numId w:val="5"/>
        </w:numPr>
        <w:ind w:left="420" w:leftChars="0" w:hanging="420" w:firstLineChars="0"/>
        <w:rPr>
          <w:rFonts w:ascii="楷体" w:hAnsi="楷体" w:eastAsia="楷体"/>
          <w:b/>
          <w:bCs/>
          <w:color w:val="auto"/>
          <w:sz w:val="21"/>
          <w:szCs w:val="21"/>
          <w:u w:val="single"/>
        </w:rPr>
      </w:pPr>
      <w:r>
        <w:rPr>
          <w:rFonts w:hint="eastAsia" w:ascii="楷体" w:hAnsi="楷体" w:eastAsia="楷体" w:cs="Times New Roman"/>
          <w:b/>
          <w:bCs/>
          <w:color w:val="auto"/>
          <w:spacing w:val="0"/>
          <w:szCs w:val="21"/>
          <w:highlight w:val="none"/>
          <w:u w:val="single"/>
        </w:rPr>
        <w:t>本产品</w:t>
      </w:r>
      <w:r>
        <w:rPr>
          <w:rFonts w:hint="eastAsia" w:ascii="楷体" w:hAnsi="楷体" w:eastAsia="楷体" w:cs="Times New Roman"/>
          <w:b/>
          <w:bCs/>
          <w:color w:val="auto"/>
          <w:spacing w:val="0"/>
          <w:szCs w:val="21"/>
          <w:highlight w:val="none"/>
          <w:u w:val="single"/>
          <w:lang w:val="en-US" w:eastAsia="zh-CN"/>
        </w:rPr>
        <w:t>可</w:t>
      </w:r>
      <w:r>
        <w:rPr>
          <w:rFonts w:hint="eastAsia" w:ascii="楷体" w:hAnsi="楷体" w:eastAsia="楷体" w:cs="Times New Roman"/>
          <w:b/>
          <w:bCs/>
          <w:color w:val="auto"/>
          <w:spacing w:val="0"/>
          <w:szCs w:val="21"/>
          <w:highlight w:val="none"/>
          <w:u w:val="single"/>
        </w:rPr>
        <w:t>设置多个份额，</w:t>
      </w:r>
      <w:r>
        <w:rPr>
          <w:rFonts w:hint="eastAsia" w:ascii="楷体" w:hAnsi="楷体" w:eastAsia="楷体" w:cs="Times New Roman"/>
          <w:b/>
          <w:bCs/>
          <w:color w:val="auto"/>
          <w:spacing w:val="0"/>
          <w:szCs w:val="21"/>
          <w:highlight w:val="none"/>
          <w:u w:val="single"/>
          <w:lang w:eastAsia="zh-CN"/>
        </w:rPr>
        <w:t>各份额</w:t>
      </w:r>
      <w:r>
        <w:rPr>
          <w:rFonts w:hint="eastAsia" w:ascii="楷体" w:hAnsi="楷体" w:eastAsia="楷体" w:cs="Times New Roman"/>
          <w:b/>
          <w:bCs/>
          <w:color w:val="auto"/>
          <w:spacing w:val="0"/>
          <w:sz w:val="21"/>
          <w:szCs w:val="21"/>
          <w:u w:val="single"/>
          <w:lang w:val="en-US" w:eastAsia="zh-CN"/>
        </w:rPr>
        <w:t>可能</w:t>
      </w:r>
      <w:r>
        <w:rPr>
          <w:rFonts w:hint="eastAsia" w:ascii="楷体" w:hAnsi="楷体" w:eastAsia="楷体" w:cs="Times New Roman"/>
          <w:b/>
          <w:bCs/>
          <w:color w:val="auto"/>
          <w:spacing w:val="0"/>
          <w:szCs w:val="21"/>
          <w:highlight w:val="none"/>
          <w:u w:val="single"/>
        </w:rPr>
        <w:t>设置</w:t>
      </w:r>
      <w:r>
        <w:rPr>
          <w:rFonts w:hint="eastAsia" w:ascii="楷体" w:hAnsi="楷体" w:eastAsia="楷体" w:cs="Times New Roman"/>
          <w:b/>
          <w:bCs/>
          <w:color w:val="auto"/>
          <w:spacing w:val="0"/>
          <w:sz w:val="21"/>
          <w:szCs w:val="21"/>
          <w:u w:val="single"/>
          <w:lang w:val="en-US" w:eastAsia="zh-CN"/>
        </w:rPr>
        <w:t>不同的</w:t>
      </w:r>
      <w:r>
        <w:rPr>
          <w:rFonts w:hint="eastAsia" w:ascii="楷体" w:hAnsi="楷体" w:eastAsia="楷体" w:cs="Times New Roman"/>
          <w:b/>
          <w:bCs/>
          <w:color w:val="auto"/>
          <w:spacing w:val="0"/>
          <w:szCs w:val="21"/>
          <w:highlight w:val="none"/>
          <w:u w:val="single"/>
        </w:rPr>
        <w:t>销售对象</w:t>
      </w:r>
      <w:r>
        <w:rPr>
          <w:rFonts w:hint="eastAsia" w:ascii="楷体" w:hAnsi="楷体" w:eastAsia="楷体" w:cs="Times New Roman"/>
          <w:b/>
          <w:bCs/>
          <w:color w:val="auto"/>
          <w:spacing w:val="0"/>
          <w:sz w:val="21"/>
          <w:szCs w:val="21"/>
          <w:u w:val="single"/>
          <w:lang w:eastAsia="zh-CN"/>
        </w:rPr>
        <w:t>、</w:t>
      </w:r>
      <w:r>
        <w:rPr>
          <w:rFonts w:hint="eastAsia" w:ascii="楷体" w:hAnsi="楷体" w:eastAsia="楷体" w:cs="Times New Roman"/>
          <w:b/>
          <w:bCs/>
          <w:color w:val="auto"/>
          <w:spacing w:val="0"/>
          <w:szCs w:val="21"/>
          <w:highlight w:val="none"/>
          <w:u w:val="single"/>
        </w:rPr>
        <w:t>销售起点</w:t>
      </w:r>
      <w:r>
        <w:rPr>
          <w:rFonts w:hint="eastAsia" w:ascii="楷体" w:hAnsi="楷体" w:eastAsia="楷体" w:cs="Times New Roman"/>
          <w:b/>
          <w:bCs/>
          <w:color w:val="auto"/>
          <w:spacing w:val="0"/>
          <w:sz w:val="21"/>
          <w:szCs w:val="21"/>
          <w:u w:val="single"/>
          <w:lang w:eastAsia="zh-CN"/>
        </w:rPr>
        <w:t>、</w:t>
      </w:r>
      <w:r>
        <w:rPr>
          <w:rFonts w:hint="eastAsia" w:ascii="楷体" w:hAnsi="楷体" w:eastAsia="楷体" w:cs="Times New Roman"/>
          <w:b/>
          <w:bCs/>
          <w:color w:val="auto"/>
          <w:spacing w:val="0"/>
          <w:sz w:val="21"/>
          <w:szCs w:val="21"/>
          <w:u w:val="single"/>
          <w:lang w:val="en-US" w:eastAsia="zh-CN"/>
        </w:rPr>
        <w:t>业绩比较基准等</w:t>
      </w:r>
      <w:r>
        <w:rPr>
          <w:rFonts w:hint="eastAsia" w:ascii="楷体" w:hAnsi="楷体" w:eastAsia="楷体" w:cs="Times New Roman"/>
          <w:b/>
          <w:bCs/>
          <w:color w:val="auto"/>
          <w:spacing w:val="0"/>
          <w:szCs w:val="21"/>
          <w:highlight w:val="none"/>
          <w:u w:val="single"/>
        </w:rPr>
        <w:t>，</w:t>
      </w:r>
      <w:r>
        <w:rPr>
          <w:rFonts w:hint="eastAsia" w:ascii="楷体" w:hAnsi="楷体" w:eastAsia="楷体" w:cs="Times New Roman"/>
          <w:b/>
          <w:bCs/>
          <w:color w:val="auto"/>
          <w:spacing w:val="0"/>
          <w:szCs w:val="21"/>
          <w:highlight w:val="none"/>
          <w:u w:val="single"/>
          <w:lang w:eastAsia="zh-CN"/>
        </w:rPr>
        <w:t>各份额</w:t>
      </w:r>
      <w:r>
        <w:rPr>
          <w:rFonts w:hint="eastAsia" w:ascii="楷体" w:hAnsi="楷体" w:eastAsia="楷体" w:cs="Times New Roman"/>
          <w:b/>
          <w:bCs/>
          <w:color w:val="auto"/>
          <w:spacing w:val="0"/>
          <w:szCs w:val="21"/>
          <w:highlight w:val="none"/>
          <w:u w:val="single"/>
        </w:rPr>
        <w:t>实际收取的销售服务费率、投资管理费率</w:t>
      </w:r>
      <w:r>
        <w:rPr>
          <w:rFonts w:hint="eastAsia" w:ascii="楷体" w:hAnsi="楷体" w:eastAsia="楷体" w:cs="Times New Roman"/>
          <w:b/>
          <w:bCs/>
          <w:color w:val="auto"/>
          <w:spacing w:val="0"/>
          <w:szCs w:val="21"/>
          <w:highlight w:val="none"/>
          <w:u w:val="single"/>
          <w:lang w:eastAsia="zh-CN"/>
        </w:rPr>
        <w:t>、</w:t>
      </w:r>
      <w:r>
        <w:rPr>
          <w:rFonts w:hint="eastAsia" w:ascii="楷体" w:hAnsi="楷体" w:eastAsia="楷体" w:cs="Times New Roman"/>
          <w:b/>
          <w:bCs/>
          <w:color w:val="auto"/>
          <w:spacing w:val="0"/>
          <w:szCs w:val="21"/>
          <w:highlight w:val="none"/>
          <w:u w:val="single"/>
          <w:lang w:val="en-US" w:eastAsia="zh-CN"/>
        </w:rPr>
        <w:t>超额业绩报酬</w:t>
      </w:r>
      <w:r>
        <w:rPr>
          <w:rFonts w:hint="eastAsia" w:ascii="楷体" w:hAnsi="楷体" w:eastAsia="楷体" w:cs="Times New Roman"/>
          <w:b/>
          <w:bCs/>
          <w:color w:val="auto"/>
          <w:spacing w:val="0"/>
          <w:sz w:val="21"/>
          <w:szCs w:val="21"/>
          <w:u w:val="single"/>
          <w:lang w:val="en-US" w:eastAsia="zh-CN"/>
        </w:rPr>
        <w:t>等可能</w:t>
      </w:r>
      <w:r>
        <w:rPr>
          <w:rFonts w:hint="eastAsia" w:ascii="楷体" w:hAnsi="楷体" w:eastAsia="楷体" w:cs="Times New Roman"/>
          <w:b/>
          <w:bCs/>
          <w:color w:val="auto"/>
          <w:spacing w:val="0"/>
          <w:szCs w:val="21"/>
          <w:highlight w:val="none"/>
          <w:u w:val="single"/>
        </w:rPr>
        <w:t>存在差异，</w:t>
      </w:r>
      <w:r>
        <w:rPr>
          <w:rFonts w:hint="eastAsia" w:ascii="楷体" w:hAnsi="楷体" w:eastAsia="楷体"/>
          <w:b/>
          <w:bCs/>
          <w:color w:val="auto"/>
          <w:szCs w:val="21"/>
          <w:u w:val="single"/>
        </w:rPr>
        <w:t>投资者应</w:t>
      </w:r>
      <w:r>
        <w:rPr>
          <w:rFonts w:hint="eastAsia" w:ascii="楷体" w:hAnsi="楷体" w:eastAsia="楷体"/>
          <w:b/>
          <w:bCs/>
          <w:color w:val="auto"/>
          <w:szCs w:val="21"/>
          <w:u w:val="single"/>
          <w:lang w:val="en-US" w:eastAsia="zh-CN"/>
        </w:rPr>
        <w:t>根据实际情况</w:t>
      </w:r>
      <w:r>
        <w:rPr>
          <w:rFonts w:hint="eastAsia" w:ascii="楷体" w:hAnsi="楷体" w:eastAsia="楷体"/>
          <w:b/>
          <w:bCs/>
          <w:color w:val="auto"/>
          <w:szCs w:val="21"/>
          <w:u w:val="single"/>
        </w:rPr>
        <w:t>自主选择购买</w:t>
      </w:r>
      <w:r>
        <w:rPr>
          <w:rFonts w:hint="eastAsia" w:ascii="楷体" w:hAnsi="楷体" w:eastAsia="楷体" w:cs="Times New Roman"/>
          <w:b/>
          <w:bCs/>
          <w:color w:val="auto"/>
          <w:spacing w:val="0"/>
          <w:szCs w:val="21"/>
          <w:highlight w:val="none"/>
          <w:u w:val="single"/>
        </w:rPr>
        <w:t>。</w:t>
      </w:r>
    </w:p>
    <w:p>
      <w:pPr>
        <w:numPr>
          <w:ilvl w:val="0"/>
          <w:numId w:val="5"/>
        </w:numPr>
        <w:ind w:left="420" w:leftChars="0" w:hanging="420" w:firstLineChars="0"/>
        <w:rPr>
          <w:rFonts w:hint="eastAsia" w:ascii="楷体" w:hAnsi="楷体" w:eastAsia="楷体"/>
          <w:color w:val="auto"/>
          <w:sz w:val="21"/>
          <w:szCs w:val="21"/>
        </w:rPr>
      </w:pPr>
      <w:r>
        <w:rPr>
          <w:rFonts w:hint="eastAsia" w:ascii="楷体" w:hAnsi="楷体" w:eastAsia="楷体"/>
          <w:b/>
          <w:color w:val="auto"/>
          <w:sz w:val="21"/>
          <w:szCs w:val="21"/>
          <w:u w:val="single"/>
        </w:rPr>
        <w:t>投资者不得使用贷款、发行债券等筹集的非自有资金投资本理财产品。</w:t>
      </w:r>
    </w:p>
    <w:p>
      <w:pPr>
        <w:numPr>
          <w:ilvl w:val="0"/>
          <w:numId w:val="5"/>
        </w:numPr>
        <w:ind w:left="420" w:leftChars="0" w:hanging="420" w:firstLineChars="0"/>
        <w:rPr>
          <w:rFonts w:ascii="楷体" w:hAnsi="楷体" w:eastAsia="楷体"/>
          <w:color w:val="auto"/>
          <w:sz w:val="21"/>
          <w:szCs w:val="21"/>
        </w:rPr>
      </w:pPr>
      <w:r>
        <w:rPr>
          <w:rFonts w:hint="eastAsia" w:ascii="楷体" w:hAnsi="楷体" w:eastAsia="楷体"/>
          <w:color w:val="auto"/>
          <w:sz w:val="21"/>
          <w:szCs w:val="21"/>
        </w:rPr>
        <w:t>在本产品存续期内，如因监管政策或法律法规发生变化，在不损害投资者利益的前提下，苏银理财有权单方对本产品条款进行修订，</w:t>
      </w:r>
      <w:r>
        <w:rPr>
          <w:rFonts w:hint="eastAsia" w:ascii="楷体" w:hAnsi="楷体" w:eastAsia="楷体"/>
          <w:color w:val="auto"/>
          <w:sz w:val="21"/>
          <w:szCs w:val="21"/>
          <w:highlight w:val="none"/>
        </w:rPr>
        <w:t>并按本理财产品说</w:t>
      </w:r>
      <w:r>
        <w:rPr>
          <w:rFonts w:hint="eastAsia" w:ascii="楷体" w:hAnsi="楷体" w:eastAsia="楷体"/>
          <w:color w:val="auto"/>
          <w:sz w:val="21"/>
          <w:szCs w:val="21"/>
        </w:rPr>
        <w:t>明书约定的信息披露方式予以披露。</w:t>
      </w:r>
    </w:p>
    <w:p>
      <w:pPr>
        <w:numPr>
          <w:ilvl w:val="0"/>
          <w:numId w:val="6"/>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rPr>
        <w:t>产品要素</w:t>
      </w:r>
    </w:p>
    <w:p>
      <w:pPr>
        <w:ind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为保护投资者合法权益，尊重投资者的知情权和自主选择权，现将本理财产品的基本要素说明如下：</w:t>
      </w:r>
    </w:p>
    <w:tbl>
      <w:tblPr>
        <w:tblStyle w:val="15"/>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58"/>
        <w:gridCol w:w="7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1"/>
              <w:ind w:left="55"/>
              <w:jc w:val="both"/>
              <w:textAlignment w:val="auto"/>
              <w:rPr>
                <w:rFonts w:ascii="楷体" w:hAnsi="楷体" w:eastAsia="楷体" w:cs="宋体"/>
                <w:b/>
                <w:color w:val="auto"/>
                <w:spacing w:val="-2"/>
                <w:sz w:val="18"/>
                <w:szCs w:val="18"/>
              </w:rPr>
            </w:pPr>
            <w:r>
              <w:rPr>
                <w:rFonts w:hint="eastAsia" w:ascii="楷体" w:hAnsi="楷体" w:eastAsia="楷体" w:cs="宋体"/>
                <w:b/>
                <w:color w:val="auto"/>
                <w:spacing w:val="-2"/>
                <w:sz w:val="18"/>
                <w:szCs w:val="18"/>
              </w:rPr>
              <w:t>产品名称</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eastAsia" w:ascii="楷体" w:hAnsi="楷体" w:eastAsia="楷体" w:cs="宋体"/>
                <w:color w:val="auto"/>
                <w:spacing w:val="-2"/>
                <w:sz w:val="18"/>
                <w:szCs w:val="18"/>
                <w:lang w:eastAsia="zh-CN"/>
              </w:rPr>
            </w:pPr>
            <w:r>
              <w:rPr>
                <w:rFonts w:hint="eastAsia" w:ascii="楷体" w:hAnsi="楷体" w:eastAsia="楷体" w:cs="宋体"/>
                <w:color w:val="auto"/>
                <w:spacing w:val="-2"/>
                <w:sz w:val="18"/>
                <w:szCs w:val="18"/>
                <w:lang w:eastAsia="zh-CN"/>
              </w:rPr>
              <w:t>苏银理财恒源封闭债权214期优选2年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ind w:left="57"/>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理财产品</w:t>
            </w:r>
          </w:p>
          <w:p>
            <w:pPr>
              <w:pStyle w:val="34"/>
              <w:keepNext w:val="0"/>
              <w:keepLines w:val="0"/>
              <w:pageBreakBefore w:val="0"/>
              <w:widowControl w:val="0"/>
              <w:kinsoku w:val="0"/>
              <w:wordWrap/>
              <w:overflowPunct w:val="0"/>
              <w:topLinePunct w:val="0"/>
              <w:autoSpaceDE w:val="0"/>
              <w:autoSpaceDN w:val="0"/>
              <w:bidi w:val="0"/>
              <w:adjustRightInd w:val="0"/>
              <w:snapToGrid w:val="0"/>
              <w:ind w:left="57"/>
              <w:jc w:val="both"/>
              <w:textAlignment w:val="auto"/>
              <w:rPr>
                <w:rFonts w:ascii="楷体" w:hAnsi="楷体" w:eastAsia="楷体" w:cs="宋体"/>
                <w:b/>
                <w:color w:val="auto"/>
                <w:spacing w:val="-2"/>
                <w:sz w:val="18"/>
                <w:szCs w:val="18"/>
              </w:rPr>
            </w:pPr>
            <w:r>
              <w:rPr>
                <w:rFonts w:hint="eastAsia" w:ascii="楷体" w:hAnsi="楷体" w:eastAsia="楷体" w:cs="宋体"/>
                <w:b/>
                <w:color w:val="auto"/>
                <w:spacing w:val="-2"/>
                <w:sz w:val="18"/>
                <w:szCs w:val="18"/>
              </w:rPr>
              <w:t>登记编码</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ascii="楷体" w:hAnsi="楷体" w:eastAsia="楷体" w:cs="宋体"/>
                <w:color w:val="auto"/>
                <w:spacing w:val="-2"/>
                <w:sz w:val="18"/>
                <w:szCs w:val="18"/>
              </w:rPr>
            </w:pPr>
            <w:r>
              <w:rPr>
                <w:rFonts w:hint="eastAsia" w:ascii="楷体" w:hAnsi="楷体" w:eastAsia="楷体" w:cs="宋体"/>
                <w:color w:val="auto"/>
                <w:spacing w:val="-2"/>
                <w:sz w:val="18"/>
                <w:szCs w:val="18"/>
                <w:lang w:val="en-US" w:eastAsia="zh-CN"/>
              </w:rPr>
              <w:t>Z7003125000131，</w:t>
            </w:r>
            <w:r>
              <w:rPr>
                <w:rFonts w:hint="eastAsia" w:ascii="楷体" w:hAnsi="楷体" w:eastAsia="楷体" w:cs="宋体"/>
                <w:color w:val="auto"/>
                <w:spacing w:val="-2"/>
                <w:sz w:val="18"/>
                <w:szCs w:val="18"/>
              </w:rPr>
              <w:t>投资者可依据该编码在中国理财网</w:t>
            </w:r>
            <w:r>
              <w:rPr>
                <w:rFonts w:ascii="楷体" w:hAnsi="楷体" w:eastAsia="楷体" w:cs="宋体"/>
                <w:color w:val="auto"/>
                <w:spacing w:val="-2"/>
                <w:sz w:val="18"/>
                <w:szCs w:val="18"/>
              </w:rPr>
              <w:fldChar w:fldCharType="begin"/>
            </w:r>
            <w:r>
              <w:rPr>
                <w:rFonts w:ascii="楷体" w:hAnsi="楷体" w:eastAsia="楷体" w:cs="宋体"/>
                <w:color w:val="auto"/>
                <w:spacing w:val="-2"/>
                <w:sz w:val="18"/>
                <w:szCs w:val="18"/>
              </w:rPr>
              <w:instrText xml:space="preserve"> HYPERLINK "http://www.chinawealth.com.cn/" </w:instrText>
            </w:r>
            <w:r>
              <w:rPr>
                <w:rFonts w:ascii="楷体" w:hAnsi="楷体" w:eastAsia="楷体" w:cs="宋体"/>
                <w:color w:val="auto"/>
                <w:spacing w:val="-2"/>
                <w:sz w:val="18"/>
                <w:szCs w:val="18"/>
              </w:rPr>
              <w:fldChar w:fldCharType="separate"/>
            </w:r>
            <w:r>
              <w:rPr>
                <w:rFonts w:ascii="楷体" w:hAnsi="楷体" w:eastAsia="楷体" w:cs="宋体"/>
                <w:color w:val="auto"/>
                <w:spacing w:val="-2"/>
                <w:sz w:val="18"/>
                <w:szCs w:val="18"/>
              </w:rPr>
              <w:t>www.chinawealth.com.cn</w:t>
            </w:r>
            <w:r>
              <w:rPr>
                <w:rFonts w:ascii="楷体" w:hAnsi="楷体" w:eastAsia="楷体" w:cs="宋体"/>
                <w:color w:val="auto"/>
                <w:spacing w:val="-2"/>
                <w:sz w:val="18"/>
                <w:szCs w:val="18"/>
              </w:rPr>
              <w:fldChar w:fldCharType="end"/>
            </w:r>
            <w:r>
              <w:rPr>
                <w:rFonts w:hint="eastAsia" w:ascii="楷体" w:hAnsi="楷体" w:eastAsia="楷体" w:cs="宋体"/>
                <w:color w:val="auto"/>
                <w:spacing w:val="-2"/>
                <w:sz w:val="18"/>
                <w:szCs w:val="18"/>
              </w:rPr>
              <w:t>查询产品信息</w:t>
            </w:r>
            <w:r>
              <w:rPr>
                <w:rFonts w:hint="eastAsia" w:ascii="楷体" w:hAnsi="楷体" w:eastAsia="楷体" w:cs="宋体"/>
                <w:color w:val="auto"/>
                <w:spacing w:val="-2"/>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6"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jc w:val="both"/>
              <w:textAlignment w:val="auto"/>
              <w:rPr>
                <w:rFonts w:hint="eastAsia"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highlight w:val="none"/>
              </w:rPr>
              <w:t>销售简称/</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jc w:val="both"/>
              <w:textAlignment w:val="auto"/>
              <w:rPr>
                <w:rFonts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highlight w:val="none"/>
              </w:rPr>
              <w:t>销售代码</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A份额：苏银理财恒源封闭债权214期优选2年A/J04986</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B份额：苏银理财恒源封闭债权214期优选2年B/J04987</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C份额：苏银理财恒源封闭债权214期优选2年C/J04988</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D份额：苏银理财恒源封闭债权214期优选2年D/J04989</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E份额：苏银理财恒源封闭债权214期优选2年E/J04990</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F份额：苏银理财恒源封闭债权214期优选2年F/J04991</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G份额：苏银理财恒源封闭债权214期优选2年G/J04992</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H份额：苏银理财恒源封闭债权214期优选2年H/J04993</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I份额：苏银理财恒源封闭债权214期优选2年I/J04994</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J份额：苏银理财恒源封闭债权214期优选2年J/J04995</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K份额：苏银理财恒源封闭债权214期优选2年K/J04996</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Z份额：苏银理财恒源封闭债权214期优选2年Z/J04997</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JS份额：苏银理财恒源封闭债权214期优选2年JS鑫福款/J04998</w:t>
            </w:r>
          </w:p>
          <w:p>
            <w:pPr>
              <w:pStyle w:val="34"/>
              <w:keepNext w:val="0"/>
              <w:keepLines w:val="0"/>
              <w:pageBreakBefore w:val="0"/>
              <w:kinsoku w:val="0"/>
              <w:wordWrap/>
              <w:overflowPunct w:val="0"/>
              <w:topLinePunct w:val="0"/>
              <w:bidi w:val="0"/>
              <w:snapToGrid w:val="0"/>
              <w:spacing w:line="240" w:lineRule="auto"/>
              <w:ind w:left="57" w:right="57" w:rightChars="0"/>
              <w:jc w:val="both"/>
              <w:textAlignment w:val="auto"/>
              <w:rPr>
                <w:rFonts w:hint="default" w:ascii="楷体" w:hAnsi="楷体" w:eastAsia="楷体" w:cs="宋体"/>
                <w:color w:val="auto"/>
                <w:spacing w:val="-2"/>
                <w:sz w:val="18"/>
                <w:szCs w:val="18"/>
                <w:highlight w:val="none"/>
                <w:lang w:val="en-US" w:eastAsia="zh-CN"/>
              </w:rPr>
            </w:pPr>
            <w:r>
              <w:rPr>
                <w:rFonts w:hint="default" w:ascii="楷体" w:hAnsi="楷体" w:eastAsia="楷体" w:cs="宋体"/>
                <w:color w:val="auto"/>
                <w:spacing w:val="-2"/>
                <w:sz w:val="18"/>
                <w:szCs w:val="18"/>
                <w:highlight w:val="none"/>
                <w:lang w:val="en-US" w:eastAsia="zh-CN"/>
              </w:rPr>
              <w:t>芙蓉锦程 ·优选份额：苏银理财恒源封闭债权214期优选2年（芙蓉锦程 ·优选）/J04999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rPr>
              <w:t>产品类型</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color w:val="auto"/>
                <w:spacing w:val="-2"/>
                <w:sz w:val="18"/>
                <w:szCs w:val="18"/>
                <w:u w:val="single"/>
                <w:lang w:val="en-US" w:eastAsia="zh-CN"/>
              </w:rPr>
            </w:pPr>
            <w:r>
              <w:rPr>
                <w:rFonts w:hint="eastAsia" w:ascii="楷体" w:hAnsi="楷体" w:eastAsia="楷体" w:cs="宋体"/>
                <w:b/>
                <w:color w:val="auto"/>
                <w:spacing w:val="-2"/>
                <w:sz w:val="18"/>
                <w:szCs w:val="18"/>
                <w:u w:val="single"/>
              </w:rPr>
              <w:t>固定收益类、公募、封闭式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产品内部</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风险评级</w:t>
            </w:r>
          </w:p>
        </w:tc>
        <w:tc>
          <w:tcPr>
            <w:tcW w:w="7986" w:type="dxa"/>
            <w:vAlign w:val="center"/>
          </w:tcPr>
          <w:p>
            <w:pPr>
              <w:keepNext w:val="0"/>
              <w:keepLines w:val="0"/>
              <w:pageBreakBefore w:val="0"/>
              <w:numPr>
                <w:ilvl w:val="-1"/>
                <w:numId w:val="0"/>
              </w:numPr>
              <w:wordWrap/>
              <w:topLinePunct w:val="0"/>
              <w:bidi w:val="0"/>
              <w:snapToGrid w:val="0"/>
              <w:spacing w:line="240" w:lineRule="auto"/>
              <w:ind w:left="57" w:leftChars="0" w:right="57" w:firstLine="0" w:firstLineChars="0"/>
              <w:textAlignment w:val="auto"/>
              <w:rPr>
                <w:rFonts w:hint="eastAsia" w:ascii="楷体" w:hAnsi="楷体" w:eastAsia="楷体"/>
                <w:color w:val="auto"/>
                <w:sz w:val="18"/>
                <w:szCs w:val="18"/>
              </w:rPr>
            </w:pPr>
            <w:r>
              <w:rPr>
                <w:rFonts w:hint="eastAsia" w:ascii="楷体" w:hAnsi="楷体" w:eastAsia="楷体"/>
                <w:color w:val="auto"/>
                <w:sz w:val="18"/>
                <w:szCs w:val="18"/>
                <w:lang w:val="en-US" w:eastAsia="zh-CN"/>
              </w:rPr>
              <w:t>1.</w:t>
            </w:r>
            <w:r>
              <w:rPr>
                <w:rFonts w:hint="eastAsia" w:ascii="楷体" w:hAnsi="楷体" w:eastAsia="楷体"/>
                <w:color w:val="auto"/>
                <w:sz w:val="18"/>
                <w:szCs w:val="18"/>
              </w:rPr>
              <w:t>本理财产品经苏银理财内部风险评级为</w:t>
            </w:r>
            <w:r>
              <w:rPr>
                <w:rFonts w:hint="eastAsia" w:ascii="楷体" w:hAnsi="楷体" w:eastAsia="楷体"/>
                <w:b/>
                <w:color w:val="auto"/>
                <w:sz w:val="18"/>
                <w:szCs w:val="18"/>
                <w:u w:val="single"/>
              </w:rPr>
              <w:t>★★二级，适合中低风险型投资者，适合投资策略为稳健发展</w:t>
            </w:r>
            <w:r>
              <w:rPr>
                <w:rFonts w:hint="eastAsia" w:ascii="楷体" w:hAnsi="楷体" w:eastAsia="楷体"/>
                <w:b/>
                <w:color w:val="auto"/>
                <w:sz w:val="18"/>
                <w:szCs w:val="18"/>
                <w:u w:val="single"/>
                <w:lang w:val="en-US" w:eastAsia="zh-CN"/>
              </w:rPr>
              <w:t>的投资者</w:t>
            </w:r>
            <w:r>
              <w:rPr>
                <w:rFonts w:hint="eastAsia" w:ascii="楷体" w:hAnsi="楷体" w:eastAsia="楷体"/>
                <w:color w:val="auto"/>
                <w:sz w:val="18"/>
                <w:szCs w:val="18"/>
              </w:rPr>
              <w:t>。本评级为</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内部评级，由</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根据理财产品的投资组合、同类产品过往业绩和风险状况等因素，对理财产品进行评级，仅供</w:t>
            </w:r>
            <w:r>
              <w:rPr>
                <w:rFonts w:hint="eastAsia" w:ascii="楷体" w:hAnsi="楷体" w:eastAsia="楷体"/>
                <w:color w:val="auto"/>
                <w:sz w:val="18"/>
                <w:szCs w:val="18"/>
                <w:lang w:val="en-US" w:eastAsia="zh-CN"/>
              </w:rPr>
              <w:t>投资者</w:t>
            </w:r>
            <w:r>
              <w:rPr>
                <w:rFonts w:hint="eastAsia" w:ascii="楷体" w:hAnsi="楷体" w:eastAsia="楷体"/>
                <w:color w:val="auto"/>
                <w:sz w:val="18"/>
                <w:szCs w:val="18"/>
              </w:rPr>
              <w:t>参考。</w:t>
            </w:r>
          </w:p>
          <w:tbl>
            <w:tblPr>
              <w:tblStyle w:val="15"/>
              <w:tblW w:w="42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498"/>
              <w:gridCol w:w="2042"/>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风险星级</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风险级别</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适合的投资者类别</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适合投资策略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tcBorders>
                    <w:bottom w:val="single" w:color="auto" w:sz="4" w:space="0"/>
                  </w:tcBorders>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tcBorders>
                    <w:bottom w:val="single" w:color="auto" w:sz="4" w:space="0"/>
                  </w:tcBorders>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一级（PR1）</w:t>
                  </w:r>
                </w:p>
              </w:tc>
              <w:tc>
                <w:tcPr>
                  <w:tcW w:w="1493" w:type="pct"/>
                  <w:tcBorders>
                    <w:bottom w:val="single" w:color="auto" w:sz="4" w:space="0"/>
                  </w:tcBorders>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低风险型</w:t>
                  </w:r>
                </w:p>
              </w:tc>
              <w:tc>
                <w:tcPr>
                  <w:tcW w:w="1229" w:type="pct"/>
                  <w:tcBorders>
                    <w:bottom w:val="single" w:color="auto" w:sz="4" w:space="0"/>
                  </w:tcBorders>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二级（PR2）</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中低风险型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稳健发展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三级（PR3）</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中风险型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均衡发展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四级（PR4）</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中高风险型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积极成长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五级（PR5）</w:t>
                  </w:r>
                </w:p>
              </w:tc>
              <w:tc>
                <w:tcPr>
                  <w:tcW w:w="1493"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高风险型</w:t>
                  </w:r>
                </w:p>
              </w:tc>
              <w:tc>
                <w:tcPr>
                  <w:tcW w:w="1229" w:type="pct"/>
                  <w:vAlign w:val="center"/>
                </w:tcPr>
                <w:p>
                  <w:pPr>
                    <w:keepNext w:val="0"/>
                    <w:keepLines w:val="0"/>
                    <w:pageBreakBefore w:val="0"/>
                    <w:wordWrap/>
                    <w:topLinePunct w:val="0"/>
                    <w:autoSpaceDE/>
                    <w:autoSpaceDN/>
                    <w:bidi w:val="0"/>
                    <w:adjustRightInd/>
                    <w:snapToGrid w:val="0"/>
                    <w:spacing w:line="240" w:lineRule="auto"/>
                    <w:ind w:left="0" w:right="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风险承受</w:t>
                  </w:r>
                </w:p>
              </w:tc>
            </w:tr>
          </w:tbl>
          <w:p>
            <w:pPr>
              <w:keepNext w:val="0"/>
              <w:keepLines w:val="0"/>
              <w:pageBreakBefore w:val="0"/>
              <w:numPr>
                <w:ilvl w:val="-1"/>
                <w:numId w:val="0"/>
              </w:numPr>
              <w:wordWrap/>
              <w:topLinePunct w:val="0"/>
              <w:bidi w:val="0"/>
              <w:snapToGrid w:val="0"/>
              <w:spacing w:line="240" w:lineRule="auto"/>
              <w:ind w:left="57" w:leftChars="0" w:right="57" w:firstLine="0" w:firstLineChars="0"/>
              <w:textAlignment w:val="auto"/>
              <w:rPr>
                <w:rFonts w:ascii="楷体" w:hAnsi="楷体" w:eastAsia="楷体"/>
                <w:b/>
                <w:sz w:val="18"/>
                <w:szCs w:val="18"/>
                <w:highlight w:val="none"/>
                <w:u w:val="single"/>
              </w:rPr>
            </w:pPr>
            <w:r>
              <w:rPr>
                <w:rFonts w:hint="eastAsia" w:ascii="楷体" w:hAnsi="楷体" w:eastAsia="楷体"/>
                <w:sz w:val="18"/>
                <w:szCs w:val="18"/>
                <w:highlight w:val="none"/>
                <w:lang w:val="en-US" w:eastAsia="zh-CN"/>
              </w:rPr>
              <w:t>2.</w:t>
            </w:r>
            <w:r>
              <w:rPr>
                <w:rFonts w:hint="eastAsia" w:ascii="楷体" w:hAnsi="楷体" w:eastAsia="楷体"/>
                <w:sz w:val="18"/>
                <w:szCs w:val="18"/>
                <w:highlight w:val="none"/>
              </w:rPr>
              <w:t>如本产品通过代理销售机构渠道销售，代理销售机构应当根据本机构的方式和方法，依据理财产品的投资组合、同类产品过往业绩和风险状况等因素，独立、审慎地对代理销售的理财产品进行销售评级，并向苏银理财及时、准确提供本机构销售评级结果等信息。销售评级与苏银理财产品评级结果不一致的，代理销售机构应当采用对应较高风险等级的评级结果并予以披露。</w:t>
            </w:r>
            <w:r>
              <w:rPr>
                <w:rFonts w:hint="eastAsia" w:ascii="楷体" w:hAnsi="楷体" w:eastAsia="楷体"/>
                <w:b/>
                <w:bCs/>
                <w:sz w:val="18"/>
                <w:szCs w:val="18"/>
                <w:highlight w:val="none"/>
                <w:u w:val="single"/>
              </w:rPr>
              <w:t>如本产品通过代理销售机构渠道销售，</w:t>
            </w:r>
            <w:r>
              <w:rPr>
                <w:rFonts w:hint="eastAsia" w:ascii="楷体" w:hAnsi="楷体" w:eastAsia="楷体"/>
                <w:b/>
                <w:sz w:val="18"/>
                <w:szCs w:val="18"/>
                <w:highlight w:val="none"/>
                <w:u w:val="single"/>
              </w:rPr>
              <w:t>理财产品评级以代理销售机构最终披露的评级结果为准。</w:t>
            </w:r>
          </w:p>
          <w:p>
            <w:pPr>
              <w:keepNext w:val="0"/>
              <w:keepLines w:val="0"/>
              <w:pageBreakBefore w:val="0"/>
              <w:kinsoku/>
              <w:wordWrap/>
              <w:overflowPunct/>
              <w:topLinePunct w:val="0"/>
              <w:bidi w:val="0"/>
              <w:snapToGrid w:val="0"/>
              <w:spacing w:line="240" w:lineRule="auto"/>
              <w:ind w:left="57" w:leftChars="0" w:right="57" w:rightChars="0" w:firstLine="0" w:firstLineChars="0"/>
              <w:jc w:val="both"/>
              <w:textAlignment w:val="auto"/>
              <w:rPr>
                <w:rFonts w:hint="eastAsia" w:ascii="楷体" w:hAnsi="楷体" w:eastAsia="楷体" w:cs="宋体"/>
                <w:b/>
                <w:color w:val="auto"/>
                <w:spacing w:val="-2"/>
                <w:sz w:val="18"/>
                <w:szCs w:val="18"/>
                <w:u w:val="single"/>
              </w:rPr>
            </w:pPr>
            <w:r>
              <w:rPr>
                <w:rFonts w:hint="eastAsia" w:ascii="楷体" w:hAnsi="楷体" w:eastAsia="楷体"/>
                <w:color w:val="auto"/>
                <w:sz w:val="18"/>
                <w:szCs w:val="18"/>
                <w:lang w:val="en-US" w:eastAsia="zh-CN"/>
              </w:rPr>
              <w:t>3.</w:t>
            </w:r>
            <w:r>
              <w:rPr>
                <w:rFonts w:hint="eastAsia" w:ascii="楷体" w:hAnsi="楷体" w:eastAsia="楷体"/>
                <w:color w:val="auto"/>
                <w:sz w:val="18"/>
                <w:szCs w:val="18"/>
              </w:rPr>
              <w:t>销售机构负责完成投资者风险承受能力评估，并在遵循投资者适当性原则的前提下进行本理财产品的销售活动。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销售对象</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hint="eastAsia" w:ascii="楷体" w:hAnsi="楷体" w:eastAsia="楷体" w:cs="宋体"/>
                <w:color w:val="auto"/>
                <w:spacing w:val="-2"/>
                <w:kern w:val="0"/>
                <w:sz w:val="18"/>
                <w:szCs w:val="18"/>
                <w:highlight w:val="none"/>
                <w:lang w:val="en-US" w:eastAsia="zh-CN" w:bidi="ar-SA"/>
              </w:rPr>
            </w:pPr>
            <w:r>
              <w:rPr>
                <w:rFonts w:hint="eastAsia" w:ascii="楷体" w:hAnsi="楷体" w:eastAsia="楷体" w:cs="宋体"/>
                <w:color w:val="auto"/>
                <w:spacing w:val="-2"/>
                <w:kern w:val="0"/>
                <w:sz w:val="18"/>
                <w:szCs w:val="18"/>
                <w:highlight w:val="none"/>
                <w:lang w:val="en-US" w:eastAsia="zh-CN" w:bidi="ar-SA"/>
              </w:rPr>
              <w:t>面向个人和机构投资者销售。</w:t>
            </w:r>
          </w:p>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hint="eastAsia" w:ascii="楷体" w:hAnsi="楷体" w:eastAsia="楷体" w:cs="宋体"/>
                <w:color w:val="auto"/>
                <w:spacing w:val="-2"/>
                <w:kern w:val="0"/>
                <w:sz w:val="18"/>
                <w:szCs w:val="18"/>
                <w:highlight w:val="none"/>
                <w:lang w:val="en-US" w:eastAsia="zh-CN" w:bidi="ar-SA"/>
              </w:rPr>
            </w:pPr>
            <w:r>
              <w:rPr>
                <w:rFonts w:hint="eastAsia" w:ascii="楷体" w:hAnsi="楷体" w:eastAsia="楷体" w:cs="宋体"/>
                <w:color w:val="auto"/>
                <w:spacing w:val="-2"/>
                <w:kern w:val="0"/>
                <w:sz w:val="18"/>
                <w:szCs w:val="18"/>
                <w:highlight w:val="none"/>
                <w:lang w:val="en-US" w:eastAsia="zh-CN" w:bidi="ar-SA"/>
              </w:rPr>
              <w:t>其中C份额销售机构江苏银行仅限新资金客户、新客户及代发工资客户，具体以销售机构系统设置为准。新资金的达标条件为“客户前一日资产时点余额”较“前一月末资产月日均余额”的新增额大于5万元；新客户是指首次购买苏银理财理财产品的客户；</w:t>
            </w:r>
          </w:p>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color w:val="auto"/>
                <w:spacing w:val="-2"/>
                <w:sz w:val="18"/>
                <w:szCs w:val="18"/>
                <w:u w:val="single"/>
              </w:rPr>
            </w:pPr>
            <w:r>
              <w:rPr>
                <w:rFonts w:hint="eastAsia" w:ascii="楷体" w:hAnsi="楷体" w:eastAsia="楷体" w:cs="宋体"/>
                <w:color w:val="auto"/>
                <w:spacing w:val="-2"/>
                <w:kern w:val="0"/>
                <w:sz w:val="18"/>
                <w:szCs w:val="18"/>
                <w:highlight w:val="none"/>
                <w:lang w:val="en-US" w:eastAsia="zh-CN" w:bidi="ar-SA"/>
              </w:rPr>
              <w:t>E份额销售机构江苏银行仅限财富客户、私行客户、企业高管客户，江苏银行财富客户指在江苏银行日均资产大于等于200万元的个人客户，江苏银行私行客户指在江苏银行日均资产大于等于600万元的个人客户，企业高管客户是指与江苏银行有业务来往的企业的高管客户；机构投资者具体以销售机构设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4"/>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募集币种</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color w:val="auto"/>
                <w:spacing w:val="-2"/>
                <w:sz w:val="18"/>
                <w:szCs w:val="18"/>
                <w:u w:val="single"/>
              </w:rPr>
            </w:pPr>
            <w:r>
              <w:rPr>
                <w:rFonts w:hint="eastAsia" w:ascii="楷体" w:hAnsi="楷体" w:eastAsia="楷体" w:cs="宋体"/>
                <w:color w:val="auto"/>
                <w:spacing w:val="-2"/>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份额面值</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1元/份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highlight w:val="none"/>
              </w:rPr>
              <w:t>计划发行规模</w:t>
            </w:r>
          </w:p>
        </w:tc>
        <w:tc>
          <w:tcPr>
            <w:tcW w:w="7986" w:type="dxa"/>
            <w:vAlign w:val="center"/>
          </w:tcPr>
          <w:p>
            <w:pPr>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b w:val="0"/>
                <w:color w:val="auto"/>
                <w:spacing w:val="-2"/>
                <w:kern w:val="0"/>
                <w:sz w:val="18"/>
                <w:szCs w:val="18"/>
                <w:u w:val="none"/>
              </w:rPr>
            </w:pPr>
            <w:r>
              <w:rPr>
                <w:rFonts w:hint="eastAsia" w:ascii="楷体" w:hAnsi="楷体" w:eastAsia="楷体" w:cs="宋体"/>
                <w:color w:val="auto"/>
                <w:spacing w:val="-2"/>
                <w:kern w:val="0"/>
                <w:sz w:val="18"/>
                <w:szCs w:val="18"/>
                <w:highlight w:val="none"/>
                <w:lang w:val="en-US" w:eastAsia="zh-CN"/>
              </w:rPr>
              <w:t>本产品计划发行规模为20</w:t>
            </w:r>
            <w:r>
              <w:rPr>
                <w:rFonts w:hint="eastAsia" w:ascii="楷体" w:hAnsi="楷体" w:eastAsia="楷体" w:cs="宋体"/>
                <w:color w:val="auto"/>
                <w:spacing w:val="-2"/>
                <w:kern w:val="0"/>
                <w:sz w:val="18"/>
                <w:szCs w:val="18"/>
                <w:highlight w:val="none"/>
              </w:rPr>
              <w:t>亿</w:t>
            </w:r>
            <w:r>
              <w:rPr>
                <w:rFonts w:hint="eastAsia" w:ascii="楷体" w:hAnsi="楷体" w:eastAsia="楷体" w:cs="宋体"/>
                <w:color w:val="auto"/>
                <w:spacing w:val="-2"/>
                <w:kern w:val="0"/>
                <w:sz w:val="18"/>
                <w:szCs w:val="18"/>
                <w:highlight w:val="none"/>
                <w:lang w:val="en-US" w:eastAsia="zh-CN"/>
              </w:rPr>
              <w:t>元，</w:t>
            </w:r>
            <w:r>
              <w:rPr>
                <w:rFonts w:hint="eastAsia" w:ascii="楷体" w:hAnsi="楷体" w:eastAsia="楷体" w:cs="宋体"/>
                <w:color w:val="auto"/>
                <w:spacing w:val="-2"/>
                <w:kern w:val="0"/>
                <w:sz w:val="18"/>
                <w:szCs w:val="18"/>
                <w:highlight w:val="none"/>
              </w:rPr>
              <w:t>管理人有权</w:t>
            </w:r>
            <w:r>
              <w:rPr>
                <w:rFonts w:hint="eastAsia" w:ascii="楷体" w:hAnsi="楷体" w:eastAsia="楷体" w:cs="宋体"/>
                <w:color w:val="auto"/>
                <w:spacing w:val="-2"/>
                <w:kern w:val="0"/>
                <w:sz w:val="18"/>
                <w:szCs w:val="18"/>
                <w:highlight w:val="none"/>
                <w:lang w:val="en-US" w:eastAsia="zh-CN"/>
              </w:rPr>
              <w:t>根据实际需要</w:t>
            </w:r>
            <w:r>
              <w:rPr>
                <w:rFonts w:hint="eastAsia" w:ascii="楷体" w:hAnsi="楷体" w:eastAsia="楷体" w:cs="宋体"/>
                <w:color w:val="auto"/>
                <w:spacing w:val="-2"/>
                <w:kern w:val="0"/>
                <w:sz w:val="18"/>
                <w:szCs w:val="18"/>
                <w:highlight w:val="none"/>
              </w:rPr>
              <w:t>调整计划发行规模。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default" w:ascii="楷体" w:hAnsi="楷体" w:eastAsia="楷体" w:cs="宋体"/>
                <w:b/>
                <w:color w:val="auto"/>
                <w:spacing w:val="-2"/>
                <w:sz w:val="18"/>
                <w:szCs w:val="18"/>
                <w:highlight w:val="none"/>
                <w:lang w:val="en-US" w:eastAsia="zh-CN"/>
              </w:rPr>
            </w:pPr>
            <w:r>
              <w:rPr>
                <w:rFonts w:hint="eastAsia" w:ascii="楷体" w:hAnsi="楷体" w:eastAsia="楷体" w:cs="宋体"/>
                <w:b/>
                <w:color w:val="auto"/>
                <w:spacing w:val="-2"/>
                <w:sz w:val="18"/>
                <w:szCs w:val="18"/>
                <w:highlight w:val="none"/>
                <w:lang w:val="en-US" w:eastAsia="zh-CN"/>
              </w:rPr>
              <w:t>最低发行规模</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lang w:val="en-US" w:eastAsia="zh-CN"/>
              </w:rPr>
            </w:pPr>
            <w:r>
              <w:rPr>
                <w:rFonts w:hint="eastAsia" w:ascii="楷体" w:hAnsi="楷体" w:eastAsia="楷体" w:cs="宋体"/>
                <w:color w:val="auto"/>
                <w:spacing w:val="-2"/>
                <w:sz w:val="18"/>
                <w:szCs w:val="18"/>
                <w:highlight w:val="none"/>
                <w:lang w:val="en-US" w:eastAsia="zh-CN"/>
              </w:rPr>
              <w:t>本产品最低发行规模为</w:t>
            </w:r>
            <w:r>
              <w:rPr>
                <w:rFonts w:hint="eastAsia" w:ascii="楷体" w:hAnsi="楷体" w:eastAsia="楷体" w:cs="宋体"/>
                <w:color w:val="auto"/>
                <w:spacing w:val="-2"/>
                <w:sz w:val="18"/>
                <w:szCs w:val="18"/>
                <w:lang w:val="en-US" w:eastAsia="zh-CN"/>
              </w:rPr>
              <w:t>3000万元，</w:t>
            </w:r>
            <w:r>
              <w:rPr>
                <w:rFonts w:hint="eastAsia" w:ascii="楷体" w:hAnsi="楷体" w:eastAsia="楷体" w:cs="宋体"/>
                <w:color w:val="auto"/>
                <w:spacing w:val="-2"/>
                <w:sz w:val="18"/>
                <w:szCs w:val="18"/>
                <w:highlight w:val="none"/>
              </w:rPr>
              <w:t>管理人有权</w:t>
            </w:r>
            <w:r>
              <w:rPr>
                <w:rFonts w:hint="eastAsia" w:ascii="楷体" w:hAnsi="楷体" w:eastAsia="楷体" w:cs="宋体"/>
                <w:color w:val="auto"/>
                <w:spacing w:val="-2"/>
                <w:sz w:val="18"/>
                <w:szCs w:val="18"/>
                <w:highlight w:val="none"/>
                <w:lang w:val="en-US" w:eastAsia="zh-CN"/>
              </w:rPr>
              <w:t>根据实际需要</w:t>
            </w:r>
            <w:r>
              <w:rPr>
                <w:rFonts w:hint="eastAsia" w:ascii="楷体" w:hAnsi="楷体" w:eastAsia="楷体" w:cs="宋体"/>
                <w:color w:val="auto"/>
                <w:spacing w:val="-2"/>
                <w:sz w:val="18"/>
                <w:szCs w:val="18"/>
                <w:highlight w:val="none"/>
              </w:rPr>
              <w:t>调整</w:t>
            </w:r>
            <w:r>
              <w:rPr>
                <w:rFonts w:hint="eastAsia" w:ascii="楷体" w:hAnsi="楷体" w:eastAsia="楷体" w:cs="宋体"/>
                <w:color w:val="auto"/>
                <w:spacing w:val="-2"/>
                <w:sz w:val="18"/>
                <w:szCs w:val="18"/>
                <w:highlight w:val="none"/>
                <w:lang w:val="en-US" w:eastAsia="zh-CN"/>
              </w:rPr>
              <w:t>最低</w:t>
            </w:r>
            <w:r>
              <w:rPr>
                <w:rFonts w:hint="eastAsia" w:ascii="楷体" w:hAnsi="楷体" w:eastAsia="楷体" w:cs="宋体"/>
                <w:color w:val="auto"/>
                <w:spacing w:val="-2"/>
                <w:sz w:val="18"/>
                <w:szCs w:val="18"/>
                <w:highlight w:val="none"/>
              </w:rPr>
              <w:t>发行规模。</w:t>
            </w:r>
          </w:p>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highlight w:val="none"/>
              </w:rPr>
            </w:pPr>
            <w:r>
              <w:rPr>
                <w:rFonts w:hint="eastAsia" w:ascii="楷体" w:hAnsi="楷体" w:eastAsia="楷体" w:cs="宋体"/>
                <w:color w:val="auto"/>
                <w:spacing w:val="-2"/>
                <w:sz w:val="18"/>
                <w:szCs w:val="18"/>
              </w:rPr>
              <w:t>若产品认购</w:t>
            </w:r>
            <w:r>
              <w:rPr>
                <w:rFonts w:hint="eastAsia" w:ascii="楷体" w:hAnsi="楷体" w:eastAsia="楷体" w:cs="宋体"/>
                <w:color w:val="auto"/>
                <w:spacing w:val="-2"/>
                <w:sz w:val="18"/>
                <w:szCs w:val="18"/>
                <w:lang w:val="en-US" w:eastAsia="zh-CN"/>
              </w:rPr>
              <w:t>规模</w:t>
            </w:r>
            <w:r>
              <w:rPr>
                <w:rFonts w:hint="eastAsia" w:ascii="楷体" w:hAnsi="楷体" w:eastAsia="楷体" w:cs="宋体"/>
                <w:color w:val="auto"/>
                <w:spacing w:val="-2"/>
                <w:sz w:val="18"/>
                <w:szCs w:val="18"/>
              </w:rPr>
              <w:t>未达到最低发行规模，或新的法律、法规导致本产品无法合法合规运行，或出现其他导致影响产品成立不可抗力因素，产品管理人有权利但无义务宣布产品不成立，并于产品</w:t>
            </w:r>
            <w:r>
              <w:rPr>
                <w:rFonts w:hint="eastAsia" w:ascii="楷体" w:hAnsi="楷体" w:eastAsia="楷体" w:cs="宋体"/>
                <w:color w:val="auto"/>
                <w:spacing w:val="-2"/>
                <w:sz w:val="18"/>
                <w:szCs w:val="18"/>
                <w:lang w:val="en-US" w:eastAsia="zh-CN"/>
              </w:rPr>
              <w:t>募集期</w:t>
            </w:r>
            <w:r>
              <w:rPr>
                <w:rFonts w:hint="eastAsia" w:ascii="楷体" w:hAnsi="楷体" w:eastAsia="楷体" w:cs="宋体"/>
                <w:color w:val="auto"/>
                <w:spacing w:val="-2"/>
                <w:sz w:val="18"/>
                <w:szCs w:val="18"/>
              </w:rPr>
              <w:t>结束后5个工作日内将投资者认购资金返还至投资者资金账户。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9"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jc w:val="both"/>
              <w:textAlignment w:val="auto"/>
              <w:rPr>
                <w:rFonts w:ascii="楷体" w:hAnsi="楷体" w:eastAsia="楷体" w:cs="宋体"/>
                <w:b/>
                <w:color w:val="auto"/>
                <w:spacing w:val="-2"/>
                <w:sz w:val="18"/>
                <w:szCs w:val="18"/>
              </w:rPr>
            </w:pPr>
            <w:r>
              <w:rPr>
                <w:rFonts w:hint="eastAsia" w:ascii="楷体" w:hAnsi="楷体" w:eastAsia="楷体" w:cs="宋体"/>
                <w:b/>
                <w:color w:val="auto"/>
                <w:spacing w:val="-2"/>
                <w:sz w:val="18"/>
                <w:szCs w:val="18"/>
                <w:lang w:val="en-US" w:eastAsia="zh-CN"/>
              </w:rPr>
              <w:t>购买</w:t>
            </w:r>
            <w:r>
              <w:rPr>
                <w:rFonts w:hint="eastAsia" w:ascii="楷体" w:hAnsi="楷体" w:eastAsia="楷体" w:cs="宋体"/>
                <w:b/>
                <w:color w:val="auto"/>
                <w:spacing w:val="-2"/>
                <w:sz w:val="18"/>
                <w:szCs w:val="18"/>
              </w:rPr>
              <w:t>起点</w:t>
            </w:r>
            <w:r>
              <w:rPr>
                <w:rFonts w:ascii="楷体" w:hAnsi="楷体" w:eastAsia="楷体" w:cs="宋体"/>
                <w:b/>
                <w:color w:val="auto"/>
                <w:spacing w:val="-2"/>
                <w:sz w:val="18"/>
                <w:szCs w:val="18"/>
              </w:rPr>
              <w:t>/</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rPr>
              <w:t>追加金额</w:t>
            </w:r>
          </w:p>
        </w:tc>
        <w:tc>
          <w:tcPr>
            <w:tcW w:w="7986" w:type="dxa"/>
            <w:vAlign w:val="center"/>
          </w:tcPr>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A/B/D/F/G/I/J/K/Z/JS/芙蓉锦程 ·优选份额购买起点金额为1元，追加金额为1元的整数倍；</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C份额购买起点金额为10,000元，追加金额为10,000元的整数倍；</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E份额购买起点金额为300,000元，追加金额为10,000元的整数倍；</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H份额购买起点金额为50,000元，追加金额为10,000元的整数倍；</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olor w:val="auto"/>
                <w:sz w:val="18"/>
                <w:szCs w:val="18"/>
                <w:lang w:val="en-US" w:eastAsia="zh-CN"/>
              </w:rPr>
            </w:pPr>
            <w:r>
              <w:rPr>
                <w:rFonts w:hint="eastAsia" w:ascii="楷体" w:hAnsi="楷体" w:eastAsia="楷体"/>
                <w:color w:val="auto"/>
                <w:sz w:val="18"/>
                <w:szCs w:val="18"/>
                <w:lang w:val="en-US" w:eastAsia="zh-CN"/>
              </w:rPr>
              <w:t>各份额具体认购起点和追加金额以销售机构设置为准。</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highlight w:val="none"/>
              </w:rPr>
            </w:pPr>
            <w:r>
              <w:rPr>
                <w:rFonts w:hint="eastAsia" w:ascii="楷体" w:hAnsi="楷体" w:eastAsia="楷体" w:cs="宋体"/>
                <w:b/>
                <w:bCs/>
                <w:color w:val="auto"/>
                <w:spacing w:val="-2"/>
                <w:sz w:val="18"/>
                <w:szCs w:val="18"/>
                <w:lang w:val="en-US" w:eastAsia="zh-CN"/>
              </w:rPr>
              <w:t>销售机构实际受理情况可能与产品说明书不一致，具体以销售机构设置为准。</w:t>
            </w:r>
            <w:r>
              <w:rPr>
                <w:rFonts w:hint="eastAsia" w:ascii="楷体" w:hAnsi="楷体" w:eastAsia="楷体"/>
                <w:color w:val="auto"/>
                <w:sz w:val="18"/>
                <w:szCs w:val="18"/>
              </w:rPr>
              <w:t>认购方式及确认和认购份额的计算详见下文“</w:t>
            </w:r>
            <w:r>
              <w:rPr>
                <w:rFonts w:hint="eastAsia" w:ascii="楷体" w:hAnsi="楷体" w:eastAsia="楷体"/>
                <w:color w:val="auto"/>
                <w:sz w:val="18"/>
                <w:szCs w:val="18"/>
                <w:lang w:val="en-US" w:eastAsia="zh-CN"/>
              </w:rPr>
              <w:t>七</w:t>
            </w:r>
            <w:r>
              <w:rPr>
                <w:rFonts w:hint="eastAsia" w:ascii="楷体" w:hAnsi="楷体" w:eastAsia="楷体"/>
                <w:color w:val="auto"/>
                <w:sz w:val="18"/>
                <w:szCs w:val="18"/>
              </w:rPr>
              <w:t>、产品认购”。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3"/>
              <w:ind w:left="55" w:leftChars="0"/>
              <w:jc w:val="both"/>
              <w:textAlignment w:val="auto"/>
              <w:rPr>
                <w:rFonts w:hint="default" w:ascii="楷体" w:hAnsi="楷体" w:eastAsia="楷体" w:cs="宋体"/>
                <w:b/>
                <w:color w:val="auto"/>
                <w:spacing w:val="-2"/>
                <w:sz w:val="18"/>
                <w:szCs w:val="18"/>
                <w:highlight w:val="none"/>
              </w:rPr>
            </w:pPr>
            <w:r>
              <w:rPr>
                <w:rFonts w:hint="eastAsia" w:ascii="楷体" w:hAnsi="楷体" w:eastAsia="楷体" w:cs="宋体"/>
                <w:b/>
                <w:color w:val="auto"/>
                <w:spacing w:val="-2"/>
                <w:sz w:val="18"/>
                <w:szCs w:val="18"/>
                <w:lang w:val="en-US" w:eastAsia="zh-CN"/>
              </w:rPr>
              <w:t>募集期</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lang w:eastAsia="zh-CN"/>
              </w:rPr>
            </w:pPr>
            <w:r>
              <w:rPr>
                <w:rFonts w:hint="eastAsia" w:ascii="楷体" w:hAnsi="楷体" w:eastAsia="楷体" w:cs="宋体"/>
                <w:color w:val="auto"/>
                <w:spacing w:val="-2"/>
                <w:sz w:val="18"/>
                <w:szCs w:val="18"/>
              </w:rPr>
              <w:t>202</w:t>
            </w:r>
            <w:r>
              <w:rPr>
                <w:rFonts w:hint="eastAsia" w:ascii="楷体" w:hAnsi="楷体" w:eastAsia="楷体" w:cs="宋体"/>
                <w:color w:val="auto"/>
                <w:spacing w:val="-2"/>
                <w:sz w:val="18"/>
                <w:szCs w:val="18"/>
                <w:lang w:val="en-US" w:eastAsia="zh-CN"/>
              </w:rPr>
              <w:t>5</w:t>
            </w:r>
            <w:r>
              <w:rPr>
                <w:rFonts w:hint="eastAsia" w:ascii="楷体" w:hAnsi="楷体" w:eastAsia="楷体" w:cs="宋体"/>
                <w:color w:val="auto"/>
                <w:spacing w:val="-2"/>
                <w:sz w:val="18"/>
                <w:szCs w:val="18"/>
              </w:rPr>
              <w:t>年</w:t>
            </w:r>
            <w:r>
              <w:rPr>
                <w:rFonts w:hint="eastAsia" w:ascii="楷体" w:hAnsi="楷体" w:eastAsia="楷体" w:cs="宋体"/>
                <w:color w:val="auto"/>
                <w:spacing w:val="-2"/>
                <w:sz w:val="18"/>
                <w:szCs w:val="18"/>
                <w:lang w:val="en-US" w:eastAsia="zh-CN"/>
              </w:rPr>
              <w:t>7</w:t>
            </w:r>
            <w:r>
              <w:rPr>
                <w:rFonts w:hint="eastAsia" w:ascii="楷体" w:hAnsi="楷体" w:eastAsia="楷体" w:cs="宋体"/>
                <w:color w:val="auto"/>
                <w:spacing w:val="-2"/>
                <w:sz w:val="18"/>
                <w:szCs w:val="18"/>
              </w:rPr>
              <w:t>月</w:t>
            </w:r>
            <w:r>
              <w:rPr>
                <w:rFonts w:hint="eastAsia" w:ascii="楷体" w:hAnsi="楷体" w:eastAsia="楷体" w:cs="宋体"/>
                <w:color w:val="auto"/>
                <w:spacing w:val="-2"/>
                <w:sz w:val="18"/>
                <w:szCs w:val="18"/>
                <w:lang w:val="en-US" w:eastAsia="zh-CN"/>
              </w:rPr>
              <w:t>3</w:t>
            </w:r>
            <w:r>
              <w:rPr>
                <w:rFonts w:hint="eastAsia" w:ascii="楷体" w:hAnsi="楷体" w:eastAsia="楷体" w:cs="宋体"/>
                <w:color w:val="auto"/>
                <w:spacing w:val="-2"/>
                <w:sz w:val="18"/>
                <w:szCs w:val="18"/>
              </w:rPr>
              <w:t>日至202</w:t>
            </w:r>
            <w:r>
              <w:rPr>
                <w:rFonts w:hint="eastAsia" w:ascii="楷体" w:hAnsi="楷体" w:eastAsia="楷体" w:cs="宋体"/>
                <w:color w:val="auto"/>
                <w:spacing w:val="-2"/>
                <w:sz w:val="18"/>
                <w:szCs w:val="18"/>
                <w:lang w:val="en-US" w:eastAsia="zh-CN"/>
              </w:rPr>
              <w:t>5</w:t>
            </w:r>
            <w:r>
              <w:rPr>
                <w:rFonts w:hint="eastAsia" w:ascii="楷体" w:hAnsi="楷体" w:eastAsia="楷体" w:cs="宋体"/>
                <w:color w:val="auto"/>
                <w:spacing w:val="-2"/>
                <w:sz w:val="18"/>
                <w:szCs w:val="18"/>
              </w:rPr>
              <w:t>年</w:t>
            </w:r>
            <w:r>
              <w:rPr>
                <w:rFonts w:hint="eastAsia" w:ascii="楷体" w:hAnsi="楷体" w:eastAsia="楷体" w:cs="宋体"/>
                <w:color w:val="auto"/>
                <w:spacing w:val="-2"/>
                <w:sz w:val="18"/>
                <w:szCs w:val="18"/>
                <w:lang w:val="en-US" w:eastAsia="zh-CN"/>
              </w:rPr>
              <w:t>7</w:t>
            </w:r>
            <w:r>
              <w:rPr>
                <w:rFonts w:hint="eastAsia" w:ascii="楷体" w:hAnsi="楷体" w:eastAsia="楷体" w:cs="宋体"/>
                <w:color w:val="auto"/>
                <w:spacing w:val="-2"/>
                <w:sz w:val="18"/>
                <w:szCs w:val="18"/>
              </w:rPr>
              <w:t>月</w:t>
            </w:r>
            <w:r>
              <w:rPr>
                <w:rFonts w:hint="eastAsia" w:ascii="楷体" w:hAnsi="楷体" w:eastAsia="楷体" w:cs="宋体"/>
                <w:color w:val="auto"/>
                <w:spacing w:val="-2"/>
                <w:sz w:val="18"/>
                <w:szCs w:val="18"/>
                <w:lang w:val="en-US" w:eastAsia="zh-CN"/>
              </w:rPr>
              <w:t>9</w:t>
            </w:r>
            <w:r>
              <w:rPr>
                <w:rFonts w:hint="eastAsia" w:ascii="楷体" w:hAnsi="楷体" w:eastAsia="楷体" w:cs="宋体"/>
                <w:color w:val="auto"/>
                <w:spacing w:val="-2"/>
                <w:sz w:val="18"/>
                <w:szCs w:val="18"/>
              </w:rPr>
              <w:t>日</w:t>
            </w:r>
            <w:r>
              <w:rPr>
                <w:rFonts w:hint="eastAsia" w:ascii="楷体" w:hAnsi="楷体" w:eastAsia="楷体" w:cs="宋体"/>
                <w:color w:val="auto"/>
                <w:spacing w:val="-2"/>
                <w:sz w:val="18"/>
                <w:szCs w:val="18"/>
                <w:lang w:eastAsia="zh-CN"/>
              </w:rPr>
              <w:t>。</w:t>
            </w:r>
          </w:p>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highlight w:val="none"/>
              </w:rPr>
            </w:pPr>
            <w:r>
              <w:rPr>
                <w:rFonts w:hint="eastAsia" w:ascii="楷体" w:hAnsi="楷体" w:eastAsia="楷体" w:cs="宋体"/>
                <w:color w:val="auto"/>
                <w:spacing w:val="-2"/>
                <w:sz w:val="18"/>
                <w:szCs w:val="18"/>
                <w:lang w:val="en-US" w:eastAsia="zh-CN"/>
              </w:rPr>
              <w:t>募集期内</w:t>
            </w:r>
            <w:r>
              <w:rPr>
                <w:rFonts w:hint="eastAsia" w:ascii="楷体" w:hAnsi="楷体" w:eastAsia="楷体" w:cs="宋体"/>
                <w:color w:val="auto"/>
                <w:spacing w:val="-2"/>
                <w:sz w:val="18"/>
                <w:szCs w:val="18"/>
              </w:rPr>
              <w:t>，投资者可于</w:t>
            </w:r>
            <w:r>
              <w:rPr>
                <w:rFonts w:hint="eastAsia" w:ascii="楷体" w:hAnsi="楷体" w:eastAsia="楷体" w:cs="宋体"/>
                <w:color w:val="auto"/>
                <w:spacing w:val="-2"/>
                <w:sz w:val="18"/>
                <w:szCs w:val="18"/>
                <w:lang w:val="en-US" w:eastAsia="zh-CN"/>
              </w:rPr>
              <w:t>募集期结束日交易闭市</w:t>
            </w:r>
            <w:r>
              <w:rPr>
                <w:rFonts w:hint="eastAsia" w:ascii="楷体" w:hAnsi="楷体" w:eastAsia="楷体" w:cs="宋体"/>
                <w:color w:val="auto"/>
                <w:spacing w:val="-2"/>
                <w:sz w:val="18"/>
                <w:szCs w:val="18"/>
              </w:rPr>
              <w:t>前撤销认购申请，该时点后不得撤销</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lang w:val="en-US" w:eastAsia="zh-CN"/>
              </w:rPr>
              <w:t>交易闭市具体以销售机构设置为准。</w:t>
            </w:r>
            <w:r>
              <w:rPr>
                <w:rFonts w:hint="eastAsia" w:ascii="楷体" w:hAnsi="楷体" w:eastAsia="楷体" w:cs="宋体"/>
                <w:color w:val="auto"/>
                <w:spacing w:val="-2"/>
                <w:sz w:val="18"/>
                <w:szCs w:val="18"/>
              </w:rPr>
              <w:t>管理人在法律允许的范围内保留延长</w:t>
            </w:r>
            <w:r>
              <w:rPr>
                <w:rFonts w:hint="eastAsia" w:ascii="楷体" w:hAnsi="楷体" w:eastAsia="楷体" w:cs="宋体"/>
                <w:color w:val="auto"/>
                <w:spacing w:val="-2"/>
                <w:sz w:val="18"/>
                <w:szCs w:val="18"/>
                <w:lang w:val="en-US" w:eastAsia="zh-CN"/>
              </w:rPr>
              <w:t>募集期</w:t>
            </w:r>
            <w:r>
              <w:rPr>
                <w:rFonts w:hint="eastAsia" w:ascii="楷体" w:hAnsi="楷体" w:eastAsia="楷体" w:cs="宋体"/>
                <w:color w:val="auto"/>
                <w:spacing w:val="-2"/>
                <w:sz w:val="18"/>
                <w:szCs w:val="18"/>
              </w:rPr>
              <w:t>或</w:t>
            </w:r>
            <w:r>
              <w:rPr>
                <w:rFonts w:hint="eastAsia" w:ascii="楷体" w:hAnsi="楷体" w:eastAsia="楷体" w:cs="宋体"/>
                <w:color w:val="auto"/>
                <w:spacing w:val="-2"/>
                <w:sz w:val="18"/>
                <w:szCs w:val="18"/>
                <w:lang w:val="en-US" w:eastAsia="zh-CN"/>
              </w:rPr>
              <w:t>缩短募集期的</w:t>
            </w:r>
            <w:r>
              <w:rPr>
                <w:rFonts w:hint="eastAsia" w:ascii="楷体" w:hAnsi="楷体" w:eastAsia="楷体" w:cs="宋体"/>
                <w:color w:val="auto"/>
                <w:spacing w:val="-2"/>
                <w:sz w:val="18"/>
                <w:szCs w:val="18"/>
              </w:rPr>
              <w:t>权利。如有变动，实际产品</w:t>
            </w:r>
            <w:r>
              <w:rPr>
                <w:rFonts w:hint="eastAsia" w:ascii="楷体" w:hAnsi="楷体" w:eastAsia="楷体" w:cs="宋体"/>
                <w:color w:val="auto"/>
                <w:spacing w:val="-2"/>
                <w:sz w:val="18"/>
                <w:szCs w:val="18"/>
                <w:lang w:val="en-US" w:eastAsia="zh-CN"/>
              </w:rPr>
              <w:t>募集期</w:t>
            </w:r>
            <w:r>
              <w:rPr>
                <w:rFonts w:hint="eastAsia" w:ascii="楷体" w:hAnsi="楷体" w:eastAsia="楷体" w:cs="宋体"/>
                <w:color w:val="auto"/>
                <w:spacing w:val="-2"/>
                <w:sz w:val="18"/>
                <w:szCs w:val="18"/>
              </w:rPr>
              <w:t>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jc w:val="both"/>
              <w:textAlignment w:val="auto"/>
              <w:rPr>
                <w:rFonts w:hint="eastAsia" w:ascii="楷体" w:hAnsi="楷体" w:eastAsia="楷体" w:cs="宋体"/>
                <w:b/>
                <w:color w:val="auto"/>
                <w:spacing w:val="-2"/>
                <w:sz w:val="18"/>
                <w:szCs w:val="18"/>
              </w:rPr>
            </w:pPr>
            <w:r>
              <w:rPr>
                <w:rFonts w:hint="eastAsia" w:ascii="楷体" w:hAnsi="楷体" w:eastAsia="楷体" w:cs="宋体"/>
                <w:b/>
                <w:color w:val="auto"/>
                <w:spacing w:val="-2"/>
                <w:sz w:val="18"/>
                <w:szCs w:val="18"/>
              </w:rPr>
              <w:t>产品成立日/</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份额登记日</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lang w:val="en-US" w:eastAsia="zh-CN"/>
              </w:rPr>
              <w:t>2025年7月10日，如管理人调整募集期，则产品成立日/份额登记日将相应调整，以管理人公告为准。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产品</w:t>
            </w:r>
            <w:r>
              <w:rPr>
                <w:rFonts w:hint="eastAsia" w:ascii="楷体" w:hAnsi="楷体" w:eastAsia="楷体" w:cs="宋体"/>
                <w:b/>
                <w:color w:val="auto"/>
                <w:spacing w:val="-2"/>
                <w:sz w:val="18"/>
                <w:szCs w:val="18"/>
                <w:lang w:val="en-US" w:eastAsia="zh-CN"/>
              </w:rPr>
              <w:t>终止日/</w:t>
            </w:r>
          </w:p>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到期日</w:t>
            </w:r>
          </w:p>
        </w:tc>
        <w:tc>
          <w:tcPr>
            <w:tcW w:w="7986" w:type="dxa"/>
            <w:vAlign w:val="center"/>
          </w:tcPr>
          <w:p>
            <w:pPr>
              <w:pStyle w:val="34"/>
              <w:keepNext w:val="0"/>
              <w:keepLines w:val="0"/>
              <w:pageBreakBefore w:val="0"/>
              <w:kinsoku w:val="0"/>
              <w:wordWrap/>
              <w:overflowPunct w:val="0"/>
              <w:topLinePunct w:val="0"/>
              <w:bidi w:val="0"/>
              <w:snapToGrid w:val="0"/>
              <w:spacing w:line="240" w:lineRule="auto"/>
              <w:ind w:left="57" w:leftChars="0" w:right="57" w:rightChars="0"/>
              <w:jc w:val="both"/>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202</w:t>
            </w:r>
            <w:r>
              <w:rPr>
                <w:rFonts w:hint="eastAsia" w:ascii="楷体" w:hAnsi="楷体" w:eastAsia="楷体" w:cs="宋体"/>
                <w:color w:val="auto"/>
                <w:spacing w:val="-2"/>
                <w:sz w:val="18"/>
                <w:szCs w:val="18"/>
                <w:lang w:val="en-US" w:eastAsia="zh-CN"/>
              </w:rPr>
              <w:t>7</w:t>
            </w:r>
            <w:r>
              <w:rPr>
                <w:rFonts w:hint="eastAsia" w:ascii="楷体" w:hAnsi="楷体" w:eastAsia="楷体" w:cs="宋体"/>
                <w:color w:val="auto"/>
                <w:spacing w:val="-2"/>
                <w:sz w:val="18"/>
                <w:szCs w:val="18"/>
              </w:rPr>
              <w:t>年</w:t>
            </w:r>
            <w:r>
              <w:rPr>
                <w:rFonts w:hint="eastAsia" w:ascii="楷体" w:hAnsi="楷体" w:eastAsia="楷体" w:cs="宋体"/>
                <w:color w:val="auto"/>
                <w:spacing w:val="-2"/>
                <w:sz w:val="18"/>
                <w:szCs w:val="18"/>
                <w:lang w:val="en-US" w:eastAsia="zh-CN"/>
              </w:rPr>
              <w:t>7</w:t>
            </w:r>
            <w:r>
              <w:rPr>
                <w:rFonts w:hint="eastAsia" w:ascii="楷体" w:hAnsi="楷体" w:eastAsia="楷体" w:cs="宋体"/>
                <w:color w:val="auto"/>
                <w:spacing w:val="-2"/>
                <w:sz w:val="18"/>
                <w:szCs w:val="18"/>
              </w:rPr>
              <w:t>月</w:t>
            </w:r>
            <w:r>
              <w:rPr>
                <w:rFonts w:hint="eastAsia" w:ascii="楷体" w:hAnsi="楷体" w:eastAsia="楷体" w:cs="宋体"/>
                <w:color w:val="auto"/>
                <w:spacing w:val="-2"/>
                <w:sz w:val="18"/>
                <w:szCs w:val="18"/>
                <w:lang w:val="en-US" w:eastAsia="zh-CN"/>
              </w:rPr>
              <w:t>28</w:t>
            </w:r>
            <w:r>
              <w:rPr>
                <w:rFonts w:hint="eastAsia" w:ascii="楷体" w:hAnsi="楷体" w:eastAsia="楷体" w:cs="宋体"/>
                <w:color w:val="auto"/>
                <w:spacing w:val="-2"/>
                <w:sz w:val="18"/>
                <w:szCs w:val="18"/>
              </w:rPr>
              <w:t>日</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如遇节假日，顺延至下一工作日</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在符合产品说明书约定的条件下，管理人有权</w:t>
            </w:r>
            <w:r>
              <w:rPr>
                <w:rFonts w:hint="eastAsia" w:ascii="楷体" w:hAnsi="楷体" w:eastAsia="楷体" w:cs="宋体"/>
                <w:color w:val="auto"/>
                <w:spacing w:val="-2"/>
                <w:sz w:val="18"/>
                <w:szCs w:val="18"/>
                <w:lang w:val="en-US" w:eastAsia="zh-CN"/>
              </w:rPr>
              <w:t>调整产品到期日</w:t>
            </w:r>
            <w:r>
              <w:rPr>
                <w:rFonts w:hint="eastAsia" w:ascii="楷体" w:hAnsi="楷体" w:eastAsia="楷体" w:cs="宋体"/>
                <w:color w:val="auto"/>
                <w:spacing w:val="-2"/>
                <w:sz w:val="18"/>
                <w:szCs w:val="18"/>
              </w:rPr>
              <w:t>，产品到期日受制于提前终止</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lang w:val="en-US" w:eastAsia="zh-CN"/>
              </w:rPr>
              <w:t>延期终止</w:t>
            </w:r>
            <w:r>
              <w:rPr>
                <w:rFonts w:hint="eastAsia" w:ascii="楷体" w:hAnsi="楷体" w:eastAsia="楷体" w:cs="宋体"/>
                <w:color w:val="auto"/>
                <w:spacing w:val="-2"/>
                <w:sz w:val="18"/>
                <w:szCs w:val="18"/>
              </w:rPr>
              <w:t>条款。详见下文“</w:t>
            </w:r>
            <w:r>
              <w:rPr>
                <w:rFonts w:hint="eastAsia" w:ascii="楷体" w:hAnsi="楷体" w:eastAsia="楷体" w:cs="宋体"/>
                <w:color w:val="auto"/>
                <w:spacing w:val="-2"/>
                <w:sz w:val="18"/>
                <w:szCs w:val="18"/>
                <w:lang w:val="en-US" w:eastAsia="zh-CN"/>
              </w:rPr>
              <w:t>八</w:t>
            </w:r>
            <w:r>
              <w:rPr>
                <w:rFonts w:hint="eastAsia" w:ascii="楷体" w:hAnsi="楷体" w:eastAsia="楷体" w:cs="宋体"/>
                <w:color w:val="auto"/>
                <w:spacing w:val="-2"/>
                <w:sz w:val="18"/>
                <w:szCs w:val="18"/>
              </w:rPr>
              <w:t>、产品终止”。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9" w:leftChars="0" w:right="73" w:rightChars="35"/>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产品存续期限</w:t>
            </w:r>
          </w:p>
        </w:tc>
        <w:tc>
          <w:tcPr>
            <w:tcW w:w="7986" w:type="dxa"/>
            <w:vAlign w:val="center"/>
          </w:tcPr>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lang w:val="en-US" w:eastAsia="zh-CN"/>
              </w:rPr>
              <w:t>748</w:t>
            </w:r>
            <w:r>
              <w:rPr>
                <w:rFonts w:hint="eastAsia" w:ascii="楷体" w:hAnsi="楷体" w:eastAsia="楷体" w:cs="宋体"/>
                <w:color w:val="auto"/>
                <w:spacing w:val="-2"/>
                <w:sz w:val="18"/>
                <w:szCs w:val="18"/>
              </w:rPr>
              <w:t>天（以理财产品实际存续天数为准）</w:t>
            </w:r>
            <w:r>
              <w:rPr>
                <w:rFonts w:hint="eastAsia" w:ascii="楷体" w:hAnsi="楷体" w:eastAsia="楷体" w:cs="宋体"/>
                <w:color w:val="auto"/>
                <w:spacing w:val="-2"/>
                <w:sz w:val="18"/>
                <w:szCs w:val="18"/>
                <w:lang w:eastAsia="zh-CN"/>
              </w:rPr>
              <w:t>。</w:t>
            </w:r>
            <w:r>
              <w:rPr>
                <w:rFonts w:hint="eastAsia" w:ascii="楷体" w:hAnsi="楷体" w:eastAsia="楷体" w:cs="宋体"/>
                <w:b/>
                <w:bCs/>
                <w:color w:val="auto"/>
                <w:spacing w:val="-2"/>
                <w:sz w:val="18"/>
                <w:szCs w:val="18"/>
                <w:u w:val="single"/>
                <w:lang w:eastAsia="zh-CN"/>
              </w:rPr>
              <w:t>本产品运行期间，不开放申购、赎回。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spacing w:val="-2"/>
                <w:sz w:val="18"/>
                <w:szCs w:val="18"/>
                <w:highlight w:val="none"/>
              </w:rPr>
              <w:t>单个</w:t>
            </w:r>
            <w:r>
              <w:rPr>
                <w:rFonts w:hint="eastAsia" w:ascii="楷体" w:hAnsi="楷体" w:eastAsia="楷体" w:cs="宋体"/>
                <w:b/>
                <w:spacing w:val="-2"/>
                <w:sz w:val="18"/>
                <w:szCs w:val="18"/>
                <w:highlight w:val="none"/>
                <w:lang w:val="en-US" w:eastAsia="zh-CN"/>
              </w:rPr>
              <w:t>投资者</w:t>
            </w:r>
            <w:r>
              <w:rPr>
                <w:rFonts w:hint="eastAsia" w:ascii="楷体" w:hAnsi="楷体" w:eastAsia="楷体" w:cs="宋体"/>
                <w:b/>
                <w:spacing w:val="-2"/>
                <w:sz w:val="18"/>
                <w:szCs w:val="18"/>
                <w:highlight w:val="none"/>
              </w:rPr>
              <w:t>持有份额上限</w:t>
            </w:r>
          </w:p>
        </w:tc>
        <w:tc>
          <w:tcPr>
            <w:tcW w:w="7986" w:type="dxa"/>
            <w:vAlign w:val="center"/>
          </w:tcPr>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spacing w:val="-2"/>
                <w:kern w:val="0"/>
                <w:sz w:val="18"/>
                <w:szCs w:val="18"/>
                <w:highlight w:val="none"/>
                <w:lang w:val="en-US" w:eastAsia="zh-CN" w:bidi="ar-SA"/>
              </w:rPr>
              <w:t>单一投资者持有份额不得超过总份额50%。非因主观因素导致突破前款规定比例限制的，在单一投资者持有份额占理财产品总份额比例降至50%以下之前，不再接受该单一投资者对理财产品的认购申请。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2"/>
              <w:ind w:left="59" w:leftChars="0" w:right="73" w:rightChars="35"/>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业绩比较基准（年化）</w:t>
            </w:r>
          </w:p>
        </w:tc>
        <w:tc>
          <w:tcPr>
            <w:tcW w:w="7986"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57" w:leftChars="0" w:right="57" w:rightChars="0"/>
              <w:jc w:val="left"/>
              <w:textAlignment w:val="auto"/>
              <w:rPr>
                <w:rFonts w:hint="eastAsia" w:ascii="楷体" w:hAnsi="楷体" w:eastAsia="楷体" w:cs="宋体"/>
                <w:b/>
                <w:bCs/>
                <w:spacing w:val="-2"/>
                <w:sz w:val="18"/>
                <w:szCs w:val="18"/>
                <w:u w:val="single"/>
              </w:rPr>
            </w:pPr>
            <w:r>
              <w:rPr>
                <w:rFonts w:hint="eastAsia" w:ascii="楷体" w:hAnsi="楷体" w:eastAsia="楷体" w:cs="宋体"/>
                <w:b/>
                <w:bCs/>
                <w:spacing w:val="-2"/>
                <w:sz w:val="18"/>
                <w:szCs w:val="18"/>
                <w:u w:val="single"/>
                <w:lang w:val="en-US" w:eastAsia="zh-CN"/>
              </w:rPr>
              <w:t>1.</w:t>
            </w:r>
            <w:r>
              <w:rPr>
                <w:rFonts w:hint="eastAsia" w:ascii="楷体" w:hAnsi="楷体" w:eastAsia="楷体" w:cs="宋体"/>
                <w:b/>
                <w:bCs/>
                <w:spacing w:val="-2"/>
                <w:sz w:val="18"/>
                <w:szCs w:val="18"/>
                <w:u w:val="single"/>
              </w:rPr>
              <w:t>苏银理财</w:t>
            </w:r>
            <w:r>
              <w:rPr>
                <w:rFonts w:ascii="楷体" w:hAnsi="楷体" w:eastAsia="楷体" w:cs="宋体"/>
                <w:b/>
                <w:bCs/>
                <w:spacing w:val="-2"/>
                <w:sz w:val="18"/>
                <w:szCs w:val="18"/>
                <w:u w:val="single"/>
              </w:rPr>
              <w:t>参考过往投资经验，依据近期货币市场工具、债券</w:t>
            </w:r>
            <w:r>
              <w:rPr>
                <w:rFonts w:hint="eastAsia" w:ascii="楷体" w:hAnsi="楷体" w:eastAsia="楷体" w:cs="宋体"/>
                <w:b/>
                <w:bCs/>
                <w:spacing w:val="-2"/>
                <w:sz w:val="18"/>
                <w:szCs w:val="18"/>
                <w:u w:val="single"/>
              </w:rPr>
              <w:t>、非标准化债权</w:t>
            </w:r>
            <w:r>
              <w:rPr>
                <w:rFonts w:ascii="楷体" w:hAnsi="楷体" w:eastAsia="楷体" w:cs="宋体"/>
                <w:b/>
                <w:bCs/>
                <w:spacing w:val="-2"/>
                <w:sz w:val="18"/>
                <w:szCs w:val="18"/>
                <w:u w:val="single"/>
              </w:rPr>
              <w:t>等资产</w:t>
            </w:r>
            <w:r>
              <w:rPr>
                <w:rFonts w:hint="eastAsia" w:ascii="楷体" w:hAnsi="楷体" w:eastAsia="楷体" w:cs="宋体"/>
                <w:b/>
                <w:bCs/>
                <w:spacing w:val="-2"/>
                <w:sz w:val="18"/>
                <w:szCs w:val="18"/>
                <w:u w:val="single"/>
              </w:rPr>
              <w:t>投资</w:t>
            </w:r>
            <w:r>
              <w:rPr>
                <w:rFonts w:ascii="楷体" w:hAnsi="楷体" w:eastAsia="楷体" w:cs="宋体"/>
                <w:b/>
                <w:bCs/>
                <w:spacing w:val="-2"/>
                <w:sz w:val="18"/>
                <w:szCs w:val="18"/>
                <w:u w:val="single"/>
              </w:rPr>
              <w:t>收益水平，在产品说明书约定的投资范围和投资比例内</w:t>
            </w:r>
            <w:r>
              <w:rPr>
                <w:rFonts w:hint="eastAsia" w:ascii="楷体" w:hAnsi="楷体" w:eastAsia="楷体" w:cs="宋体"/>
                <w:b/>
                <w:bCs/>
                <w:spacing w:val="-2"/>
                <w:sz w:val="18"/>
                <w:szCs w:val="18"/>
                <w:u w:val="single"/>
              </w:rPr>
              <w:t>，综合考虑各份额收取的销售服务费和投资管理费的情况，</w:t>
            </w:r>
            <w:r>
              <w:rPr>
                <w:rFonts w:ascii="楷体" w:hAnsi="楷体" w:eastAsia="楷体" w:cs="宋体"/>
                <w:b/>
                <w:bCs/>
                <w:spacing w:val="-2"/>
                <w:sz w:val="18"/>
                <w:szCs w:val="18"/>
                <w:u w:val="single"/>
              </w:rPr>
              <w:t>模拟测算得出</w:t>
            </w:r>
            <w:r>
              <w:rPr>
                <w:rFonts w:hint="eastAsia" w:ascii="楷体" w:hAnsi="楷体" w:eastAsia="楷体" w:cs="宋体"/>
                <w:b/>
                <w:bCs/>
                <w:spacing w:val="-2"/>
                <w:sz w:val="18"/>
                <w:szCs w:val="18"/>
                <w:u w:val="single"/>
              </w:rPr>
              <w:t>业绩比较基准。</w:t>
            </w:r>
          </w:p>
          <w:p>
            <w:pPr>
              <w:keepNext w:val="0"/>
              <w:keepLines w:val="0"/>
              <w:pageBreakBefore w:val="0"/>
              <w:widowControl/>
              <w:kinsoku/>
              <w:wordWrap/>
              <w:overflowPunct/>
              <w:topLinePunct w:val="0"/>
              <w:autoSpaceDE/>
              <w:autoSpaceDN/>
              <w:bidi w:val="0"/>
              <w:adjustRightInd/>
              <w:snapToGrid w:val="0"/>
              <w:spacing w:line="240" w:lineRule="auto"/>
              <w:ind w:left="57" w:leftChars="0" w:right="57" w:rightChars="0"/>
              <w:jc w:val="left"/>
              <w:textAlignment w:val="auto"/>
              <w:rPr>
                <w:rFonts w:hint="eastAsia" w:ascii="楷体" w:hAnsi="楷体" w:eastAsia="楷体" w:cs="宋体"/>
                <w:spacing w:val="-2"/>
                <w:sz w:val="18"/>
                <w:szCs w:val="18"/>
              </w:rPr>
            </w:pPr>
            <w:r>
              <w:rPr>
                <w:rFonts w:hint="eastAsia" w:ascii="楷体" w:hAnsi="楷体" w:eastAsia="楷体" w:cs="宋体"/>
                <w:b/>
                <w:bCs/>
                <w:spacing w:val="-2"/>
                <w:sz w:val="18"/>
                <w:szCs w:val="18"/>
                <w:u w:val="single"/>
                <w:lang w:val="en-US" w:eastAsia="zh-CN"/>
              </w:rPr>
              <w:t>2.</w:t>
            </w:r>
            <w:r>
              <w:rPr>
                <w:rFonts w:hint="eastAsia" w:ascii="楷体" w:hAnsi="楷体" w:eastAsia="楷体" w:cs="宋体"/>
                <w:b/>
                <w:bCs/>
                <w:spacing w:val="-2"/>
                <w:sz w:val="18"/>
                <w:szCs w:val="18"/>
                <w:u w:val="single"/>
              </w:rPr>
              <w:t>本产品各份额因收取的销售服务费和投资管理费存在差异，业绩比较基准设置将有所不同。</w:t>
            </w:r>
            <w:r>
              <w:rPr>
                <w:rFonts w:hint="eastAsia" w:ascii="楷体" w:hAnsi="楷体" w:eastAsia="楷体" w:cs="宋体"/>
                <w:spacing w:val="-2"/>
                <w:sz w:val="18"/>
                <w:szCs w:val="18"/>
              </w:rPr>
              <w:t>各份额业绩比较基准如下：</w:t>
            </w:r>
          </w:p>
          <w:p>
            <w:pPr>
              <w:pStyle w:val="34"/>
              <w:keepNext w:val="0"/>
              <w:keepLines w:val="0"/>
              <w:pageBreakBefore w:val="0"/>
              <w:kinsoku w:val="0"/>
              <w:wordWrap/>
              <w:overflowPunct w:val="0"/>
              <w:topLinePunct w:val="0"/>
              <w:bidi w:val="0"/>
              <w:snapToGrid w:val="0"/>
              <w:spacing w:line="240" w:lineRule="auto"/>
              <w:ind w:left="59" w:right="73" w:rightChars="35"/>
              <w:jc w:val="both"/>
              <w:textAlignment w:val="auto"/>
              <w:rPr>
                <w:rFonts w:hint="eastAsia" w:ascii="楷体" w:hAnsi="楷体" w:eastAsia="楷体" w:cs="宋体"/>
                <w:color w:val="auto"/>
                <w:spacing w:val="-2"/>
                <w:kern w:val="2"/>
                <w:sz w:val="18"/>
                <w:szCs w:val="18"/>
                <w:lang w:val="en-US" w:eastAsia="zh-CN" w:bidi="ar-SA"/>
              </w:rPr>
            </w:pPr>
            <w:r>
              <w:rPr>
                <w:rFonts w:hint="eastAsia" w:ascii="楷体" w:hAnsi="楷体" w:eastAsia="楷体" w:cs="宋体"/>
                <w:color w:val="auto"/>
                <w:spacing w:val="-2"/>
                <w:kern w:val="2"/>
                <w:sz w:val="18"/>
                <w:szCs w:val="18"/>
                <w:lang w:val="en-US" w:eastAsia="zh-CN" w:bidi="ar-SA"/>
              </w:rPr>
              <w:t>A份额：2.80%-3.10%；B份额：2.80%-3.10%；C份额：2.85%-3.15%；D份额：2.80%-3.10%；E份额：2.90%-3.20%；F份额：2.85%-3.15%；G份额：2.70%-3.00%；H份额：2.75%-3.05%；I份额：2.80%-3.10%；J份额：2.75%-3.05%；K份额：2.90%-3.20%；Z份额：2.95%-3.25%；JS份额：2.80%-3.10%；芙蓉锦程 ·优选份额：2.90%-3.20%。</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b/>
                <w:spacing w:val="-2"/>
                <w:sz w:val="18"/>
                <w:szCs w:val="18"/>
                <w:u w:val="single"/>
                <w:lang w:val="en-US" w:eastAsia="zh-CN"/>
              </w:rPr>
              <w:t>3.</w:t>
            </w:r>
            <w:r>
              <w:rPr>
                <w:rFonts w:hint="eastAsia" w:ascii="楷体" w:hAnsi="楷体" w:eastAsia="楷体" w:cs="宋体"/>
                <w:b/>
                <w:spacing w:val="-2"/>
                <w:sz w:val="18"/>
                <w:szCs w:val="18"/>
                <w:u w:val="single"/>
              </w:rPr>
              <w:t>本产品为净值型产品，业绩表现将随市场波动，具有不确定性。业绩比较</w:t>
            </w:r>
            <w:r>
              <w:rPr>
                <w:rFonts w:hint="eastAsia" w:ascii="楷体" w:hAnsi="楷体" w:eastAsia="楷体" w:cs="宋体"/>
                <w:b/>
                <w:spacing w:val="-2"/>
                <w:sz w:val="18"/>
                <w:szCs w:val="18"/>
                <w:u w:val="single"/>
                <w:lang w:val="en-US" w:eastAsia="zh-CN"/>
              </w:rPr>
              <w:t>基准是</w:t>
            </w:r>
            <w:r>
              <w:rPr>
                <w:rFonts w:hint="eastAsia" w:ascii="楷体" w:hAnsi="楷体" w:eastAsia="楷体" w:cs="宋体"/>
                <w:b/>
                <w:spacing w:val="-2"/>
                <w:sz w:val="18"/>
                <w:szCs w:val="18"/>
                <w:u w:val="single"/>
              </w:rPr>
              <w:t>管理人基于产品性质、投资策略、过往经验等因素对产品设定的投资目标。业绩比较基准不是预期收益率，不代表产品的未来表现和实际收益，不构成对产品收益的承诺。投资者的实际收益由产品净值表现决定。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4"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8"/>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产品费用</w:t>
            </w:r>
          </w:p>
        </w:tc>
        <w:tc>
          <w:tcPr>
            <w:tcW w:w="7986" w:type="dxa"/>
            <w:vAlign w:val="center"/>
          </w:tcPr>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lang w:val="en-US" w:eastAsia="zh-CN"/>
              </w:rPr>
            </w:pPr>
            <w:r>
              <w:rPr>
                <w:rFonts w:hint="eastAsia" w:ascii="楷体" w:hAnsi="楷体" w:eastAsia="楷体" w:cs="宋体"/>
                <w:color w:val="auto"/>
                <w:spacing w:val="-2"/>
                <w:sz w:val="18"/>
                <w:szCs w:val="18"/>
                <w:lang w:val="en-US" w:eastAsia="zh-CN"/>
              </w:rPr>
              <w:t>本产品费用包括托管费、销售服务费、投资管理费、超额业绩报酬（如有）以及产品运作和清算中产生的其他费用等。</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lang w:eastAsia="zh-CN"/>
              </w:rPr>
            </w:pPr>
            <w:r>
              <w:rPr>
                <w:rFonts w:hint="eastAsia" w:ascii="楷体" w:hAnsi="楷体" w:eastAsia="楷体" w:cs="宋体"/>
                <w:color w:val="auto"/>
                <w:spacing w:val="-2"/>
                <w:sz w:val="18"/>
                <w:szCs w:val="18"/>
              </w:rPr>
              <w:t>1.托管费率：0.02%/年</w:t>
            </w:r>
            <w:r>
              <w:rPr>
                <w:rFonts w:hint="eastAsia" w:ascii="楷体" w:hAnsi="楷体" w:eastAsia="楷体" w:cs="宋体"/>
                <w:color w:val="auto"/>
                <w:spacing w:val="-2"/>
                <w:sz w:val="18"/>
                <w:szCs w:val="18"/>
                <w:lang w:eastAsia="zh-CN"/>
              </w:rPr>
              <w:t>。</w:t>
            </w:r>
          </w:p>
          <w:p>
            <w:pPr>
              <w:keepNext w:val="0"/>
              <w:keepLines w:val="0"/>
              <w:pageBreakBefore w:val="0"/>
              <w:wordWrap/>
              <w:topLinePunct w:val="0"/>
              <w:bidi w:val="0"/>
              <w:snapToGrid w:val="0"/>
              <w:spacing w:line="240" w:lineRule="auto"/>
              <w:ind w:left="57" w:right="57" w:rightChars="0"/>
              <w:textAlignment w:val="auto"/>
              <w:rPr>
                <w:rFonts w:hint="default" w:ascii="楷体" w:hAnsi="楷体" w:eastAsia="楷体" w:cs="宋体"/>
                <w:color w:val="auto"/>
                <w:spacing w:val="-2"/>
                <w:sz w:val="18"/>
                <w:szCs w:val="18"/>
                <w:lang w:val="en-US"/>
              </w:rPr>
            </w:pPr>
            <w:r>
              <w:rPr>
                <w:rFonts w:hint="eastAsia" w:ascii="楷体" w:hAnsi="楷体" w:eastAsia="楷体" w:cs="宋体"/>
                <w:color w:val="auto"/>
                <w:spacing w:val="-2"/>
                <w:sz w:val="18"/>
                <w:szCs w:val="18"/>
              </w:rPr>
              <w:t>2.销售服务费率：A份额：0.10%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B份额：0.20%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C份额：0.10%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D份额：0.25%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E份额：0.10%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F份额：0.20%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G份额：0.30%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H份额：0.30%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I份额：0.15%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K份额：0.05%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Z份额：0.10%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JS份额：0.20%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芙蓉锦程 ·优选份额：0.15%</w:t>
            </w:r>
            <w:r>
              <w:rPr>
                <w:rFonts w:hint="eastAsia" w:ascii="楷体" w:hAnsi="楷体" w:eastAsia="楷体" w:cs="宋体"/>
                <w:color w:val="auto"/>
                <w:spacing w:val="-2"/>
                <w:sz w:val="18"/>
                <w:szCs w:val="18"/>
                <w:lang w:val="en-US" w:eastAsia="zh-CN"/>
              </w:rPr>
              <w:t>。其中D份额采用一次性提取模式，其他份额采用每日计提模式。</w:t>
            </w:r>
          </w:p>
          <w:p>
            <w:pPr>
              <w:keepNext w:val="0"/>
              <w:keepLines w:val="0"/>
              <w:pageBreakBefore w:val="0"/>
              <w:wordWrap/>
              <w:topLinePunct w:val="0"/>
              <w:bidi w:val="0"/>
              <w:snapToGrid w:val="0"/>
              <w:spacing w:line="240" w:lineRule="auto"/>
              <w:ind w:left="57"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3.投资管理费率：A份额：0.25%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B份额：0.15%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C份额：0.20%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D份额：0.10%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E份额：0.15%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F份额：0.10%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G份额：0.15%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H份额：0.10%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I份额：0.20%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K份额：0.20%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Z份额：0.10%</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JS份额：0.15%</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芙蓉锦程 ·优选份额：0.10%</w:t>
            </w:r>
            <w:r>
              <w:rPr>
                <w:rFonts w:hint="eastAsia" w:ascii="楷体" w:hAnsi="楷体" w:eastAsia="楷体" w:cs="宋体"/>
                <w:color w:val="auto"/>
                <w:spacing w:val="-2"/>
                <w:sz w:val="18"/>
                <w:szCs w:val="18"/>
                <w:lang w:val="en-US" w:eastAsia="zh-CN"/>
              </w:rPr>
              <w:t>。</w:t>
            </w:r>
          </w:p>
          <w:p>
            <w:pPr>
              <w:keepNext w:val="0"/>
              <w:keepLines w:val="0"/>
              <w:pageBreakBefore w:val="0"/>
              <w:numPr>
                <w:ilvl w:val="0"/>
                <w:numId w:val="0"/>
              </w:numPr>
              <w:wordWrap/>
              <w:topLinePunct w:val="0"/>
              <w:bidi w:val="0"/>
              <w:snapToGrid w:val="0"/>
              <w:spacing w:line="240" w:lineRule="auto"/>
              <w:ind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4.超额业绩报酬：若产品各份额实际投资收益在扣除托管费、销售服务费、投资管理费等费用后超过各份额业绩比较基准</w:t>
            </w:r>
            <w:r>
              <w:rPr>
                <w:rFonts w:hint="eastAsia" w:ascii="楷体" w:hAnsi="楷体" w:eastAsia="楷体" w:cs="宋体"/>
                <w:color w:val="auto"/>
                <w:spacing w:val="-2"/>
                <w:sz w:val="18"/>
                <w:szCs w:val="18"/>
                <w:lang w:val="en-US" w:eastAsia="zh-CN"/>
              </w:rPr>
              <w:t>下限</w:t>
            </w:r>
            <w:r>
              <w:rPr>
                <w:rFonts w:hint="eastAsia" w:ascii="楷体" w:hAnsi="楷体" w:eastAsia="楷体" w:cs="宋体"/>
                <w:color w:val="auto"/>
                <w:spacing w:val="-2"/>
                <w:sz w:val="18"/>
                <w:szCs w:val="18"/>
              </w:rPr>
              <w:t>，产品管理人将按照超出部分的50%收取超额业绩报酬。产品存续期内理财产品将每日暂估超额业绩报酬，仅用于理财产品会计核算，并将扣除“暂估超额业绩报酬”后的理财产品份额净值按照说明书约定向投资者进行披露。理财产品实际收取的超额业绩报酬以到期日计提核算的数值为准。计算超额业绩报酬时，1年按365日计算。</w:t>
            </w:r>
          </w:p>
          <w:p>
            <w:pPr>
              <w:keepNext w:val="0"/>
              <w:keepLines w:val="0"/>
              <w:pageBreakBefore w:val="0"/>
              <w:wordWrap/>
              <w:topLinePunct w:val="0"/>
              <w:bidi w:val="0"/>
              <w:snapToGrid w:val="0"/>
              <w:spacing w:line="240" w:lineRule="auto"/>
              <w:ind w:left="57" w:right="57" w:rightChars="0"/>
              <w:textAlignment w:val="auto"/>
            </w:pPr>
            <w:r>
              <w:rPr>
                <w:rFonts w:hint="eastAsia" w:ascii="楷体" w:hAnsi="楷体" w:eastAsia="楷体" w:cs="宋体"/>
                <w:b/>
                <w:spacing w:val="-2"/>
                <w:sz w:val="18"/>
                <w:szCs w:val="18"/>
                <w:u w:val="single"/>
              </w:rPr>
              <w:t>本产品设置有多个份额，</w:t>
            </w:r>
            <w:r>
              <w:rPr>
                <w:rFonts w:hint="eastAsia" w:ascii="楷体" w:hAnsi="楷体" w:eastAsia="楷体" w:cs="宋体"/>
                <w:b/>
                <w:spacing w:val="-2"/>
                <w:sz w:val="18"/>
                <w:szCs w:val="18"/>
                <w:u w:val="single"/>
                <w:lang w:eastAsia="zh-CN"/>
              </w:rPr>
              <w:t>各份额</w:t>
            </w:r>
            <w:r>
              <w:rPr>
                <w:rFonts w:hint="eastAsia" w:ascii="楷体" w:hAnsi="楷体" w:eastAsia="楷体" w:cs="宋体"/>
                <w:b/>
                <w:spacing w:val="-2"/>
                <w:sz w:val="18"/>
                <w:szCs w:val="18"/>
                <w:u w:val="single"/>
              </w:rPr>
              <w:t>实际收取的销售服务费率</w:t>
            </w:r>
            <w:r>
              <w:rPr>
                <w:rFonts w:hint="eastAsia" w:ascii="楷体" w:hAnsi="楷体" w:eastAsia="楷体" w:cs="宋体"/>
                <w:b/>
                <w:spacing w:val="-2"/>
                <w:sz w:val="18"/>
                <w:szCs w:val="18"/>
                <w:u w:val="single"/>
                <w:lang w:eastAsia="zh-CN"/>
              </w:rPr>
              <w:t>、</w:t>
            </w:r>
            <w:r>
              <w:rPr>
                <w:rFonts w:hint="eastAsia" w:ascii="楷体" w:hAnsi="楷体" w:eastAsia="楷体" w:cs="宋体"/>
                <w:b/>
                <w:spacing w:val="-2"/>
                <w:sz w:val="18"/>
                <w:szCs w:val="18"/>
                <w:u w:val="single"/>
              </w:rPr>
              <w:t>投资管理费率</w:t>
            </w:r>
            <w:r>
              <w:rPr>
                <w:rFonts w:hint="eastAsia" w:ascii="楷体" w:hAnsi="楷体" w:eastAsia="楷体" w:cs="宋体"/>
                <w:b/>
                <w:spacing w:val="-2"/>
                <w:sz w:val="18"/>
                <w:szCs w:val="18"/>
                <w:u w:val="single"/>
                <w:lang w:val="en-US" w:eastAsia="zh-CN"/>
              </w:rPr>
              <w:t>和超额业绩报酬（如有）</w:t>
            </w:r>
            <w:r>
              <w:rPr>
                <w:rFonts w:hint="eastAsia" w:ascii="楷体" w:hAnsi="楷体" w:eastAsia="楷体" w:cs="宋体"/>
                <w:b/>
                <w:spacing w:val="-2"/>
                <w:sz w:val="18"/>
                <w:szCs w:val="18"/>
                <w:u w:val="single"/>
              </w:rPr>
              <w:t>可能存在差异，</w:t>
            </w:r>
            <w:r>
              <w:rPr>
                <w:rFonts w:hint="eastAsia" w:ascii="楷体" w:hAnsi="楷体" w:eastAsia="楷体" w:cs="宋体"/>
                <w:b/>
                <w:spacing w:val="-2"/>
                <w:sz w:val="18"/>
                <w:szCs w:val="18"/>
                <w:u w:val="single"/>
                <w:lang w:val="en-US" w:eastAsia="zh-CN"/>
              </w:rPr>
              <w:t>投资者应</w:t>
            </w:r>
            <w:r>
              <w:rPr>
                <w:rFonts w:hint="eastAsia" w:ascii="楷体" w:hAnsi="楷体" w:eastAsia="楷体" w:cs="宋体"/>
                <w:b/>
                <w:spacing w:val="-2"/>
                <w:sz w:val="18"/>
                <w:szCs w:val="18"/>
                <w:u w:val="single"/>
              </w:rPr>
              <w:t>根据</w:t>
            </w:r>
            <w:r>
              <w:rPr>
                <w:rFonts w:hint="eastAsia" w:ascii="楷体" w:hAnsi="楷体" w:eastAsia="楷体" w:cs="宋体"/>
                <w:b/>
                <w:spacing w:val="-2"/>
                <w:sz w:val="18"/>
                <w:szCs w:val="18"/>
                <w:u w:val="single"/>
                <w:lang w:val="en-US" w:eastAsia="zh-CN"/>
              </w:rPr>
              <w:t>各份额收费情况</w:t>
            </w:r>
            <w:r>
              <w:rPr>
                <w:rFonts w:hint="eastAsia" w:ascii="楷体" w:hAnsi="楷体" w:eastAsia="楷体" w:cs="宋体"/>
                <w:b/>
                <w:spacing w:val="-2"/>
                <w:sz w:val="18"/>
                <w:szCs w:val="18"/>
                <w:u w:val="single"/>
              </w:rPr>
              <w:t>自主选择购买。</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b/>
                <w:bCs w:val="0"/>
                <w:spacing w:val="-2"/>
                <w:sz w:val="18"/>
                <w:szCs w:val="18"/>
                <w:u w:val="single"/>
              </w:rPr>
            </w:pPr>
            <w:r>
              <w:rPr>
                <w:rFonts w:hint="eastAsia" w:ascii="楷体" w:hAnsi="楷体" w:eastAsia="楷体" w:cs="宋体"/>
                <w:b/>
                <w:spacing w:val="-2"/>
                <w:sz w:val="18"/>
                <w:szCs w:val="18"/>
                <w:u w:val="single"/>
              </w:rPr>
              <w:t>若法律法规、国家监管政策或市场情况发生变化，管理人有权对已约定的收费项目、条件、标准和方式进行调整。</w:t>
            </w:r>
          </w:p>
          <w:p>
            <w:pPr>
              <w:keepNext w:val="0"/>
              <w:keepLines w:val="0"/>
              <w:pageBreakBefore w:val="0"/>
              <w:widowControl w:val="0"/>
              <w:numPr>
                <w:ilvl w:val="0"/>
                <w:numId w:val="0"/>
              </w:numPr>
              <w:wordWrap/>
              <w:topLinePunct w:val="0"/>
              <w:bidi w:val="0"/>
              <w:snapToGrid w:val="0"/>
              <w:spacing w:line="240" w:lineRule="auto"/>
              <w:ind w:right="57" w:rightChars="0"/>
              <w:jc w:val="both"/>
              <w:textAlignment w:val="auto"/>
              <w:rPr>
                <w:rFonts w:hint="eastAsia" w:ascii="楷体" w:hAnsi="楷体" w:eastAsia="楷体" w:cs="宋体"/>
                <w:b/>
                <w:spacing w:val="-2"/>
                <w:sz w:val="18"/>
                <w:szCs w:val="18"/>
                <w:u w:val="single"/>
              </w:rPr>
            </w:pPr>
            <w:r>
              <w:rPr>
                <w:rFonts w:hint="eastAsia" w:ascii="楷体" w:hAnsi="楷体" w:eastAsia="楷体" w:cs="宋体"/>
                <w:b/>
                <w:bCs w:val="0"/>
                <w:spacing w:val="-2"/>
                <w:sz w:val="18"/>
                <w:szCs w:val="18"/>
                <w:highlight w:val="none"/>
                <w:u w:val="single"/>
              </w:rPr>
              <w:t>产品存续期内管理人有权根据产品运行情况制定费率优惠措施，优惠后实际执行的费率以管理人公告为准</w:t>
            </w:r>
            <w:r>
              <w:rPr>
                <w:rFonts w:hint="eastAsia" w:ascii="楷体" w:hAnsi="楷体" w:eastAsia="楷体" w:cs="宋体"/>
                <w:b/>
                <w:bCs w:val="0"/>
                <w:spacing w:val="-2"/>
                <w:sz w:val="18"/>
                <w:szCs w:val="18"/>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8"/>
              <w:ind w:left="55" w:leftChars="0"/>
              <w:jc w:val="both"/>
              <w:textAlignment w:val="auto"/>
              <w:rPr>
                <w:rFonts w:hint="eastAsia" w:ascii="楷体" w:hAnsi="楷体" w:eastAsia="楷体" w:cs="宋体"/>
                <w:b/>
                <w:bCs w:val="0"/>
                <w:spacing w:val="-2"/>
                <w:kern w:val="2"/>
                <w:sz w:val="18"/>
                <w:szCs w:val="18"/>
                <w:u w:val="single"/>
                <w:lang w:val="en-US" w:eastAsia="zh-CN" w:bidi="ar-SA"/>
              </w:rPr>
            </w:pPr>
            <w:r>
              <w:rPr>
                <w:rFonts w:hint="eastAsia" w:ascii="楷体" w:hAnsi="楷体" w:eastAsia="楷体" w:cs="宋体"/>
                <w:b/>
                <w:color w:val="auto"/>
                <w:spacing w:val="-2"/>
                <w:sz w:val="18"/>
                <w:szCs w:val="18"/>
                <w:lang w:val="en-US" w:eastAsia="zh-CN"/>
              </w:rPr>
              <w:t>收益分配</w:t>
            </w:r>
          </w:p>
        </w:tc>
        <w:tc>
          <w:tcPr>
            <w:tcW w:w="7986" w:type="dxa"/>
            <w:vAlign w:val="center"/>
          </w:tcPr>
          <w:p>
            <w:pPr>
              <w:keepNext w:val="0"/>
              <w:keepLines w:val="0"/>
              <w:pageBreakBefore w:val="0"/>
              <w:wordWrap/>
              <w:topLinePunct w:val="0"/>
              <w:bidi w:val="0"/>
              <w:snapToGrid w:val="0"/>
              <w:spacing w:line="240" w:lineRule="auto"/>
              <w:ind w:left="59" w:leftChars="0" w:right="73" w:rightChars="35"/>
              <w:textAlignment w:val="auto"/>
              <w:rPr>
                <w:rFonts w:hint="eastAsia" w:ascii="楷体" w:hAnsi="楷体" w:eastAsia="楷体" w:cs="宋体"/>
                <w:b/>
                <w:bCs w:val="0"/>
                <w:spacing w:val="-2"/>
                <w:kern w:val="2"/>
                <w:sz w:val="18"/>
                <w:szCs w:val="18"/>
                <w:u w:val="single"/>
                <w:lang w:val="en-US" w:eastAsia="zh-CN" w:bidi="ar-SA"/>
              </w:rPr>
            </w:pPr>
            <w:r>
              <w:rPr>
                <w:rFonts w:hint="eastAsia" w:ascii="楷体" w:hAnsi="楷体" w:eastAsia="楷体" w:cs="宋体"/>
                <w:color w:val="auto"/>
                <w:spacing w:val="-2"/>
                <w:sz w:val="18"/>
                <w:szCs w:val="18"/>
                <w:lang w:val="en-US" w:eastAsia="zh-CN"/>
              </w:rPr>
              <w:t>本产品无分红机制，投资运作情况体现为产品净值变化。产品投资运作到期，投资收益扣除相关费用后，全部分配给投资者。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58" w:type="dxa"/>
            <w:vAlign w:val="center"/>
          </w:tcPr>
          <w:p>
            <w:pPr>
              <w:pStyle w:val="34"/>
              <w:keepNext w:val="0"/>
              <w:keepLines w:val="0"/>
              <w:pageBreakBefore w:val="0"/>
              <w:widowControl w:val="0"/>
              <w:kinsoku w:val="0"/>
              <w:wordWrap/>
              <w:overflowPunct w:val="0"/>
              <w:topLinePunct w:val="0"/>
              <w:autoSpaceDE w:val="0"/>
              <w:autoSpaceDN w:val="0"/>
              <w:bidi w:val="0"/>
              <w:adjustRightInd w:val="0"/>
              <w:snapToGrid w:val="0"/>
              <w:spacing w:before="18"/>
              <w:ind w:left="55"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lang w:val="en-US" w:eastAsia="zh-CN"/>
              </w:rPr>
              <w:t>税收规定</w:t>
            </w:r>
          </w:p>
        </w:tc>
        <w:tc>
          <w:tcPr>
            <w:tcW w:w="7986" w:type="dxa"/>
            <w:vAlign w:val="center"/>
          </w:tcPr>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根据中国增值税等税收相关法律法规、税收政策等要求，</w:t>
            </w:r>
            <w:r>
              <w:rPr>
                <w:rFonts w:hint="eastAsia" w:ascii="楷体" w:hAnsi="楷体" w:eastAsia="楷体" w:cs="宋体"/>
                <w:color w:val="auto"/>
                <w:spacing w:val="-2"/>
                <w:sz w:val="18"/>
                <w:szCs w:val="18"/>
                <w:shd w:val="clear" w:fill="auto"/>
                <w:lang w:val="en-US" w:eastAsia="zh-CN"/>
              </w:rPr>
              <w:t>产品</w:t>
            </w:r>
            <w:r>
              <w:rPr>
                <w:rFonts w:hint="eastAsia" w:ascii="楷体" w:hAnsi="楷体" w:eastAsia="楷体" w:cs="宋体"/>
                <w:color w:val="auto"/>
                <w:spacing w:val="-2"/>
                <w:sz w:val="18"/>
                <w:szCs w:val="18"/>
              </w:rPr>
              <w:t>应缴纳的增值税及附加税费（包括但不限于城市维护建设税、教育费附加及地方教育附加等）由管理人从理财产品财产中支付，由此可能会使理财产品净值或实际收益降低。</w:t>
            </w:r>
          </w:p>
          <w:p>
            <w:pPr>
              <w:keepNext w:val="0"/>
              <w:keepLines w:val="0"/>
              <w:pageBreakBefore w:val="0"/>
              <w:wordWrap/>
              <w:topLinePunct w:val="0"/>
              <w:bidi w:val="0"/>
              <w:snapToGrid w:val="0"/>
              <w:spacing w:line="240" w:lineRule="auto"/>
              <w:ind w:left="57" w:leftChars="0" w:right="57" w:rightChars="0"/>
              <w:textAlignment w:val="auto"/>
              <w:rPr>
                <w:rFonts w:hint="eastAsia" w:ascii="楷体" w:hAnsi="楷体" w:eastAsia="楷体" w:cs="宋体"/>
                <w:color w:val="auto"/>
                <w:spacing w:val="-2"/>
                <w:sz w:val="18"/>
                <w:szCs w:val="18"/>
              </w:rPr>
            </w:pPr>
            <w:r>
              <w:rPr>
                <w:rFonts w:hint="eastAsia" w:ascii="楷体" w:hAnsi="楷体" w:eastAsia="楷体" w:cs="宋体"/>
                <w:b/>
                <w:bCs/>
                <w:color w:val="auto"/>
                <w:spacing w:val="-2"/>
                <w:sz w:val="18"/>
                <w:szCs w:val="18"/>
                <w:u w:val="single"/>
              </w:rPr>
              <w:t>投资者从理财产品取得的收益应缴纳的税款，由投资者自行申报及缴纳。</w:t>
            </w:r>
          </w:p>
        </w:tc>
      </w:tr>
    </w:tbl>
    <w:p>
      <w:pPr>
        <w:numPr>
          <w:ilvl w:val="0"/>
          <w:numId w:val="6"/>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rPr>
        <w:t>产品管理人</w:t>
      </w:r>
    </w:p>
    <w:p>
      <w:pPr>
        <w:numPr>
          <w:ilvl w:val="-1"/>
          <w:numId w:val="0"/>
        </w:numPr>
        <w:ind w:left="0"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本产品管理人为</w:t>
      </w:r>
      <w:r>
        <w:rPr>
          <w:rFonts w:hint="eastAsia" w:ascii="楷体" w:hAnsi="楷体" w:eastAsia="楷体" w:cs="楷体"/>
          <w:b/>
          <w:bCs/>
          <w:color w:val="auto"/>
          <w:sz w:val="21"/>
          <w:szCs w:val="21"/>
          <w:highlight w:val="none"/>
          <w:u w:val="single"/>
        </w:rPr>
        <w:t>苏银理财有限责任公司</w:t>
      </w:r>
      <w:r>
        <w:rPr>
          <w:rFonts w:hint="eastAsia" w:ascii="楷体" w:hAnsi="楷体" w:eastAsia="楷体"/>
          <w:color w:val="auto"/>
          <w:sz w:val="21"/>
          <w:szCs w:val="21"/>
          <w:highlight w:val="none"/>
        </w:rPr>
        <w:t>，苏银理财系江苏银行股份有限公司全资控股的银行理财子公司。公司主要业务范围：面向不特定社会公众公开发行理财产品，对受托的投资和财产进行投资和管理；面向合格投资者非公开发行理财产品，对受托的投资和财产进行投资和管理；理财顾问和咨询服务；经</w:t>
      </w:r>
      <w:r>
        <w:rPr>
          <w:rFonts w:hint="eastAsia" w:ascii="楷体" w:hAnsi="楷体" w:eastAsia="楷体"/>
          <w:color w:val="auto"/>
          <w:sz w:val="21"/>
          <w:szCs w:val="21"/>
          <w:highlight w:val="none"/>
          <w:lang w:val="en-US" w:eastAsia="zh-CN"/>
        </w:rPr>
        <w:t>监管机构</w:t>
      </w:r>
      <w:r>
        <w:rPr>
          <w:rFonts w:hint="eastAsia" w:ascii="楷体" w:hAnsi="楷体" w:eastAsia="楷体"/>
          <w:color w:val="auto"/>
          <w:sz w:val="21"/>
          <w:szCs w:val="21"/>
          <w:highlight w:val="none"/>
        </w:rPr>
        <w:t>批准的其他业务等。</w:t>
      </w:r>
    </w:p>
    <w:p>
      <w:pPr>
        <w:numPr>
          <w:ilvl w:val="-1"/>
          <w:numId w:val="0"/>
        </w:numPr>
        <w:ind w:left="0" w:firstLine="420" w:firstLineChars="200"/>
        <w:rPr>
          <w:rFonts w:hint="eastAsia" w:ascii="楷体" w:hAnsi="楷体" w:eastAsia="楷体" w:cs="Times New Roman"/>
          <w:color w:val="auto"/>
          <w:sz w:val="21"/>
          <w:szCs w:val="21"/>
          <w:highlight w:val="none"/>
        </w:rPr>
      </w:pPr>
      <w:r>
        <w:rPr>
          <w:rFonts w:hint="eastAsia" w:ascii="楷体" w:hAnsi="楷体" w:eastAsia="楷体"/>
          <w:color w:val="auto"/>
          <w:sz w:val="21"/>
          <w:szCs w:val="21"/>
          <w:highlight w:val="none"/>
        </w:rPr>
        <w:t>投资者在此授权并同意苏银理财享有以下权利：</w:t>
      </w:r>
      <w:r>
        <w:rPr>
          <w:rFonts w:hint="eastAsia" w:ascii="楷体" w:hAnsi="楷体" w:eastAsia="楷体" w:cs="Times New Roman"/>
          <w:color w:val="auto"/>
          <w:sz w:val="21"/>
          <w:szCs w:val="21"/>
          <w:highlight w:val="none"/>
        </w:rPr>
        <w:t>按照本理财产品合同的约定，管理、运用和处分理财计划资金</w:t>
      </w:r>
      <w:r>
        <w:rPr>
          <w:rFonts w:hint="eastAsia" w:ascii="楷体" w:hAnsi="楷体" w:eastAsia="楷体" w:cs="Times New Roman"/>
          <w:color w:val="auto"/>
          <w:sz w:val="21"/>
          <w:szCs w:val="21"/>
          <w:highlight w:val="none"/>
          <w:lang w:val="en-US" w:eastAsia="zh-CN"/>
        </w:rPr>
        <w:t>；</w:t>
      </w:r>
      <w:r>
        <w:rPr>
          <w:rFonts w:hint="eastAsia" w:ascii="楷体" w:hAnsi="楷体" w:eastAsia="楷体" w:cs="Times New Roman"/>
          <w:color w:val="auto"/>
          <w:sz w:val="21"/>
          <w:szCs w:val="21"/>
          <w:highlight w:val="none"/>
        </w:rPr>
        <w:t>按照本理财产品合同的约定，及时、足额获得投资管理费</w:t>
      </w:r>
      <w:r>
        <w:rPr>
          <w:rFonts w:hint="eastAsia" w:ascii="楷体" w:hAnsi="楷体" w:eastAsia="楷体" w:cs="Times New Roman"/>
          <w:color w:val="auto"/>
          <w:sz w:val="21"/>
          <w:szCs w:val="21"/>
          <w:highlight w:val="none"/>
          <w:lang w:val="en-US" w:eastAsia="zh-CN"/>
        </w:rPr>
        <w:t>；</w:t>
      </w:r>
      <w:r>
        <w:rPr>
          <w:rFonts w:hint="eastAsia" w:ascii="楷体" w:hAnsi="楷体" w:eastAsia="楷体" w:cs="Times New Roman"/>
          <w:color w:val="auto"/>
          <w:sz w:val="21"/>
          <w:szCs w:val="21"/>
          <w:highlight w:val="none"/>
        </w:rPr>
        <w:t>管理人有权根据本理财产品合同的约定提前终止或延长本理财产品的期限</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管理人有权调整本理财产品的认购规模上限、认购起点、认购金额上限、认购资金的最</w:t>
      </w:r>
      <w:r>
        <w:rPr>
          <w:rFonts w:hint="eastAsia" w:ascii="楷体" w:hAnsi="楷体" w:eastAsia="楷体" w:cs="Times New Roman"/>
          <w:color w:val="auto"/>
          <w:sz w:val="21"/>
          <w:szCs w:val="21"/>
          <w:highlight w:val="none"/>
          <w:lang w:val="en-US" w:eastAsia="zh-CN"/>
        </w:rPr>
        <w:t>低</w:t>
      </w:r>
      <w:r>
        <w:rPr>
          <w:rFonts w:hint="eastAsia" w:ascii="楷体" w:hAnsi="楷体" w:eastAsia="楷体" w:cs="Times New Roman"/>
          <w:color w:val="auto"/>
          <w:sz w:val="21"/>
          <w:szCs w:val="21"/>
          <w:highlight w:val="none"/>
        </w:rPr>
        <w:t>金额等要素</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管理人有权依照法律规定和监管机构的要求将投资者的信息向有权部门或相关机构披露</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以理财产品投资管理人的名义，依照法律法规相关规定以及为理财产品的利益，对被投资的各类基金、公司/企业等行使出资人/投资者权利（包括但不限于表决投票的权利）以及行使因理财产品投资于证券类基础资产（含债券）或其他基础资产（包括但不限于债权类资产）所产生的相关权利</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以理财产品投资管理人的名义，依照法律法规相关规定以及代表理财产品份额持有人的利益行使代为追索的权利（包括但不限于提起诉讼/仲裁、申请保全/执行的权利）或者实施其他法律行为</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法律法规、监管政策和本理财计划文件约定的其他权利。</w:t>
      </w:r>
    </w:p>
    <w:p>
      <w:pPr>
        <w:numPr>
          <w:ilvl w:val="0"/>
          <w:numId w:val="6"/>
        </w:numPr>
        <w:tabs>
          <w:tab w:val="left" w:pos="1134"/>
        </w:tabs>
        <w:ind w:left="420" w:leftChars="0" w:firstLine="0" w:firstLineChars="0"/>
        <w:rPr>
          <w:rFonts w:hint="eastAsia" w:ascii="楷体" w:hAnsi="楷体" w:eastAsia="楷体" w:cs="Times New Roman"/>
          <w:b/>
          <w:color w:val="auto"/>
          <w:sz w:val="21"/>
          <w:szCs w:val="21"/>
          <w:highlight w:val="none"/>
        </w:rPr>
      </w:pPr>
      <w:r>
        <w:rPr>
          <w:rFonts w:hint="eastAsia" w:ascii="楷体" w:hAnsi="楷体" w:eastAsia="楷体"/>
          <w:b/>
          <w:color w:val="auto"/>
          <w:szCs w:val="21"/>
          <w:highlight w:val="none"/>
        </w:rPr>
        <w:t>产品托管人</w:t>
      </w:r>
    </w:p>
    <w:p>
      <w:pPr>
        <w:numPr>
          <w:ilvl w:val="0"/>
          <w:numId w:val="0"/>
        </w:numPr>
        <w:ind w:firstLine="420" w:firstLineChars="200"/>
        <w:rPr>
          <w:rFonts w:hint="default" w:ascii="楷体" w:hAnsi="楷体" w:eastAsia="楷体"/>
          <w:color w:val="auto"/>
          <w:sz w:val="21"/>
          <w:szCs w:val="21"/>
          <w:lang w:val="en-US" w:eastAsia="zh-CN"/>
        </w:rPr>
      </w:pPr>
      <w:r>
        <w:rPr>
          <w:rFonts w:hint="eastAsia" w:ascii="楷体" w:hAnsi="楷体" w:eastAsia="楷体"/>
          <w:color w:val="auto"/>
          <w:sz w:val="21"/>
          <w:szCs w:val="21"/>
          <w:highlight w:val="none"/>
        </w:rPr>
        <w:t>本产品托管人为</w:t>
      </w:r>
      <w:r>
        <w:rPr>
          <w:rFonts w:hint="eastAsia" w:ascii="楷体" w:hAnsi="楷体" w:eastAsia="楷体" w:cs="楷体"/>
          <w:b/>
          <w:bCs/>
          <w:color w:val="auto"/>
          <w:sz w:val="21"/>
          <w:szCs w:val="21"/>
          <w:u w:val="single"/>
        </w:rPr>
        <w:t>江苏银行股份有限公司</w:t>
      </w:r>
      <w:r>
        <w:rPr>
          <w:rFonts w:hint="eastAsia" w:ascii="楷体" w:hAnsi="楷体" w:eastAsia="楷体"/>
          <w:color w:val="auto"/>
          <w:sz w:val="21"/>
          <w:szCs w:val="21"/>
          <w:highlight w:val="none"/>
        </w:rPr>
        <w:t>。</w:t>
      </w:r>
      <w:r>
        <w:rPr>
          <w:rFonts w:hint="eastAsia" w:ascii="楷体" w:hAnsi="楷体" w:eastAsia="楷体" w:cs="Times New Roman"/>
          <w:color w:val="auto"/>
          <w:sz w:val="21"/>
          <w:szCs w:val="21"/>
          <w:highlight w:val="none"/>
        </w:rPr>
        <w:t>托管人职责</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安全保管理财产品财产；为理财产品开立银行托管账户、证券账户等；确认与执行理财产品资金划拨指令，办理理财产品资金的收付，核对理财产品资金划拨记录；建立与理财产品管理人的对账机制，复核理财产品资产净值、理财产品份额申购、赎回价格，及时核查投资资金的支付和到账情况；监督理财产品投资运作；办理与理财产品托管业务活动相关的信息披露事项；保存理财产品托管业务活动的记录、账册、报表和其他相关材料；对理财产品投资信息和相关资料承担保密责任；国务院银行业监督管理机构规定的其他职责。</w:t>
      </w:r>
      <w:r>
        <w:rPr>
          <w:rFonts w:hint="eastAsia" w:ascii="楷体" w:hAnsi="楷体" w:eastAsia="楷体" w:cs="楷体"/>
          <w:b/>
          <w:bCs/>
          <w:sz w:val="21"/>
          <w:szCs w:val="21"/>
          <w:u w:val="single"/>
        </w:rPr>
        <w:t>产品管理人在此特别披露：托管人为产品管理人的关联方，产品管理人聘请其担任托管人已履行现行法律法规和监管规定所规定必须履行的程序，产品管理人、投资者同意并接受理财产品由托管人托管。</w:t>
      </w:r>
    </w:p>
    <w:p>
      <w:pPr>
        <w:numPr>
          <w:ilvl w:val="0"/>
          <w:numId w:val="6"/>
        </w:numPr>
        <w:tabs>
          <w:tab w:val="left" w:pos="1134"/>
        </w:tabs>
        <w:ind w:left="420" w:leftChars="0" w:firstLine="0" w:firstLineChars="0"/>
        <w:rPr>
          <w:rFonts w:hint="eastAsia" w:ascii="楷体" w:hAnsi="楷体" w:eastAsia="楷体" w:cs="Times New Roman"/>
          <w:b/>
          <w:color w:val="auto"/>
          <w:sz w:val="21"/>
          <w:szCs w:val="21"/>
          <w:highlight w:val="none"/>
        </w:rPr>
      </w:pPr>
      <w:r>
        <w:rPr>
          <w:rFonts w:hint="eastAsia" w:ascii="楷体" w:hAnsi="楷体" w:eastAsia="楷体" w:cs="Times New Roman"/>
          <w:b/>
          <w:color w:val="auto"/>
          <w:sz w:val="21"/>
          <w:szCs w:val="21"/>
          <w:highlight w:val="none"/>
        </w:rPr>
        <w:t>销售机构</w:t>
      </w:r>
    </w:p>
    <w:p>
      <w:pPr>
        <w:numPr>
          <w:ilvl w:val="-1"/>
          <w:numId w:val="0"/>
        </w:numPr>
        <w:tabs>
          <w:tab w:val="left" w:pos="1134"/>
        </w:tabs>
        <w:ind w:left="0" w:leftChars="0"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本产品可以通过商业银行、农村合作银行、村镇银行、农村信用合作社等吸收公众存款的银行业金融机构，或者国务院银行业监督管理机构认可的其他机构进行销售。</w:t>
      </w:r>
      <w:r>
        <w:rPr>
          <w:rFonts w:hint="eastAsia" w:ascii="楷体" w:hAnsi="楷体" w:eastAsia="楷体"/>
          <w:b w:val="0"/>
          <w:bCs w:val="0"/>
          <w:sz w:val="21"/>
          <w:szCs w:val="21"/>
          <w:highlight w:val="none"/>
          <w:u w:val="none"/>
        </w:rPr>
        <w:t>销售机构负责理财产品宣传推广、投资者风险承受能力评估和投资者适当性管理、理财产品</w:t>
      </w:r>
      <w:r>
        <w:rPr>
          <w:rFonts w:hint="eastAsia" w:ascii="楷体" w:hAnsi="楷体" w:eastAsia="楷体"/>
          <w:b w:val="0"/>
          <w:bCs w:val="0"/>
          <w:sz w:val="21"/>
          <w:szCs w:val="21"/>
          <w:highlight w:val="none"/>
          <w:u w:val="none"/>
          <w:lang w:val="en-US" w:eastAsia="zh-CN"/>
        </w:rPr>
        <w:t>投资者</w:t>
      </w:r>
      <w:r>
        <w:rPr>
          <w:rFonts w:hint="eastAsia" w:ascii="楷体" w:hAnsi="楷体" w:eastAsia="楷体"/>
          <w:b w:val="0"/>
          <w:bCs w:val="0"/>
          <w:sz w:val="21"/>
          <w:szCs w:val="21"/>
          <w:highlight w:val="none"/>
          <w:u w:val="none"/>
        </w:rPr>
        <w:t>身份识别及反洗钱、反恐怖融资及非居民金融账户涉税信息调查、理财产品份额认购/申购/赎回、协助管理人与投资者订立理财产品</w:t>
      </w:r>
      <w:r>
        <w:rPr>
          <w:rFonts w:hint="eastAsia" w:ascii="楷体" w:hAnsi="楷体" w:eastAsia="楷体"/>
          <w:color w:val="auto"/>
          <w:sz w:val="21"/>
          <w:szCs w:val="21"/>
          <w:lang w:val="en-US" w:eastAsia="zh-CN"/>
        </w:rPr>
        <w:t>销售文件</w:t>
      </w:r>
      <w:r>
        <w:rPr>
          <w:rFonts w:hint="eastAsia" w:ascii="楷体" w:hAnsi="楷体" w:eastAsia="楷体"/>
          <w:b w:val="0"/>
          <w:bCs w:val="0"/>
          <w:sz w:val="21"/>
          <w:szCs w:val="21"/>
          <w:highlight w:val="none"/>
          <w:u w:val="none"/>
        </w:rPr>
        <w:t>、协助投资者与管理人沟通、接受投资者咨询和</w:t>
      </w:r>
      <w:r>
        <w:rPr>
          <w:rFonts w:hint="eastAsia" w:ascii="楷体" w:hAnsi="楷体" w:eastAsia="楷体"/>
          <w:b w:val="0"/>
          <w:bCs w:val="0"/>
          <w:sz w:val="21"/>
          <w:szCs w:val="21"/>
          <w:highlight w:val="none"/>
          <w:u w:val="none"/>
          <w:lang w:val="en-US" w:eastAsia="zh-CN"/>
        </w:rPr>
        <w:t>投资者</w:t>
      </w:r>
      <w:r>
        <w:rPr>
          <w:rFonts w:hint="eastAsia" w:ascii="楷体" w:hAnsi="楷体" w:eastAsia="楷体"/>
          <w:b w:val="0"/>
          <w:bCs w:val="0"/>
          <w:sz w:val="21"/>
          <w:szCs w:val="21"/>
          <w:highlight w:val="none"/>
          <w:u w:val="none"/>
        </w:rPr>
        <w:t>维护等销售服务工作。销售机构不承担产品投资、兑付和风险管理责任，产品的投资、兑付和风险管理责任由管理人承担。</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本产品各份额销售机构如下：</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A份额：江苏姜堰农村商业银行股份有限公司/江苏高淳农村商业银行股份有限公司/江苏常熟农村商业银行股份有限公司/江苏海安农村商业银行股份有限公司/苏银理财有限责任公司/江苏银行股份有限公司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B份额：上海银行股份有限公司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C份额：江苏银行股份有限公司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D份额：宁波通商银行股份有限公司/宁波东海银行股份有限公司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E份额：江苏银行股份有限公司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F份额：莱商银行股份有限公司/威海银行股份有限公司/潍坊银行股份有限公司/齐鲁银行股份有限公司/东营银行股份有限公司/嘉兴银行股份有限公司/甘肃银行股份有限公司/徽商银行股份有限公司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G份额：广州农村商业银行股份有限公司/江苏苏州农村商业银行股份有限公司/江苏沛县农村商业银行股份有限公司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H份额：重庆农村商业银行股份有限公司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I份额：浙江平湖农村商业银行股份有限公司/浙江岱山农村商业银行股份有限公司/杭州联合农村商业银行股份有限公司/浙江萧山农村商业银行股份有限公司/湖州吴兴农村商业银行股份有限公司/浙江淳安农村商业银行股份有限公司/浙江舟山定海海洋农村商业银行股份有限公司/浙江杭州余杭农村商业银行股份有限公司/浙江文成农村商业银行股份有限公司/浙江青田农村商业银行股份有限公司/浙江兰溪农村商业银行股份有限公司/浙江温州瓯海农村商业银行股份有限公司/浙江嘉善农村商业银行股份有限公司/浙江永嘉农村商业银行股份有限公司/浙江绍兴瑞丰农村商业银行股份有限公司/浙江温州龙湾农村商业银行股份有限公司/浙江乐清农村商业银行股份有限公司/浙江德清农村商业银行股份有限公司/浙江桐乡农村商业银行股份有限公司/浙江上虞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J份额：浙江武义农村商业银行股份有限公司/浙江新昌农村商业银行股份有限公司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K份额：山西银行股份有限公司/浙江海宁农村商业银行股份有限公司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Z份额：郑州银行股份有限公司/莱商银行股份有限公司/齐鲁银行股份有限公司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JS份额：江苏江都农村商业银行股份有限公司/江苏常熟农村商业银行股份有限公司/江苏新沂农村商业银行股份有限公司/江苏如皋农村商业银行股份有限公司/江苏启东农村商业银行股份有限公司/徐州农村商业银行股份有限公司/江苏高邮农村商业银行股份有限公司/江苏沭阳农村商业银行股份有限公司/江苏民丰农村商业银行股份有限公司/江苏镇江农村商业银行股份有限公司/江苏紫金农村商业银行股份有限公司/江苏建湖农村商业银行股份有限公司/江苏姜堰农村商业银行股份有限公司/江苏句容农村商业银行股份有限公司/江苏睢宁农村商业银行股份有限公司/江苏扬中农村商业银行股份有限公司/江苏丰县农村商业银行股份有限公司/江苏邳州农村商业银行股份有限公司/江苏宝应农村商业银行股份有限公司/江苏东海农村商业银行股份有限公司/江苏赣榆农村商业银行股份有限公司/江苏射阳农村商业银行股份有限公司/江苏阜宁农村商业银行股份有限公司/江苏东台农村商业银行股份有限公司/江苏盐城农村商业银行股份有限公司/江苏高淳农村商业银行股份有限公司/江苏溧水农村商业银行股份有限公司/北京农村商业银行股份有限公司/江苏张家港农村商业银行股份有限公司/江苏扬州农村商业银行股份有限公司/江苏大丰农村商业银行股份有限公司/江苏泗阳农村商业银行股份有限公司/江苏沛县农村商业银行股份有限公司/江苏灌云农村商业银行股份有限公司/江苏灌南农村商业银行股份有限公司/江苏泰兴农村商业银行股份有限公司/江苏仪征农村商业银行股份有限公司/江苏靖江农村商业银行股份有限公司/江苏海门农村商业银行股份有限公司/连云港东方农村商业银行股份有限公司/江苏海安农村商业银行股份有限公司/江苏如东农村商业银行股份有限公司/江苏江南农村商业银行股份有限公司</w:t>
      </w:r>
    </w:p>
    <w:p>
      <w:pPr>
        <w:numPr>
          <w:ilvl w:val="-1"/>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芙蓉锦程 ·优选份额：成都银行股份有限公司</w:t>
      </w:r>
    </w:p>
    <w:p>
      <w:pPr>
        <w:numPr>
          <w:ilvl w:val="0"/>
          <w:numId w:val="6"/>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lang w:val="en-US" w:eastAsia="zh-CN"/>
        </w:rPr>
        <w:t>名词释义</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在本</w:t>
      </w:r>
      <w:r>
        <w:rPr>
          <w:rFonts w:hint="eastAsia" w:ascii="楷体" w:hAnsi="楷体" w:eastAsia="楷体"/>
          <w:color w:val="auto"/>
          <w:sz w:val="21"/>
          <w:szCs w:val="21"/>
          <w:highlight w:val="none"/>
          <w:lang w:val="en-US" w:eastAsia="zh-CN"/>
        </w:rPr>
        <w:t>理财</w:t>
      </w:r>
      <w:r>
        <w:rPr>
          <w:rFonts w:hint="eastAsia" w:ascii="楷体" w:hAnsi="楷体" w:eastAsia="楷体"/>
          <w:color w:val="auto"/>
          <w:sz w:val="21"/>
          <w:szCs w:val="21"/>
          <w:highlight w:val="none"/>
        </w:rPr>
        <w:t>产品说明书中，除非上下文另有明确约定，下列用词将具有如下含义：</w:t>
      </w:r>
    </w:p>
    <w:p>
      <w:pPr>
        <w:numPr>
          <w:ilvl w:val="0"/>
          <w:numId w:val="7"/>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理财产品用语</w:t>
      </w:r>
    </w:p>
    <w:p>
      <w:pPr>
        <w:numPr>
          <w:ilvl w:val="0"/>
          <w:numId w:val="8"/>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销售代码：指本理财产品可能</w:t>
      </w:r>
      <w:r>
        <w:rPr>
          <w:rFonts w:hint="eastAsia" w:ascii="楷体" w:hAnsi="楷体" w:eastAsia="楷体" w:cs="Calibri"/>
          <w:color w:val="auto"/>
          <w:sz w:val="21"/>
          <w:szCs w:val="21"/>
          <w:lang w:val="en-US" w:eastAsia="zh-CN"/>
        </w:rPr>
        <w:t>设置一个或多个</w:t>
      </w:r>
      <w:r>
        <w:rPr>
          <w:rFonts w:hint="eastAsia" w:ascii="楷体" w:hAnsi="楷体" w:eastAsia="楷体" w:cs="Calibri"/>
          <w:color w:val="auto"/>
          <w:sz w:val="21"/>
          <w:szCs w:val="21"/>
        </w:rPr>
        <w:t>产品份额，管理人在理财产品销售管理过程中为区分不同产品份额，</w:t>
      </w:r>
      <w:r>
        <w:rPr>
          <w:rFonts w:hint="eastAsia" w:ascii="楷体" w:hAnsi="楷体" w:eastAsia="楷体" w:cs="Calibri"/>
          <w:color w:val="auto"/>
          <w:sz w:val="21"/>
          <w:szCs w:val="21"/>
          <w:lang w:val="en-US" w:eastAsia="zh-CN"/>
        </w:rPr>
        <w:t>对各份额</w:t>
      </w:r>
      <w:r>
        <w:rPr>
          <w:rFonts w:hint="eastAsia" w:ascii="楷体" w:hAnsi="楷体" w:eastAsia="楷体" w:cs="Calibri"/>
          <w:color w:val="auto"/>
          <w:sz w:val="21"/>
          <w:szCs w:val="21"/>
        </w:rPr>
        <w:t>设置的内部识别码。</w:t>
      </w:r>
    </w:p>
    <w:p>
      <w:pPr>
        <w:numPr>
          <w:ilvl w:val="0"/>
          <w:numId w:val="8"/>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理财产品份额：指投资者持有本理财产品的单位数额。投资者基于其所持有的理财产品单位数额享有理财产品利益、承担理财产品风险。</w:t>
      </w:r>
    </w:p>
    <w:p>
      <w:pPr>
        <w:numPr>
          <w:ilvl w:val="0"/>
          <w:numId w:val="8"/>
        </w:numPr>
        <w:tabs>
          <w:tab w:val="left" w:pos="728"/>
        </w:tabs>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理财产品资产净值/</w:t>
      </w:r>
      <w:r>
        <w:rPr>
          <w:rFonts w:hint="eastAsia" w:ascii="楷体" w:hAnsi="楷体" w:eastAsia="楷体" w:cs="Calibri"/>
          <w:color w:val="auto"/>
          <w:sz w:val="21"/>
          <w:szCs w:val="21"/>
          <w:highlight w:val="none"/>
          <w:lang w:val="en-US" w:eastAsia="zh-CN"/>
        </w:rPr>
        <w:t>净资产</w:t>
      </w:r>
      <w:r>
        <w:rPr>
          <w:rFonts w:hint="eastAsia" w:ascii="楷体" w:hAnsi="楷体" w:eastAsia="楷体" w:cs="Calibri"/>
          <w:color w:val="auto"/>
          <w:sz w:val="21"/>
          <w:szCs w:val="21"/>
          <w:highlight w:val="none"/>
        </w:rPr>
        <w:t>：</w:t>
      </w:r>
      <w:r>
        <w:rPr>
          <w:rFonts w:hint="eastAsia" w:ascii="楷体" w:hAnsi="楷体" w:eastAsia="楷体" w:cs="Calibri"/>
          <w:color w:val="auto"/>
          <w:sz w:val="21"/>
          <w:szCs w:val="21"/>
          <w:highlight w:val="none"/>
          <w:lang w:val="en-US" w:eastAsia="zh-CN"/>
        </w:rPr>
        <w:t>指产品</w:t>
      </w:r>
      <w:r>
        <w:rPr>
          <w:rFonts w:hint="eastAsia" w:ascii="楷体" w:hAnsi="楷体" w:eastAsia="楷体" w:cs="Calibri"/>
          <w:color w:val="auto"/>
          <w:sz w:val="21"/>
          <w:szCs w:val="21"/>
          <w:highlight w:val="none"/>
        </w:rPr>
        <w:t>资产总值</w:t>
      </w:r>
      <w:r>
        <w:rPr>
          <w:rFonts w:hint="eastAsia" w:ascii="楷体" w:hAnsi="楷体" w:eastAsia="楷体" w:cs="Calibri"/>
          <w:color w:val="auto"/>
          <w:sz w:val="21"/>
          <w:szCs w:val="21"/>
          <w:highlight w:val="none"/>
          <w:lang w:val="en-US" w:eastAsia="zh-CN"/>
        </w:rPr>
        <w:t>减去</w:t>
      </w:r>
      <w:r>
        <w:rPr>
          <w:rFonts w:hint="eastAsia" w:ascii="楷体" w:hAnsi="楷体" w:eastAsia="楷体" w:cs="Calibri"/>
          <w:color w:val="auto"/>
          <w:sz w:val="21"/>
          <w:szCs w:val="21"/>
          <w:highlight w:val="none"/>
        </w:rPr>
        <w:t>产品负债总值</w:t>
      </w:r>
      <w:r>
        <w:rPr>
          <w:rFonts w:hint="eastAsia" w:ascii="楷体" w:hAnsi="楷体" w:eastAsia="楷体" w:cs="Calibri"/>
          <w:color w:val="auto"/>
          <w:sz w:val="21"/>
          <w:szCs w:val="21"/>
          <w:highlight w:val="none"/>
          <w:lang w:val="en-US" w:eastAsia="zh-CN"/>
        </w:rPr>
        <w:t>后的价值</w:t>
      </w:r>
      <w:r>
        <w:rPr>
          <w:rFonts w:hint="eastAsia" w:ascii="楷体" w:hAnsi="楷体" w:eastAsia="楷体" w:cs="Calibri"/>
          <w:color w:val="auto"/>
          <w:sz w:val="21"/>
          <w:szCs w:val="21"/>
          <w:highlight w:val="none"/>
        </w:rPr>
        <w:t>。</w:t>
      </w:r>
    </w:p>
    <w:p>
      <w:pPr>
        <w:numPr>
          <w:ilvl w:val="0"/>
          <w:numId w:val="8"/>
        </w:numPr>
        <w:tabs>
          <w:tab w:val="left" w:pos="728"/>
        </w:tabs>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产品资产总值</w:t>
      </w:r>
      <w:r>
        <w:rPr>
          <w:rFonts w:hint="eastAsia" w:ascii="楷体" w:hAnsi="楷体" w:eastAsia="楷体" w:cs="Calibri"/>
          <w:color w:val="auto"/>
          <w:sz w:val="21"/>
          <w:szCs w:val="21"/>
          <w:highlight w:val="none"/>
          <w:lang w:eastAsia="zh-CN"/>
        </w:rPr>
        <w:t>：</w:t>
      </w:r>
      <w:r>
        <w:rPr>
          <w:rFonts w:hint="eastAsia" w:ascii="楷体" w:hAnsi="楷体" w:eastAsia="楷体" w:cs="Calibri"/>
          <w:color w:val="auto"/>
          <w:sz w:val="21"/>
          <w:szCs w:val="21"/>
          <w:highlight w:val="none"/>
        </w:rPr>
        <w:t>指产品拥有的各类有价证券、银行存款、应收款项及其他资产的价值总和。</w:t>
      </w:r>
    </w:p>
    <w:p>
      <w:pPr>
        <w:numPr>
          <w:ilvl w:val="0"/>
          <w:numId w:val="8"/>
        </w:numPr>
        <w:tabs>
          <w:tab w:val="left" w:pos="728"/>
        </w:tabs>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产品负债总值</w:t>
      </w:r>
      <w:r>
        <w:rPr>
          <w:rFonts w:hint="eastAsia" w:ascii="楷体" w:hAnsi="楷体" w:eastAsia="楷体" w:cs="Calibri"/>
          <w:color w:val="auto"/>
          <w:sz w:val="21"/>
          <w:szCs w:val="21"/>
          <w:highlight w:val="none"/>
          <w:lang w:eastAsia="zh-CN"/>
        </w:rPr>
        <w:t>：</w:t>
      </w:r>
      <w:r>
        <w:rPr>
          <w:rFonts w:hint="eastAsia" w:ascii="楷体" w:hAnsi="楷体" w:eastAsia="楷体" w:cs="Calibri"/>
          <w:color w:val="auto"/>
          <w:sz w:val="21"/>
          <w:szCs w:val="21"/>
          <w:highlight w:val="none"/>
        </w:rPr>
        <w:t>指产品运作及融资时形成的负债价值总和，包括融资资金本息、应付各项费用（包括托管费、销售</w:t>
      </w:r>
      <w:r>
        <w:rPr>
          <w:rFonts w:ascii="楷体" w:hAnsi="楷体" w:eastAsia="楷体" w:cs="Calibri"/>
          <w:color w:val="auto"/>
          <w:sz w:val="21"/>
          <w:szCs w:val="21"/>
          <w:highlight w:val="none"/>
        </w:rPr>
        <w:t>服务费、</w:t>
      </w:r>
      <w:r>
        <w:rPr>
          <w:rFonts w:hint="eastAsia" w:ascii="楷体" w:hAnsi="楷体" w:eastAsia="楷体" w:cs="Calibri"/>
          <w:color w:val="auto"/>
          <w:sz w:val="21"/>
          <w:szCs w:val="21"/>
          <w:highlight w:val="none"/>
        </w:rPr>
        <w:t>投资管理费、超额业绩报酬、其他费用等）、应付税金及其他应付款项等。</w:t>
      </w:r>
    </w:p>
    <w:p>
      <w:pPr>
        <w:numPr>
          <w:ilvl w:val="0"/>
          <w:numId w:val="8"/>
        </w:numPr>
        <w:tabs>
          <w:tab w:val="left" w:pos="851"/>
        </w:tabs>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理财产品份额单位净值/理财产品单位净值/单位净值：指每1份理财产品份额以人民币计价的价格。理财产品单位净值=</w:t>
      </w:r>
      <w:r>
        <w:rPr>
          <w:rFonts w:hint="eastAsia" w:ascii="楷体" w:hAnsi="楷体" w:eastAsia="楷体" w:cs="Calibri"/>
          <w:color w:val="auto"/>
          <w:sz w:val="21"/>
          <w:szCs w:val="21"/>
          <w:highlight w:val="none"/>
          <w:lang w:val="en-US" w:eastAsia="zh-CN"/>
        </w:rPr>
        <w:t>理财产品</w:t>
      </w:r>
      <w:r>
        <w:rPr>
          <w:rFonts w:hint="eastAsia" w:ascii="楷体" w:hAnsi="楷体" w:eastAsia="楷体" w:cs="Calibri"/>
          <w:color w:val="auto"/>
          <w:sz w:val="21"/>
          <w:szCs w:val="21"/>
          <w:highlight w:val="none"/>
        </w:rPr>
        <w:t>资产净值/产品总份额。投资者按该份额</w:t>
      </w:r>
      <w:r>
        <w:rPr>
          <w:rFonts w:hint="eastAsia" w:ascii="楷体" w:hAnsi="楷体" w:eastAsia="楷体" w:cs="Calibri"/>
          <w:color w:val="auto"/>
          <w:sz w:val="21"/>
          <w:szCs w:val="21"/>
          <w:highlight w:val="none"/>
          <w:lang w:val="en-US" w:eastAsia="zh-CN"/>
        </w:rPr>
        <w:t>单位</w:t>
      </w:r>
      <w:r>
        <w:rPr>
          <w:rFonts w:hint="eastAsia" w:ascii="楷体" w:hAnsi="楷体" w:eastAsia="楷体" w:cs="Calibri"/>
          <w:color w:val="auto"/>
          <w:sz w:val="21"/>
          <w:szCs w:val="21"/>
          <w:highlight w:val="none"/>
        </w:rPr>
        <w:t>净值进行理财产品申购、赎回和终止时分配。</w:t>
      </w:r>
    </w:p>
    <w:p>
      <w:pPr>
        <w:numPr>
          <w:ilvl w:val="0"/>
          <w:numId w:val="8"/>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sz w:val="21"/>
          <w:szCs w:val="21"/>
          <w:lang w:val="en-US" w:eastAsia="zh-CN"/>
        </w:rPr>
        <w:t>流动性受限资产：</w:t>
      </w:r>
      <w:r>
        <w:rPr>
          <w:rFonts w:hint="eastAsia" w:ascii="楷体" w:hAnsi="楷体" w:eastAsia="楷体" w:cs="Calibri"/>
          <w:kern w:val="2"/>
          <w:sz w:val="21"/>
          <w:szCs w:val="21"/>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r>
        <w:rPr>
          <w:rFonts w:hint="eastAsia" w:ascii="楷体" w:hAnsi="楷体" w:eastAsia="楷体" w:cs="Calibri"/>
          <w:kern w:val="2"/>
          <w:sz w:val="21"/>
          <w:szCs w:val="21"/>
          <w:lang w:val="en-US" w:eastAsia="zh-CN"/>
        </w:rPr>
        <w:t>法律法规或监管机构另有规定的，从其规定。</w:t>
      </w:r>
    </w:p>
    <w:p>
      <w:pPr>
        <w:numPr>
          <w:ilvl w:val="0"/>
          <w:numId w:val="8"/>
        </w:numPr>
        <w:tabs>
          <w:tab w:val="left" w:pos="851"/>
        </w:tabs>
        <w:ind w:left="0" w:firstLine="420" w:firstLineChars="200"/>
        <w:rPr>
          <w:rFonts w:hint="eastAsia" w:ascii="楷体" w:hAnsi="楷体" w:eastAsia="楷体" w:cs="Calibri"/>
          <w:color w:val="auto"/>
          <w:sz w:val="21"/>
          <w:szCs w:val="21"/>
        </w:rPr>
      </w:pPr>
      <w:r>
        <w:rPr>
          <w:rFonts w:hint="eastAsia" w:ascii="楷体" w:hAnsi="楷体" w:eastAsia="楷体" w:cs="Calibri"/>
          <w:kern w:val="2"/>
          <w:sz w:val="21"/>
          <w:szCs w:val="21"/>
        </w:rPr>
        <w:t>7个工作日可变现资产</w:t>
      </w:r>
      <w:r>
        <w:rPr>
          <w:rFonts w:hint="eastAsia" w:ascii="楷体" w:hAnsi="楷体" w:eastAsia="楷体" w:cs="Calibri"/>
          <w:kern w:val="2"/>
          <w:sz w:val="21"/>
          <w:szCs w:val="21"/>
          <w:lang w:eastAsia="zh-CN"/>
        </w:rPr>
        <w:t>：</w:t>
      </w:r>
      <w:r>
        <w:rPr>
          <w:rFonts w:hint="eastAsia" w:ascii="楷体" w:hAnsi="楷体" w:eastAsia="楷体" w:cs="Calibri"/>
          <w:kern w:val="2"/>
          <w:sz w:val="21"/>
          <w:szCs w:val="21"/>
        </w:rPr>
        <w:t>包括可在交易所、银行间市场正常交易的股票、债券、非金融企业债务融资工具、期货及期权合约以及同业存单，7个工作日内到期或可支取的买入返售、银行存款，7个工作日内能够确认收到的各类应收款项等。</w:t>
      </w:r>
    </w:p>
    <w:p>
      <w:pPr>
        <w:numPr>
          <w:ilvl w:val="0"/>
          <w:numId w:val="7"/>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期间与日期</w:t>
      </w:r>
    </w:p>
    <w:p>
      <w:pPr>
        <w:numPr>
          <w:ilvl w:val="0"/>
          <w:numId w:val="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工作日：指国家法定工作日。</w:t>
      </w:r>
    </w:p>
    <w:p>
      <w:pPr>
        <w:numPr>
          <w:ilvl w:val="0"/>
          <w:numId w:val="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交易日：</w:t>
      </w:r>
      <w:r>
        <w:rPr>
          <w:rFonts w:ascii="楷体" w:hAnsi="楷体" w:eastAsia="楷体" w:cs="Calibri"/>
          <w:color w:val="auto"/>
          <w:sz w:val="21"/>
          <w:szCs w:val="21"/>
        </w:rPr>
        <w:t>指上海证券交易所和深圳证券交易所的正常开盘交易日</w:t>
      </w:r>
      <w:r>
        <w:rPr>
          <w:rFonts w:hint="eastAsia" w:ascii="楷体" w:hAnsi="楷体" w:eastAsia="楷体" w:cs="Calibri"/>
          <w:color w:val="auto"/>
          <w:sz w:val="21"/>
          <w:szCs w:val="21"/>
        </w:rPr>
        <w:t>。</w:t>
      </w:r>
    </w:p>
    <w:p>
      <w:pPr>
        <w:numPr>
          <w:ilvl w:val="0"/>
          <w:numId w:val="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份额登记日/份额确认日：指管理人对投资者提交的认购</w:t>
      </w:r>
      <w:r>
        <w:rPr>
          <w:rFonts w:hint="eastAsia" w:ascii="楷体" w:hAnsi="楷体" w:eastAsia="楷体" w:cs="Calibri"/>
          <w:color w:val="auto"/>
          <w:sz w:val="21"/>
          <w:szCs w:val="21"/>
          <w:lang w:val="en-US" w:eastAsia="zh-CN"/>
        </w:rPr>
        <w:t>/申购</w:t>
      </w:r>
      <w:r>
        <w:rPr>
          <w:rFonts w:hint="eastAsia" w:ascii="楷体" w:hAnsi="楷体" w:eastAsia="楷体" w:cs="Calibri"/>
          <w:color w:val="auto"/>
          <w:sz w:val="21"/>
          <w:szCs w:val="21"/>
        </w:rPr>
        <w:t>申请进行份额登记的日期。</w:t>
      </w:r>
    </w:p>
    <w:p>
      <w:pPr>
        <w:numPr>
          <w:ilvl w:val="0"/>
          <w:numId w:val="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终止日/到期日：指本产品终止的日期。</w:t>
      </w:r>
    </w:p>
    <w:p>
      <w:pPr>
        <w:numPr>
          <w:ilvl w:val="0"/>
          <w:numId w:val="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估值日：指产品管理人对理财产品项下资产进行估值的日期。</w:t>
      </w:r>
    </w:p>
    <w:p>
      <w:pPr>
        <w:numPr>
          <w:ilvl w:val="0"/>
          <w:numId w:val="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产品存续期：指自理财产品成立日起，至理财产品终止日的期间。</w:t>
      </w:r>
    </w:p>
    <w:p>
      <w:pPr>
        <w:numPr>
          <w:ilvl w:val="0"/>
          <w:numId w:val="6"/>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lang w:val="en-US" w:eastAsia="zh-CN"/>
        </w:rPr>
        <w:t>投资管理</w:t>
      </w:r>
    </w:p>
    <w:p>
      <w:pPr>
        <w:numPr>
          <w:ilvl w:val="0"/>
          <w:numId w:val="10"/>
        </w:numPr>
        <w:tabs>
          <w:tab w:val="left" w:pos="993"/>
        </w:tabs>
        <w:ind w:left="0" w:firstLine="420" w:firstLineChars="200"/>
        <w:rPr>
          <w:rFonts w:ascii="楷体" w:hAnsi="楷体" w:eastAsia="楷体" w:cs="Calibri"/>
          <w:color w:val="auto"/>
          <w:sz w:val="21"/>
          <w:szCs w:val="21"/>
          <w:highlight w:val="none"/>
        </w:rPr>
      </w:pPr>
      <w:r>
        <w:rPr>
          <w:rFonts w:hint="eastAsia" w:ascii="楷体" w:hAnsi="楷体" w:eastAsia="楷体" w:cs="Calibri"/>
          <w:color w:val="auto"/>
          <w:sz w:val="21"/>
          <w:szCs w:val="21"/>
          <w:highlight w:val="none"/>
        </w:rPr>
        <w:t>投资范围和比例</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本理财产品直接或间接投资于货币市场工具、债券、非标准化债权类资产和监管机构允许投资的其他资产（如纳入权益类资产核算的永续债等，不含金融衍生品）。具体资产投资比例为：货币市场工具、债券、非标准化债权类资产等固定收益类资产占产品资产总值比例80%-100%，其中非标准化债权类资产合计投资比例不高于产品净资产50%，非标准化债权类资产底层资产仅为消费类贷款债权资产；符合监管要求的其他资产占产品资产总值比例0%-20%。</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相关法律法规和监管部门对以上投资范围和配置比例有另行规定的，按照监管最新规定执行。非因管理人主观因素导致突破前述比例限制的，管理人将在流动性受限资产可出售、可转让或者恢复交易的15个交易日内调整至符合相关要求。</w:t>
      </w:r>
    </w:p>
    <w:p>
      <w:pPr>
        <w:numPr>
          <w:ilvl w:val="0"/>
          <w:numId w:val="10"/>
        </w:numPr>
        <w:tabs>
          <w:tab w:val="left" w:pos="993"/>
        </w:tabs>
        <w:ind w:left="0" w:firstLine="420" w:firstLineChars="200"/>
        <w:rPr>
          <w:rFonts w:hint="eastAsia" w:ascii="楷体" w:hAnsi="楷体" w:eastAsia="楷体" w:cs="Calibri"/>
          <w:color w:val="auto"/>
          <w:sz w:val="21"/>
          <w:szCs w:val="21"/>
          <w:highlight w:val="none"/>
          <w:lang w:val="en-US" w:eastAsia="zh-CN"/>
        </w:rPr>
      </w:pPr>
      <w:r>
        <w:rPr>
          <w:rFonts w:hint="eastAsia" w:ascii="楷体" w:hAnsi="楷体" w:eastAsia="楷体" w:cs="Calibri"/>
          <w:color w:val="auto"/>
          <w:sz w:val="21"/>
          <w:szCs w:val="21"/>
          <w:highlight w:val="none"/>
          <w:lang w:val="en-US" w:eastAsia="zh-CN"/>
        </w:rPr>
        <w:t>拟投资</w:t>
      </w:r>
      <w:r>
        <w:rPr>
          <w:rFonts w:hint="eastAsia" w:ascii="楷体" w:hAnsi="楷体" w:eastAsia="楷体" w:cs="Calibri"/>
          <w:b w:val="0"/>
          <w:bCs w:val="0"/>
          <w:color w:val="auto"/>
          <w:sz w:val="21"/>
          <w:szCs w:val="21"/>
          <w:highlight w:val="none"/>
          <w:u w:val="none"/>
        </w:rPr>
        <w:t>非标准化债权类资产</w:t>
      </w:r>
    </w:p>
    <w:p>
      <w:pPr>
        <w:ind w:firstLine="420" w:firstLineChars="200"/>
        <w:rPr>
          <w:rFonts w:hint="eastAsia" w:ascii="楷体" w:hAnsi="楷体" w:eastAsia="楷体"/>
          <w:b w:val="0"/>
          <w:bCs/>
          <w:color w:val="auto"/>
          <w:sz w:val="21"/>
          <w:szCs w:val="21"/>
          <w:highlight w:val="none"/>
          <w:u w:val="none"/>
        </w:rPr>
      </w:pPr>
      <w:r>
        <w:rPr>
          <w:rFonts w:hint="eastAsia" w:ascii="楷体" w:hAnsi="楷体" w:eastAsia="楷体"/>
          <w:b w:val="0"/>
          <w:bCs/>
          <w:color w:val="auto"/>
          <w:sz w:val="21"/>
          <w:szCs w:val="21"/>
          <w:highlight w:val="none"/>
          <w:u w:val="none"/>
        </w:rPr>
        <w:t>本产品计划配置以下</w:t>
      </w:r>
      <w:r>
        <w:rPr>
          <w:rFonts w:ascii="楷体" w:hAnsi="楷体" w:eastAsia="楷体"/>
          <w:b w:val="0"/>
          <w:bCs/>
          <w:color w:val="auto"/>
          <w:sz w:val="21"/>
          <w:szCs w:val="21"/>
          <w:highlight w:val="none"/>
          <w:u w:val="none"/>
        </w:rPr>
        <w:t>备选</w:t>
      </w:r>
      <w:r>
        <w:rPr>
          <w:rFonts w:hint="eastAsia" w:ascii="楷体" w:hAnsi="楷体" w:eastAsia="楷体"/>
          <w:b w:val="0"/>
          <w:bCs/>
          <w:color w:val="auto"/>
          <w:sz w:val="21"/>
          <w:szCs w:val="21"/>
          <w:highlight w:val="none"/>
          <w:u w:val="none"/>
        </w:rPr>
        <w:t>非标准化债权类资产：</w:t>
      </w:r>
    </w:p>
    <w:p>
      <w:pPr>
        <w:numPr>
          <w:ilvl w:val="0"/>
          <w:numId w:val="0"/>
        </w:numPr>
        <w:ind w:left="0" w:leftChars="0" w:firstLine="420" w:firstLineChars="200"/>
        <w:rPr>
          <w:rFonts w:hint="default" w:ascii="楷体" w:hAnsi="楷体" w:eastAsia="楷体" w:cs="Times New Roman"/>
          <w:bCs/>
          <w:color w:val="auto"/>
          <w:sz w:val="21"/>
          <w:szCs w:val="21"/>
          <w:highlight w:val="none"/>
          <w:u w:val="none"/>
          <w:lang w:val="en-US" w:eastAsia="zh-CN"/>
        </w:rPr>
      </w:pPr>
      <w:r>
        <w:rPr>
          <w:rFonts w:hint="default" w:ascii="楷体" w:hAnsi="楷体" w:eastAsia="楷体" w:cs="Times New Roman"/>
          <w:bCs/>
          <w:color w:val="auto"/>
          <w:sz w:val="21"/>
          <w:szCs w:val="21"/>
          <w:highlight w:val="none"/>
          <w:u w:val="none"/>
          <w:lang w:val="en-US" w:eastAsia="zh-CN"/>
        </w:rPr>
        <w:t>（1）信托贷款：资产类型为信托公司设立的信托计划，底层资产为个人贷款债权，该类资产由蚂蚁、微信、抖音、京东、度小满、网商银行等公司与信托公司双重审核、信托公司自主风控后发放，资产运行正常。（2）资产支持计划：资产类型为保险资产管理公司设立的资产支持计划，底层资产为个人贷款债权，该类资产由蚂蚁、微信、抖音、京东、度小满等公司与信托公司双重审核、信托公司自主风控后发放，资产运行正常。</w:t>
      </w:r>
      <w:bookmarkStart w:id="1" w:name="_GoBack"/>
      <w:bookmarkEnd w:id="1"/>
    </w:p>
    <w:p>
      <w:pPr>
        <w:numPr>
          <w:ilvl w:val="0"/>
          <w:numId w:val="0"/>
        </w:numPr>
        <w:ind w:left="0" w:leftChars="0" w:firstLine="420" w:firstLineChars="200"/>
        <w:rPr>
          <w:rFonts w:hint="default" w:ascii="楷体" w:hAnsi="楷体" w:eastAsia="楷体" w:cs="楷体"/>
          <w:b/>
          <w:bCs/>
          <w:kern w:val="2"/>
          <w:sz w:val="21"/>
          <w:szCs w:val="21"/>
          <w:u w:val="single"/>
          <w:lang w:val="en-US" w:eastAsia="zh-CN" w:bidi="ar-SA"/>
        </w:rPr>
      </w:pPr>
      <w:r>
        <w:rPr>
          <w:rFonts w:hint="eastAsia" w:ascii="楷体" w:hAnsi="楷体" w:eastAsia="楷体" w:cs="Times New Roman"/>
          <w:bCs/>
          <w:color w:val="auto"/>
          <w:sz w:val="21"/>
          <w:szCs w:val="21"/>
          <w:highlight w:val="none"/>
          <w:u w:val="none"/>
          <w:lang w:eastAsia="zh-CN"/>
        </w:rPr>
        <w:t>（1）-（2）各资产到期日不超过理财产品</w:t>
      </w:r>
      <w:r>
        <w:rPr>
          <w:rFonts w:hint="eastAsia" w:ascii="楷体" w:hAnsi="楷体" w:eastAsia="楷体" w:cs="Times New Roman"/>
          <w:bCs/>
          <w:color w:val="auto"/>
          <w:sz w:val="21"/>
          <w:szCs w:val="21"/>
          <w:highlight w:val="none"/>
          <w:u w:val="none"/>
          <w:lang w:val="en-US" w:eastAsia="zh-CN"/>
        </w:rPr>
        <w:t>到期日</w:t>
      </w:r>
      <w:r>
        <w:rPr>
          <w:rFonts w:hint="eastAsia" w:ascii="楷体" w:hAnsi="楷体" w:eastAsia="楷体" w:cs="Times New Roman"/>
          <w:bCs/>
          <w:color w:val="auto"/>
          <w:sz w:val="21"/>
          <w:szCs w:val="21"/>
          <w:highlight w:val="none"/>
          <w:u w:val="none"/>
          <w:lang w:eastAsia="zh-CN"/>
        </w:rPr>
        <w:t>，循环期不还本、摊还期过手摊还本息</w:t>
      </w:r>
      <w:r>
        <w:rPr>
          <w:rFonts w:hint="eastAsia" w:ascii="楷体" w:hAnsi="楷体" w:eastAsia="楷体" w:cs="Times New Roman"/>
          <w:bCs/>
          <w:color w:val="auto"/>
          <w:sz w:val="21"/>
          <w:szCs w:val="21"/>
          <w:highlight w:val="none"/>
          <w:u w:val="none"/>
          <w:lang w:val="en-US" w:eastAsia="zh-CN"/>
        </w:rPr>
        <w:t xml:space="preserve">。  </w:t>
      </w:r>
      <w:r>
        <w:rPr>
          <w:rFonts w:hint="eastAsia" w:ascii="楷体" w:hAnsi="楷体" w:eastAsia="楷体" w:cs="楷体"/>
          <w:b w:val="0"/>
          <w:bCs w:val="0"/>
          <w:kern w:val="2"/>
          <w:sz w:val="21"/>
          <w:szCs w:val="21"/>
          <w:u w:val="none"/>
          <w:lang w:val="en-US" w:eastAsia="zh-CN" w:bidi="ar-SA"/>
        </w:rPr>
        <w:t xml:space="preserve"> </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highlight w:val="none"/>
        </w:rPr>
        <w:t>产品存续期内若本理财产品投资的个人贷款债权资产有所调整，管理人将选择优质企业作为融资人，且融资项目已履行管理人内部审批流程，融资人业务经营正常，融资项目还款来源明确，并在本理财产品的定期报告中披露。</w:t>
      </w:r>
    </w:p>
    <w:p>
      <w:pPr>
        <w:numPr>
          <w:ilvl w:val="0"/>
          <w:numId w:val="10"/>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投资集中度限制</w:t>
      </w:r>
    </w:p>
    <w:p>
      <w:pPr>
        <w:numPr>
          <w:ilvl w:val="0"/>
          <w:numId w:val="11"/>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本产品</w:t>
      </w:r>
      <w:r>
        <w:rPr>
          <w:rFonts w:hint="eastAsia" w:ascii="楷体" w:hAnsi="楷体" w:eastAsia="楷体" w:cs="Calibri"/>
          <w:color w:val="auto"/>
          <w:sz w:val="21"/>
          <w:szCs w:val="21"/>
          <w:lang w:val="en-US" w:eastAsia="zh-CN"/>
        </w:rPr>
        <w:t>投资</w:t>
      </w:r>
      <w:r>
        <w:rPr>
          <w:rFonts w:hint="eastAsia" w:ascii="楷体" w:hAnsi="楷体" w:eastAsia="楷体" w:cs="Calibri"/>
          <w:color w:val="auto"/>
          <w:sz w:val="21"/>
          <w:szCs w:val="21"/>
        </w:rPr>
        <w:t>单只证券或者单只证券投资基金的市值不得超过</w:t>
      </w:r>
      <w:r>
        <w:rPr>
          <w:rFonts w:hint="eastAsia" w:ascii="楷体" w:hAnsi="楷体" w:eastAsia="楷体" w:cs="Calibri"/>
          <w:color w:val="auto"/>
          <w:sz w:val="21"/>
          <w:szCs w:val="21"/>
          <w:lang w:val="en-US" w:eastAsia="zh-CN"/>
        </w:rPr>
        <w:t>本</w:t>
      </w:r>
      <w:r>
        <w:rPr>
          <w:rFonts w:hint="eastAsia" w:ascii="楷体" w:hAnsi="楷体" w:eastAsia="楷体" w:cs="Calibri"/>
          <w:color w:val="auto"/>
          <w:sz w:val="21"/>
          <w:szCs w:val="21"/>
        </w:rPr>
        <w:t>产品净资产的</w:t>
      </w:r>
      <w:r>
        <w:rPr>
          <w:rFonts w:ascii="楷体" w:hAnsi="楷体" w:eastAsia="楷体" w:cs="Calibri"/>
          <w:color w:val="auto"/>
          <w:sz w:val="21"/>
          <w:szCs w:val="21"/>
        </w:rPr>
        <w:t>10%</w:t>
      </w:r>
      <w:r>
        <w:rPr>
          <w:rFonts w:hint="eastAsia" w:ascii="楷体" w:hAnsi="楷体" w:eastAsia="楷体" w:cs="Calibri"/>
          <w:color w:val="auto"/>
          <w:sz w:val="21"/>
          <w:szCs w:val="21"/>
        </w:rPr>
        <w:t>。</w:t>
      </w:r>
    </w:p>
    <w:p>
      <w:pPr>
        <w:numPr>
          <w:ilvl w:val="0"/>
          <w:numId w:val="11"/>
        </w:numPr>
        <w:tabs>
          <w:tab w:val="left" w:pos="728"/>
        </w:tabs>
        <w:ind w:left="0" w:firstLine="420" w:firstLineChars="200"/>
        <w:rPr>
          <w:rFonts w:ascii="楷体" w:hAnsi="楷体" w:eastAsia="楷体" w:cs="Calibri"/>
          <w:color w:val="auto"/>
          <w:sz w:val="21"/>
          <w:szCs w:val="21"/>
          <w:highlight w:val="none"/>
        </w:rPr>
      </w:pPr>
      <w:r>
        <w:rPr>
          <w:rFonts w:hint="eastAsia" w:ascii="楷体" w:hAnsi="楷体" w:eastAsia="楷体" w:cs="Calibri"/>
          <w:color w:val="auto"/>
          <w:sz w:val="21"/>
          <w:szCs w:val="21"/>
          <w:highlight w:val="none"/>
        </w:rPr>
        <w:t>管理人</w:t>
      </w:r>
      <w:r>
        <w:rPr>
          <w:rFonts w:hint="eastAsia" w:ascii="楷体" w:hAnsi="楷体" w:eastAsia="楷体" w:cs="Calibri"/>
          <w:color w:val="auto"/>
          <w:sz w:val="21"/>
          <w:szCs w:val="21"/>
          <w:highlight w:val="none"/>
          <w:lang w:val="en-US" w:eastAsia="zh-CN"/>
        </w:rPr>
        <w:t>发行的</w:t>
      </w:r>
      <w:r>
        <w:rPr>
          <w:rFonts w:hint="eastAsia" w:ascii="楷体" w:hAnsi="楷体" w:eastAsia="楷体" w:cs="Calibri"/>
          <w:color w:val="auto"/>
          <w:sz w:val="21"/>
          <w:szCs w:val="21"/>
          <w:highlight w:val="none"/>
        </w:rPr>
        <w:t>全部公募产品</w:t>
      </w:r>
      <w:r>
        <w:rPr>
          <w:rFonts w:hint="eastAsia" w:ascii="楷体" w:hAnsi="楷体" w:eastAsia="楷体" w:cs="Calibri"/>
          <w:color w:val="auto"/>
          <w:sz w:val="21"/>
          <w:szCs w:val="21"/>
          <w:highlight w:val="none"/>
          <w:lang w:val="en-US" w:eastAsia="zh-CN"/>
        </w:rPr>
        <w:t>投资</w:t>
      </w:r>
      <w:r>
        <w:rPr>
          <w:rFonts w:hint="eastAsia" w:ascii="楷体" w:hAnsi="楷体" w:eastAsia="楷体" w:cs="Calibri"/>
          <w:color w:val="auto"/>
          <w:sz w:val="21"/>
          <w:szCs w:val="21"/>
          <w:highlight w:val="none"/>
        </w:rPr>
        <w:t>单只证券或单只证券投资基金的市值，不得超过该证券市值或该证券投资基金市值的</w:t>
      </w:r>
      <w:r>
        <w:rPr>
          <w:rFonts w:ascii="楷体" w:hAnsi="楷体" w:eastAsia="楷体" w:cs="Calibri"/>
          <w:color w:val="auto"/>
          <w:sz w:val="21"/>
          <w:szCs w:val="21"/>
          <w:highlight w:val="none"/>
        </w:rPr>
        <w:t>30%</w:t>
      </w:r>
      <w:r>
        <w:rPr>
          <w:rFonts w:hint="eastAsia" w:ascii="楷体" w:hAnsi="楷体" w:eastAsia="楷体" w:cs="Calibri"/>
          <w:color w:val="auto"/>
          <w:sz w:val="21"/>
          <w:szCs w:val="21"/>
          <w:highlight w:val="none"/>
        </w:rPr>
        <w:t>。</w:t>
      </w:r>
    </w:p>
    <w:p>
      <w:pPr>
        <w:numPr>
          <w:ilvl w:val="0"/>
          <w:numId w:val="11"/>
        </w:numPr>
        <w:tabs>
          <w:tab w:val="left" w:pos="728"/>
        </w:tabs>
        <w:ind w:left="0" w:firstLine="420" w:firstLineChars="200"/>
        <w:rPr>
          <w:rFonts w:ascii="楷体" w:hAnsi="楷体" w:eastAsia="楷体" w:cs="Calibri"/>
          <w:color w:val="auto"/>
          <w:sz w:val="21"/>
          <w:szCs w:val="21"/>
          <w:highlight w:val="none"/>
        </w:rPr>
      </w:pPr>
      <w:r>
        <w:rPr>
          <w:rFonts w:hint="eastAsia" w:ascii="楷体" w:hAnsi="楷体" w:eastAsia="楷体" w:cs="Calibri"/>
          <w:sz w:val="21"/>
          <w:szCs w:val="21"/>
          <w:highlight w:val="none"/>
        </w:rPr>
        <w:t>管理人全部产品</w:t>
      </w:r>
      <w:r>
        <w:rPr>
          <w:rFonts w:hint="eastAsia" w:ascii="楷体" w:hAnsi="楷体" w:eastAsia="楷体" w:cs="Calibri"/>
          <w:sz w:val="21"/>
          <w:szCs w:val="21"/>
          <w:highlight w:val="none"/>
          <w:lang w:val="en-US" w:eastAsia="zh-CN"/>
        </w:rPr>
        <w:t>投资</w:t>
      </w:r>
      <w:r>
        <w:rPr>
          <w:rFonts w:hint="eastAsia" w:ascii="楷体" w:hAnsi="楷体" w:eastAsia="楷体" w:cs="Calibri"/>
          <w:sz w:val="21"/>
          <w:szCs w:val="21"/>
          <w:highlight w:val="none"/>
        </w:rPr>
        <w:t>单一上市公司发行的股票，不得超过该上市公司可流通股票的30%。</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金融监督管理部门另有规定的除外。非因管理人主观因素导致突破上述比例限制的，管理人在流动性受限资产可出售、可转让或者恢复交易的</w:t>
      </w:r>
      <w:r>
        <w:rPr>
          <w:rFonts w:ascii="楷体" w:hAnsi="楷体" w:eastAsia="楷体"/>
          <w:color w:val="auto"/>
          <w:sz w:val="21"/>
          <w:szCs w:val="21"/>
        </w:rPr>
        <w:t>1</w:t>
      </w:r>
      <w:r>
        <w:rPr>
          <w:rFonts w:hint="eastAsia" w:ascii="楷体" w:hAnsi="楷体" w:eastAsia="楷体"/>
          <w:color w:val="auto"/>
          <w:sz w:val="21"/>
          <w:szCs w:val="21"/>
        </w:rPr>
        <w:t>0个交易日内调整至符合要求。</w:t>
      </w:r>
    </w:p>
    <w:p>
      <w:pPr>
        <w:numPr>
          <w:ilvl w:val="0"/>
          <w:numId w:val="10"/>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杠杆水平限制</w:t>
      </w:r>
    </w:p>
    <w:p>
      <w:pPr>
        <w:ind w:firstLine="420" w:firstLineChars="200"/>
        <w:rPr>
          <w:rFonts w:hint="eastAsia" w:ascii="楷体" w:hAnsi="楷体" w:eastAsia="楷体"/>
          <w:color w:val="auto"/>
          <w:sz w:val="21"/>
          <w:szCs w:val="21"/>
        </w:rPr>
      </w:pPr>
      <w:r>
        <w:rPr>
          <w:rFonts w:hint="eastAsia" w:ascii="楷体" w:hAnsi="楷体" w:eastAsia="楷体"/>
          <w:sz w:val="21"/>
          <w:szCs w:val="21"/>
        </w:rPr>
        <w:t>本产品资产总值</w:t>
      </w:r>
      <w:r>
        <w:rPr>
          <w:rFonts w:hint="eastAsia" w:ascii="楷体" w:hAnsi="楷体" w:eastAsia="楷体"/>
          <w:color w:val="auto"/>
          <w:sz w:val="21"/>
          <w:szCs w:val="21"/>
        </w:rPr>
        <w:t>/</w:t>
      </w:r>
      <w:r>
        <w:rPr>
          <w:rFonts w:hint="eastAsia" w:ascii="楷体" w:hAnsi="楷体" w:eastAsia="楷体"/>
          <w:color w:val="auto"/>
          <w:sz w:val="21"/>
          <w:szCs w:val="21"/>
          <w:lang w:val="en-US" w:eastAsia="zh-CN"/>
        </w:rPr>
        <w:t>净资产</w:t>
      </w:r>
      <w:r>
        <w:rPr>
          <w:rFonts w:hint="eastAsia" w:ascii="楷体" w:hAnsi="楷体" w:eastAsia="楷体"/>
          <w:color w:val="auto"/>
          <w:sz w:val="21"/>
          <w:szCs w:val="21"/>
        </w:rPr>
        <w:t>不超过</w:t>
      </w:r>
      <w:r>
        <w:rPr>
          <w:rFonts w:ascii="楷体" w:hAnsi="楷体" w:eastAsia="楷体"/>
          <w:color w:val="auto"/>
          <w:sz w:val="21"/>
          <w:szCs w:val="21"/>
        </w:rPr>
        <w:t>15</w:t>
      </w:r>
      <w:r>
        <w:rPr>
          <w:rFonts w:hint="eastAsia" w:ascii="楷体" w:hAnsi="楷体" w:eastAsia="楷体"/>
          <w:color w:val="auto"/>
          <w:sz w:val="21"/>
          <w:szCs w:val="21"/>
        </w:rPr>
        <w:t>0%（如监管有最新规定</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将</w:t>
      </w:r>
      <w:r>
        <w:rPr>
          <w:rFonts w:hint="eastAsia" w:ascii="楷体" w:hAnsi="楷体" w:eastAsia="楷体"/>
          <w:color w:val="auto"/>
          <w:sz w:val="21"/>
          <w:szCs w:val="21"/>
        </w:rPr>
        <w:t>参照监管规定调整）。</w:t>
      </w:r>
    </w:p>
    <w:p>
      <w:pPr>
        <w:numPr>
          <w:ilvl w:val="0"/>
          <w:numId w:val="10"/>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投资范围调整</w:t>
      </w:r>
    </w:p>
    <w:p>
      <w:pPr>
        <w:numPr>
          <w:ilvl w:val="-1"/>
          <w:numId w:val="0"/>
        </w:numPr>
        <w:tabs>
          <w:tab w:val="left" w:pos="1134"/>
        </w:tabs>
        <w:ind w:leftChars="0"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若法律法规、国家监管政策或市场情况发生变化，苏银理财在不改变产品类型的情况下，可对本说明书中已约定的投资范围、投资品种、投资比例以及收费项目、条件、标准和方式进行调整，产品管理人将于调整事项生效前2个工作日通过短信及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高风险类型的理财产品超出比例范围投资较低风险资产的情况除外）；若本理财产品投资者未在约定的时间内赎回本产品，则视为本理财产品投资者接受相关调整且同意继续持有本理财产品。</w:t>
      </w:r>
    </w:p>
    <w:p>
      <w:pPr>
        <w:numPr>
          <w:ilvl w:val="0"/>
          <w:numId w:val="10"/>
        </w:numPr>
        <w:tabs>
          <w:tab w:val="left" w:pos="993"/>
        </w:tabs>
        <w:ind w:firstLine="0" w:firstLineChars="0"/>
        <w:rPr>
          <w:rFonts w:hint="eastAsia" w:ascii="楷体" w:hAnsi="楷体" w:eastAsia="楷体" w:cs="Calibri"/>
          <w:color w:val="auto"/>
          <w:sz w:val="21"/>
          <w:szCs w:val="21"/>
          <w:lang w:val="en-US" w:eastAsia="zh-CN"/>
        </w:rPr>
      </w:pPr>
      <w:r>
        <w:rPr>
          <w:rFonts w:hint="eastAsia" w:ascii="楷体" w:hAnsi="楷体" w:eastAsia="楷体" w:cs="Calibri"/>
          <w:color w:val="auto"/>
          <w:sz w:val="21"/>
          <w:szCs w:val="21"/>
          <w:highlight w:val="none"/>
          <w:lang w:val="en-US" w:eastAsia="zh-CN"/>
        </w:rPr>
        <w:t>投资合作机构</w:t>
      </w:r>
    </w:p>
    <w:p>
      <w:pPr>
        <w:numPr>
          <w:ilvl w:val="-1"/>
          <w:numId w:val="0"/>
        </w:num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投资合作机构主要职责是对理财产品受托资金进行投资管理，</w:t>
      </w:r>
      <w:r>
        <w:rPr>
          <w:rFonts w:hint="eastAsia" w:ascii="楷体" w:hAnsi="楷体" w:eastAsia="楷体"/>
          <w:color w:val="auto"/>
          <w:sz w:val="21"/>
          <w:szCs w:val="21"/>
          <w:lang w:val="en-US" w:eastAsia="zh-CN"/>
        </w:rPr>
        <w:t>管理人</w:t>
      </w:r>
      <w:r>
        <w:rPr>
          <w:rFonts w:hint="eastAsia" w:ascii="楷体" w:hAnsi="楷体" w:eastAsia="楷体"/>
          <w:color w:val="auto"/>
          <w:sz w:val="21"/>
          <w:szCs w:val="21"/>
        </w:rPr>
        <w:t>已按投资决策流程对投资合作机构进行了准入，并持续开展投资合作机构的存续期管理。本产品投资合作机构包括：</w:t>
      </w:r>
    </w:p>
    <w:p>
      <w:pPr>
        <w:ind w:firstLine="420" w:firstLineChars="200"/>
        <w:rPr>
          <w:rFonts w:hint="eastAsia" w:ascii="楷体" w:hAnsi="楷体" w:eastAsia="楷体"/>
          <w:sz w:val="21"/>
          <w:szCs w:val="21"/>
        </w:rPr>
      </w:pPr>
      <w:r>
        <w:rPr>
          <w:rFonts w:hint="default" w:ascii="Calibri" w:hAnsi="Calibri" w:eastAsia="楷体" w:cs="Calibri"/>
          <w:sz w:val="21"/>
          <w:szCs w:val="21"/>
        </w:rPr>
        <w:t>①</w:t>
      </w:r>
      <w:r>
        <w:rPr>
          <w:rFonts w:hint="eastAsia" w:ascii="楷体" w:hAnsi="楷体" w:eastAsia="楷体"/>
          <w:sz w:val="21"/>
          <w:szCs w:val="21"/>
        </w:rPr>
        <w:t>弘业期货股份有限公司</w:t>
      </w:r>
      <w:r>
        <w:rPr>
          <w:rFonts w:hint="eastAsia" w:ascii="楷体" w:hAnsi="楷体" w:eastAsia="楷体"/>
          <w:sz w:val="21"/>
          <w:szCs w:val="21"/>
          <w:lang w:eastAsia="zh-CN"/>
        </w:rPr>
        <w:t>：</w:t>
      </w:r>
      <w:r>
        <w:rPr>
          <w:rFonts w:hint="eastAsia" w:ascii="楷体" w:hAnsi="楷体" w:eastAsia="楷体"/>
          <w:sz w:val="21"/>
          <w:szCs w:val="21"/>
        </w:rPr>
        <w:t>弘业期货股份有限公司是经中国证监会批准设立的大型期货公司，总部位于江苏南京，公司在北京、上海、深圳等国内主要金融中心和重点城市设立40多家营业部和分公司</w:t>
      </w:r>
      <w:r>
        <w:rPr>
          <w:rFonts w:hint="eastAsia" w:ascii="楷体" w:hAnsi="楷体" w:eastAsia="楷体"/>
          <w:sz w:val="21"/>
          <w:szCs w:val="21"/>
          <w:lang w:eastAsia="zh-CN"/>
        </w:rPr>
        <w:t>。</w:t>
      </w:r>
      <w:r>
        <w:rPr>
          <w:rFonts w:hint="default" w:ascii="Calibri" w:hAnsi="Calibri" w:eastAsia="楷体" w:cs="Calibri"/>
          <w:sz w:val="21"/>
          <w:szCs w:val="21"/>
          <w:lang w:eastAsia="zh-CN"/>
        </w:rPr>
        <w:t>②</w:t>
      </w:r>
      <w:r>
        <w:rPr>
          <w:rFonts w:hint="eastAsia" w:ascii="楷体" w:hAnsi="楷体" w:eastAsia="楷体"/>
          <w:sz w:val="21"/>
          <w:szCs w:val="21"/>
        </w:rPr>
        <w:t>江苏省国际信托有限责任公司</w:t>
      </w:r>
      <w:r>
        <w:rPr>
          <w:rFonts w:hint="eastAsia" w:ascii="楷体" w:hAnsi="楷体" w:eastAsia="楷体"/>
          <w:sz w:val="21"/>
          <w:szCs w:val="21"/>
          <w:lang w:eastAsia="zh-CN"/>
        </w:rPr>
        <w:t>：</w:t>
      </w:r>
      <w:r>
        <w:rPr>
          <w:rFonts w:hint="eastAsia" w:ascii="楷体" w:hAnsi="楷体" w:eastAsia="楷体"/>
          <w:sz w:val="21"/>
          <w:szCs w:val="21"/>
        </w:rPr>
        <w:t>江苏省国际信托有限责任公司是经江苏省人民政府和中国银行业监督管理委员会批准设立的非银行金融机构，是江苏省国信集团的主要成员企业之一，专业从事金融信托业务。</w:t>
      </w:r>
      <w:r>
        <w:rPr>
          <w:rFonts w:hint="default" w:ascii="Calibri" w:hAnsi="Calibri" w:eastAsia="楷体" w:cs="Calibri"/>
          <w:sz w:val="21"/>
          <w:szCs w:val="21"/>
        </w:rPr>
        <w:t>③</w:t>
      </w:r>
      <w:r>
        <w:rPr>
          <w:rFonts w:hint="eastAsia" w:ascii="楷体" w:hAnsi="楷体" w:eastAsia="楷体"/>
          <w:sz w:val="21"/>
          <w:szCs w:val="21"/>
        </w:rPr>
        <w:t>创金合信基金管理有限公司</w:t>
      </w:r>
      <w:r>
        <w:rPr>
          <w:rFonts w:hint="eastAsia" w:ascii="楷体" w:hAnsi="楷体" w:eastAsia="楷体"/>
          <w:sz w:val="21"/>
          <w:szCs w:val="21"/>
          <w:lang w:eastAsia="zh-CN"/>
        </w:rPr>
        <w:t>：</w:t>
      </w:r>
      <w:r>
        <w:rPr>
          <w:rFonts w:hint="eastAsia" w:ascii="楷体" w:hAnsi="楷体" w:eastAsia="楷体"/>
          <w:sz w:val="21"/>
          <w:szCs w:val="21"/>
        </w:rPr>
        <w:t>创金合信基金管理有限公司成立于2014年7月9日，由第一创业证券股份有限公司、深圳市金合信投资合伙企业（有限合伙）共同发起设立，注册地为深圳。</w:t>
      </w:r>
      <w:r>
        <w:rPr>
          <w:rFonts w:hint="eastAsia" w:ascii="楷体" w:hAnsi="楷体" w:eastAsia="楷体" w:cs="楷体"/>
          <w:sz w:val="21"/>
          <w:szCs w:val="21"/>
        </w:rPr>
        <w:t>④</w:t>
      </w:r>
      <w:r>
        <w:rPr>
          <w:rFonts w:hint="eastAsia" w:ascii="楷体" w:hAnsi="楷体" w:eastAsia="楷体"/>
          <w:sz w:val="21"/>
          <w:szCs w:val="21"/>
        </w:rPr>
        <w:t>华鑫国际信托有限公司</w:t>
      </w:r>
      <w:r>
        <w:rPr>
          <w:rFonts w:hint="eastAsia" w:ascii="楷体" w:hAnsi="楷体" w:eastAsia="楷体"/>
          <w:sz w:val="21"/>
          <w:szCs w:val="21"/>
          <w:lang w:eastAsia="zh-CN"/>
        </w:rPr>
        <w:t>：</w:t>
      </w:r>
      <w:r>
        <w:rPr>
          <w:rFonts w:hint="eastAsia" w:ascii="楷体" w:hAnsi="楷体" w:eastAsia="楷体"/>
          <w:sz w:val="21"/>
          <w:szCs w:val="21"/>
        </w:rPr>
        <w:t>华鑫国际信托有限公司于2010年2月获得中国银行业监督管理委员会批准重新登记，并于同年3月正式挂牌开业，实际控制人为中国华电集团有限公司，注册资本73.95亿元。</w:t>
      </w:r>
      <w:r>
        <w:rPr>
          <w:rFonts w:hint="eastAsia" w:ascii="楷体" w:hAnsi="楷体" w:eastAsia="楷体" w:cs="楷体"/>
          <w:sz w:val="21"/>
          <w:szCs w:val="21"/>
        </w:rPr>
        <w:t>⑤</w:t>
      </w:r>
      <w:r>
        <w:rPr>
          <w:rFonts w:hint="eastAsia" w:ascii="楷体" w:hAnsi="楷体" w:eastAsia="楷体"/>
          <w:sz w:val="21"/>
          <w:szCs w:val="21"/>
        </w:rPr>
        <w:t>中国国际金融股份有限公司</w:t>
      </w:r>
      <w:r>
        <w:rPr>
          <w:rFonts w:hint="eastAsia" w:ascii="楷体" w:hAnsi="楷体" w:eastAsia="楷体"/>
          <w:sz w:val="21"/>
          <w:szCs w:val="21"/>
          <w:lang w:eastAsia="zh-CN"/>
        </w:rPr>
        <w:t>：</w:t>
      </w:r>
      <w:r>
        <w:rPr>
          <w:rFonts w:hint="eastAsia" w:ascii="楷体" w:hAnsi="楷体" w:eastAsia="楷体"/>
          <w:sz w:val="21"/>
          <w:szCs w:val="21"/>
        </w:rPr>
        <w:t>中国国际金融股份有限公司于1995年7月31日成立，实际控制人为中央汇金投资有限责任公司，注册资本4,827,256,868元。</w:t>
      </w:r>
    </w:p>
    <w:p>
      <w:pPr>
        <w:ind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sz w:val="21"/>
          <w:szCs w:val="21"/>
        </w:rPr>
        <w:t>产品存续期内合作机构如有</w:t>
      </w:r>
      <w:r>
        <w:rPr>
          <w:rFonts w:hint="eastAsia" w:ascii="楷体" w:hAnsi="楷体" w:eastAsia="楷体"/>
          <w:sz w:val="21"/>
          <w:szCs w:val="21"/>
          <w:highlight w:val="none"/>
        </w:rPr>
        <w:t>变化，管理人将按照监管规定和内部管理制度要求对合作机构进行准入，签署相关协议后，</w:t>
      </w:r>
      <w:r>
        <w:rPr>
          <w:rFonts w:hint="eastAsia" w:ascii="楷体" w:hAnsi="楷体" w:eastAsia="楷体"/>
          <w:sz w:val="21"/>
          <w:szCs w:val="21"/>
          <w:highlight w:val="none"/>
          <w:lang w:val="en-US" w:eastAsia="zh-CN"/>
        </w:rPr>
        <w:t>披露</w:t>
      </w:r>
      <w:r>
        <w:rPr>
          <w:rFonts w:hint="eastAsia" w:ascii="楷体" w:hAnsi="楷体" w:eastAsia="楷体"/>
          <w:sz w:val="21"/>
          <w:szCs w:val="21"/>
          <w:highlight w:val="none"/>
        </w:rPr>
        <w:t>新增</w:t>
      </w:r>
      <w:r>
        <w:rPr>
          <w:rFonts w:hint="eastAsia" w:ascii="楷体" w:hAnsi="楷体" w:eastAsia="楷体"/>
          <w:sz w:val="21"/>
          <w:szCs w:val="21"/>
          <w:highlight w:val="none"/>
          <w:lang w:val="en-US" w:eastAsia="zh-CN"/>
        </w:rPr>
        <w:t>的</w:t>
      </w:r>
      <w:r>
        <w:rPr>
          <w:rFonts w:hint="eastAsia" w:ascii="楷体" w:hAnsi="楷体" w:eastAsia="楷体"/>
          <w:sz w:val="21"/>
          <w:szCs w:val="21"/>
          <w:highlight w:val="none"/>
        </w:rPr>
        <w:t>投资合作机构。</w:t>
      </w:r>
    </w:p>
    <w:p>
      <w:pPr>
        <w:numPr>
          <w:ilvl w:val="0"/>
          <w:numId w:val="6"/>
        </w:numPr>
        <w:tabs>
          <w:tab w:val="left" w:pos="1134"/>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产品认购</w:t>
      </w:r>
    </w:p>
    <w:p>
      <w:pPr>
        <w:numPr>
          <w:ilvl w:val="0"/>
          <w:numId w:val="12"/>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认购方式</w:t>
      </w:r>
      <w:r>
        <w:rPr>
          <w:rFonts w:hint="eastAsia" w:ascii="楷体" w:hAnsi="楷体" w:eastAsia="楷体" w:cs="Calibri"/>
          <w:color w:val="auto"/>
          <w:sz w:val="21"/>
          <w:szCs w:val="21"/>
          <w:lang w:val="en-US" w:eastAsia="zh-CN"/>
        </w:rPr>
        <w:t>及确认</w:t>
      </w:r>
    </w:p>
    <w:p>
      <w:pPr>
        <w:numPr>
          <w:ilvl w:val="-1"/>
          <w:numId w:val="0"/>
        </w:numPr>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rPr>
        <w:t>本理财产品可在各销售机构指定渠道进行认购</w:t>
      </w:r>
      <w:r>
        <w:rPr>
          <w:rFonts w:hint="eastAsia" w:ascii="楷体" w:hAnsi="楷体" w:eastAsia="楷体" w:cs="Calibri"/>
          <w:sz w:val="21"/>
          <w:szCs w:val="21"/>
          <w:highlight w:val="none"/>
          <w:lang w:val="en-US" w:eastAsia="zh-CN"/>
        </w:rPr>
        <w:t>，投资者按规定提交认购申请，管理人在份额登记日对投资者的认购申请成功登记后并收到投资者全额交付的款项，视为投资者的认购申请生效。投资者应在理财产品成立后及时查询最终的成交情况以及认购的份额。</w:t>
      </w:r>
      <w:r>
        <w:rPr>
          <w:rFonts w:hint="eastAsia" w:ascii="楷体" w:hAnsi="楷体" w:eastAsia="楷体"/>
          <w:sz w:val="21"/>
          <w:szCs w:val="21"/>
          <w:highlight w:val="none"/>
        </w:rPr>
        <w:t>因投资者资金账户余额不足、司法冻结、不可抗力因素或其他不可归责于</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和销售机构的事由出现，造成认购申请未被确认的，</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和销售机构不承担任何责任。</w:t>
      </w:r>
    </w:p>
    <w:p>
      <w:pPr>
        <w:numPr>
          <w:ilvl w:val="0"/>
          <w:numId w:val="12"/>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认购份额的计算</w:t>
      </w:r>
    </w:p>
    <w:p>
      <w:pPr>
        <w:ind w:firstLine="420" w:firstLineChars="200"/>
        <w:rPr>
          <w:rFonts w:hint="eastAsia" w:ascii="楷体" w:hAnsi="楷体" w:eastAsia="楷体"/>
          <w:color w:val="auto"/>
          <w:sz w:val="21"/>
          <w:szCs w:val="21"/>
        </w:rPr>
      </w:pPr>
      <w:r>
        <w:rPr>
          <w:rFonts w:ascii="楷体" w:hAnsi="楷体" w:eastAsia="楷体"/>
          <w:color w:val="auto"/>
          <w:sz w:val="21"/>
          <w:szCs w:val="21"/>
        </w:rPr>
        <w:t>认购份额=</w:t>
      </w:r>
      <w:r>
        <w:rPr>
          <w:rFonts w:hint="eastAsia" w:ascii="楷体" w:hAnsi="楷体" w:eastAsia="楷体"/>
          <w:color w:val="auto"/>
          <w:sz w:val="21"/>
          <w:szCs w:val="21"/>
        </w:rPr>
        <w:t>认购金额</w:t>
      </w:r>
      <w:r>
        <w:rPr>
          <w:rFonts w:ascii="楷体" w:hAnsi="楷体" w:eastAsia="楷体"/>
          <w:color w:val="auto"/>
          <w:sz w:val="21"/>
          <w:szCs w:val="21"/>
        </w:rPr>
        <w:t>/</w:t>
      </w:r>
      <w:r>
        <w:rPr>
          <w:rFonts w:hint="eastAsia" w:ascii="楷体" w:hAnsi="楷体" w:eastAsia="楷体"/>
          <w:color w:val="auto"/>
          <w:sz w:val="21"/>
          <w:szCs w:val="21"/>
        </w:rPr>
        <w:t>产品</w:t>
      </w:r>
      <w:r>
        <w:rPr>
          <w:rFonts w:hint="eastAsia" w:ascii="楷体" w:hAnsi="楷体" w:eastAsia="楷体"/>
          <w:color w:val="auto"/>
          <w:sz w:val="21"/>
          <w:szCs w:val="21"/>
          <w:lang w:val="en-US" w:eastAsia="zh-CN"/>
        </w:rPr>
        <w:t>份额面值，</w:t>
      </w:r>
      <w:r>
        <w:rPr>
          <w:rFonts w:ascii="楷体" w:hAnsi="楷体" w:eastAsia="楷体"/>
          <w:color w:val="auto"/>
          <w:sz w:val="21"/>
          <w:szCs w:val="21"/>
        </w:rPr>
        <w:t>认购份额</w:t>
      </w:r>
      <w:r>
        <w:rPr>
          <w:rFonts w:hint="eastAsia" w:ascii="楷体" w:hAnsi="楷体" w:eastAsia="楷体"/>
          <w:color w:val="auto"/>
          <w:sz w:val="21"/>
          <w:szCs w:val="21"/>
        </w:rPr>
        <w:t>以四舍五入的方法保留到小数点后两位。</w:t>
      </w:r>
    </w:p>
    <w:p>
      <w:pPr>
        <w:numPr>
          <w:ilvl w:val="0"/>
          <w:numId w:val="6"/>
        </w:numPr>
        <w:tabs>
          <w:tab w:val="left" w:pos="1134"/>
        </w:tabs>
        <w:ind w:left="420" w:leftChars="0" w:firstLine="0" w:firstLineChars="0"/>
        <w:rPr>
          <w:rFonts w:hint="eastAsia" w:ascii="楷体" w:hAnsi="楷体" w:eastAsia="楷体"/>
          <w:b/>
          <w:color w:val="auto"/>
          <w:sz w:val="21"/>
          <w:szCs w:val="21"/>
        </w:rPr>
      </w:pPr>
      <w:r>
        <w:rPr>
          <w:rFonts w:hint="eastAsia" w:ascii="楷体" w:hAnsi="楷体" w:eastAsia="楷体"/>
          <w:b/>
          <w:color w:val="auto"/>
          <w:sz w:val="21"/>
          <w:szCs w:val="21"/>
        </w:rPr>
        <w:t>产品终止</w:t>
      </w:r>
    </w:p>
    <w:p>
      <w:pPr>
        <w:numPr>
          <w:ilvl w:val="0"/>
          <w:numId w:val="13"/>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提前终止</w:t>
      </w:r>
    </w:p>
    <w:p>
      <w:pPr>
        <w:numPr>
          <w:ilvl w:val="-1"/>
          <w:numId w:val="0"/>
        </w:numPr>
        <w:ind w:left="0" w:firstLine="420" w:firstLineChars="200"/>
        <w:rPr>
          <w:rFonts w:hint="eastAsia" w:ascii="楷体" w:hAnsi="楷体" w:eastAsia="楷体"/>
          <w:color w:val="auto"/>
          <w:sz w:val="21"/>
          <w:szCs w:val="21"/>
        </w:rPr>
      </w:pPr>
      <w:r>
        <w:rPr>
          <w:rFonts w:hint="eastAsia" w:ascii="楷体" w:hAnsi="楷体" w:eastAsia="楷体" w:cs="Calibri"/>
          <w:color w:val="auto"/>
          <w:sz w:val="21"/>
          <w:szCs w:val="21"/>
        </w:rPr>
        <w:t>在理财产品投资运作期间内，投资者无权要求提前终止该理财产品。在理财产品投资运作期间内，当出现下列情形之一时，产品管理人有权提前终止本产品：因不可抗力原因导致理财产品无法继续运作；因法律法规变化或国家金融政策调整、紧急措施出台影响产品继续正常运作；法律法规规定或监管部门认定的其他情形。</w:t>
      </w:r>
      <w:r>
        <w:rPr>
          <w:rFonts w:hint="eastAsia" w:ascii="楷体" w:hAnsi="楷体" w:eastAsia="楷体"/>
          <w:color w:val="auto"/>
          <w:sz w:val="21"/>
          <w:szCs w:val="21"/>
        </w:rPr>
        <w:t>如理财产品管理人提前终止本理财产品，将至少提前2个工作日（含）按说明书约定的信息披露方式予以披露</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明确产品终止日</w:t>
      </w:r>
      <w:r>
        <w:rPr>
          <w:rFonts w:hint="eastAsia" w:ascii="楷体" w:hAnsi="楷体" w:eastAsia="楷体"/>
          <w:color w:val="auto"/>
          <w:sz w:val="21"/>
          <w:szCs w:val="21"/>
        </w:rPr>
        <w:t>。</w:t>
      </w:r>
    </w:p>
    <w:p>
      <w:pPr>
        <w:numPr>
          <w:ilvl w:val="0"/>
          <w:numId w:val="13"/>
        </w:numPr>
        <w:tabs>
          <w:tab w:val="left" w:pos="993"/>
        </w:tabs>
        <w:ind w:left="0" w:firstLine="420" w:firstLineChars="200"/>
        <w:rPr>
          <w:rFonts w:hint="eastAsia" w:ascii="楷体" w:hAnsi="楷体" w:eastAsia="楷体" w:cs="Calibri"/>
          <w:b w:val="0"/>
          <w:color w:val="auto"/>
          <w:sz w:val="21"/>
          <w:szCs w:val="21"/>
        </w:rPr>
      </w:pPr>
      <w:r>
        <w:rPr>
          <w:rFonts w:hint="eastAsia" w:ascii="楷体" w:hAnsi="楷体" w:eastAsia="楷体" w:cs="Calibri"/>
          <w:b w:val="0"/>
          <w:color w:val="auto"/>
          <w:sz w:val="21"/>
          <w:szCs w:val="21"/>
          <w:lang w:val="en-US" w:eastAsia="zh-CN"/>
        </w:rPr>
        <w:t>正常终止</w:t>
      </w:r>
    </w:p>
    <w:p>
      <w:pPr>
        <w:ind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投资者持有本理财产品至产品到期日，投资者的投资本金和收益（如有）将在产品到期后一次性支付。</w:t>
      </w:r>
    </w:p>
    <w:p>
      <w:pPr>
        <w:numPr>
          <w:ilvl w:val="0"/>
          <w:numId w:val="13"/>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延期</w:t>
      </w:r>
      <w:r>
        <w:rPr>
          <w:rFonts w:hint="eastAsia" w:ascii="楷体" w:hAnsi="楷体" w:eastAsia="楷体" w:cs="Calibri"/>
          <w:color w:val="auto"/>
          <w:sz w:val="21"/>
          <w:szCs w:val="21"/>
          <w:lang w:val="en-US" w:eastAsia="zh-CN"/>
        </w:rPr>
        <w:t>终止</w:t>
      </w:r>
    </w:p>
    <w:p>
      <w:pPr>
        <w:ind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出现以下情况，产品管理人有权延长本理财产品的终止日：产品终止日遇非工作日则顺延至下一工作日，投资者清算资金到账日将相应调整；因不可抗力、市场发生重大变化等原因导致产品项下对应的投资标的无法及时变现、无法及时收回资金；法律法规规定或监管部门认定的其他情形。产品管理人决定延期兑付的，将至少提前2个工作日（含）按说明书约定的信息披露方式予以披露</w:t>
      </w:r>
      <w:r>
        <w:rPr>
          <w:rFonts w:hint="eastAsia" w:ascii="楷体" w:hAnsi="楷体" w:eastAsia="楷体" w:cs="Calibri"/>
          <w:color w:val="auto"/>
          <w:sz w:val="21"/>
          <w:szCs w:val="21"/>
          <w:lang w:eastAsia="zh-CN"/>
        </w:rPr>
        <w:t>，</w:t>
      </w:r>
      <w:r>
        <w:rPr>
          <w:rFonts w:hint="eastAsia" w:ascii="楷体" w:hAnsi="楷体" w:eastAsia="楷体"/>
          <w:color w:val="auto"/>
          <w:sz w:val="21"/>
          <w:szCs w:val="21"/>
          <w:lang w:val="en-US" w:eastAsia="zh-CN"/>
        </w:rPr>
        <w:t>明确产品终止日</w:t>
      </w:r>
      <w:r>
        <w:rPr>
          <w:rFonts w:hint="eastAsia" w:ascii="楷体" w:hAnsi="楷体" w:eastAsia="楷体" w:cs="Calibri"/>
          <w:color w:val="auto"/>
          <w:sz w:val="21"/>
          <w:szCs w:val="21"/>
        </w:rPr>
        <w:t>。</w:t>
      </w:r>
    </w:p>
    <w:p>
      <w:pPr>
        <w:numPr>
          <w:ilvl w:val="0"/>
          <w:numId w:val="13"/>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投资者可得资金计算</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投资者可得资金=投资者持有份额×产品到期</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终止）</w:t>
      </w:r>
      <w:r>
        <w:rPr>
          <w:rFonts w:hint="eastAsia" w:ascii="楷体" w:hAnsi="楷体" w:eastAsia="楷体"/>
          <w:color w:val="auto"/>
          <w:sz w:val="21"/>
          <w:szCs w:val="21"/>
        </w:rPr>
        <w:t>时单位净值</w:t>
      </w:r>
      <w:r>
        <w:rPr>
          <w:rFonts w:hint="eastAsia" w:ascii="楷体" w:hAnsi="楷体" w:eastAsia="楷体"/>
          <w:color w:val="auto"/>
          <w:sz w:val="21"/>
          <w:szCs w:val="21"/>
          <w:lang w:eastAsia="zh-CN"/>
        </w:rPr>
        <w:t>，</w:t>
      </w:r>
      <w:r>
        <w:rPr>
          <w:rFonts w:hint="eastAsia" w:ascii="楷体" w:hAnsi="楷体" w:eastAsia="楷体"/>
          <w:color w:val="auto"/>
          <w:sz w:val="21"/>
          <w:szCs w:val="21"/>
        </w:rPr>
        <w:t>投资者可得资金以四舍五入的方法保留到小数点后两位。</w:t>
      </w:r>
    </w:p>
    <w:p>
      <w:pPr>
        <w:numPr>
          <w:ilvl w:val="0"/>
          <w:numId w:val="13"/>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lang w:val="en-US" w:eastAsia="zh-CN"/>
        </w:rPr>
        <w:t>终止</w:t>
      </w:r>
      <w:r>
        <w:rPr>
          <w:rFonts w:hint="eastAsia" w:ascii="楷体" w:hAnsi="楷体" w:eastAsia="楷体" w:cs="Calibri"/>
          <w:color w:val="auto"/>
          <w:sz w:val="21"/>
          <w:szCs w:val="21"/>
        </w:rPr>
        <w:t>清算</w:t>
      </w:r>
    </w:p>
    <w:p>
      <w:pPr>
        <w:ind w:firstLine="420" w:firstLineChars="200"/>
        <w:rPr>
          <w:rFonts w:hint="eastAsia"/>
        </w:rPr>
      </w:pPr>
      <w:r>
        <w:rPr>
          <w:rFonts w:hint="eastAsia" w:ascii="楷体" w:hAnsi="楷体" w:eastAsia="楷体" w:cs="Calibri"/>
          <w:color w:val="auto"/>
          <w:sz w:val="21"/>
          <w:szCs w:val="21"/>
        </w:rPr>
        <w:t>投资者的投资本金和收益（如有）将于产品到期日</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lang w:val="en-US" w:eastAsia="zh-CN"/>
        </w:rPr>
        <w:t>产品终止日）</w:t>
      </w:r>
      <w:r>
        <w:rPr>
          <w:rFonts w:hint="eastAsia" w:ascii="楷体" w:hAnsi="楷体" w:eastAsia="楷体" w:cs="Calibri"/>
          <w:color w:val="auto"/>
          <w:sz w:val="21"/>
          <w:szCs w:val="21"/>
        </w:rPr>
        <w:t>后5个工作日以内划至投资者指定账户，如遇法定节假日或公休日则相应顺延。产品到期日</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lang w:val="en-US" w:eastAsia="zh-CN"/>
        </w:rPr>
        <w:t>产品终止日）</w:t>
      </w:r>
      <w:r>
        <w:rPr>
          <w:rFonts w:hint="eastAsia" w:ascii="楷体" w:hAnsi="楷体" w:eastAsia="楷体" w:cs="Calibri"/>
          <w:color w:val="auto"/>
          <w:sz w:val="21"/>
          <w:szCs w:val="21"/>
        </w:rPr>
        <w:t>至资金实际到账日之间，投资者资金不计息。</w:t>
      </w:r>
    </w:p>
    <w:p>
      <w:pPr>
        <w:numPr>
          <w:ilvl w:val="0"/>
          <w:numId w:val="6"/>
        </w:numPr>
        <w:tabs>
          <w:tab w:val="left" w:pos="1134"/>
        </w:tabs>
        <w:ind w:left="420" w:leftChars="0" w:firstLine="0" w:firstLineChars="0"/>
        <w:rPr>
          <w:rFonts w:hint="eastAsia" w:ascii="楷体" w:hAnsi="楷体" w:eastAsia="楷体"/>
          <w:b/>
          <w:color w:val="auto"/>
          <w:sz w:val="21"/>
          <w:szCs w:val="21"/>
          <w:lang w:val="en-US" w:eastAsia="zh-CN"/>
        </w:rPr>
      </w:pPr>
      <w:r>
        <w:rPr>
          <w:rFonts w:hint="eastAsia" w:ascii="楷体" w:hAnsi="楷体" w:eastAsia="楷体"/>
          <w:b/>
          <w:color w:val="auto"/>
          <w:sz w:val="21"/>
          <w:szCs w:val="21"/>
          <w:lang w:val="en-US" w:eastAsia="zh-CN"/>
        </w:rPr>
        <w:t>情景示例</w:t>
      </w:r>
      <w:r>
        <w:rPr>
          <w:rFonts w:hint="eastAsia" w:ascii="楷体" w:hAnsi="楷体" w:eastAsia="楷体"/>
          <w:b/>
          <w:color w:val="auto"/>
          <w:sz w:val="21"/>
          <w:szCs w:val="21"/>
          <w:lang w:eastAsia="zh-CN"/>
        </w:rPr>
        <w:t>：</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以下示例均为假设情况，不代表本产品实际投资业绩。</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1.情景一</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于募集期</w:t>
      </w:r>
      <w:r>
        <w:rPr>
          <w:rFonts w:hint="eastAsia" w:ascii="楷体" w:hAnsi="楷体" w:eastAsia="楷体"/>
          <w:color w:val="auto"/>
          <w:sz w:val="21"/>
          <w:szCs w:val="21"/>
        </w:rPr>
        <w:t>认购本产品，投资金额为10,000.00元，</w:t>
      </w:r>
      <w:r>
        <w:rPr>
          <w:rFonts w:hint="eastAsia" w:ascii="楷体" w:hAnsi="楷体" w:eastAsia="楷体"/>
          <w:color w:val="auto"/>
          <w:sz w:val="21"/>
          <w:szCs w:val="21"/>
          <w:lang w:val="en-US" w:eastAsia="zh-CN"/>
        </w:rPr>
        <w:t>产品份额面值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，折算份额为10,000.00份。产品到期时，产品单位净值为</w:t>
      </w:r>
      <w:r>
        <w:rPr>
          <w:rFonts w:ascii="楷体" w:hAnsi="楷体" w:eastAsia="楷体"/>
          <w:color w:val="auto"/>
          <w:sz w:val="21"/>
          <w:szCs w:val="21"/>
        </w:rPr>
        <w:t>1.04</w:t>
      </w:r>
      <w:r>
        <w:rPr>
          <w:rFonts w:hint="eastAsia" w:ascii="楷体" w:hAnsi="楷体" w:eastAsia="楷体"/>
          <w:color w:val="auto"/>
          <w:sz w:val="21"/>
          <w:szCs w:val="21"/>
          <w:lang w:val="en-US" w:eastAsia="zh-CN"/>
        </w:rPr>
        <w:t>5503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w:t>
      </w:r>
      <w:r>
        <w:rPr>
          <w:rFonts w:ascii="楷体" w:hAnsi="楷体" w:eastAsia="楷体"/>
          <w:color w:val="auto"/>
          <w:sz w:val="21"/>
          <w:szCs w:val="21"/>
        </w:rPr>
        <w:t>1.04</w:t>
      </w:r>
      <w:r>
        <w:rPr>
          <w:rFonts w:hint="eastAsia" w:ascii="楷体" w:hAnsi="楷体" w:eastAsia="楷体"/>
          <w:color w:val="auto"/>
          <w:sz w:val="21"/>
          <w:szCs w:val="21"/>
          <w:lang w:val="en-US" w:eastAsia="zh-CN"/>
        </w:rPr>
        <w:t>5503</w:t>
      </w:r>
      <w:r>
        <w:rPr>
          <w:rFonts w:hint="eastAsia" w:ascii="楷体" w:hAnsi="楷体" w:eastAsia="楷体"/>
          <w:color w:val="auto"/>
          <w:sz w:val="21"/>
          <w:szCs w:val="21"/>
        </w:rPr>
        <w:t>=</w:t>
      </w:r>
      <w:r>
        <w:rPr>
          <w:rFonts w:ascii="楷体" w:hAnsi="楷体" w:eastAsia="楷体"/>
          <w:color w:val="auto"/>
          <w:sz w:val="21"/>
          <w:szCs w:val="21"/>
        </w:rPr>
        <w:t>10</w:t>
      </w:r>
      <w:r>
        <w:rPr>
          <w:rFonts w:hint="eastAsia" w:ascii="楷体" w:hAnsi="楷体" w:eastAsia="楷体"/>
          <w:color w:val="auto"/>
          <w:sz w:val="21"/>
          <w:szCs w:val="21"/>
        </w:rPr>
        <w:t>,</w:t>
      </w:r>
      <w:r>
        <w:rPr>
          <w:rFonts w:ascii="楷体" w:hAnsi="楷体" w:eastAsia="楷体"/>
          <w:color w:val="auto"/>
          <w:sz w:val="21"/>
          <w:szCs w:val="21"/>
        </w:rPr>
        <w:t>4</w:t>
      </w:r>
      <w:r>
        <w:rPr>
          <w:rFonts w:hint="eastAsia" w:ascii="楷体" w:hAnsi="楷体" w:eastAsia="楷体"/>
          <w:color w:val="auto"/>
          <w:sz w:val="21"/>
          <w:szCs w:val="21"/>
          <w:lang w:val="en-US" w:eastAsia="zh-CN"/>
        </w:rPr>
        <w:t>55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w:t>
      </w:r>
      <w:r>
        <w:rPr>
          <w:rFonts w:ascii="楷体" w:hAnsi="楷体" w:eastAsia="楷体"/>
          <w:color w:val="auto"/>
          <w:sz w:val="21"/>
          <w:szCs w:val="21"/>
        </w:rPr>
        <w:t>10</w:t>
      </w:r>
      <w:r>
        <w:rPr>
          <w:rFonts w:hint="eastAsia" w:ascii="楷体" w:hAnsi="楷体" w:eastAsia="楷体"/>
          <w:color w:val="auto"/>
          <w:sz w:val="21"/>
          <w:szCs w:val="21"/>
        </w:rPr>
        <w:t>,</w:t>
      </w:r>
      <w:r>
        <w:rPr>
          <w:rFonts w:ascii="楷体" w:hAnsi="楷体" w:eastAsia="楷体"/>
          <w:color w:val="auto"/>
          <w:sz w:val="21"/>
          <w:szCs w:val="21"/>
        </w:rPr>
        <w:t>4</w:t>
      </w:r>
      <w:r>
        <w:rPr>
          <w:rFonts w:hint="eastAsia" w:ascii="楷体" w:hAnsi="楷体" w:eastAsia="楷体"/>
          <w:color w:val="auto"/>
          <w:sz w:val="21"/>
          <w:szCs w:val="21"/>
          <w:lang w:val="en-US" w:eastAsia="zh-CN"/>
        </w:rPr>
        <w:t>55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-10,000.00=</w:t>
      </w:r>
      <w:r>
        <w:rPr>
          <w:rFonts w:ascii="楷体" w:hAnsi="楷体" w:eastAsia="楷体"/>
          <w:color w:val="auto"/>
          <w:sz w:val="21"/>
          <w:szCs w:val="21"/>
        </w:rPr>
        <w:t>4</w:t>
      </w:r>
      <w:r>
        <w:rPr>
          <w:rFonts w:hint="eastAsia" w:ascii="楷体" w:hAnsi="楷体" w:eastAsia="楷体"/>
          <w:color w:val="auto"/>
          <w:sz w:val="21"/>
          <w:szCs w:val="21"/>
          <w:lang w:val="en-US" w:eastAsia="zh-CN"/>
        </w:rPr>
        <w:t>55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2.情景二</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于募集期</w:t>
      </w:r>
      <w:r>
        <w:rPr>
          <w:rFonts w:hint="eastAsia" w:ascii="楷体" w:hAnsi="楷体" w:eastAsia="楷体"/>
          <w:color w:val="auto"/>
          <w:sz w:val="21"/>
          <w:szCs w:val="21"/>
        </w:rPr>
        <w:t>认购本产品，投资金额为10,000.00元，</w:t>
      </w:r>
      <w:r>
        <w:rPr>
          <w:rFonts w:hint="eastAsia" w:ascii="楷体" w:hAnsi="楷体" w:eastAsia="楷体"/>
          <w:color w:val="auto"/>
          <w:sz w:val="21"/>
          <w:szCs w:val="21"/>
          <w:lang w:val="en-US" w:eastAsia="zh-CN"/>
        </w:rPr>
        <w:t>产品份额面值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，折算份额为10,000.00份。产品到期时，产品单位净值为</w:t>
      </w:r>
      <w:r>
        <w:rPr>
          <w:rFonts w:ascii="楷体" w:hAnsi="楷体" w:eastAsia="楷体"/>
          <w:color w:val="auto"/>
          <w:sz w:val="21"/>
          <w:szCs w:val="21"/>
        </w:rPr>
        <w:t>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-10,000.00=-</w:t>
      </w:r>
      <w:r>
        <w:rPr>
          <w:rFonts w:ascii="楷体" w:hAnsi="楷体" w:eastAsia="楷体"/>
          <w:color w:val="auto"/>
          <w:sz w:val="21"/>
          <w:szCs w:val="21"/>
        </w:rPr>
        <w:t>2</w:t>
      </w:r>
      <w:r>
        <w:rPr>
          <w:rFonts w:hint="eastAsia" w:ascii="楷体" w:hAnsi="楷体" w:eastAsia="楷体"/>
          <w:color w:val="auto"/>
          <w:sz w:val="21"/>
          <w:szCs w:val="21"/>
          <w:lang w:val="en-US" w:eastAsia="zh-CN"/>
        </w:rPr>
        <w:t>4</w:t>
      </w:r>
      <w:r>
        <w:rPr>
          <w:rFonts w:hint="eastAsia" w:ascii="楷体" w:hAnsi="楷体" w:eastAsia="楷体"/>
          <w:color w:val="auto"/>
          <w:sz w:val="21"/>
          <w:szCs w:val="21"/>
        </w:rPr>
        <w:t>.</w:t>
      </w:r>
      <w:r>
        <w:rPr>
          <w:rFonts w:ascii="楷体" w:hAnsi="楷体" w:eastAsia="楷体"/>
          <w:color w:val="auto"/>
          <w:sz w:val="21"/>
          <w:szCs w:val="21"/>
        </w:rPr>
        <w:t>0</w:t>
      </w:r>
      <w:r>
        <w:rPr>
          <w:rFonts w:hint="eastAsia" w:ascii="楷体" w:hAnsi="楷体" w:eastAsia="楷体"/>
          <w:color w:val="auto"/>
          <w:sz w:val="21"/>
          <w:szCs w:val="21"/>
          <w:lang w:val="en-US" w:eastAsia="zh-CN"/>
        </w:rPr>
        <w:t>6</w:t>
      </w:r>
      <w:r>
        <w:rPr>
          <w:rFonts w:hint="eastAsia" w:ascii="楷体" w:hAnsi="楷体" w:eastAsia="楷体"/>
          <w:color w:val="auto"/>
          <w:sz w:val="21"/>
          <w:szCs w:val="21"/>
        </w:rPr>
        <w:t>（元）</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最不利的情形下，投资者可能损失100%本金。</w:t>
      </w:r>
    </w:p>
    <w:p>
      <w:pPr>
        <w:numPr>
          <w:ilvl w:val="-1"/>
          <w:numId w:val="0"/>
        </w:numPr>
        <w:ind w:firstLine="422" w:firstLineChars="200"/>
        <w:rPr>
          <w:rFonts w:hint="eastAsia" w:ascii="楷体" w:hAnsi="楷体" w:eastAsia="楷体"/>
          <w:b/>
          <w:color w:val="auto"/>
          <w:sz w:val="21"/>
          <w:szCs w:val="21"/>
        </w:rPr>
      </w:pPr>
      <w:r>
        <w:rPr>
          <w:rFonts w:hint="eastAsia" w:ascii="楷体" w:hAnsi="楷体" w:eastAsia="楷体"/>
          <w:b/>
          <w:color w:val="auto"/>
          <w:sz w:val="21"/>
          <w:szCs w:val="21"/>
          <w:u w:val="single"/>
        </w:rPr>
        <w:t>上述情况假设仅用于向投资者示例收益计算方法之用，并不代表管理人对实际投资情况的预期判断，也不代表以上所有情形或某一情形一定会发生，或管理人认为发生的可能性很大。投资者获得的最终收益以产品实际运作表现及管理人实际支付为准。</w:t>
      </w:r>
    </w:p>
    <w:p>
      <w:pPr>
        <w:numPr>
          <w:ilvl w:val="0"/>
          <w:numId w:val="6"/>
        </w:numPr>
        <w:tabs>
          <w:tab w:val="left" w:pos="1428"/>
        </w:tabs>
        <w:ind w:left="420" w:leftChars="0" w:firstLine="0" w:firstLineChars="0"/>
        <w:rPr>
          <w:rFonts w:hint="eastAsia" w:ascii="楷体" w:hAnsi="楷体" w:eastAsia="楷体"/>
          <w:b/>
          <w:bCs w:val="0"/>
          <w:sz w:val="21"/>
          <w:szCs w:val="21"/>
          <w:highlight w:val="none"/>
        </w:rPr>
      </w:pPr>
      <w:r>
        <w:rPr>
          <w:rFonts w:hint="eastAsia" w:ascii="楷体" w:hAnsi="楷体" w:eastAsia="楷体"/>
          <w:b/>
          <w:bCs w:val="0"/>
          <w:color w:val="auto"/>
          <w:sz w:val="21"/>
          <w:szCs w:val="21"/>
          <w:lang w:val="en-US" w:eastAsia="zh-CN"/>
        </w:rPr>
        <w:t>产品费用</w:t>
      </w:r>
    </w:p>
    <w:p>
      <w:pPr>
        <w:numPr>
          <w:ilvl w:val="-1"/>
          <w:numId w:val="0"/>
        </w:numPr>
        <w:ind w:left="0" w:firstLine="420" w:firstLineChars="200"/>
        <w:rPr>
          <w:rFonts w:hint="default" w:ascii="楷体" w:hAnsi="楷体" w:eastAsia="楷体" w:cs="Calibri"/>
          <w:color w:val="auto"/>
          <w:sz w:val="21"/>
          <w:szCs w:val="21"/>
        </w:rPr>
      </w:pPr>
      <w:r>
        <w:rPr>
          <w:rFonts w:hint="eastAsia" w:ascii="楷体" w:hAnsi="楷体" w:eastAsia="楷体"/>
          <w:color w:val="auto"/>
          <w:sz w:val="21"/>
          <w:szCs w:val="21"/>
        </w:rPr>
        <w:t>本产品费用包括托管费、销售服务费、投资管理费、超额业绩报酬（如有）以及产品运作和清算中产生的其他费用等。</w:t>
      </w:r>
      <w:r>
        <w:rPr>
          <w:rFonts w:hint="eastAsia" w:ascii="楷体" w:hAnsi="楷体" w:eastAsia="楷体" w:cs="Calibri"/>
          <w:color w:val="auto"/>
          <w:sz w:val="21"/>
          <w:szCs w:val="21"/>
        </w:rPr>
        <w:t>计提方法、计提标准和支付方式</w:t>
      </w:r>
      <w:r>
        <w:rPr>
          <w:rFonts w:hint="eastAsia" w:ascii="楷体" w:hAnsi="楷体" w:eastAsia="楷体" w:cs="Calibri"/>
          <w:color w:val="auto"/>
          <w:sz w:val="21"/>
          <w:szCs w:val="21"/>
          <w:lang w:val="en-US" w:eastAsia="zh-CN"/>
        </w:rPr>
        <w:t>如下:</w:t>
      </w:r>
    </w:p>
    <w:p>
      <w:pPr>
        <w:numPr>
          <w:ilvl w:val="0"/>
          <w:numId w:val="14"/>
        </w:numPr>
        <w:tabs>
          <w:tab w:val="left" w:pos="728"/>
        </w:tabs>
        <w:ind w:left="0" w:firstLine="420" w:firstLineChars="200"/>
        <w:rPr>
          <w:rFonts w:hint="eastAsia" w:ascii="楷体" w:hAnsi="楷体" w:eastAsia="楷体"/>
          <w:sz w:val="21"/>
          <w:szCs w:val="21"/>
        </w:rPr>
      </w:pPr>
      <w:r>
        <w:rPr>
          <w:rFonts w:hint="eastAsia" w:ascii="楷体" w:hAnsi="楷体" w:eastAsia="楷体" w:cs="Calibri"/>
          <w:color w:val="auto"/>
          <w:sz w:val="21"/>
          <w:szCs w:val="21"/>
        </w:rPr>
        <w:t>托管费：每日计提，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w:t>
      </w:r>
      <w:r>
        <w:rPr>
          <w:rFonts w:hint="eastAsia" w:ascii="楷体" w:hAnsi="楷体" w:eastAsia="楷体" w:cs="Calibri"/>
          <w:color w:val="auto"/>
          <w:sz w:val="21"/>
          <w:szCs w:val="21"/>
        </w:rPr>
        <w:t>，由</w:t>
      </w:r>
      <w:r>
        <w:rPr>
          <w:rFonts w:hint="eastAsia" w:ascii="楷体" w:hAnsi="楷体" w:eastAsia="楷体" w:cs="Calibri"/>
          <w:color w:val="auto"/>
          <w:sz w:val="21"/>
          <w:szCs w:val="21"/>
          <w:lang w:val="en-US" w:eastAsia="zh-CN"/>
        </w:rPr>
        <w:t>托管人</w:t>
      </w:r>
      <w:r>
        <w:rPr>
          <w:rFonts w:hint="eastAsia" w:ascii="楷体" w:hAnsi="楷体" w:eastAsia="楷体" w:cs="Calibri"/>
          <w:color w:val="auto"/>
          <w:sz w:val="21"/>
          <w:szCs w:val="21"/>
        </w:rPr>
        <w:t>收取。</w:t>
      </w:r>
      <w:r>
        <w:rPr>
          <w:rFonts w:hint="eastAsia" w:ascii="楷体" w:hAnsi="楷体" w:eastAsia="楷体"/>
          <w:sz w:val="21"/>
          <w:szCs w:val="21"/>
        </w:rPr>
        <w:t>每日应计提的托管费＝前一日的产品资产净值×托管费率÷</w:t>
      </w:r>
      <w:r>
        <w:rPr>
          <w:rFonts w:ascii="楷体" w:hAnsi="楷体" w:eastAsia="楷体"/>
          <w:sz w:val="21"/>
          <w:szCs w:val="21"/>
        </w:rPr>
        <w:t>365</w:t>
      </w:r>
    </w:p>
    <w:p>
      <w:pPr>
        <w:numPr>
          <w:ilvl w:val="0"/>
          <w:numId w:val="14"/>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销售服务费：</w:t>
      </w:r>
    </w:p>
    <w:p>
      <w:pPr>
        <w:numPr>
          <w:ilvl w:val="-1"/>
          <w:numId w:val="0"/>
        </w:numPr>
        <w:tabs>
          <w:tab w:val="left" w:pos="728"/>
        </w:tabs>
        <w:ind w:firstLine="420" w:firstLineChars="200"/>
        <w:rPr>
          <w:rFonts w:ascii="楷体" w:hAnsi="楷体" w:eastAsia="楷体"/>
          <w:sz w:val="21"/>
          <w:szCs w:val="21"/>
        </w:rPr>
      </w:pPr>
      <w:r>
        <w:rPr>
          <w:rFonts w:hint="default" w:ascii="Calibri" w:hAnsi="Calibri" w:eastAsia="楷体" w:cs="Calibri"/>
          <w:color w:val="auto"/>
          <w:sz w:val="21"/>
          <w:szCs w:val="21"/>
        </w:rPr>
        <w:t>①</w:t>
      </w:r>
      <w:r>
        <w:rPr>
          <w:rFonts w:hint="eastAsia" w:ascii="Calibri" w:hAnsi="Calibri" w:eastAsia="楷体" w:cs="Calibri"/>
          <w:color w:val="auto"/>
          <w:sz w:val="21"/>
          <w:szCs w:val="21"/>
          <w:lang w:val="en-US" w:eastAsia="zh-CN"/>
        </w:rPr>
        <w:t>每日计提模式：</w:t>
      </w:r>
      <w:r>
        <w:rPr>
          <w:rFonts w:hint="eastAsia" w:ascii="楷体" w:hAnsi="楷体" w:eastAsia="楷体" w:cs="Calibri"/>
          <w:color w:val="auto"/>
          <w:sz w:val="21"/>
          <w:szCs w:val="21"/>
        </w:rPr>
        <w:t>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w:t>
      </w:r>
      <w:r>
        <w:rPr>
          <w:rFonts w:hint="eastAsia" w:ascii="楷体" w:hAnsi="楷体" w:eastAsia="楷体" w:cs="Calibri"/>
          <w:color w:val="auto"/>
          <w:sz w:val="21"/>
          <w:szCs w:val="21"/>
        </w:rPr>
        <w:t>，由销售机构收取。</w:t>
      </w:r>
      <w:r>
        <w:rPr>
          <w:rFonts w:hint="eastAsia" w:ascii="楷体" w:hAnsi="楷体" w:eastAsia="楷体"/>
          <w:sz w:val="21"/>
          <w:szCs w:val="21"/>
        </w:rPr>
        <w:t>每日应计提的销售服务费＝前一日的产品资产净值×销售服务费率÷</w:t>
      </w:r>
      <w:r>
        <w:rPr>
          <w:rFonts w:ascii="楷体" w:hAnsi="楷体" w:eastAsia="楷体"/>
          <w:sz w:val="21"/>
          <w:szCs w:val="21"/>
        </w:rPr>
        <w:t>365</w:t>
      </w:r>
    </w:p>
    <w:p>
      <w:pPr>
        <w:ind w:firstLine="420" w:firstLineChars="200"/>
        <w:rPr>
          <w:rFonts w:hint="eastAsia" w:ascii="楷体" w:hAnsi="楷体" w:eastAsia="楷体"/>
          <w:szCs w:val="21"/>
        </w:rPr>
      </w:pPr>
      <w:r>
        <w:rPr>
          <w:rFonts w:hint="default" w:ascii="Calibri" w:hAnsi="Calibri" w:eastAsia="楷体" w:cs="Calibri"/>
          <w:szCs w:val="21"/>
        </w:rPr>
        <w:t>②</w:t>
      </w:r>
      <w:r>
        <w:rPr>
          <w:rFonts w:hint="eastAsia" w:ascii="Calibri" w:hAnsi="Calibri" w:eastAsia="楷体" w:cs="Calibri"/>
          <w:szCs w:val="21"/>
          <w:lang w:val="en-US" w:eastAsia="zh-CN"/>
        </w:rPr>
        <w:t>一次性提取模式：</w:t>
      </w:r>
      <w:r>
        <w:rPr>
          <w:rFonts w:hint="eastAsia" w:ascii="楷体" w:hAnsi="楷体" w:eastAsia="楷体"/>
          <w:szCs w:val="21"/>
        </w:rPr>
        <w:t>成立日一次性提取，每日摊销，由销售机构收取。销售服务费＝产品成立日的产品份额×销售服务费率×产品投资期限天数÷365</w:t>
      </w:r>
    </w:p>
    <w:p>
      <w:pPr>
        <w:numPr>
          <w:ilvl w:val="0"/>
          <w:numId w:val="14"/>
        </w:numPr>
        <w:tabs>
          <w:tab w:val="left" w:pos="728"/>
        </w:tabs>
        <w:ind w:left="0" w:firstLine="420" w:firstLineChars="200"/>
        <w:rPr>
          <w:rFonts w:hint="eastAsia" w:ascii="楷体" w:hAnsi="楷体" w:eastAsia="楷体"/>
          <w:sz w:val="21"/>
          <w:szCs w:val="21"/>
        </w:rPr>
      </w:pPr>
      <w:r>
        <w:rPr>
          <w:rFonts w:hint="eastAsia" w:ascii="楷体" w:hAnsi="楷体" w:eastAsia="楷体" w:cs="Calibri"/>
          <w:color w:val="auto"/>
          <w:sz w:val="21"/>
          <w:szCs w:val="21"/>
        </w:rPr>
        <w:t>投资管理费：每日计提，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w:t>
      </w:r>
      <w:r>
        <w:rPr>
          <w:rFonts w:hint="eastAsia" w:ascii="楷体" w:hAnsi="楷体" w:eastAsia="楷体" w:cs="Calibri"/>
          <w:color w:val="auto"/>
          <w:sz w:val="21"/>
          <w:szCs w:val="21"/>
        </w:rPr>
        <w:t>，由管理人收取。</w:t>
      </w:r>
      <w:r>
        <w:rPr>
          <w:rFonts w:hint="eastAsia" w:ascii="楷体" w:hAnsi="楷体" w:eastAsia="楷体"/>
          <w:sz w:val="21"/>
          <w:szCs w:val="21"/>
        </w:rPr>
        <w:t>每日应计提的投资管理费＝前一日的产品资产净值×投资管理费率÷</w:t>
      </w:r>
      <w:r>
        <w:rPr>
          <w:rFonts w:ascii="楷体" w:hAnsi="楷体" w:eastAsia="楷体"/>
          <w:sz w:val="21"/>
          <w:szCs w:val="21"/>
        </w:rPr>
        <w:t>365</w:t>
      </w:r>
    </w:p>
    <w:p>
      <w:pPr>
        <w:numPr>
          <w:ilvl w:val="0"/>
          <w:numId w:val="14"/>
        </w:numPr>
        <w:tabs>
          <w:tab w:val="left" w:pos="728"/>
        </w:tabs>
        <w:ind w:left="0" w:firstLine="420" w:firstLineChars="200"/>
        <w:rPr>
          <w:rFonts w:ascii="楷体" w:hAnsi="楷体" w:eastAsia="楷体"/>
          <w:color w:val="auto"/>
          <w:sz w:val="21"/>
          <w:szCs w:val="21"/>
        </w:rPr>
      </w:pPr>
      <w:r>
        <w:rPr>
          <w:rFonts w:hint="eastAsia" w:ascii="楷体" w:hAnsi="楷体" w:eastAsia="楷体" w:cs="Calibri"/>
          <w:color w:val="auto"/>
          <w:sz w:val="21"/>
          <w:szCs w:val="21"/>
        </w:rPr>
        <w:t>超额业绩报酬</w:t>
      </w:r>
      <w:r>
        <w:rPr>
          <w:rFonts w:hint="eastAsia" w:ascii="楷体" w:hAnsi="楷体" w:eastAsia="楷体"/>
          <w:color w:val="auto"/>
          <w:sz w:val="21"/>
          <w:szCs w:val="21"/>
        </w:rPr>
        <w:t>：</w:t>
      </w:r>
      <w:r>
        <w:rPr>
          <w:rFonts w:hint="eastAsia" w:ascii="楷体" w:hAnsi="楷体" w:eastAsia="楷体" w:cs="Calibri"/>
          <w:sz w:val="21"/>
          <w:szCs w:val="21"/>
          <w:highlight w:val="none"/>
        </w:rPr>
        <w:t>管理人按</w:t>
      </w:r>
      <w:r>
        <w:rPr>
          <w:rFonts w:hint="eastAsia" w:ascii="楷体" w:hAnsi="楷体" w:eastAsia="楷体" w:cs="Calibri"/>
          <w:sz w:val="21"/>
          <w:szCs w:val="21"/>
          <w:highlight w:val="none"/>
          <w:lang w:val="en-US" w:eastAsia="zh-CN"/>
        </w:rPr>
        <w:t>产品存续期</w:t>
      </w:r>
      <w:r>
        <w:rPr>
          <w:rFonts w:hint="eastAsia" w:ascii="楷体" w:hAnsi="楷体" w:eastAsia="楷体" w:cs="Calibri"/>
          <w:sz w:val="21"/>
          <w:szCs w:val="21"/>
          <w:highlight w:val="none"/>
        </w:rPr>
        <w:t>收取超额业绩报酬</w:t>
      </w:r>
      <w:r>
        <w:rPr>
          <w:rFonts w:hint="eastAsia" w:ascii="楷体" w:hAnsi="楷体" w:eastAsia="楷体" w:cs="Calibri"/>
          <w:sz w:val="21"/>
          <w:szCs w:val="21"/>
          <w:highlight w:val="none"/>
          <w:lang w:eastAsia="zh-CN"/>
        </w:rPr>
        <w:t>，</w:t>
      </w:r>
      <w:r>
        <w:rPr>
          <w:rFonts w:hint="eastAsia" w:ascii="楷体" w:hAnsi="楷体" w:eastAsia="楷体" w:cs="Calibri"/>
          <w:sz w:val="21"/>
          <w:szCs w:val="21"/>
          <w:highlight w:val="none"/>
          <w:lang w:val="en-US" w:eastAsia="zh-CN"/>
        </w:rPr>
        <w:t>超额业绩报酬计算详见“产品要素”。</w:t>
      </w:r>
    </w:p>
    <w:p>
      <w:pPr>
        <w:numPr>
          <w:ilvl w:val="0"/>
          <w:numId w:val="14"/>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产品运作和清算中产生的交易手续费、注册登记费、账户服务费、审计费、及其他应由本产品承担的费用从产品中列支。</w:t>
      </w:r>
    </w:p>
    <w:p>
      <w:pPr>
        <w:numPr>
          <w:ilvl w:val="0"/>
          <w:numId w:val="14"/>
        </w:numPr>
        <w:tabs>
          <w:tab w:val="left" w:pos="728"/>
        </w:tabs>
        <w:ind w:left="0" w:firstLine="420" w:firstLineChars="200"/>
        <w:rPr>
          <w:rFonts w:hint="eastAsia"/>
        </w:rPr>
      </w:pPr>
      <w:r>
        <w:rPr>
          <w:rFonts w:hint="eastAsia" w:ascii="楷体" w:hAnsi="楷体" w:eastAsia="楷体" w:cs="Calibri"/>
          <w:color w:val="auto"/>
          <w:sz w:val="21"/>
          <w:szCs w:val="21"/>
          <w:lang w:val="en-US" w:eastAsia="zh-CN"/>
        </w:rPr>
        <w:t>费用计算</w:t>
      </w:r>
      <w:r>
        <w:rPr>
          <w:rFonts w:hint="eastAsia" w:ascii="楷体" w:hAnsi="楷体" w:eastAsia="楷体" w:cs="Calibri"/>
          <w:color w:val="auto"/>
          <w:sz w:val="21"/>
          <w:szCs w:val="21"/>
        </w:rPr>
        <w:t>四舍五入保留至小数点后两位</w:t>
      </w:r>
      <w:r>
        <w:rPr>
          <w:rFonts w:hint="eastAsia" w:ascii="楷体" w:hAnsi="楷体" w:eastAsia="楷体" w:cs="Calibri"/>
          <w:color w:val="auto"/>
          <w:sz w:val="21"/>
          <w:szCs w:val="21"/>
          <w:lang w:eastAsia="zh-CN"/>
        </w:rPr>
        <w:t>。</w:t>
      </w:r>
    </w:p>
    <w:p>
      <w:pPr>
        <w:numPr>
          <w:ilvl w:val="0"/>
          <w:numId w:val="14"/>
        </w:numPr>
        <w:tabs>
          <w:tab w:val="left" w:pos="728"/>
        </w:tabs>
        <w:ind w:left="0" w:firstLine="420" w:firstLineChars="200"/>
        <w:rPr>
          <w:rFonts w:hint="eastAsia"/>
        </w:rPr>
      </w:pPr>
      <w:r>
        <w:rPr>
          <w:rFonts w:hint="eastAsia" w:ascii="楷体" w:hAnsi="楷体" w:eastAsia="楷体" w:cs="Calibri"/>
          <w:color w:val="auto"/>
          <w:szCs w:val="21"/>
        </w:rPr>
        <w:t>本产品不收取认购费用、申购费用、赎回费用。</w:t>
      </w:r>
    </w:p>
    <w:p>
      <w:pPr>
        <w:ind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产品管理人有权根据市场情况等调整上述各项费用费率和超额业绩报酬收取方式及比例，产品管理人将于调整事项生效前2个工作日通过短信及苏银理财有限责任公司官方网站（www.suyinwealth.com）、销售机构电子渠道和营业网点等方式进行信息披露。如投资者不接受的，可在公告约定的期限内赎回本产品，此种情况下产品管理人将可能开放赎回，具体以届时产品管理人公告为准；如投资者未赎回本产品，则视为本理财产品投资者接受相关调整且同意在调整后继续持有本理财产品。</w:t>
      </w:r>
    </w:p>
    <w:p>
      <w:pPr>
        <w:numPr>
          <w:ilvl w:val="0"/>
          <w:numId w:val="6"/>
        </w:numPr>
        <w:tabs>
          <w:tab w:val="left" w:pos="1134"/>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产品估值</w:t>
      </w:r>
    </w:p>
    <w:p>
      <w:pPr>
        <w:numPr>
          <w:ilvl w:val="0"/>
          <w:numId w:val="15"/>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估值对象</w:t>
      </w:r>
    </w:p>
    <w:p>
      <w:pPr>
        <w:ind w:firstLine="420" w:firstLineChars="200"/>
        <w:rPr>
          <w:rFonts w:ascii="楷体" w:hAnsi="楷体" w:eastAsia="楷体"/>
          <w:color w:val="auto"/>
          <w:sz w:val="21"/>
          <w:szCs w:val="21"/>
        </w:rPr>
      </w:pPr>
      <w:r>
        <w:rPr>
          <w:rFonts w:hint="eastAsia" w:ascii="楷体" w:hAnsi="楷体" w:eastAsia="楷体"/>
          <w:color w:val="auto"/>
          <w:sz w:val="21"/>
          <w:szCs w:val="21"/>
        </w:rPr>
        <w:t>本产品所拥有的各类证券、银行存款、应收款项及其它资产及负债。</w:t>
      </w:r>
    </w:p>
    <w:p>
      <w:pPr>
        <w:numPr>
          <w:ilvl w:val="0"/>
          <w:numId w:val="15"/>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估值要求</w:t>
      </w:r>
    </w:p>
    <w:p>
      <w:pPr>
        <w:numPr>
          <w:ilvl w:val="0"/>
          <w:numId w:val="16"/>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本产品资产估值的目的是客观、准确</w:t>
      </w:r>
      <w:r>
        <w:rPr>
          <w:rFonts w:hint="eastAsia" w:ascii="楷体" w:hAnsi="楷体" w:eastAsia="楷体" w:cs="Calibri"/>
          <w:color w:val="auto"/>
          <w:sz w:val="21"/>
          <w:szCs w:val="21"/>
          <w:lang w:val="en-US" w:eastAsia="zh-CN"/>
        </w:rPr>
        <w:t>地</w:t>
      </w:r>
      <w:r>
        <w:rPr>
          <w:rFonts w:hint="eastAsia" w:ascii="楷体" w:hAnsi="楷体" w:eastAsia="楷体" w:cs="Calibri"/>
          <w:color w:val="auto"/>
          <w:sz w:val="21"/>
          <w:szCs w:val="21"/>
        </w:rPr>
        <w:t>反映资产净值，确定理财产品资产净值，并为理财产品的兑付提供计价依据。</w:t>
      </w:r>
    </w:p>
    <w:p>
      <w:pPr>
        <w:numPr>
          <w:ilvl w:val="0"/>
          <w:numId w:val="16"/>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本产品单位净值精确到小数点后</w:t>
      </w:r>
      <w:r>
        <w:rPr>
          <w:rFonts w:hint="eastAsia" w:ascii="楷体" w:hAnsi="楷体" w:eastAsia="楷体" w:cs="Calibri"/>
          <w:color w:val="auto"/>
          <w:sz w:val="21"/>
          <w:szCs w:val="21"/>
          <w:lang w:val="en-US" w:eastAsia="zh-CN"/>
        </w:rPr>
        <w:t>6</w:t>
      </w:r>
      <w:r>
        <w:rPr>
          <w:rFonts w:hint="eastAsia" w:ascii="楷体" w:hAnsi="楷体" w:eastAsia="楷体" w:cs="Calibri"/>
          <w:color w:val="auto"/>
          <w:sz w:val="21"/>
          <w:szCs w:val="21"/>
        </w:rPr>
        <w:t>位，小数点</w:t>
      </w:r>
      <w:r>
        <w:rPr>
          <w:rFonts w:hint="eastAsia" w:ascii="楷体" w:hAnsi="楷体" w:eastAsia="楷体" w:cs="Calibri"/>
          <w:color w:val="auto"/>
          <w:sz w:val="21"/>
          <w:szCs w:val="21"/>
          <w:lang w:val="en-US" w:eastAsia="zh-CN"/>
        </w:rPr>
        <w:t>6</w:t>
      </w:r>
      <w:r>
        <w:rPr>
          <w:rFonts w:hint="eastAsia" w:ascii="楷体" w:hAnsi="楷体" w:eastAsia="楷体" w:cs="Calibri"/>
          <w:color w:val="auto"/>
          <w:sz w:val="21"/>
          <w:szCs w:val="21"/>
        </w:rPr>
        <w:t>位后截位。</w:t>
      </w:r>
    </w:p>
    <w:p>
      <w:pPr>
        <w:numPr>
          <w:ilvl w:val="0"/>
          <w:numId w:val="15"/>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估值方法</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1.存款类资产、货币市场工具：以本金列示，逐日计提利息。</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2.货币市场基金：按公允价值进行估值，以估值截止时间点能够取得的最新每万份收益进行估值。</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3.债券类资产：按公允价值进行估值，采用市价、监管认可的第三方估值机构提供的估值价格进行估值。对于以收取合同现金流量为目的并持有到期的债券，符合企业会计准则及监管规定，分类为“以摊余成本计量的金融资产”的，按摊余成本法进行估值，并按照会计准则采用合理减值计量模型或第三方减值计量结果进行预期信用损失的减值计提。计提减值不等同于金融资产已发生损失，仅为对未来风险的审慎预期。</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4.债权类资产：按公允价值进行估值。对于以收取合同现金流量为目的并持有到期的债权类资产，金融资产暂不具备活跃交易市场，或者在活跃市场中没有报价，且符合会计准则及监管规定，按摊余成本法进行估值，并按照会计准则采用合理减值计量模型或第三方减值计量结果进行预期信用损失的减值计提。计提减值不等同于金融资产已发生损失，仅为对未来风险的审慎预期。</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5.权益类资产：按公允价值进行估值，采用市价、监管认可的第三方估值机构提供的估值价格进行估值。</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6.证券、基金、保险等资产管理计划和信托计划等资产（不含货币市场基金）：按公允价值进行估值，上述各类资管产品关于同一投资品种的估值原则、政策、技术和方法等应与理财产品管理人保持一致，理财产品管理人将按照会计准则要求定期进行评估。</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7.其他资产：按公允价值进行估值。</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如有新增事项或变更事项，按国家法律法规及监管最新规定执行。</w:t>
      </w:r>
    </w:p>
    <w:p>
      <w:pPr>
        <w:numPr>
          <w:ilvl w:val="0"/>
          <w:numId w:val="15"/>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估值错误的处理</w:t>
      </w:r>
    </w:p>
    <w:p>
      <w:pPr>
        <w:ind w:firstLine="420" w:firstLineChars="200"/>
        <w:rPr>
          <w:rFonts w:ascii="楷体" w:hAnsi="楷体" w:eastAsia="楷体"/>
          <w:color w:val="auto"/>
          <w:sz w:val="21"/>
          <w:szCs w:val="21"/>
        </w:rPr>
      </w:pPr>
      <w:r>
        <w:rPr>
          <w:rFonts w:hint="eastAsia" w:ascii="楷体" w:hAnsi="楷体" w:eastAsia="楷体"/>
          <w:color w:val="auto"/>
          <w:sz w:val="21"/>
          <w:szCs w:val="21"/>
        </w:rPr>
        <w:t>产品管理人和产品托管人将采取必要、适当合理的措施确保产品资产估值的准确性、及时性。当产品单位净值出现错误时，产品管理人应当立即予以纠正，并采取合理的措施防止损失进一步扩大。由于证券交易所、期货交易所、第三方估值机构、登记机构等发送数据错误等非理财产品管理人和托管人原因，或由于其它不可抗力原因，产品管理人和产品托管人虽然已采取必要、适当、合理的措施进行检查，但是未能发现该错误的，由此造成的产品估值错误，产品管理人和产品托管人免除赔偿责任。但产品管理人和产品托管人应当积极采取必要的措施减轻或消除由此造成的影响。</w:t>
      </w:r>
    </w:p>
    <w:p>
      <w:pPr>
        <w:numPr>
          <w:ilvl w:val="0"/>
          <w:numId w:val="15"/>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暂停估值</w:t>
      </w:r>
    </w:p>
    <w:p>
      <w:pPr>
        <w:ind w:firstLine="420" w:firstLineChars="200"/>
        <w:rPr>
          <w:rFonts w:ascii="楷体" w:hAnsi="楷体" w:eastAsia="楷体"/>
          <w:color w:val="auto"/>
          <w:sz w:val="21"/>
          <w:szCs w:val="21"/>
        </w:rPr>
      </w:pPr>
      <w:r>
        <w:rPr>
          <w:rFonts w:hint="eastAsia" w:ascii="楷体" w:hAnsi="楷体" w:eastAsia="楷体"/>
          <w:color w:val="auto"/>
          <w:sz w:val="21"/>
          <w:szCs w:val="21"/>
        </w:rPr>
        <w:t>理财产品投资所涉及的证券交易所遇法定节假日或其他原因暂停营业时，或因任何不可抗力致使无法准确评估资产价值时，可暂停估值。但估值条件恢复时，将按规定完成估值工作。</w:t>
      </w:r>
    </w:p>
    <w:p>
      <w:pPr>
        <w:numPr>
          <w:ilvl w:val="0"/>
          <w:numId w:val="6"/>
        </w:numPr>
        <w:tabs>
          <w:tab w:val="left" w:pos="1428"/>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信息披露</w:t>
      </w:r>
    </w:p>
    <w:p>
      <w:pPr>
        <w:numPr>
          <w:ilvl w:val="0"/>
          <w:numId w:val="17"/>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方式</w:t>
      </w:r>
    </w:p>
    <w:p>
      <w:pPr>
        <w:numPr>
          <w:ilvl w:val="0"/>
          <w:numId w:val="18"/>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通过苏银理财有限责任公司官方网站（</w:t>
      </w:r>
      <w:r>
        <w:rPr>
          <w:rFonts w:ascii="楷体" w:hAnsi="楷体" w:eastAsia="楷体" w:cs="Calibri"/>
          <w:sz w:val="21"/>
          <w:szCs w:val="21"/>
          <w:highlight w:val="none"/>
        </w:rPr>
        <w:t>www</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suyinwealth</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com</w:t>
      </w:r>
      <w:r>
        <w:rPr>
          <w:rFonts w:hint="eastAsia" w:ascii="楷体" w:hAnsi="楷体" w:eastAsia="楷体" w:cs="Calibri"/>
          <w:sz w:val="21"/>
          <w:szCs w:val="21"/>
          <w:highlight w:val="none"/>
        </w:rPr>
        <w:t>）进行信息披露。</w:t>
      </w:r>
    </w:p>
    <w:p>
      <w:pPr>
        <w:numPr>
          <w:ilvl w:val="0"/>
          <w:numId w:val="18"/>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将信息披露内容发送销售机构，由销售机构通过</w:t>
      </w:r>
      <w:r>
        <w:rPr>
          <w:rFonts w:hint="eastAsia" w:ascii="楷体" w:hAnsi="楷体" w:eastAsia="楷体" w:cs="Calibri"/>
          <w:sz w:val="21"/>
          <w:szCs w:val="21"/>
          <w:highlight w:val="none"/>
          <w:lang w:val="en-US" w:eastAsia="zh-CN"/>
        </w:rPr>
        <w:t>短信及</w:t>
      </w:r>
      <w:r>
        <w:rPr>
          <w:rFonts w:hint="eastAsia" w:ascii="楷体" w:hAnsi="楷体" w:eastAsia="楷体" w:cs="Calibri"/>
          <w:sz w:val="21"/>
          <w:szCs w:val="21"/>
          <w:highlight w:val="none"/>
        </w:rPr>
        <w:t>销售机构电子渠道和营业网点</w:t>
      </w:r>
      <w:r>
        <w:rPr>
          <w:rFonts w:hint="eastAsia" w:ascii="楷体" w:hAnsi="楷体" w:eastAsia="楷体" w:cs="Calibri"/>
          <w:sz w:val="21"/>
          <w:szCs w:val="21"/>
          <w:highlight w:val="none"/>
          <w:lang w:val="en-US" w:eastAsia="zh-CN"/>
        </w:rPr>
        <w:t>等方式</w:t>
      </w:r>
      <w:r>
        <w:rPr>
          <w:rFonts w:hint="eastAsia" w:ascii="楷体" w:hAnsi="楷体" w:eastAsia="楷体" w:cs="Calibri"/>
          <w:sz w:val="21"/>
          <w:szCs w:val="21"/>
          <w:highlight w:val="none"/>
        </w:rPr>
        <w:t>进行信息披露。</w:t>
      </w:r>
    </w:p>
    <w:p>
      <w:pPr>
        <w:numPr>
          <w:ilvl w:val="-1"/>
          <w:numId w:val="0"/>
        </w:numPr>
        <w:ind w:left="0" w:firstLine="420" w:firstLineChars="200"/>
        <w:rPr>
          <w:rFonts w:ascii="楷体" w:hAnsi="楷体" w:eastAsia="楷体" w:cs="Calibri"/>
          <w:color w:val="auto"/>
          <w:sz w:val="21"/>
          <w:szCs w:val="21"/>
        </w:rPr>
      </w:pPr>
      <w:r>
        <w:rPr>
          <w:rFonts w:hint="eastAsia" w:ascii="楷体" w:hAnsi="楷体" w:eastAsia="楷体"/>
          <w:sz w:val="21"/>
          <w:szCs w:val="21"/>
          <w:highlight w:val="none"/>
        </w:rPr>
        <w:t>相关信息在发布或发出之日视为通知已送达投资者并生效，</w:t>
      </w:r>
      <w:r>
        <w:rPr>
          <w:rFonts w:hint="eastAsia" w:ascii="楷体" w:hAnsi="楷体" w:eastAsia="楷体"/>
          <w:sz w:val="21"/>
          <w:szCs w:val="21"/>
          <w:highlight w:val="none"/>
          <w:lang w:val="en-US" w:eastAsia="zh-CN"/>
        </w:rPr>
        <w:t>管理人已完全履行信息披露义务。如因投资者未及时查询，或由于通讯故障、非产品管理人原因的系统故障以及其它不可抗力等因素的影响，致使投资者无法及时获取产品信息而产生的全部责任和风险（包括但不限于因未及时获取信息而错过资金使用和再投资的机会等），都由投资者自行承担。因此</w:t>
      </w:r>
      <w:r>
        <w:rPr>
          <w:rFonts w:hint="eastAsia" w:ascii="楷体" w:hAnsi="楷体" w:eastAsia="楷体"/>
          <w:sz w:val="21"/>
          <w:szCs w:val="21"/>
          <w:highlight w:val="none"/>
        </w:rPr>
        <w:t>请</w:t>
      </w:r>
      <w:r>
        <w:rPr>
          <w:rFonts w:hint="eastAsia" w:ascii="楷体" w:hAnsi="楷体" w:eastAsia="楷体"/>
          <w:sz w:val="21"/>
          <w:szCs w:val="21"/>
          <w:highlight w:val="none"/>
          <w:lang w:val="en-US" w:eastAsia="zh-CN"/>
        </w:rPr>
        <w:t>投资者</w:t>
      </w:r>
      <w:r>
        <w:rPr>
          <w:rFonts w:hint="eastAsia" w:ascii="楷体" w:hAnsi="楷体" w:eastAsia="楷体"/>
          <w:sz w:val="21"/>
          <w:szCs w:val="21"/>
          <w:highlight w:val="none"/>
        </w:rPr>
        <w:t>及时登陆苏银理财有限责任</w:t>
      </w:r>
      <w:r>
        <w:rPr>
          <w:rFonts w:hint="eastAsia" w:ascii="楷体" w:hAnsi="楷体" w:eastAsia="楷体"/>
          <w:sz w:val="21"/>
          <w:szCs w:val="21"/>
          <w:highlight w:val="none"/>
          <w:lang w:val="en-US" w:eastAsia="zh-CN"/>
        </w:rPr>
        <w:t>公司</w:t>
      </w:r>
      <w:r>
        <w:rPr>
          <w:rFonts w:hint="eastAsia" w:ascii="楷体" w:hAnsi="楷体" w:eastAsia="楷体"/>
          <w:sz w:val="21"/>
          <w:szCs w:val="21"/>
          <w:highlight w:val="none"/>
        </w:rPr>
        <w:t>官方网站或者向销售机构查询获取披露信息</w:t>
      </w:r>
      <w:r>
        <w:rPr>
          <w:rFonts w:hint="eastAsia" w:ascii="楷体" w:hAnsi="楷体" w:eastAsia="楷体"/>
          <w:color w:val="auto"/>
          <w:sz w:val="21"/>
          <w:szCs w:val="21"/>
          <w:highlight w:val="none"/>
        </w:rPr>
        <w:t>。</w:t>
      </w:r>
    </w:p>
    <w:p>
      <w:pPr>
        <w:numPr>
          <w:ilvl w:val="0"/>
          <w:numId w:val="17"/>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内容及时间</w:t>
      </w:r>
    </w:p>
    <w:p>
      <w:pPr>
        <w:numPr>
          <w:ilvl w:val="0"/>
          <w:numId w:val="19"/>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产品净值：</w:t>
      </w:r>
      <w:r>
        <w:rPr>
          <w:rFonts w:hint="eastAsia" w:ascii="楷体" w:hAnsi="楷体" w:eastAsia="楷体" w:cs="Calibri"/>
          <w:color w:val="auto"/>
          <w:sz w:val="21"/>
          <w:szCs w:val="21"/>
          <w:highlight w:val="none"/>
          <w:lang w:val="en-US" w:eastAsia="zh-CN"/>
        </w:rPr>
        <w:t>公募封闭式产品至少</w:t>
      </w:r>
      <w:r>
        <w:rPr>
          <w:rFonts w:hint="eastAsia" w:ascii="楷体" w:hAnsi="楷体" w:eastAsia="楷体" w:cs="Calibri"/>
          <w:color w:val="auto"/>
          <w:sz w:val="21"/>
          <w:szCs w:val="21"/>
          <w:highlight w:val="none"/>
        </w:rPr>
        <w:t>每周向投资者披露一次产品的份额净值、份额累计净值</w:t>
      </w:r>
      <w:r>
        <w:rPr>
          <w:rFonts w:hint="eastAsia" w:ascii="楷体" w:hAnsi="楷体" w:eastAsia="楷体" w:cs="Calibri"/>
          <w:color w:val="auto"/>
          <w:sz w:val="21"/>
          <w:szCs w:val="21"/>
          <w:highlight w:val="none"/>
          <w:lang w:val="en-US" w:eastAsia="zh-CN"/>
        </w:rPr>
        <w:t>；公募开放式产品</w:t>
      </w:r>
      <w:r>
        <w:rPr>
          <w:rFonts w:hint="eastAsia" w:ascii="楷体" w:hAnsi="楷体" w:eastAsia="楷体" w:cs="Calibri"/>
          <w:color w:val="auto"/>
          <w:sz w:val="21"/>
          <w:szCs w:val="21"/>
          <w:highlight w:val="none"/>
          <w:lang w:eastAsia="zh-CN"/>
        </w:rPr>
        <w:t>每个开放日结束后两个工作日内，披露开放式公募理财产品在开放日的份额净值、份额累计净值、认（申）购价格和赎回价格</w:t>
      </w:r>
      <w:r>
        <w:rPr>
          <w:rFonts w:hint="eastAsia" w:ascii="楷体" w:hAnsi="楷体" w:eastAsia="楷体" w:cs="Calibri"/>
          <w:color w:val="auto"/>
          <w:sz w:val="21"/>
          <w:szCs w:val="21"/>
          <w:highlight w:val="none"/>
          <w:lang w:val="en-US" w:eastAsia="zh-CN"/>
        </w:rPr>
        <w:t>；私募产品至少每季度向投资者披露一次产品的份额净值、份额累计净值，以管理人实际披露为准。</w:t>
      </w:r>
    </w:p>
    <w:p>
      <w:pPr>
        <w:numPr>
          <w:ilvl w:val="0"/>
          <w:numId w:val="19"/>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发行公告：管理人在产品成立后5个工作日内，披露产品成立公告，内容包括理财产品成立日期和募集规模等信息。</w:t>
      </w:r>
    </w:p>
    <w:p>
      <w:pPr>
        <w:numPr>
          <w:ilvl w:val="0"/>
          <w:numId w:val="1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定期公告：管理人在每个季度结束之日起15个工作日内、上半年结束之日起60个工作日内、每年结束之日起90个工作日内，披露产品季度、半年和年度报告等定期报告；产品成立不足90个工作日或者剩余存续期不超过90个工作日的，管理人将不编制产品当期的季度、半年和年度报告；内容包括理财产品的存续规模、收益表现，并分别列示直接和间接投资的资产种类、投资比例、投资组合的流动性风险分析，以及前十项资产具体名称、规模和比例等信息。</w:t>
      </w:r>
    </w:p>
    <w:p>
      <w:pPr>
        <w:numPr>
          <w:ilvl w:val="0"/>
          <w:numId w:val="1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到期公告：管理人在产品终止后5个工作日内，披露产品到期公告，内容包括理财产品的存续期限、终止日期、收费情况和收益分配情况等信息。</w:t>
      </w:r>
    </w:p>
    <w:p>
      <w:pPr>
        <w:numPr>
          <w:ilvl w:val="0"/>
          <w:numId w:val="1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重大事项公告：管理人在发生可能对理财产品投资者或者理财产品收益</w:t>
      </w:r>
      <w:r>
        <w:rPr>
          <w:rFonts w:hint="eastAsia" w:ascii="楷体" w:hAnsi="楷体" w:eastAsia="楷体" w:cs="Calibri"/>
          <w:color w:val="auto"/>
          <w:sz w:val="21"/>
          <w:szCs w:val="21"/>
          <w:lang w:val="en-US" w:eastAsia="zh-CN"/>
        </w:rPr>
        <w:t>产生重大影响</w:t>
      </w:r>
      <w:r>
        <w:rPr>
          <w:rFonts w:hint="eastAsia" w:ascii="楷体" w:hAnsi="楷体" w:eastAsia="楷体" w:cs="Calibri"/>
          <w:color w:val="auto"/>
          <w:sz w:val="21"/>
          <w:szCs w:val="21"/>
        </w:rPr>
        <w:t>的事件后2个工作日内发布重大事项公告。</w:t>
      </w:r>
    </w:p>
    <w:p>
      <w:pPr>
        <w:numPr>
          <w:ilvl w:val="0"/>
          <w:numId w:val="1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临时性信息：管理人将及时披露国务院银行业监督管理机构规定的其他信息或除重大事项事件以外的其他信息。</w:t>
      </w:r>
    </w:p>
    <w:p>
      <w:pPr>
        <w:numPr>
          <w:ilvl w:val="0"/>
          <w:numId w:val="1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半年度整体报告：每半年披露从事理财业务活动的有关信息。</w:t>
      </w:r>
    </w:p>
    <w:p>
      <w:pPr>
        <w:numPr>
          <w:ilvl w:val="0"/>
          <w:numId w:val="19"/>
        </w:numPr>
        <w:tabs>
          <w:tab w:val="left" w:pos="728"/>
        </w:tabs>
        <w:ind w:left="0" w:firstLine="420" w:firstLineChars="200"/>
        <w:rPr>
          <w:rFonts w:ascii="楷体" w:hAnsi="楷体" w:eastAsia="楷体" w:cs="Calibri"/>
          <w:sz w:val="21"/>
          <w:szCs w:val="21"/>
          <w:highlight w:val="none"/>
        </w:rPr>
      </w:pPr>
      <w:r>
        <w:rPr>
          <w:rFonts w:hint="eastAsia" w:ascii="楷体" w:hAnsi="楷体" w:eastAsia="楷体" w:cs="Calibri"/>
          <w:color w:val="auto"/>
          <w:sz w:val="21"/>
          <w:szCs w:val="21"/>
        </w:rPr>
        <w:t>理财账单：管理人每月向投资者提供其所持有的理财产品账单，账单内容包括但不限于投资者持有的理财产品份额、认购金额、份额</w:t>
      </w:r>
      <w:r>
        <w:rPr>
          <w:rFonts w:hint="eastAsia" w:ascii="楷体" w:hAnsi="楷体" w:eastAsia="楷体" w:cs="Calibri"/>
          <w:color w:val="auto"/>
          <w:sz w:val="21"/>
          <w:szCs w:val="21"/>
          <w:lang w:val="en-US" w:eastAsia="zh-CN"/>
        </w:rPr>
        <w:t>单位</w:t>
      </w:r>
      <w:r>
        <w:rPr>
          <w:rFonts w:hint="eastAsia" w:ascii="楷体" w:hAnsi="楷体" w:eastAsia="楷体" w:cs="Calibri"/>
          <w:color w:val="auto"/>
          <w:sz w:val="21"/>
          <w:szCs w:val="21"/>
        </w:rPr>
        <w:t>净值、份额累计净值、资产净值、收益情况、投资者理财交易账户发生的交易明细记录等信息。</w:t>
      </w:r>
    </w:p>
    <w:p>
      <w:pPr>
        <w:numPr>
          <w:ilvl w:val="0"/>
          <w:numId w:val="6"/>
        </w:numPr>
        <w:tabs>
          <w:tab w:val="left" w:pos="1428"/>
        </w:tabs>
        <w:ind w:left="420" w:leftChars="0" w:firstLine="0" w:firstLineChars="0"/>
        <w:rPr>
          <w:rFonts w:ascii="楷体" w:hAnsi="楷体" w:eastAsia="楷体"/>
          <w:b/>
          <w:color w:val="auto"/>
          <w:sz w:val="21"/>
          <w:szCs w:val="21"/>
        </w:rPr>
      </w:pPr>
      <w:r>
        <w:rPr>
          <w:rFonts w:hint="eastAsia" w:ascii="楷体" w:hAnsi="楷体" w:eastAsia="楷体"/>
          <w:b/>
          <w:color w:val="auto"/>
          <w:sz w:val="21"/>
          <w:szCs w:val="21"/>
        </w:rPr>
        <w:t>其他</w:t>
      </w:r>
    </w:p>
    <w:p>
      <w:pPr>
        <w:numPr>
          <w:ilvl w:val="0"/>
          <w:numId w:val="20"/>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追索条款</w:t>
      </w:r>
    </w:p>
    <w:p>
      <w:pPr>
        <w:ind w:firstLine="420" w:firstLineChars="200"/>
        <w:rPr>
          <w:rFonts w:ascii="楷体" w:hAnsi="楷体" w:eastAsia="楷体"/>
          <w:color w:val="auto"/>
          <w:sz w:val="21"/>
          <w:szCs w:val="21"/>
        </w:rPr>
      </w:pPr>
      <w:r>
        <w:rPr>
          <w:rFonts w:hint="eastAsia" w:ascii="楷体" w:hAnsi="楷体" w:eastAsia="楷体"/>
          <w:color w:val="auto"/>
          <w:sz w:val="21"/>
          <w:szCs w:val="21"/>
        </w:rPr>
        <w:t>若本理财产品所投资的金融资产到期不能全部偿付导致资产减值甚至本金大幅损失，则苏银理财将以管理人名义，代表理财产品投资者利益行使诉讼权利或者实施其他权利救济措施。</w:t>
      </w:r>
    </w:p>
    <w:p>
      <w:pPr>
        <w:numPr>
          <w:ilvl w:val="0"/>
          <w:numId w:val="20"/>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信息安全</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rPr>
        <w:t>苏银理财及</w:t>
      </w:r>
      <w:r>
        <w:rPr>
          <w:rFonts w:hint="eastAsia" w:ascii="楷体" w:hAnsi="楷体" w:eastAsia="楷体"/>
          <w:color w:val="auto"/>
          <w:sz w:val="21"/>
          <w:szCs w:val="21"/>
          <w:lang w:val="en-US" w:eastAsia="zh-CN"/>
        </w:rPr>
        <w:t>销售</w:t>
      </w:r>
      <w:r>
        <w:rPr>
          <w:rFonts w:hint="eastAsia" w:ascii="楷体" w:hAnsi="楷体" w:eastAsia="楷体"/>
          <w:color w:val="auto"/>
          <w:sz w:val="21"/>
          <w:szCs w:val="21"/>
        </w:rPr>
        <w:t>机构将据相关法律、法规严格履行投资者信息保密责任，除监管机构或司法机关等有权机构外，不得对其他第三方提供任何投资者信息。</w:t>
      </w:r>
    </w:p>
    <w:p>
      <w:pPr>
        <w:numPr>
          <w:ilvl w:val="0"/>
          <w:numId w:val="20"/>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争议解决</w:t>
      </w:r>
    </w:p>
    <w:p>
      <w:pPr>
        <w:ind w:firstLine="420" w:firstLineChars="200"/>
        <w:jc w:val="left"/>
        <w:rPr>
          <w:rFonts w:ascii="楷体" w:hAnsi="楷体" w:eastAsia="楷体"/>
        </w:rPr>
      </w:pPr>
      <w:r>
        <w:rPr>
          <w:rFonts w:hint="eastAsia" w:ascii="楷体" w:hAnsi="楷体" w:eastAsia="楷体"/>
          <w:color w:val="auto"/>
          <w:sz w:val="21"/>
          <w:szCs w:val="21"/>
          <w:lang w:val="en-US" w:eastAsia="zh-CN"/>
        </w:rPr>
        <w:t>本产品说明书</w:t>
      </w:r>
      <w:r>
        <w:rPr>
          <w:rFonts w:hint="eastAsia" w:ascii="楷体" w:hAnsi="楷体" w:eastAsia="楷体"/>
          <w:color w:val="auto"/>
          <w:sz w:val="21"/>
          <w:szCs w:val="21"/>
        </w:rPr>
        <w:t>的订立、生效、履行、解释、修改和终止等事项均适用中华人民共和国（不包括香港特别行政区、澳门特别行政区和台湾地区）法律。</w:t>
      </w:r>
      <w:r>
        <w:rPr>
          <w:rFonts w:hint="eastAsia" w:ascii="楷体" w:hAnsi="楷体" w:eastAsia="楷体"/>
          <w:color w:val="auto"/>
          <w:sz w:val="21"/>
          <w:szCs w:val="21"/>
          <w:lang w:val="en-US" w:eastAsia="zh-CN"/>
        </w:rPr>
        <w:t>因本产品说明书</w:t>
      </w:r>
      <w:r>
        <w:rPr>
          <w:rFonts w:hint="eastAsia" w:ascii="楷体" w:hAnsi="楷体" w:eastAsia="楷体"/>
          <w:color w:val="auto"/>
          <w:sz w:val="21"/>
          <w:szCs w:val="21"/>
        </w:rPr>
        <w:t>引起的或与</w:t>
      </w:r>
      <w:r>
        <w:rPr>
          <w:rFonts w:hint="eastAsia" w:ascii="楷体" w:hAnsi="楷体" w:eastAsia="楷体"/>
          <w:color w:val="auto"/>
          <w:sz w:val="21"/>
          <w:szCs w:val="21"/>
          <w:lang w:val="en-US" w:eastAsia="zh-CN"/>
        </w:rPr>
        <w:t>本产品说明书</w:t>
      </w:r>
      <w:r>
        <w:rPr>
          <w:rFonts w:hint="eastAsia" w:ascii="楷体" w:hAnsi="楷体" w:eastAsia="楷体"/>
          <w:color w:val="auto"/>
          <w:sz w:val="21"/>
          <w:szCs w:val="21"/>
        </w:rPr>
        <w:t>有关的任何争议，应当首先通过双方之间的友好协商解决；协商不成的，双方均有权提交产品管理人所在地有管辖权的人民法院诉讼解决。</w:t>
      </w:r>
    </w:p>
    <w:bookmarkEnd w:id="0"/>
    <w:p>
      <w:pPr>
        <w:rPr>
          <w:rFonts w:ascii="楷体" w:hAnsi="楷体" w:eastAsia="楷体"/>
          <w:b/>
          <w:sz w:val="36"/>
          <w:szCs w:val="36"/>
        </w:rPr>
      </w:pPr>
      <w:r>
        <w:rPr>
          <w:rFonts w:hint="eastAsia" w:ascii="楷体" w:hAnsi="楷体" w:eastAsia="楷体"/>
          <w:b/>
          <w:sz w:val="36"/>
          <w:szCs w:val="36"/>
        </w:rPr>
        <w:br w:type="page"/>
      </w:r>
    </w:p>
    <w:p>
      <w:pPr>
        <w:jc w:val="center"/>
        <w:rPr>
          <w:rFonts w:hint="eastAsia" w:ascii="楷体" w:hAnsi="楷体" w:eastAsia="楷体"/>
          <w:b/>
          <w:sz w:val="36"/>
          <w:szCs w:val="36"/>
        </w:rPr>
      </w:pPr>
      <w:r>
        <w:rPr>
          <w:rFonts w:hint="eastAsia" w:ascii="楷体" w:hAnsi="楷体" w:eastAsia="楷体"/>
          <w:b/>
          <w:sz w:val="28"/>
          <w:szCs w:val="28"/>
        </w:rPr>
        <w:t>苏银理财有限责任公司理财产品投资协议书</w:t>
      </w:r>
    </w:p>
    <w:p>
      <w:pPr>
        <w:jc w:val="center"/>
        <w:rPr>
          <w:rFonts w:hint="eastAsia" w:ascii="楷体" w:hAnsi="楷体" w:eastAsia="楷体"/>
          <w:b/>
          <w:sz w:val="28"/>
          <w:szCs w:val="28"/>
        </w:rPr>
      </w:pPr>
      <w:r>
        <w:rPr>
          <w:rFonts w:hint="eastAsia" w:ascii="楷体" w:hAnsi="楷体" w:eastAsia="楷体"/>
          <w:b/>
          <w:sz w:val="24"/>
          <w:szCs w:val="24"/>
        </w:rPr>
        <w:t>理财非存款、产品有风险、投资须谨慎</w:t>
      </w:r>
    </w:p>
    <w:p>
      <w:pPr>
        <w:ind w:firstLine="420" w:firstLineChars="200"/>
        <w:rPr>
          <w:rFonts w:hint="eastAsia" w:ascii="楷体" w:hAnsi="楷体" w:eastAsia="楷体" w:cs="Times New Roman"/>
          <w:b w:val="0"/>
          <w:sz w:val="21"/>
          <w:szCs w:val="21"/>
        </w:rPr>
      </w:pPr>
      <w:r>
        <w:rPr>
          <w:rFonts w:hint="eastAsia" w:ascii="楷体" w:hAnsi="楷体" w:eastAsia="楷体" w:cs="Times New Roman"/>
          <w:sz w:val="21"/>
          <w:szCs w:val="21"/>
        </w:rPr>
        <w:t>经甲方（</w:t>
      </w:r>
      <w:r>
        <w:rPr>
          <w:rFonts w:hint="eastAsia" w:ascii="楷体" w:hAnsi="楷体" w:eastAsia="楷体" w:cs="Times New Roman"/>
          <w:sz w:val="21"/>
          <w:szCs w:val="21"/>
          <w:lang w:val="en-US" w:eastAsia="zh-CN"/>
        </w:rPr>
        <w:t>投资者</w:t>
      </w:r>
      <w:r>
        <w:rPr>
          <w:rFonts w:hint="eastAsia" w:ascii="楷体" w:hAnsi="楷体" w:eastAsia="楷体" w:cs="Times New Roman"/>
          <w:sz w:val="21"/>
          <w:szCs w:val="21"/>
        </w:rPr>
        <w:t>）与乙方（</w:t>
      </w:r>
      <w:r>
        <w:rPr>
          <w:rFonts w:hint="eastAsia" w:ascii="楷体" w:hAnsi="楷体" w:eastAsia="楷体" w:cs="Times New Roman"/>
          <w:sz w:val="21"/>
          <w:szCs w:val="21"/>
          <w:lang w:val="en-US" w:eastAsia="zh-CN"/>
        </w:rPr>
        <w:t>苏银</w:t>
      </w:r>
      <w:r>
        <w:rPr>
          <w:rFonts w:hint="eastAsia" w:ascii="楷体" w:hAnsi="楷体" w:eastAsia="楷体" w:cs="Times New Roman"/>
          <w:sz w:val="21"/>
          <w:szCs w:val="21"/>
        </w:rPr>
        <w:t>理财有限责任公司</w:t>
      </w:r>
      <w:r>
        <w:rPr>
          <w:rFonts w:hint="eastAsia" w:ascii="楷体" w:hAnsi="楷体" w:eastAsia="楷体" w:cs="Times New Roman"/>
          <w:sz w:val="21"/>
          <w:szCs w:val="21"/>
          <w:lang w:eastAsia="zh-CN"/>
        </w:rPr>
        <w:t>，</w:t>
      </w:r>
      <w:r>
        <w:rPr>
          <w:rFonts w:hint="eastAsia" w:ascii="楷体" w:hAnsi="楷体" w:eastAsia="楷体" w:cs="Times New Roman"/>
          <w:sz w:val="21"/>
          <w:szCs w:val="21"/>
          <w:lang w:val="en-US" w:eastAsia="zh-CN"/>
        </w:rPr>
        <w:t>以下简称“苏银理财”</w:t>
      </w:r>
      <w:r>
        <w:rPr>
          <w:rFonts w:hint="eastAsia" w:ascii="楷体" w:hAnsi="楷体" w:eastAsia="楷体" w:cs="Times New Roman"/>
          <w:sz w:val="21"/>
          <w:szCs w:val="21"/>
        </w:rPr>
        <w:t>）协商一致，就甲方向乙方购买理财产品，达成协议如下：</w:t>
      </w:r>
    </w:p>
    <w:p>
      <w:pPr>
        <w:ind w:firstLine="422" w:firstLineChars="200"/>
        <w:rPr>
          <w:rFonts w:hint="eastAsia" w:ascii="楷体" w:hAnsi="楷体" w:eastAsia="楷体"/>
          <w:b/>
          <w:sz w:val="21"/>
          <w:szCs w:val="21"/>
        </w:rPr>
      </w:pPr>
      <w:r>
        <w:rPr>
          <w:rFonts w:hint="eastAsia" w:ascii="楷体" w:hAnsi="楷体" w:eastAsia="楷体"/>
          <w:b/>
          <w:sz w:val="21"/>
          <w:szCs w:val="21"/>
        </w:rPr>
        <w:t>一、重要声明</w:t>
      </w:r>
    </w:p>
    <w:p>
      <w:pPr>
        <w:ind w:firstLine="420" w:firstLineChars="200"/>
        <w:rPr>
          <w:rFonts w:hint="eastAsia" w:ascii="楷体" w:hAnsi="楷体" w:eastAsia="楷体"/>
          <w:b/>
          <w:sz w:val="21"/>
          <w:szCs w:val="21"/>
          <w:u w:val="single"/>
        </w:rPr>
      </w:pPr>
      <w:r>
        <w:rPr>
          <w:rFonts w:hint="eastAsia" w:ascii="楷体" w:hAnsi="楷体" w:eastAsia="楷体"/>
          <w:sz w:val="21"/>
          <w:szCs w:val="21"/>
        </w:rPr>
        <w:t>本投资协议书与</w:t>
      </w:r>
      <w:r>
        <w:rPr>
          <w:rFonts w:hint="eastAsia" w:ascii="楷体" w:hAnsi="楷体" w:eastAsia="楷体"/>
          <w:sz w:val="21"/>
          <w:szCs w:val="21"/>
          <w:lang w:val="en-US" w:eastAsia="zh-CN"/>
        </w:rPr>
        <w:t>理财产品（</w:t>
      </w:r>
      <w:r>
        <w:rPr>
          <w:rFonts w:hint="eastAsia" w:ascii="楷体" w:hAnsi="楷体" w:eastAsia="楷体"/>
          <w:sz w:val="21"/>
          <w:szCs w:val="21"/>
        </w:rPr>
        <w:t>代理</w:t>
      </w:r>
      <w:r>
        <w:rPr>
          <w:rFonts w:hint="eastAsia" w:ascii="楷体" w:hAnsi="楷体" w:eastAsia="楷体"/>
          <w:sz w:val="21"/>
          <w:szCs w:val="21"/>
          <w:lang w:eastAsia="zh-CN"/>
        </w:rPr>
        <w:t>）</w:t>
      </w:r>
      <w:r>
        <w:rPr>
          <w:rFonts w:hint="eastAsia" w:ascii="楷体" w:hAnsi="楷体" w:eastAsia="楷体"/>
          <w:sz w:val="21"/>
          <w:szCs w:val="21"/>
        </w:rPr>
        <w:t>销售协议书、理财产品说明书、风险揭示书、投资者权益须知等销售文件构成完整的不可分割的理财产品合同。</w:t>
      </w:r>
      <w:r>
        <w:rPr>
          <w:rFonts w:hint="eastAsia" w:ascii="楷体" w:hAnsi="楷体" w:eastAsia="楷体"/>
          <w:sz w:val="21"/>
          <w:szCs w:val="21"/>
          <w:lang w:val="en-US" w:eastAsia="zh-CN"/>
        </w:rPr>
        <w:t>乙方</w:t>
      </w:r>
      <w:r>
        <w:rPr>
          <w:rFonts w:hint="eastAsia" w:ascii="楷体" w:hAnsi="楷体" w:eastAsia="楷体"/>
          <w:sz w:val="21"/>
          <w:szCs w:val="21"/>
        </w:rPr>
        <w:t>作为理财产品管理人建议投资者在购买对应期次理财产品（以下简称“本理财产品”）前认真阅读相关理财产品合同或咨询专业理财经理。</w:t>
      </w:r>
      <w:r>
        <w:rPr>
          <w:rFonts w:hint="eastAsia" w:ascii="楷体" w:hAnsi="楷体" w:eastAsia="楷体"/>
          <w:sz w:val="21"/>
          <w:szCs w:val="21"/>
          <w:lang w:val="en-US" w:eastAsia="zh-CN"/>
        </w:rPr>
        <w:t>甲方</w:t>
      </w:r>
      <w:r>
        <w:rPr>
          <w:rFonts w:hint="eastAsia" w:ascii="楷体" w:hAnsi="楷体" w:eastAsia="楷体"/>
          <w:sz w:val="21"/>
          <w:szCs w:val="21"/>
        </w:rPr>
        <w:t>签署本投资协议（含电子渠道确认）则被视为已详细阅读过本投资协议及完整理财产品合同，并充分理解合同条款和潜在风险，自愿购买本理财产品，并遵守理财产品合同中的各项规定。</w:t>
      </w:r>
      <w:r>
        <w:rPr>
          <w:rFonts w:hint="eastAsia" w:ascii="楷体" w:hAnsi="楷体" w:eastAsia="楷体"/>
          <w:b/>
          <w:sz w:val="21"/>
          <w:szCs w:val="21"/>
          <w:u w:val="single"/>
        </w:rPr>
        <w:t>本理财产品不保证本金和收益。受各种市场波动因素影响，本理财产品可能存在包括但不限于政策风险、信用风险、市场风险、流动性风险、管理风险、操作风险、兑付延期风险、提前终止风险、信息传递风险、代销风险、</w:t>
      </w:r>
      <w:r>
        <w:rPr>
          <w:rFonts w:hint="eastAsia" w:ascii="楷体" w:hAnsi="楷体" w:eastAsia="楷体"/>
          <w:b/>
          <w:sz w:val="21"/>
          <w:szCs w:val="21"/>
          <w:u w:val="single"/>
          <w:lang w:val="en-US" w:eastAsia="zh-CN"/>
        </w:rPr>
        <w:t>关联交易风险、</w:t>
      </w:r>
      <w:r>
        <w:rPr>
          <w:rFonts w:hint="eastAsia" w:ascii="楷体" w:hAnsi="楷体" w:eastAsia="楷体"/>
          <w:b/>
          <w:sz w:val="21"/>
          <w:szCs w:val="21"/>
          <w:u w:val="single"/>
        </w:rPr>
        <w:t>标的资产的特别投资风险及其他风险，具体风险因素由</w:t>
      </w:r>
      <w:r>
        <w:rPr>
          <w:rFonts w:hint="eastAsia" w:ascii="楷体" w:hAnsi="楷体" w:eastAsia="楷体"/>
          <w:b/>
          <w:sz w:val="21"/>
          <w:szCs w:val="21"/>
          <w:u w:val="single"/>
          <w:lang w:val="en-US" w:eastAsia="zh-CN"/>
        </w:rPr>
        <w:t>乙方</w:t>
      </w:r>
      <w:r>
        <w:rPr>
          <w:rFonts w:hint="eastAsia" w:ascii="楷体" w:hAnsi="楷体" w:eastAsia="楷体"/>
          <w:b/>
          <w:sz w:val="21"/>
          <w:szCs w:val="21"/>
          <w:u w:val="single"/>
        </w:rPr>
        <w:t>在理财产品风险揭示书中揭示。请您</w:t>
      </w:r>
      <w:r>
        <w:rPr>
          <w:rFonts w:hint="eastAsia" w:ascii="楷体" w:hAnsi="楷体" w:eastAsia="楷体"/>
          <w:b/>
          <w:sz w:val="21"/>
          <w:szCs w:val="21"/>
          <w:u w:val="single"/>
          <w:lang w:val="en-US" w:eastAsia="zh-CN"/>
        </w:rPr>
        <w:t>仔细阅读并</w:t>
      </w:r>
      <w:r>
        <w:rPr>
          <w:rFonts w:hint="eastAsia" w:ascii="楷体" w:hAnsi="楷体" w:eastAsia="楷体"/>
          <w:b/>
          <w:sz w:val="21"/>
          <w:szCs w:val="21"/>
          <w:u w:val="single"/>
        </w:rPr>
        <w:t>充分认识投资风险，谨慎投资。</w:t>
      </w:r>
    </w:p>
    <w:p>
      <w:pPr>
        <w:ind w:firstLine="422" w:firstLineChars="200"/>
        <w:rPr>
          <w:rFonts w:hint="eastAsia" w:ascii="楷体" w:hAnsi="楷体" w:eastAsia="楷体"/>
          <w:b/>
          <w:sz w:val="21"/>
          <w:szCs w:val="21"/>
        </w:rPr>
      </w:pPr>
      <w:r>
        <w:rPr>
          <w:rFonts w:hint="eastAsia" w:ascii="楷体" w:hAnsi="楷体" w:eastAsia="楷体"/>
          <w:b/>
          <w:sz w:val="21"/>
          <w:szCs w:val="21"/>
        </w:rPr>
        <w:t>二、</w:t>
      </w:r>
      <w:r>
        <w:rPr>
          <w:rFonts w:hint="eastAsia" w:ascii="楷体" w:hAnsi="楷体" w:eastAsia="楷体"/>
          <w:b/>
          <w:sz w:val="21"/>
          <w:szCs w:val="21"/>
          <w:lang w:val="en-US" w:eastAsia="zh-CN"/>
        </w:rPr>
        <w:t>甲方</w:t>
      </w:r>
      <w:r>
        <w:rPr>
          <w:rFonts w:hint="eastAsia" w:ascii="楷体" w:hAnsi="楷体" w:eastAsia="楷体"/>
          <w:b/>
          <w:sz w:val="21"/>
          <w:szCs w:val="21"/>
        </w:rPr>
        <w:t>的权利义务</w:t>
      </w:r>
    </w:p>
    <w:p>
      <w:pPr>
        <w:numPr>
          <w:ilvl w:val="0"/>
          <w:numId w:val="0"/>
        </w:numPr>
        <w:ind w:left="0" w:firstLine="422" w:firstLineChars="200"/>
        <w:rPr>
          <w:rFonts w:hint="eastAsia" w:ascii="楷体" w:hAnsi="楷体" w:eastAsia="楷体" w:cs="Times New Roman"/>
          <w:sz w:val="21"/>
          <w:szCs w:val="21"/>
        </w:rPr>
      </w:pPr>
      <w:r>
        <w:rPr>
          <w:rFonts w:hint="eastAsia" w:ascii="楷体" w:hAnsi="楷体" w:eastAsia="楷体"/>
          <w:b/>
          <w:sz w:val="21"/>
          <w:szCs w:val="21"/>
        </w:rPr>
        <w:t>（一）</w:t>
      </w:r>
      <w:r>
        <w:rPr>
          <w:rFonts w:hint="eastAsia" w:ascii="楷体" w:hAnsi="楷体" w:eastAsia="楷体"/>
          <w:b/>
          <w:sz w:val="21"/>
          <w:szCs w:val="21"/>
          <w:lang w:val="en-US" w:eastAsia="zh-CN"/>
        </w:rPr>
        <w:t>甲方</w:t>
      </w:r>
      <w:r>
        <w:rPr>
          <w:rFonts w:hint="eastAsia" w:ascii="楷体" w:hAnsi="楷体" w:eastAsia="楷体"/>
          <w:b/>
          <w:sz w:val="21"/>
          <w:szCs w:val="21"/>
        </w:rPr>
        <w:t>的权利：</w:t>
      </w:r>
      <w:r>
        <w:rPr>
          <w:rFonts w:hint="eastAsia" w:ascii="楷体" w:hAnsi="楷体" w:eastAsia="楷体" w:cs="Times New Roman"/>
          <w:sz w:val="21"/>
          <w:szCs w:val="21"/>
        </w:rPr>
        <w:t>按理财产品合同的约定取得理财收益</w:t>
      </w:r>
      <w:r>
        <w:rPr>
          <w:rFonts w:hint="eastAsia" w:ascii="楷体" w:hAnsi="楷体" w:eastAsia="楷体" w:cs="Times New Roman"/>
          <w:sz w:val="21"/>
          <w:szCs w:val="21"/>
          <w:lang w:eastAsia="zh-CN"/>
        </w:rPr>
        <w:t>（</w:t>
      </w:r>
      <w:r>
        <w:rPr>
          <w:rFonts w:hint="eastAsia" w:ascii="楷体" w:hAnsi="楷体" w:eastAsia="楷体" w:cs="Times New Roman"/>
          <w:sz w:val="21"/>
          <w:szCs w:val="21"/>
          <w:lang w:val="en-US" w:eastAsia="zh-CN"/>
        </w:rPr>
        <w:t>如有</w:t>
      </w:r>
      <w:r>
        <w:rPr>
          <w:rFonts w:hint="eastAsia" w:ascii="楷体" w:hAnsi="楷体" w:eastAsia="楷体" w:cs="Times New Roman"/>
          <w:sz w:val="21"/>
          <w:szCs w:val="21"/>
          <w:lang w:eastAsia="zh-CN"/>
        </w:rPr>
        <w:t>）</w:t>
      </w:r>
      <w:r>
        <w:rPr>
          <w:rFonts w:hint="eastAsia" w:ascii="楷体" w:hAnsi="楷体" w:eastAsia="楷体" w:cs="Times New Roman"/>
          <w:sz w:val="21"/>
          <w:szCs w:val="21"/>
        </w:rPr>
        <w:t>；按理财产品合同的约定查询获得披露的理财产品信息资料；产品终止后对清算后的理财产品资产净值按理财产品持有份额比例参与分配；要求</w:t>
      </w:r>
      <w:r>
        <w:rPr>
          <w:rFonts w:hint="eastAsia" w:ascii="楷体" w:hAnsi="楷体" w:eastAsia="楷体" w:cs="Times New Roman"/>
          <w:sz w:val="21"/>
          <w:szCs w:val="21"/>
          <w:lang w:val="en-US" w:eastAsia="zh-CN"/>
        </w:rPr>
        <w:t>乙方</w:t>
      </w:r>
      <w:r>
        <w:rPr>
          <w:rFonts w:hint="eastAsia" w:ascii="楷体" w:hAnsi="楷体" w:eastAsia="楷体" w:cs="Times New Roman"/>
          <w:sz w:val="21"/>
          <w:szCs w:val="21"/>
        </w:rPr>
        <w:t>或理财产品托管人及时</w:t>
      </w:r>
      <w:r>
        <w:rPr>
          <w:rFonts w:hint="eastAsia" w:ascii="楷体" w:hAnsi="楷体" w:eastAsia="楷体" w:cs="Times New Roman"/>
          <w:sz w:val="21"/>
          <w:szCs w:val="21"/>
          <w:lang w:val="en-US" w:eastAsia="zh-CN"/>
        </w:rPr>
        <w:t>履行</w:t>
      </w:r>
      <w:r>
        <w:rPr>
          <w:rFonts w:hint="eastAsia" w:ascii="楷体" w:hAnsi="楷体" w:eastAsia="楷体" w:cs="Times New Roman"/>
          <w:sz w:val="21"/>
          <w:szCs w:val="21"/>
        </w:rPr>
        <w:t>法律法规、理财产品合同所规定的义务；对</w:t>
      </w:r>
      <w:r>
        <w:rPr>
          <w:rFonts w:hint="eastAsia" w:ascii="楷体" w:hAnsi="楷体" w:eastAsia="楷体" w:cs="Times New Roman"/>
          <w:sz w:val="21"/>
          <w:szCs w:val="21"/>
          <w:lang w:val="en-US" w:eastAsia="zh-CN"/>
        </w:rPr>
        <w:t>乙方</w:t>
      </w:r>
      <w:r>
        <w:rPr>
          <w:rFonts w:hint="eastAsia" w:ascii="楷体" w:hAnsi="楷体" w:eastAsia="楷体" w:cs="Times New Roman"/>
          <w:sz w:val="21"/>
          <w:szCs w:val="21"/>
        </w:rPr>
        <w:t>、理财产品托管人损害其合法权益</w:t>
      </w:r>
      <w:r>
        <w:rPr>
          <w:rFonts w:hint="eastAsia" w:ascii="楷体" w:hAnsi="楷体" w:eastAsia="楷体" w:cs="Times New Roman"/>
          <w:sz w:val="21"/>
          <w:szCs w:val="21"/>
          <w:lang w:val="en-US" w:eastAsia="zh-CN"/>
        </w:rPr>
        <w:t>的行为</w:t>
      </w:r>
      <w:r>
        <w:rPr>
          <w:rFonts w:hint="eastAsia" w:ascii="楷体" w:hAnsi="楷体" w:eastAsia="楷体" w:cs="Times New Roman"/>
          <w:sz w:val="21"/>
          <w:szCs w:val="21"/>
        </w:rPr>
        <w:t>而要求予以赔偿；法律法规、理财产品合同规定的其它权利。</w:t>
      </w:r>
    </w:p>
    <w:p>
      <w:pPr>
        <w:numPr>
          <w:ilvl w:val="0"/>
          <w:numId w:val="21"/>
        </w:numPr>
        <w:ind w:left="0" w:firstLine="422" w:firstLineChars="200"/>
        <w:rPr>
          <w:rFonts w:hint="eastAsia" w:ascii="楷体" w:hAnsi="楷体" w:eastAsia="楷体" w:cs="Times New Roman"/>
          <w:sz w:val="21"/>
          <w:szCs w:val="21"/>
        </w:rPr>
      </w:pPr>
      <w:r>
        <w:rPr>
          <w:rFonts w:hint="eastAsia" w:ascii="楷体" w:hAnsi="楷体" w:eastAsia="楷体"/>
          <w:b/>
          <w:sz w:val="21"/>
          <w:szCs w:val="21"/>
          <w:lang w:val="en-US" w:eastAsia="zh-CN"/>
        </w:rPr>
        <w:t>甲方</w:t>
      </w:r>
      <w:r>
        <w:rPr>
          <w:rFonts w:hint="eastAsia" w:ascii="楷体" w:hAnsi="楷体" w:eastAsia="楷体"/>
          <w:b/>
          <w:sz w:val="21"/>
          <w:szCs w:val="21"/>
        </w:rPr>
        <w:t>的义务：</w:t>
      </w:r>
      <w:r>
        <w:rPr>
          <w:rFonts w:hint="eastAsia" w:ascii="楷体" w:hAnsi="楷体" w:eastAsia="楷体" w:cs="Times New Roman"/>
          <w:sz w:val="21"/>
          <w:szCs w:val="21"/>
        </w:rPr>
        <w:t>遵守有关法律法规和理财产品合同的约定；以其对理财产品的投资额为限承担本理财产品亏损或者终止的有限责任；不从事任何有损本理财产品及本理财产品其他理财产品合同当事人合法权益的活动；返还其在理财投资过程中取得的不当得利；法律法规</w:t>
      </w:r>
      <w:r>
        <w:rPr>
          <w:rFonts w:hint="eastAsia" w:ascii="楷体" w:hAnsi="楷体" w:eastAsia="楷体" w:cs="Times New Roman"/>
          <w:sz w:val="21"/>
          <w:szCs w:val="21"/>
          <w:lang w:val="en-US" w:eastAsia="zh-CN"/>
        </w:rPr>
        <w:t>以及</w:t>
      </w:r>
      <w:r>
        <w:rPr>
          <w:rFonts w:hint="eastAsia" w:ascii="楷体" w:hAnsi="楷体" w:eastAsia="楷体" w:cs="Times New Roman"/>
          <w:sz w:val="21"/>
          <w:szCs w:val="21"/>
        </w:rPr>
        <w:t>理财产品合同所规定的其它义务。</w:t>
      </w:r>
    </w:p>
    <w:p>
      <w:pPr>
        <w:ind w:firstLine="422" w:firstLineChars="200"/>
        <w:rPr>
          <w:rFonts w:hint="eastAsia" w:ascii="楷体" w:hAnsi="楷体" w:eastAsia="楷体"/>
          <w:b/>
          <w:sz w:val="21"/>
          <w:szCs w:val="21"/>
        </w:rPr>
      </w:pPr>
      <w:r>
        <w:rPr>
          <w:rFonts w:hint="eastAsia" w:ascii="楷体" w:hAnsi="楷体" w:eastAsia="楷体"/>
          <w:b/>
          <w:sz w:val="21"/>
          <w:szCs w:val="21"/>
        </w:rPr>
        <w:t>三、</w:t>
      </w:r>
      <w:r>
        <w:rPr>
          <w:rFonts w:hint="eastAsia" w:ascii="楷体" w:hAnsi="楷体" w:eastAsia="楷体"/>
          <w:b/>
          <w:sz w:val="21"/>
          <w:szCs w:val="21"/>
          <w:lang w:val="en-US" w:eastAsia="zh-CN"/>
        </w:rPr>
        <w:t>乙方</w:t>
      </w:r>
      <w:r>
        <w:rPr>
          <w:rFonts w:hint="eastAsia" w:ascii="楷体" w:hAnsi="楷体" w:eastAsia="楷体"/>
          <w:b/>
          <w:sz w:val="21"/>
          <w:szCs w:val="21"/>
        </w:rPr>
        <w:t>的权利义务</w:t>
      </w:r>
    </w:p>
    <w:p>
      <w:pPr>
        <w:ind w:firstLine="422" w:firstLineChars="200"/>
        <w:rPr>
          <w:rFonts w:hint="eastAsia" w:ascii="楷体" w:hAnsi="楷体" w:eastAsia="楷体"/>
          <w:sz w:val="21"/>
          <w:szCs w:val="21"/>
        </w:rPr>
      </w:pPr>
      <w:r>
        <w:rPr>
          <w:rFonts w:hint="eastAsia" w:ascii="楷体" w:hAnsi="楷体" w:eastAsia="楷体"/>
          <w:b/>
          <w:sz w:val="21"/>
          <w:szCs w:val="21"/>
        </w:rPr>
        <w:t>（一）</w:t>
      </w:r>
      <w:r>
        <w:rPr>
          <w:rFonts w:hint="eastAsia" w:ascii="楷体" w:hAnsi="楷体" w:eastAsia="楷体"/>
          <w:b/>
          <w:sz w:val="21"/>
          <w:szCs w:val="21"/>
          <w:lang w:val="en-US" w:eastAsia="zh-CN"/>
        </w:rPr>
        <w:t>乙方</w:t>
      </w:r>
      <w:r>
        <w:rPr>
          <w:rFonts w:hint="eastAsia" w:ascii="楷体" w:hAnsi="楷体" w:eastAsia="楷体"/>
          <w:b/>
          <w:sz w:val="21"/>
          <w:szCs w:val="21"/>
        </w:rPr>
        <w:t>的权利：</w:t>
      </w:r>
      <w:r>
        <w:rPr>
          <w:rFonts w:hint="eastAsia" w:ascii="楷体" w:hAnsi="楷体" w:eastAsia="楷体"/>
          <w:sz w:val="21"/>
          <w:szCs w:val="21"/>
        </w:rPr>
        <w:t>乙方按照法律法规和理财产品</w:t>
      </w:r>
      <w:r>
        <w:rPr>
          <w:rFonts w:hint="eastAsia" w:ascii="楷体" w:hAnsi="楷体" w:eastAsia="楷体"/>
          <w:sz w:val="21"/>
          <w:szCs w:val="21"/>
          <w:lang w:val="en-US" w:eastAsia="zh-CN"/>
        </w:rPr>
        <w:t>合同</w:t>
      </w:r>
      <w:r>
        <w:rPr>
          <w:rFonts w:hint="eastAsia" w:ascii="楷体" w:hAnsi="楷体" w:eastAsia="楷体"/>
          <w:sz w:val="21"/>
          <w:szCs w:val="21"/>
        </w:rPr>
        <w:t>的约定，诚实信用、谨慎勤勉地实施投资管理行为，以专业技能管理理财产品资产，依法维护理财产品全体投资者的利益；</w:t>
      </w:r>
    </w:p>
    <w:p>
      <w:pPr>
        <w:numPr>
          <w:ilvl w:val="0"/>
          <w:numId w:val="0"/>
        </w:numPr>
        <w:ind w:left="0" w:firstLine="0"/>
        <w:rPr>
          <w:rFonts w:hint="eastAsia" w:ascii="楷体" w:hAnsi="楷体" w:eastAsia="楷体"/>
          <w:sz w:val="21"/>
          <w:szCs w:val="21"/>
        </w:rPr>
      </w:pPr>
      <w:r>
        <w:rPr>
          <w:rFonts w:hint="eastAsia" w:ascii="楷体" w:hAnsi="楷体" w:eastAsia="楷体"/>
          <w:sz w:val="21"/>
          <w:szCs w:val="21"/>
        </w:rPr>
        <w:t>为理财产品的利益依法为理财产品进行融资；按照法律法规，代表理财产品对被投资企业行使行使权利（如被投资企业股东权利等）；以</w:t>
      </w:r>
      <w:r>
        <w:rPr>
          <w:rFonts w:hint="eastAsia" w:ascii="楷体" w:hAnsi="楷体" w:eastAsia="楷体"/>
          <w:sz w:val="21"/>
          <w:szCs w:val="21"/>
          <w:lang w:val="en-US" w:eastAsia="zh-CN"/>
        </w:rPr>
        <w:t>乙方</w:t>
      </w:r>
      <w:r>
        <w:rPr>
          <w:rFonts w:hint="eastAsia" w:ascii="楷体" w:hAnsi="楷体" w:eastAsia="楷体"/>
          <w:sz w:val="21"/>
          <w:szCs w:val="21"/>
        </w:rPr>
        <w:t>名义，代表理财份额持有人利益行使诉讼权利或者实施其他法律行为；依据法律法规和理财产品合同的约定监督理财产品托管人，如认为理财产品托管人违反了法律法规或理财产品合同约定，对理财产品资产、其它理财产品合同当事人的利益造成重大损失的，应及时呈报监管机构，以及采取其它必要措施以保护本理财产品及相关理财产品合同当事人的利益；选择、更换律师、审计师、证券经纪商或其他为理财产品提供服务的外部机构并确定有关费率；法律法规、理财产品合同规定的其它权利。</w:t>
      </w:r>
    </w:p>
    <w:p>
      <w:pPr>
        <w:numPr>
          <w:ilvl w:val="0"/>
          <w:numId w:val="0"/>
        </w:numPr>
        <w:ind w:left="0" w:firstLine="527" w:firstLineChars="250"/>
        <w:jc w:val="left"/>
        <w:rPr>
          <w:rFonts w:ascii="楷体" w:hAnsi="楷体" w:eastAsia="楷体"/>
          <w:sz w:val="21"/>
          <w:szCs w:val="21"/>
        </w:rPr>
      </w:pPr>
      <w:r>
        <w:rPr>
          <w:rFonts w:hint="eastAsia" w:ascii="楷体" w:hAnsi="楷体" w:eastAsia="楷体"/>
          <w:b/>
          <w:sz w:val="21"/>
          <w:szCs w:val="21"/>
        </w:rPr>
        <w:t>（二）</w:t>
      </w:r>
      <w:r>
        <w:rPr>
          <w:rFonts w:hint="eastAsia" w:ascii="楷体" w:hAnsi="楷体" w:eastAsia="楷体"/>
          <w:b/>
          <w:sz w:val="21"/>
          <w:szCs w:val="21"/>
          <w:lang w:val="en-US" w:eastAsia="zh-CN"/>
        </w:rPr>
        <w:t>乙方</w:t>
      </w:r>
      <w:r>
        <w:rPr>
          <w:rFonts w:hint="eastAsia" w:ascii="楷体" w:hAnsi="楷体" w:eastAsia="楷体"/>
          <w:b/>
          <w:sz w:val="21"/>
          <w:szCs w:val="21"/>
        </w:rPr>
        <w:t>的义务：</w:t>
      </w:r>
      <w:r>
        <w:rPr>
          <w:rFonts w:hint="eastAsia" w:ascii="楷体" w:hAnsi="楷体" w:eastAsia="楷体"/>
          <w:sz w:val="21"/>
          <w:szCs w:val="21"/>
        </w:rPr>
        <w:t>遵守法律法规和理财产品合同的约定；</w:t>
      </w:r>
      <w:r>
        <w:rPr>
          <w:rFonts w:hint="eastAsia" w:ascii="楷体" w:hAnsi="楷体" w:eastAsia="楷体" w:cs="Times New Roman"/>
          <w:sz w:val="21"/>
          <w:szCs w:val="21"/>
        </w:rPr>
        <w:t>恪尽职守，依照诚实信用、勤勉尽责的原则，谨慎、有效管理和运用理</w:t>
      </w:r>
      <w:r>
        <w:rPr>
          <w:rFonts w:hint="eastAsia" w:ascii="楷体" w:hAnsi="楷体" w:eastAsia="楷体" w:cs="Times New Roman"/>
          <w:sz w:val="21"/>
          <w:szCs w:val="21"/>
          <w:lang w:val="en-US" w:eastAsia="zh-CN"/>
        </w:rPr>
        <w:t>财</w:t>
      </w:r>
      <w:r>
        <w:rPr>
          <w:rFonts w:hint="eastAsia" w:ascii="楷体" w:hAnsi="楷体" w:eastAsia="楷体" w:cs="Times New Roman"/>
          <w:sz w:val="21"/>
          <w:szCs w:val="21"/>
        </w:rPr>
        <w:t>资产；</w:t>
      </w:r>
      <w:r>
        <w:rPr>
          <w:rFonts w:hint="eastAsia" w:ascii="楷体" w:hAnsi="楷体" w:eastAsia="楷体"/>
          <w:sz w:val="21"/>
          <w:szCs w:val="21"/>
        </w:rPr>
        <w:t>设置相应的部门并配备足够的具有专业资格的人员进行理财投资分析、决策，以专业化的经营方式管理和运作理财资产，防范和减少风险；建立健全内部控制制度，保证</w:t>
      </w:r>
      <w:r>
        <w:rPr>
          <w:rFonts w:hint="eastAsia" w:ascii="楷体" w:hAnsi="楷体" w:eastAsia="楷体"/>
          <w:sz w:val="21"/>
          <w:szCs w:val="21"/>
          <w:lang w:val="en-US" w:eastAsia="zh-CN"/>
        </w:rPr>
        <w:t>乙方</w:t>
      </w:r>
      <w:r>
        <w:rPr>
          <w:rFonts w:hint="eastAsia" w:ascii="楷体" w:hAnsi="楷体" w:eastAsia="楷体"/>
          <w:sz w:val="21"/>
          <w:szCs w:val="21"/>
        </w:rPr>
        <w:t>的固有财产和理财财产相互独立，对所管理的不同理财财产分别管理、分别记账，进行投资；除依据法律法规和理财产品合同的约定外，不得利用理财资产为</w:t>
      </w:r>
      <w:r>
        <w:rPr>
          <w:rFonts w:hint="eastAsia" w:ascii="楷体" w:hAnsi="楷体" w:eastAsia="楷体"/>
          <w:sz w:val="21"/>
          <w:szCs w:val="21"/>
          <w:lang w:val="en-US" w:eastAsia="zh-CN"/>
        </w:rPr>
        <w:t>乙方</w:t>
      </w:r>
      <w:r>
        <w:rPr>
          <w:rFonts w:hint="eastAsia" w:ascii="楷体" w:hAnsi="楷体" w:eastAsia="楷体"/>
          <w:sz w:val="21"/>
          <w:szCs w:val="21"/>
        </w:rPr>
        <w:t>自身及任何第三方谋取利益；接受理财产品托管人对理财产品投资运作的监督；严格按照法律法规和理财产品合同的约定履行信息披露及报告义务；依据理财产品合同</w:t>
      </w:r>
      <w:r>
        <w:rPr>
          <w:rFonts w:hint="eastAsia" w:ascii="楷体" w:hAnsi="楷体" w:eastAsia="楷体" w:cs="Times New Roman"/>
          <w:sz w:val="21"/>
          <w:szCs w:val="21"/>
          <w:lang w:val="en-US" w:eastAsia="zh-CN"/>
        </w:rPr>
        <w:t>约定</w:t>
      </w:r>
      <w:r>
        <w:rPr>
          <w:rFonts w:hint="eastAsia" w:ascii="楷体" w:hAnsi="楷体" w:eastAsia="楷体"/>
          <w:sz w:val="21"/>
          <w:szCs w:val="21"/>
        </w:rPr>
        <w:t>制订理财收益分配方案并向本理财产品的理财份额持有人分配理财收益</w:t>
      </w:r>
      <w:r>
        <w:rPr>
          <w:rFonts w:hint="eastAsia" w:ascii="楷体" w:hAnsi="楷体" w:eastAsia="楷体" w:cs="Times New Roman"/>
          <w:sz w:val="21"/>
          <w:szCs w:val="21"/>
          <w:lang w:eastAsia="zh-CN"/>
        </w:rPr>
        <w:t>（</w:t>
      </w:r>
      <w:r>
        <w:rPr>
          <w:rFonts w:hint="eastAsia" w:ascii="楷体" w:hAnsi="楷体" w:eastAsia="楷体" w:cs="Times New Roman"/>
          <w:sz w:val="21"/>
          <w:szCs w:val="21"/>
          <w:lang w:val="en-US" w:eastAsia="zh-CN"/>
        </w:rPr>
        <w:t>如有</w:t>
      </w:r>
      <w:r>
        <w:rPr>
          <w:rFonts w:hint="eastAsia" w:ascii="楷体" w:hAnsi="楷体" w:eastAsia="楷体" w:cs="Times New Roman"/>
          <w:sz w:val="21"/>
          <w:szCs w:val="21"/>
          <w:lang w:eastAsia="zh-CN"/>
        </w:rPr>
        <w:t>）</w:t>
      </w:r>
      <w:r>
        <w:rPr>
          <w:rFonts w:hint="eastAsia" w:ascii="楷体" w:hAnsi="楷体" w:eastAsia="楷体"/>
          <w:sz w:val="21"/>
          <w:szCs w:val="21"/>
        </w:rPr>
        <w:t>；不从事任何有损本理财产品</w:t>
      </w:r>
      <w:r>
        <w:rPr>
          <w:rFonts w:hint="eastAsia" w:ascii="楷体" w:hAnsi="楷体" w:eastAsia="楷体"/>
          <w:sz w:val="21"/>
          <w:szCs w:val="21"/>
          <w:lang w:val="en-US" w:eastAsia="zh-CN"/>
        </w:rPr>
        <w:t>其他</w:t>
      </w:r>
      <w:r>
        <w:rPr>
          <w:rFonts w:hint="eastAsia" w:ascii="楷体" w:hAnsi="楷体" w:eastAsia="楷体"/>
          <w:sz w:val="21"/>
          <w:szCs w:val="21"/>
        </w:rPr>
        <w:t>当事人合法权益的活动。法律法规、理财产品合同规定的其它权利。</w:t>
      </w:r>
    </w:p>
    <w:p>
      <w:pPr>
        <w:ind w:firstLine="422" w:firstLineChars="200"/>
        <w:rPr>
          <w:rFonts w:ascii="楷体" w:hAnsi="楷体" w:eastAsia="楷体"/>
          <w:b/>
          <w:sz w:val="21"/>
          <w:szCs w:val="21"/>
        </w:rPr>
      </w:pPr>
      <w:r>
        <w:rPr>
          <w:rFonts w:hint="eastAsia" w:ascii="楷体" w:hAnsi="楷体" w:eastAsia="楷体"/>
          <w:b/>
          <w:sz w:val="21"/>
          <w:szCs w:val="21"/>
          <w:lang w:val="en-US" w:eastAsia="zh-CN"/>
        </w:rPr>
        <w:t>四</w:t>
      </w:r>
      <w:r>
        <w:rPr>
          <w:rFonts w:hint="eastAsia" w:ascii="楷体" w:hAnsi="楷体" w:eastAsia="楷体"/>
          <w:b/>
          <w:sz w:val="21"/>
          <w:szCs w:val="21"/>
        </w:rPr>
        <w:t>、</w:t>
      </w:r>
      <w:r>
        <w:rPr>
          <w:rFonts w:ascii="楷体" w:hAnsi="楷体" w:eastAsia="楷体"/>
          <w:b/>
          <w:sz w:val="21"/>
          <w:szCs w:val="21"/>
        </w:rPr>
        <w:t>违约责任</w:t>
      </w:r>
    </w:p>
    <w:p>
      <w:pPr>
        <w:ind w:firstLine="420" w:firstLineChars="200"/>
        <w:rPr>
          <w:rFonts w:hint="eastAsia" w:ascii="楷体" w:hAnsi="楷体" w:eastAsia="楷体"/>
          <w:sz w:val="21"/>
          <w:szCs w:val="21"/>
        </w:rPr>
      </w:pPr>
      <w:r>
        <w:rPr>
          <w:rFonts w:hint="eastAsia" w:ascii="楷体" w:hAnsi="楷体" w:eastAsia="楷体"/>
          <w:sz w:val="21"/>
          <w:szCs w:val="21"/>
          <w:lang w:val="en-US" w:eastAsia="zh-CN"/>
        </w:rPr>
        <w:t xml:space="preserve">1. </w:t>
      </w:r>
      <w:r>
        <w:rPr>
          <w:rFonts w:hint="eastAsia" w:ascii="楷体" w:hAnsi="楷体" w:eastAsia="楷体"/>
          <w:sz w:val="21"/>
          <w:szCs w:val="21"/>
        </w:rPr>
        <w:t>由于本协议一方当事人的过错，造成本协议不能履行或不能完全履行的，由有过错的一方承担违约责任；如双方同时负有过错，则应由双方各自按照过错程度承担责任。</w:t>
      </w:r>
    </w:p>
    <w:p>
      <w:pPr>
        <w:ind w:firstLine="422" w:firstLineChars="200"/>
        <w:rPr>
          <w:rFonts w:hint="eastAsia" w:ascii="楷体" w:hAnsi="楷体" w:eastAsia="楷体"/>
          <w:sz w:val="21"/>
          <w:szCs w:val="21"/>
        </w:rPr>
      </w:pPr>
      <w:r>
        <w:rPr>
          <w:rFonts w:hint="eastAsia" w:ascii="楷体" w:hAnsi="楷体" w:eastAsia="楷体"/>
          <w:b/>
          <w:sz w:val="21"/>
          <w:szCs w:val="21"/>
          <w:lang w:val="en-US" w:eastAsia="zh-CN"/>
        </w:rPr>
        <w:t xml:space="preserve">2. </w:t>
      </w:r>
      <w:r>
        <w:rPr>
          <w:rFonts w:hint="eastAsia" w:ascii="楷体" w:hAnsi="楷体" w:eastAsia="楷体"/>
          <w:b/>
          <w:sz w:val="21"/>
          <w:szCs w:val="21"/>
        </w:rPr>
        <w:t>双方同意，发生下列情况造成损失时，按以下约定承担责任</w:t>
      </w:r>
      <w:r>
        <w:rPr>
          <w:rFonts w:hint="eastAsia" w:ascii="楷体" w:hAnsi="楷体" w:eastAsia="楷体"/>
          <w:sz w:val="21"/>
          <w:szCs w:val="21"/>
        </w:rPr>
        <w:t>：</w:t>
      </w:r>
    </w:p>
    <w:p>
      <w:pPr>
        <w:ind w:firstLine="420" w:firstLineChars="200"/>
        <w:rPr>
          <w:rFonts w:hint="eastAsia" w:ascii="楷体" w:hAnsi="楷体" w:eastAsia="楷体"/>
          <w:sz w:val="21"/>
          <w:szCs w:val="21"/>
        </w:rPr>
      </w:pPr>
      <w:r>
        <w:rPr>
          <w:rFonts w:hint="eastAsia" w:ascii="楷体" w:hAnsi="楷体" w:eastAsia="楷体"/>
          <w:sz w:val="21"/>
          <w:szCs w:val="21"/>
        </w:rPr>
        <w:t>（1）对由于国家有关法律、法规、规章、政策的变化，监管机构管理规则的修改、紧急措施的出台等原因而导致的相关风险及损失，双方当事人互不承担责任；</w:t>
      </w:r>
    </w:p>
    <w:p>
      <w:pPr>
        <w:ind w:firstLine="420" w:firstLineChars="200"/>
        <w:rPr>
          <w:rFonts w:ascii="楷体" w:hAnsi="楷体" w:eastAsia="楷体"/>
          <w:sz w:val="21"/>
          <w:szCs w:val="21"/>
        </w:rPr>
      </w:pPr>
      <w:r>
        <w:rPr>
          <w:rFonts w:hint="eastAsia" w:ascii="楷体" w:hAnsi="楷体" w:eastAsia="楷体"/>
          <w:sz w:val="21"/>
          <w:szCs w:val="21"/>
        </w:rPr>
        <w:t>（2）</w:t>
      </w:r>
      <w:r>
        <w:rPr>
          <w:rFonts w:hint="eastAsia" w:ascii="楷体" w:hAnsi="楷体" w:eastAsia="楷体"/>
          <w:b/>
          <w:sz w:val="21"/>
          <w:szCs w:val="21"/>
        </w:rPr>
        <w:t>如甲方违反本协议</w:t>
      </w:r>
      <w:r>
        <w:rPr>
          <w:rFonts w:hint="eastAsia" w:ascii="楷体" w:hAnsi="楷体" w:eastAsia="楷体"/>
          <w:b/>
          <w:sz w:val="21"/>
          <w:szCs w:val="21"/>
          <w:lang w:val="en-US" w:eastAsia="zh-CN"/>
        </w:rPr>
        <w:t>约定</w:t>
      </w:r>
      <w:r>
        <w:rPr>
          <w:rFonts w:hint="eastAsia" w:ascii="楷体" w:hAnsi="楷体" w:eastAsia="楷体"/>
          <w:b/>
          <w:sz w:val="21"/>
          <w:szCs w:val="21"/>
        </w:rPr>
        <w:t>，或本产品甲方所涉及的资金被有权机关全部或部分冻结或者扣划</w:t>
      </w:r>
      <w:r>
        <w:rPr>
          <w:rFonts w:hint="eastAsia" w:ascii="楷体" w:hAnsi="楷体" w:eastAsia="楷体" w:cs="Times New Roman"/>
          <w:b/>
          <w:sz w:val="21"/>
          <w:szCs w:val="21"/>
        </w:rPr>
        <w:t>，或乙方发现或有合理理由怀疑甲方或其资金存在洗钱、恐怖融资、逃税等嫌疑</w:t>
      </w:r>
      <w:r>
        <w:rPr>
          <w:rFonts w:hint="eastAsia" w:ascii="楷体" w:hAnsi="楷体" w:eastAsia="楷体" w:cs="Times New Roman"/>
          <w:b/>
          <w:sz w:val="21"/>
          <w:szCs w:val="21"/>
          <w:lang w:eastAsia="zh-CN"/>
        </w:rPr>
        <w:t>，</w:t>
      </w:r>
      <w:r>
        <w:rPr>
          <w:rFonts w:hint="eastAsia" w:ascii="楷体" w:hAnsi="楷体" w:eastAsia="楷体" w:cs="Times New Roman"/>
          <w:b/>
          <w:sz w:val="21"/>
          <w:szCs w:val="21"/>
        </w:rPr>
        <w:t>乙方有权</w:t>
      </w:r>
      <w:r>
        <w:rPr>
          <w:rFonts w:hint="eastAsia" w:ascii="楷体" w:hAnsi="楷体" w:eastAsia="楷体"/>
          <w:b/>
          <w:sz w:val="21"/>
          <w:szCs w:val="21"/>
        </w:rPr>
        <w:t>提前终止本合同，且乙方不承担相应责任，如因甲方的违约违法违规行为给乙方或产品其他投资者造成损失的，甲方应承担</w:t>
      </w:r>
      <w:r>
        <w:rPr>
          <w:rFonts w:hint="eastAsia" w:ascii="楷体" w:hAnsi="楷体" w:eastAsia="楷体"/>
          <w:b/>
          <w:sz w:val="21"/>
          <w:szCs w:val="21"/>
          <w:lang w:val="en-US" w:eastAsia="zh-CN"/>
        </w:rPr>
        <w:t>相应法律责任及违约责任</w:t>
      </w:r>
      <w:r>
        <w:rPr>
          <w:rFonts w:hint="eastAsia" w:ascii="楷体" w:hAnsi="楷体" w:eastAsia="楷体"/>
          <w:b/>
          <w:sz w:val="21"/>
          <w:szCs w:val="21"/>
        </w:rPr>
        <w:t>。</w:t>
      </w:r>
    </w:p>
    <w:p>
      <w:pPr>
        <w:ind w:firstLine="422" w:firstLineChars="200"/>
        <w:rPr>
          <w:rFonts w:hint="eastAsia" w:ascii="楷体" w:hAnsi="楷体" w:eastAsia="楷体"/>
          <w:b/>
          <w:sz w:val="21"/>
          <w:szCs w:val="21"/>
        </w:rPr>
      </w:pPr>
      <w:r>
        <w:rPr>
          <w:rFonts w:hint="eastAsia" w:ascii="楷体" w:hAnsi="楷体" w:eastAsia="楷体"/>
          <w:b/>
          <w:sz w:val="21"/>
          <w:szCs w:val="21"/>
          <w:lang w:val="en-US" w:eastAsia="zh-CN"/>
        </w:rPr>
        <w:t>五</w:t>
      </w:r>
      <w:r>
        <w:rPr>
          <w:rFonts w:hint="eastAsia" w:ascii="楷体" w:hAnsi="楷体" w:eastAsia="楷体"/>
          <w:b/>
          <w:sz w:val="21"/>
          <w:szCs w:val="21"/>
        </w:rPr>
        <w:t>、免责条款</w:t>
      </w:r>
    </w:p>
    <w:p>
      <w:pPr>
        <w:ind w:firstLine="420"/>
        <w:rPr>
          <w:rFonts w:hint="eastAsia" w:ascii="楷体" w:hAnsi="楷体" w:eastAsia="楷体"/>
          <w:sz w:val="21"/>
          <w:szCs w:val="21"/>
        </w:rPr>
      </w:pPr>
      <w:r>
        <w:rPr>
          <w:rFonts w:hint="eastAsia" w:ascii="楷体" w:hAnsi="楷体" w:eastAsia="楷体"/>
          <w:sz w:val="21"/>
          <w:szCs w:val="21"/>
          <w:lang w:val="en-US" w:eastAsia="zh-CN"/>
        </w:rPr>
        <w:t xml:space="preserve">1. </w:t>
      </w:r>
      <w:r>
        <w:rPr>
          <w:rFonts w:hint="eastAsia" w:ascii="楷体" w:hAnsi="楷体" w:eastAsia="楷体"/>
          <w:sz w:val="21"/>
          <w:szCs w:val="21"/>
        </w:rPr>
        <w:t>由于地震、火灾、战争等不可抗力导致的交易中断、延误等风险及损失，</w:t>
      </w:r>
      <w:r>
        <w:rPr>
          <w:rFonts w:hint="eastAsia" w:ascii="楷体" w:hAnsi="楷体" w:eastAsia="楷体"/>
          <w:sz w:val="21"/>
          <w:szCs w:val="21"/>
          <w:lang w:val="en-US" w:eastAsia="zh-CN"/>
        </w:rPr>
        <w:t>乙方</w:t>
      </w:r>
      <w:r>
        <w:rPr>
          <w:rFonts w:hint="eastAsia" w:ascii="楷体" w:hAnsi="楷体" w:eastAsia="楷体"/>
          <w:sz w:val="21"/>
          <w:szCs w:val="21"/>
        </w:rPr>
        <w:t>不承担责任，但应在条件允许的情况下通知</w:t>
      </w:r>
      <w:r>
        <w:rPr>
          <w:rFonts w:hint="eastAsia" w:ascii="楷体" w:hAnsi="楷体" w:eastAsia="楷体"/>
          <w:sz w:val="21"/>
          <w:szCs w:val="21"/>
          <w:lang w:val="en-US" w:eastAsia="zh-CN"/>
        </w:rPr>
        <w:t>甲方</w:t>
      </w:r>
      <w:r>
        <w:rPr>
          <w:rFonts w:hint="eastAsia" w:ascii="楷体" w:hAnsi="楷体" w:eastAsia="楷体"/>
          <w:sz w:val="21"/>
          <w:szCs w:val="21"/>
        </w:rPr>
        <w:t>，并采取一切必要的补救措施以减小不可抗力造成的损失。</w:t>
      </w:r>
    </w:p>
    <w:p>
      <w:pPr>
        <w:ind w:firstLine="420"/>
        <w:rPr>
          <w:rFonts w:hint="eastAsia" w:ascii="楷体" w:hAnsi="楷体" w:eastAsia="楷体"/>
          <w:sz w:val="21"/>
          <w:szCs w:val="21"/>
        </w:rPr>
      </w:pPr>
      <w:r>
        <w:rPr>
          <w:rFonts w:hint="eastAsia" w:ascii="楷体" w:hAnsi="楷体" w:eastAsia="楷体"/>
          <w:sz w:val="21"/>
          <w:szCs w:val="21"/>
          <w:lang w:val="en-US" w:eastAsia="zh-CN"/>
        </w:rPr>
        <w:t xml:space="preserve">2. </w:t>
      </w:r>
      <w:r>
        <w:rPr>
          <w:rFonts w:hint="eastAsia" w:ascii="楷体" w:hAnsi="楷体" w:eastAsia="楷体"/>
          <w:sz w:val="21"/>
          <w:szCs w:val="21"/>
        </w:rPr>
        <w:t>由于国家的有关法律、法规、规章、政策的改变、紧急措施的出台而导致的风险，</w:t>
      </w:r>
      <w:r>
        <w:rPr>
          <w:rFonts w:hint="eastAsia" w:ascii="楷体" w:hAnsi="楷体" w:eastAsia="楷体"/>
          <w:sz w:val="21"/>
          <w:szCs w:val="21"/>
          <w:lang w:val="en-US" w:eastAsia="zh-CN"/>
        </w:rPr>
        <w:t>乙方</w:t>
      </w:r>
      <w:r>
        <w:rPr>
          <w:rFonts w:hint="eastAsia" w:ascii="楷体" w:hAnsi="楷体" w:eastAsia="楷体"/>
          <w:sz w:val="21"/>
          <w:szCs w:val="21"/>
        </w:rPr>
        <w:t>不承担责任。</w:t>
      </w:r>
    </w:p>
    <w:p>
      <w:pPr>
        <w:ind w:firstLine="420"/>
        <w:rPr>
          <w:rFonts w:ascii="楷体" w:hAnsi="楷体" w:eastAsia="楷体"/>
          <w:sz w:val="21"/>
          <w:szCs w:val="21"/>
        </w:rPr>
      </w:pPr>
      <w:r>
        <w:rPr>
          <w:rFonts w:hint="eastAsia" w:ascii="楷体" w:hAnsi="楷体" w:eastAsia="楷体"/>
          <w:sz w:val="21"/>
          <w:szCs w:val="21"/>
          <w:lang w:val="en-US" w:eastAsia="zh-CN"/>
        </w:rPr>
        <w:t>3. 乙方</w:t>
      </w:r>
      <w:r>
        <w:rPr>
          <w:rFonts w:hint="eastAsia" w:ascii="楷体" w:hAnsi="楷体" w:eastAsia="楷体"/>
          <w:sz w:val="21"/>
          <w:szCs w:val="21"/>
        </w:rPr>
        <w:t>依照恪尽职守、诚实信用、谨慎勤勉的原则管理和运用理财产品财产，</w:t>
      </w:r>
      <w:r>
        <w:rPr>
          <w:rFonts w:hint="eastAsia" w:ascii="楷体" w:hAnsi="楷体" w:eastAsia="楷体"/>
          <w:b/>
          <w:bCs/>
          <w:sz w:val="21"/>
          <w:szCs w:val="21"/>
        </w:rPr>
        <w:t>但不保证理财产品财产中的认（申）购资金本金不受损失，也不保证一定盈利及最低收益。</w:t>
      </w:r>
      <w:r>
        <w:rPr>
          <w:rFonts w:hint="eastAsia" w:ascii="楷体" w:hAnsi="楷体" w:eastAsia="楷体"/>
          <w:sz w:val="21"/>
          <w:szCs w:val="21"/>
        </w:rPr>
        <w:t>本理财产品运作过程中，</w:t>
      </w:r>
      <w:r>
        <w:rPr>
          <w:rFonts w:hint="eastAsia" w:ascii="楷体" w:hAnsi="楷体" w:eastAsia="楷体"/>
          <w:sz w:val="21"/>
          <w:szCs w:val="21"/>
          <w:lang w:val="en-US" w:eastAsia="zh-CN"/>
        </w:rPr>
        <w:t>乙方</w:t>
      </w:r>
      <w:r>
        <w:rPr>
          <w:rFonts w:hint="eastAsia" w:ascii="楷体" w:hAnsi="楷体" w:eastAsia="楷体"/>
          <w:sz w:val="21"/>
          <w:szCs w:val="21"/>
        </w:rPr>
        <w:t>依据产品合同约定管理和运用理财产品财产所产生的风险，由理财产品财产及</w:t>
      </w:r>
      <w:r>
        <w:rPr>
          <w:rFonts w:hint="eastAsia" w:ascii="楷体" w:hAnsi="楷体" w:eastAsia="楷体"/>
          <w:sz w:val="21"/>
          <w:szCs w:val="21"/>
          <w:lang w:val="en-US" w:eastAsia="zh-CN"/>
        </w:rPr>
        <w:t>甲方</w:t>
      </w:r>
      <w:r>
        <w:rPr>
          <w:rFonts w:hint="eastAsia" w:ascii="楷体" w:hAnsi="楷体" w:eastAsia="楷体"/>
          <w:sz w:val="21"/>
          <w:szCs w:val="21"/>
        </w:rPr>
        <w:t>承担。</w:t>
      </w:r>
      <w:r>
        <w:rPr>
          <w:rFonts w:hint="eastAsia" w:ascii="楷体" w:hAnsi="楷体" w:eastAsia="楷体"/>
          <w:b/>
          <w:bCs/>
          <w:sz w:val="21"/>
          <w:szCs w:val="21"/>
          <w:lang w:val="en-US" w:eastAsia="zh-CN"/>
        </w:rPr>
        <w:t>甲方</w:t>
      </w:r>
      <w:r>
        <w:rPr>
          <w:rFonts w:hint="eastAsia" w:ascii="楷体" w:hAnsi="楷体" w:eastAsia="楷体"/>
          <w:b/>
          <w:bCs/>
          <w:sz w:val="21"/>
          <w:szCs w:val="21"/>
        </w:rPr>
        <w:t>应充分知晓投资运营的相关风险，具体风险详见风险揭示书及理财产品说明书的具体约定，其风险应由</w:t>
      </w:r>
      <w:r>
        <w:rPr>
          <w:rFonts w:hint="eastAsia" w:ascii="楷体" w:hAnsi="楷体" w:eastAsia="楷体"/>
          <w:b/>
          <w:bCs/>
          <w:sz w:val="21"/>
          <w:szCs w:val="21"/>
          <w:lang w:val="en-US" w:eastAsia="zh-CN"/>
        </w:rPr>
        <w:t>甲方</w:t>
      </w:r>
      <w:r>
        <w:rPr>
          <w:rFonts w:hint="eastAsia" w:ascii="楷体" w:hAnsi="楷体" w:eastAsia="楷体"/>
          <w:b/>
          <w:bCs/>
          <w:sz w:val="21"/>
          <w:szCs w:val="21"/>
        </w:rPr>
        <w:t>自担</w:t>
      </w:r>
      <w:r>
        <w:rPr>
          <w:rFonts w:hint="eastAsia" w:ascii="楷体" w:hAnsi="楷体" w:eastAsia="楷体"/>
          <w:sz w:val="21"/>
          <w:szCs w:val="21"/>
        </w:rPr>
        <w:t>。</w:t>
      </w:r>
    </w:p>
    <w:p>
      <w:pPr>
        <w:ind w:firstLine="420"/>
        <w:rPr>
          <w:rFonts w:ascii="楷体" w:hAnsi="楷体" w:eastAsia="楷体"/>
          <w:sz w:val="21"/>
          <w:szCs w:val="21"/>
        </w:rPr>
      </w:pPr>
      <w:r>
        <w:rPr>
          <w:rFonts w:hint="eastAsia" w:ascii="楷体" w:hAnsi="楷体" w:eastAsia="楷体"/>
          <w:sz w:val="21"/>
          <w:szCs w:val="21"/>
          <w:lang w:val="en-US" w:eastAsia="zh-CN"/>
        </w:rPr>
        <w:t xml:space="preserve">4. </w:t>
      </w:r>
      <w:r>
        <w:rPr>
          <w:rFonts w:hint="eastAsia" w:ascii="楷体" w:hAnsi="楷体" w:eastAsia="楷体"/>
          <w:sz w:val="21"/>
          <w:szCs w:val="21"/>
        </w:rPr>
        <w:t>非因</w:t>
      </w:r>
      <w:r>
        <w:rPr>
          <w:rFonts w:hint="eastAsia" w:ascii="楷体" w:hAnsi="楷体" w:eastAsia="楷体"/>
          <w:sz w:val="21"/>
          <w:szCs w:val="21"/>
          <w:lang w:val="en-US" w:eastAsia="zh-CN"/>
        </w:rPr>
        <w:t>乙方</w:t>
      </w:r>
      <w:r>
        <w:rPr>
          <w:rFonts w:hint="eastAsia" w:ascii="楷体" w:hAnsi="楷体" w:eastAsia="楷体"/>
          <w:sz w:val="21"/>
          <w:szCs w:val="21"/>
        </w:rPr>
        <w:t>原因（包括但不限于</w:t>
      </w:r>
      <w:r>
        <w:rPr>
          <w:rFonts w:hint="eastAsia" w:ascii="楷体" w:hAnsi="楷体" w:eastAsia="楷体"/>
          <w:sz w:val="21"/>
          <w:szCs w:val="21"/>
          <w:lang w:val="en-US" w:eastAsia="zh-CN"/>
        </w:rPr>
        <w:t>甲方</w:t>
      </w:r>
      <w:r>
        <w:rPr>
          <w:rFonts w:hint="eastAsia" w:ascii="楷体" w:hAnsi="楷体" w:eastAsia="楷体"/>
          <w:sz w:val="21"/>
          <w:szCs w:val="21"/>
        </w:rPr>
        <w:t>遗失本协议、理财产品合同被盗用、</w:t>
      </w:r>
      <w:r>
        <w:rPr>
          <w:rFonts w:hint="eastAsia" w:ascii="楷体" w:hAnsi="楷体" w:eastAsia="楷体"/>
          <w:sz w:val="21"/>
          <w:szCs w:val="21"/>
          <w:lang w:val="en-US" w:eastAsia="zh-CN"/>
        </w:rPr>
        <w:t>甲方</w:t>
      </w:r>
      <w:r>
        <w:rPr>
          <w:rFonts w:hint="eastAsia" w:ascii="楷体" w:hAnsi="楷体" w:eastAsia="楷体"/>
          <w:sz w:val="21"/>
          <w:szCs w:val="21"/>
        </w:rPr>
        <w:t>资金账户被司法机关等有权部门冻结、扣划及其他投资者自身原因、投资标的固有风险等原因）造成的损失，</w:t>
      </w:r>
      <w:r>
        <w:rPr>
          <w:rFonts w:hint="eastAsia" w:ascii="楷体" w:hAnsi="楷体" w:eastAsia="楷体"/>
          <w:sz w:val="21"/>
          <w:szCs w:val="21"/>
          <w:lang w:val="en-US" w:eastAsia="zh-CN"/>
        </w:rPr>
        <w:t>乙方</w:t>
      </w:r>
      <w:r>
        <w:rPr>
          <w:rFonts w:hint="eastAsia" w:ascii="楷体" w:hAnsi="楷体" w:eastAsia="楷体"/>
          <w:sz w:val="21"/>
          <w:szCs w:val="21"/>
        </w:rPr>
        <w:t>不承担责任。</w:t>
      </w:r>
    </w:p>
    <w:p>
      <w:pPr>
        <w:ind w:firstLine="422" w:firstLineChars="200"/>
        <w:rPr>
          <w:rFonts w:hint="eastAsia" w:ascii="楷体" w:hAnsi="楷体" w:eastAsia="楷体"/>
          <w:b/>
          <w:sz w:val="21"/>
          <w:szCs w:val="21"/>
        </w:rPr>
      </w:pPr>
      <w:r>
        <w:rPr>
          <w:rFonts w:hint="eastAsia" w:ascii="楷体" w:hAnsi="楷体" w:eastAsia="楷体"/>
          <w:b/>
          <w:sz w:val="21"/>
          <w:szCs w:val="21"/>
          <w:lang w:val="en-US" w:eastAsia="zh-CN"/>
        </w:rPr>
        <w:t>六</w:t>
      </w:r>
      <w:r>
        <w:rPr>
          <w:rFonts w:hint="eastAsia" w:ascii="楷体" w:hAnsi="楷体" w:eastAsia="楷体"/>
          <w:b/>
          <w:sz w:val="21"/>
          <w:szCs w:val="21"/>
        </w:rPr>
        <w:t>、协议的生效、变更及终止</w:t>
      </w:r>
    </w:p>
    <w:p>
      <w:pPr>
        <w:ind w:firstLine="420"/>
        <w:rPr>
          <w:rStyle w:val="20"/>
          <w:rFonts w:hint="eastAsia" w:ascii="楷体" w:hAnsi="楷体" w:eastAsia="楷体" w:cs="Times New Roman"/>
          <w:sz w:val="21"/>
          <w:szCs w:val="21"/>
          <w:highlight w:val="none"/>
        </w:rPr>
      </w:pPr>
      <w:r>
        <w:rPr>
          <w:rFonts w:hint="eastAsia" w:ascii="楷体" w:hAnsi="楷体" w:eastAsia="楷体"/>
          <w:sz w:val="21"/>
          <w:szCs w:val="21"/>
          <w:highlight w:val="none"/>
          <w:lang w:val="en-US" w:eastAsia="zh-CN"/>
        </w:rPr>
        <w:t>1.</w:t>
      </w:r>
      <w:r>
        <w:rPr>
          <w:rFonts w:hint="eastAsia" w:ascii="楷体" w:hAnsi="楷体" w:eastAsia="楷体" w:cs="Times New Roman"/>
          <w:sz w:val="21"/>
          <w:szCs w:val="21"/>
          <w:highlight w:val="none"/>
        </w:rPr>
        <w:t>本协议自</w:t>
      </w:r>
      <w:r>
        <w:rPr>
          <w:rFonts w:hint="eastAsia" w:ascii="楷体" w:hAnsi="楷体" w:eastAsia="楷体"/>
          <w:sz w:val="21"/>
          <w:szCs w:val="21"/>
          <w:highlight w:val="none"/>
          <w:lang w:val="en-US" w:eastAsia="zh-CN"/>
        </w:rPr>
        <w:t>甲方</w:t>
      </w:r>
      <w:r>
        <w:rPr>
          <w:rFonts w:hint="eastAsia" w:ascii="楷体" w:hAnsi="楷体" w:eastAsia="楷体" w:cs="Times New Roman"/>
          <w:sz w:val="21"/>
          <w:szCs w:val="21"/>
          <w:highlight w:val="none"/>
        </w:rPr>
        <w:t>成功缴纳全额</w:t>
      </w:r>
      <w:r>
        <w:rPr>
          <w:rFonts w:hint="eastAsia" w:ascii="楷体" w:hAnsi="楷体" w:eastAsia="楷体" w:cs="Times New Roman"/>
          <w:b w:val="0"/>
          <w:bCs w:val="0"/>
          <w:sz w:val="21"/>
          <w:szCs w:val="21"/>
          <w:highlight w:val="none"/>
        </w:rPr>
        <w:t>认（申）购</w:t>
      </w:r>
      <w:r>
        <w:rPr>
          <w:rFonts w:hint="eastAsia" w:ascii="楷体" w:hAnsi="楷体" w:eastAsia="楷体" w:cs="Times New Roman"/>
          <w:sz w:val="21"/>
          <w:szCs w:val="21"/>
          <w:highlight w:val="none"/>
        </w:rPr>
        <w:t>资金并经</w:t>
      </w:r>
      <w:r>
        <w:rPr>
          <w:rFonts w:hint="eastAsia" w:ascii="楷体" w:hAnsi="楷体" w:eastAsia="楷体"/>
          <w:sz w:val="21"/>
          <w:szCs w:val="21"/>
          <w:highlight w:val="none"/>
          <w:lang w:val="en-US" w:eastAsia="zh-CN"/>
        </w:rPr>
        <w:t>苏银</w:t>
      </w:r>
      <w:r>
        <w:rPr>
          <w:rFonts w:hint="eastAsia" w:ascii="楷体" w:hAnsi="楷体" w:eastAsia="楷体" w:cs="Times New Roman"/>
          <w:sz w:val="21"/>
          <w:szCs w:val="21"/>
          <w:highlight w:val="none"/>
        </w:rPr>
        <w:t>理财系统确认购买份额后成立并生效。投资者在办理理财产品</w:t>
      </w:r>
      <w:r>
        <w:rPr>
          <w:rFonts w:hint="eastAsia" w:ascii="楷体" w:hAnsi="楷体" w:eastAsia="楷体" w:cs="Times New Roman"/>
          <w:b w:val="0"/>
          <w:bCs w:val="0"/>
          <w:sz w:val="21"/>
          <w:szCs w:val="21"/>
          <w:highlight w:val="none"/>
        </w:rPr>
        <w:t>认（申）购</w:t>
      </w:r>
      <w:r>
        <w:rPr>
          <w:rFonts w:hint="eastAsia" w:ascii="楷体" w:hAnsi="楷体" w:eastAsia="楷体" w:cs="Times New Roman"/>
          <w:sz w:val="21"/>
          <w:szCs w:val="21"/>
          <w:highlight w:val="none"/>
        </w:rPr>
        <w:t>交易后，需通过销售机构查询</w:t>
      </w:r>
      <w:r>
        <w:rPr>
          <w:rFonts w:hint="eastAsia" w:ascii="楷体" w:hAnsi="楷体" w:eastAsia="楷体"/>
          <w:sz w:val="21"/>
          <w:szCs w:val="21"/>
          <w:highlight w:val="none"/>
          <w:lang w:val="en-US" w:eastAsia="zh-CN"/>
        </w:rPr>
        <w:t>份额确认情况</w:t>
      </w:r>
      <w:r>
        <w:rPr>
          <w:rFonts w:hint="eastAsia" w:ascii="楷体" w:hAnsi="楷体" w:eastAsia="楷体" w:cs="Times New Roman"/>
          <w:sz w:val="21"/>
          <w:szCs w:val="21"/>
          <w:highlight w:val="none"/>
        </w:rPr>
        <w:t>。</w:t>
      </w:r>
    </w:p>
    <w:p>
      <w:pPr>
        <w:ind w:firstLine="420"/>
        <w:rPr>
          <w:rFonts w:hint="eastAsia" w:ascii="楷体" w:hAnsi="楷体" w:eastAsia="楷体" w:cs="Times New Roman"/>
          <w:sz w:val="21"/>
          <w:szCs w:val="21"/>
          <w:highlight w:val="none"/>
        </w:rPr>
      </w:pPr>
      <w:r>
        <w:rPr>
          <w:rFonts w:hint="eastAsia" w:ascii="楷体" w:hAnsi="楷体" w:eastAsia="楷体" w:cs="Times New Roman"/>
          <w:sz w:val="21"/>
          <w:szCs w:val="21"/>
          <w:highlight w:val="none"/>
          <w:lang w:val="en-US" w:eastAsia="zh-CN"/>
        </w:rPr>
        <w:t>2.</w:t>
      </w:r>
      <w:r>
        <w:rPr>
          <w:rFonts w:hint="eastAsia" w:ascii="楷体" w:hAnsi="楷体" w:eastAsia="楷体" w:cs="Times New Roman"/>
          <w:sz w:val="21"/>
          <w:szCs w:val="21"/>
          <w:highlight w:val="none"/>
        </w:rPr>
        <w:t>本协议及理财产品合同项下各方权利义务履行完毕之日，本协议自动终止。</w:t>
      </w:r>
    </w:p>
    <w:p>
      <w:pPr>
        <w:ind w:firstLine="420"/>
        <w:rPr>
          <w:rFonts w:ascii="楷体" w:hAnsi="楷体" w:eastAsia="楷体"/>
          <w:b/>
          <w:sz w:val="21"/>
          <w:szCs w:val="21"/>
        </w:rPr>
      </w:pPr>
      <w:r>
        <w:rPr>
          <w:rFonts w:hint="eastAsia" w:ascii="楷体" w:hAnsi="楷体" w:eastAsia="楷体"/>
          <w:b/>
          <w:sz w:val="21"/>
          <w:szCs w:val="21"/>
          <w:lang w:val="en-US" w:eastAsia="zh-CN"/>
        </w:rPr>
        <w:t>七</w:t>
      </w:r>
      <w:r>
        <w:rPr>
          <w:rFonts w:hint="eastAsia" w:ascii="楷体" w:hAnsi="楷体" w:eastAsia="楷体"/>
          <w:b/>
          <w:sz w:val="21"/>
          <w:szCs w:val="21"/>
        </w:rPr>
        <w:t>、本合同的订立、生效、履行、解释、修改和终止等事项均适用中华人民共和国（不包括香港特别行政区、澳门特别行政区和台湾地区）法律。</w:t>
      </w:r>
    </w:p>
    <w:p>
      <w:pPr>
        <w:ind w:left="0" w:leftChars="0" w:firstLine="420" w:firstLineChars="200"/>
        <w:rPr>
          <w:rFonts w:hint="eastAsia" w:ascii="楷体" w:hAnsi="楷体" w:eastAsia="楷体"/>
          <w:sz w:val="21"/>
          <w:szCs w:val="21"/>
        </w:rPr>
      </w:pPr>
      <w:r>
        <w:rPr>
          <w:rFonts w:hint="eastAsia" w:ascii="楷体" w:hAnsi="楷体" w:eastAsia="楷体"/>
          <w:sz w:val="21"/>
          <w:szCs w:val="21"/>
        </w:rPr>
        <w:t>因本合同引起的或与本合同有关的任何争议，应当首先通过双方之间的友好协商解决；协商不成的，双方均有权提交</w:t>
      </w:r>
      <w:r>
        <w:rPr>
          <w:rFonts w:hint="eastAsia" w:ascii="楷体" w:hAnsi="楷体" w:eastAsia="楷体"/>
          <w:sz w:val="21"/>
          <w:szCs w:val="21"/>
          <w:lang w:val="en-US" w:eastAsia="zh-CN"/>
        </w:rPr>
        <w:t>乙方</w:t>
      </w:r>
      <w:r>
        <w:rPr>
          <w:rFonts w:hint="eastAsia" w:ascii="楷体" w:hAnsi="楷体" w:eastAsia="楷体"/>
          <w:sz w:val="21"/>
          <w:szCs w:val="21"/>
        </w:rPr>
        <w:t>所在地有管辖权的人民法院诉讼解决。</w:t>
      </w:r>
    </w:p>
    <w:p>
      <w:pPr>
        <w:ind w:firstLine="420"/>
        <w:rPr>
          <w:rFonts w:hint="default" w:ascii="楷体" w:hAnsi="楷体" w:eastAsia="楷体"/>
          <w:b/>
          <w:sz w:val="21"/>
          <w:szCs w:val="21"/>
          <w:lang w:val="en-US" w:eastAsia="zh-CN"/>
        </w:rPr>
      </w:pPr>
      <w:r>
        <w:rPr>
          <w:rFonts w:hint="eastAsia" w:ascii="楷体" w:hAnsi="楷体" w:eastAsia="楷体"/>
          <w:b/>
          <w:sz w:val="21"/>
          <w:szCs w:val="21"/>
          <w:lang w:val="en-US" w:eastAsia="zh-CN"/>
        </w:rPr>
        <w:t>八</w:t>
      </w:r>
      <w:r>
        <w:rPr>
          <w:rFonts w:hint="eastAsia" w:ascii="楷体" w:hAnsi="楷体" w:eastAsia="楷体"/>
          <w:b/>
          <w:sz w:val="21"/>
          <w:szCs w:val="21"/>
        </w:rPr>
        <w:t>、</w:t>
      </w:r>
      <w:r>
        <w:rPr>
          <w:rFonts w:hint="eastAsia" w:ascii="楷体" w:hAnsi="楷体" w:eastAsia="楷体"/>
          <w:b/>
          <w:sz w:val="21"/>
          <w:szCs w:val="21"/>
          <w:lang w:val="en-US" w:eastAsia="zh-CN"/>
        </w:rPr>
        <w:t>投资协议书未尽事宜，以理财产品说明书、风险揭示书、理财产品（代理）销售协议书、投资者权益须知的约定内容为准。签署本协议视为同意并接受以上法律文件的所有内容。</w:t>
      </w:r>
    </w:p>
    <w:p>
      <w:pPr>
        <w:numPr>
          <w:ilvl w:val="0"/>
          <w:numId w:val="0"/>
        </w:numPr>
        <w:ind w:firstLine="420" w:firstLineChars="200"/>
        <w:rPr>
          <w:rFonts w:hint="eastAsia" w:ascii="楷体" w:hAnsi="楷体" w:eastAsia="楷体"/>
          <w:sz w:val="21"/>
          <w:szCs w:val="21"/>
        </w:rPr>
      </w:pPr>
      <w:r>
        <w:rPr>
          <w:rFonts w:ascii="楷体" w:hAnsi="楷体" w:eastAsia="楷体"/>
          <w:sz w:val="21"/>
          <w:szCs w:val="21"/>
        </w:rPr>
        <w:t>甲方</w:t>
      </w:r>
      <w:r>
        <w:rPr>
          <w:rFonts w:hint="eastAsia" w:ascii="楷体" w:hAnsi="楷体" w:eastAsia="楷体"/>
          <w:sz w:val="21"/>
          <w:szCs w:val="21"/>
        </w:rPr>
        <w:t xml:space="preserve">（个人客户签字）：      </w:t>
      </w:r>
      <w:r>
        <w:rPr>
          <w:rFonts w:ascii="楷体" w:hAnsi="楷体" w:eastAsia="楷体"/>
          <w:sz w:val="21"/>
          <w:szCs w:val="21"/>
        </w:rPr>
        <w:t>甲方</w:t>
      </w:r>
      <w:r>
        <w:rPr>
          <w:rFonts w:hint="eastAsia" w:ascii="楷体" w:hAnsi="楷体" w:eastAsia="楷体"/>
          <w:sz w:val="21"/>
          <w:szCs w:val="21"/>
        </w:rPr>
        <w:t>（机构客户盖章）：</w:t>
      </w:r>
    </w:p>
    <w:p>
      <w:pPr>
        <w:rPr>
          <w:rFonts w:hint="eastAsia" w:ascii="楷体" w:hAnsi="楷体" w:eastAsia="楷体"/>
          <w:sz w:val="21"/>
          <w:szCs w:val="21"/>
        </w:rPr>
      </w:pPr>
    </w:p>
    <w:p>
      <w:pPr>
        <w:rPr>
          <w:rFonts w:hint="eastAsia" w:ascii="楷体" w:hAnsi="楷体" w:eastAsia="楷体"/>
          <w:sz w:val="21"/>
          <w:szCs w:val="21"/>
        </w:rPr>
      </w:pPr>
    </w:p>
    <w:p>
      <w:pPr>
        <w:rPr>
          <w:rFonts w:hint="eastAsia" w:ascii="楷体" w:hAnsi="楷体" w:eastAsia="楷体"/>
          <w:sz w:val="21"/>
          <w:szCs w:val="21"/>
        </w:rPr>
      </w:pPr>
      <w:r>
        <w:rPr>
          <w:rFonts w:hint="eastAsia" w:ascii="楷体" w:hAnsi="楷体" w:eastAsia="楷体"/>
          <w:szCs w:val="21"/>
        </w:rPr>
        <w:t xml:space="preserve">                               </w:t>
      </w:r>
      <w:r>
        <w:rPr>
          <w:rFonts w:hint="eastAsia" w:ascii="楷体" w:hAnsi="楷体" w:eastAsia="楷体"/>
          <w:sz w:val="21"/>
          <w:szCs w:val="21"/>
        </w:rPr>
        <w:t>机构客户法定代表人或授权代表（签字或盖章）</w:t>
      </w:r>
    </w:p>
    <w:p>
      <w:pPr>
        <w:rPr>
          <w:rFonts w:hint="eastAsia" w:ascii="楷体" w:hAnsi="楷体" w:eastAsia="楷体"/>
          <w:sz w:val="21"/>
          <w:szCs w:val="21"/>
        </w:rPr>
      </w:pPr>
    </w:p>
    <w:p>
      <w:pPr>
        <w:autoSpaceDE w:val="0"/>
        <w:autoSpaceDN w:val="0"/>
        <w:adjustRightInd w:val="0"/>
        <w:jc w:val="right"/>
        <w:rPr>
          <w:rFonts w:ascii="楷体" w:hAnsi="楷体" w:eastAsia="楷体"/>
          <w:sz w:val="24"/>
          <w:szCs w:val="24"/>
        </w:rPr>
      </w:pPr>
      <w:r>
        <w:rPr>
          <w:rFonts w:ascii="楷体" w:hAnsi="楷体" w:eastAsia="楷体"/>
          <w:sz w:val="21"/>
          <w:szCs w:val="21"/>
        </w:rPr>
        <w:t>签署日期：</w:t>
      </w:r>
      <w:r>
        <w:rPr>
          <w:rFonts w:hint="eastAsia" w:ascii="楷体" w:hAnsi="楷体" w:eastAsia="楷体"/>
          <w:sz w:val="21"/>
          <w:szCs w:val="21"/>
        </w:rPr>
        <w:t xml:space="preserve">      </w:t>
      </w:r>
      <w:r>
        <w:rPr>
          <w:rFonts w:ascii="楷体" w:hAnsi="楷体" w:eastAsia="楷体"/>
          <w:sz w:val="21"/>
          <w:szCs w:val="21"/>
        </w:rPr>
        <w:t>年</w:t>
      </w:r>
      <w:r>
        <w:rPr>
          <w:rFonts w:hint="eastAsia" w:ascii="楷体" w:hAnsi="楷体" w:eastAsia="楷体"/>
          <w:sz w:val="21"/>
          <w:szCs w:val="21"/>
        </w:rPr>
        <w:t xml:space="preserve">      </w:t>
      </w:r>
      <w:r>
        <w:rPr>
          <w:rFonts w:ascii="楷体" w:hAnsi="楷体" w:eastAsia="楷体"/>
          <w:sz w:val="21"/>
          <w:szCs w:val="21"/>
        </w:rPr>
        <w:t>月</w:t>
      </w:r>
      <w:r>
        <w:rPr>
          <w:rFonts w:hint="eastAsia" w:ascii="楷体" w:hAnsi="楷体" w:eastAsia="楷体"/>
          <w:sz w:val="21"/>
          <w:szCs w:val="21"/>
        </w:rPr>
        <w:t xml:space="preserve">     日</w:t>
      </w:r>
    </w:p>
    <w:sectPr>
      <w:headerReference r:id="rId5" w:type="first"/>
      <w:headerReference r:id="rId3" w:type="default"/>
      <w:footerReference r:id="rId6" w:type="default"/>
      <w:headerReference r:id="rId4" w:type="even"/>
      <w:pgSz w:w="11906" w:h="16838"/>
      <w:pgMar w:top="1417" w:right="1134" w:bottom="136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浠垮畫">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rPr>
      <w:pict>
        <v:shape id="WordPictureWatermark367128483" o:spid="_x0000_s1030" o:spt="75" type="#_x0000_t75" style="position:absolute;left:0pt;height:862.85pt;width:1137.3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苏银理财"/>
          <o:lock v:ext="edit" aspectratio="t"/>
        </v:shape>
      </w:pict>
    </w:r>
    <w:r>
      <w:pict>
        <v:shape id="图片 1" o:spid="_x0000_s1031" o:spt="75" alt="说明: 说明: C:\Users\JSYH\Desktop\苏银理财.png" type="#_x0000_t75" style="position:absolute;left:0pt;margin-left:308.95pt;margin-top:-7.5pt;height:33.45pt;width:104.35pt;mso-wrap-distance-bottom:0pt;mso-wrap-distance-left:9pt;mso-wrap-distance-right:9pt;mso-wrap-distance-top:0pt;z-index:251662336;mso-width-relative:page;mso-height-relative:page;" filled="f" o:preferrelative="t" stroked="f" coordsize="21600,21600">
          <v:path/>
          <v:fill on="f" focussize="0,0"/>
          <v:stroke on="f" joinstyle="miter"/>
          <v:imagedata r:id="rId1" o:title="苏银理财"/>
          <o:lock v:ext="edit" aspectratio="t"/>
          <w10:wrap type="square"/>
        </v:shape>
      </w:pict>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2" o:spid="_x0000_s1029" o:spt="75" type="#_x0000_t75" style="position:absolute;left:0pt;height:862.85pt;width:1137.3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367128481" o:spid="_x0000_s1032" o:spt="75" type="#_x0000_t75" style="position:absolute;left:0pt;height:862.85pt;width:1137.3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苏银理财"/>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27157A"/>
    <w:multiLevelType w:val="multilevel"/>
    <w:tmpl w:val="CE27157A"/>
    <w:lvl w:ilvl="0" w:tentative="0">
      <w:start w:val="1"/>
      <w:numFmt w:val="chineseCountingThousand"/>
      <w:suff w:val="space"/>
      <w:lvlText w:val="%1、"/>
      <w:lvlJc w:val="left"/>
      <w:pPr>
        <w:ind w:left="42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9FF389C"/>
    <w:multiLevelType w:val="multilevel"/>
    <w:tmpl w:val="09FF38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10C2B17"/>
    <w:multiLevelType w:val="multilevel"/>
    <w:tmpl w:val="110C2B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862DFB"/>
    <w:multiLevelType w:val="multilevel"/>
    <w:tmpl w:val="1E862DF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56D729A"/>
    <w:multiLevelType w:val="multilevel"/>
    <w:tmpl w:val="256D729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96D7B4C"/>
    <w:multiLevelType w:val="multilevel"/>
    <w:tmpl w:val="296D7B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A9850F8"/>
    <w:multiLevelType w:val="multilevel"/>
    <w:tmpl w:val="2A9850F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B5E71E1"/>
    <w:multiLevelType w:val="multilevel"/>
    <w:tmpl w:val="2B5E71E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D42F757"/>
    <w:multiLevelType w:val="singleLevel"/>
    <w:tmpl w:val="2D42F757"/>
    <w:lvl w:ilvl="0" w:tentative="0">
      <w:start w:val="2"/>
      <w:numFmt w:val="chineseCounting"/>
      <w:suff w:val="nothing"/>
      <w:lvlText w:val="（%1）"/>
      <w:lvlJc w:val="left"/>
      <w:rPr>
        <w:rFonts w:hint="eastAsia"/>
      </w:rPr>
    </w:lvl>
  </w:abstractNum>
  <w:abstractNum w:abstractNumId="9">
    <w:nsid w:val="371F6F60"/>
    <w:multiLevelType w:val="multilevel"/>
    <w:tmpl w:val="371F6F6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393A262E"/>
    <w:multiLevelType w:val="multilevel"/>
    <w:tmpl w:val="393A262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C5ACE5"/>
    <w:multiLevelType w:val="singleLevel"/>
    <w:tmpl w:val="3FC5ACE5"/>
    <w:lvl w:ilvl="0" w:tentative="0">
      <w:start w:val="1"/>
      <w:numFmt w:val="decimalEnclosedCircleChinese"/>
      <w:suff w:val="nothing"/>
      <w:lvlText w:val="%1　"/>
      <w:lvlJc w:val="left"/>
      <w:pPr>
        <w:ind w:left="0" w:firstLine="400"/>
      </w:pPr>
      <w:rPr>
        <w:rFonts w:hint="eastAsia"/>
      </w:rPr>
    </w:lvl>
  </w:abstractNum>
  <w:abstractNum w:abstractNumId="12">
    <w:nsid w:val="4CC848E7"/>
    <w:multiLevelType w:val="multilevel"/>
    <w:tmpl w:val="4CC848E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51134C1"/>
    <w:multiLevelType w:val="multilevel"/>
    <w:tmpl w:val="551134C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6FF3467"/>
    <w:multiLevelType w:val="multilevel"/>
    <w:tmpl w:val="56FF346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B1D2B3D"/>
    <w:multiLevelType w:val="multilevel"/>
    <w:tmpl w:val="5B1D2B3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CA0107E"/>
    <w:multiLevelType w:val="multilevel"/>
    <w:tmpl w:val="6CA010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DA47F2C"/>
    <w:multiLevelType w:val="multilevel"/>
    <w:tmpl w:val="6DA47F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3357784"/>
    <w:multiLevelType w:val="multilevel"/>
    <w:tmpl w:val="73357784"/>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5E52FDD"/>
    <w:multiLevelType w:val="multilevel"/>
    <w:tmpl w:val="75E52FD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DB725C8"/>
    <w:multiLevelType w:val="multilevel"/>
    <w:tmpl w:val="7DB725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0"/>
  </w:num>
  <w:num w:numId="7">
    <w:abstractNumId w:val="6"/>
  </w:num>
  <w:num w:numId="8">
    <w:abstractNumId w:val="16"/>
  </w:num>
  <w:num w:numId="9">
    <w:abstractNumId w:val="5"/>
  </w:num>
  <w:num w:numId="10">
    <w:abstractNumId w:val="19"/>
  </w:num>
  <w:num w:numId="11">
    <w:abstractNumId w:val="15"/>
  </w:num>
  <w:num w:numId="12">
    <w:abstractNumId w:val="12"/>
  </w:num>
  <w:num w:numId="13">
    <w:abstractNumId w:val="14"/>
  </w:num>
  <w:num w:numId="14">
    <w:abstractNumId w:val="20"/>
  </w:num>
  <w:num w:numId="15">
    <w:abstractNumId w:val="7"/>
  </w:num>
  <w:num w:numId="16">
    <w:abstractNumId w:val="2"/>
  </w:num>
  <w:num w:numId="17">
    <w:abstractNumId w:val="13"/>
  </w:num>
  <w:num w:numId="18">
    <w:abstractNumId w:val="1"/>
  </w:num>
  <w:num w:numId="19">
    <w:abstractNumId w:val="17"/>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2DBD"/>
    <w:rsid w:val="00003606"/>
    <w:rsid w:val="000048B0"/>
    <w:rsid w:val="00005B01"/>
    <w:rsid w:val="000068E6"/>
    <w:rsid w:val="00006971"/>
    <w:rsid w:val="00006979"/>
    <w:rsid w:val="00006AFB"/>
    <w:rsid w:val="000101E4"/>
    <w:rsid w:val="00010C11"/>
    <w:rsid w:val="0001103A"/>
    <w:rsid w:val="00011F27"/>
    <w:rsid w:val="0001244C"/>
    <w:rsid w:val="000128E4"/>
    <w:rsid w:val="000131EF"/>
    <w:rsid w:val="0001327D"/>
    <w:rsid w:val="00013628"/>
    <w:rsid w:val="00014334"/>
    <w:rsid w:val="00014C7A"/>
    <w:rsid w:val="000157D4"/>
    <w:rsid w:val="000158A7"/>
    <w:rsid w:val="00015A92"/>
    <w:rsid w:val="00015D58"/>
    <w:rsid w:val="00016232"/>
    <w:rsid w:val="0002052D"/>
    <w:rsid w:val="000205F3"/>
    <w:rsid w:val="00020A6F"/>
    <w:rsid w:val="00021007"/>
    <w:rsid w:val="00021E37"/>
    <w:rsid w:val="000238B2"/>
    <w:rsid w:val="00023BA8"/>
    <w:rsid w:val="000247F9"/>
    <w:rsid w:val="00024C7F"/>
    <w:rsid w:val="00024F3F"/>
    <w:rsid w:val="00025A69"/>
    <w:rsid w:val="00025BC2"/>
    <w:rsid w:val="000263ED"/>
    <w:rsid w:val="00027156"/>
    <w:rsid w:val="000275AC"/>
    <w:rsid w:val="00027E61"/>
    <w:rsid w:val="00027F48"/>
    <w:rsid w:val="0003072E"/>
    <w:rsid w:val="00030D30"/>
    <w:rsid w:val="00030D69"/>
    <w:rsid w:val="00030E17"/>
    <w:rsid w:val="00031806"/>
    <w:rsid w:val="00031F80"/>
    <w:rsid w:val="0003483D"/>
    <w:rsid w:val="00034890"/>
    <w:rsid w:val="0003662E"/>
    <w:rsid w:val="00036C4C"/>
    <w:rsid w:val="000375C2"/>
    <w:rsid w:val="000405B1"/>
    <w:rsid w:val="00043555"/>
    <w:rsid w:val="000437C6"/>
    <w:rsid w:val="00043D5F"/>
    <w:rsid w:val="000449AE"/>
    <w:rsid w:val="00045436"/>
    <w:rsid w:val="0004548C"/>
    <w:rsid w:val="000469D0"/>
    <w:rsid w:val="00046AAA"/>
    <w:rsid w:val="00046ED7"/>
    <w:rsid w:val="0004714B"/>
    <w:rsid w:val="00047201"/>
    <w:rsid w:val="0004768E"/>
    <w:rsid w:val="00050834"/>
    <w:rsid w:val="00050975"/>
    <w:rsid w:val="000514C8"/>
    <w:rsid w:val="000518E2"/>
    <w:rsid w:val="00051DB3"/>
    <w:rsid w:val="000521A3"/>
    <w:rsid w:val="000522EC"/>
    <w:rsid w:val="00054536"/>
    <w:rsid w:val="00054854"/>
    <w:rsid w:val="00055ACD"/>
    <w:rsid w:val="00055CB4"/>
    <w:rsid w:val="00056312"/>
    <w:rsid w:val="000565BA"/>
    <w:rsid w:val="0005670B"/>
    <w:rsid w:val="000575CD"/>
    <w:rsid w:val="00057B16"/>
    <w:rsid w:val="00060433"/>
    <w:rsid w:val="00060571"/>
    <w:rsid w:val="00061D74"/>
    <w:rsid w:val="000622F4"/>
    <w:rsid w:val="00062791"/>
    <w:rsid w:val="00064F2B"/>
    <w:rsid w:val="00066039"/>
    <w:rsid w:val="00066F56"/>
    <w:rsid w:val="000677EE"/>
    <w:rsid w:val="00067EB8"/>
    <w:rsid w:val="00070172"/>
    <w:rsid w:val="00070302"/>
    <w:rsid w:val="00071418"/>
    <w:rsid w:val="00071581"/>
    <w:rsid w:val="00071A4C"/>
    <w:rsid w:val="0007293A"/>
    <w:rsid w:val="00072D1F"/>
    <w:rsid w:val="00072EF5"/>
    <w:rsid w:val="0007366C"/>
    <w:rsid w:val="00073A65"/>
    <w:rsid w:val="00074189"/>
    <w:rsid w:val="00074306"/>
    <w:rsid w:val="000757BB"/>
    <w:rsid w:val="00076189"/>
    <w:rsid w:val="00077A9A"/>
    <w:rsid w:val="00080423"/>
    <w:rsid w:val="00080C2C"/>
    <w:rsid w:val="00081AD6"/>
    <w:rsid w:val="00082074"/>
    <w:rsid w:val="00082902"/>
    <w:rsid w:val="000839AD"/>
    <w:rsid w:val="000853F6"/>
    <w:rsid w:val="00086585"/>
    <w:rsid w:val="0008676A"/>
    <w:rsid w:val="000867A8"/>
    <w:rsid w:val="00087036"/>
    <w:rsid w:val="00087EDB"/>
    <w:rsid w:val="000903FE"/>
    <w:rsid w:val="00091208"/>
    <w:rsid w:val="00093106"/>
    <w:rsid w:val="00093C11"/>
    <w:rsid w:val="000945CC"/>
    <w:rsid w:val="00094631"/>
    <w:rsid w:val="00094F41"/>
    <w:rsid w:val="000958D2"/>
    <w:rsid w:val="00096382"/>
    <w:rsid w:val="000972B0"/>
    <w:rsid w:val="000974E5"/>
    <w:rsid w:val="0009779A"/>
    <w:rsid w:val="0009795C"/>
    <w:rsid w:val="00097F80"/>
    <w:rsid w:val="000A0961"/>
    <w:rsid w:val="000A23B2"/>
    <w:rsid w:val="000A2D2D"/>
    <w:rsid w:val="000A2E68"/>
    <w:rsid w:val="000A45AB"/>
    <w:rsid w:val="000A560E"/>
    <w:rsid w:val="000A7772"/>
    <w:rsid w:val="000A7CA6"/>
    <w:rsid w:val="000B0078"/>
    <w:rsid w:val="000B0690"/>
    <w:rsid w:val="000B18A1"/>
    <w:rsid w:val="000B1B87"/>
    <w:rsid w:val="000B3709"/>
    <w:rsid w:val="000B382A"/>
    <w:rsid w:val="000B3B58"/>
    <w:rsid w:val="000B3EFD"/>
    <w:rsid w:val="000B425A"/>
    <w:rsid w:val="000B659B"/>
    <w:rsid w:val="000B6841"/>
    <w:rsid w:val="000B6E9F"/>
    <w:rsid w:val="000B7D78"/>
    <w:rsid w:val="000C053A"/>
    <w:rsid w:val="000C0DEA"/>
    <w:rsid w:val="000C30EA"/>
    <w:rsid w:val="000C3BB9"/>
    <w:rsid w:val="000C3DB1"/>
    <w:rsid w:val="000C54ED"/>
    <w:rsid w:val="000C5C02"/>
    <w:rsid w:val="000C6143"/>
    <w:rsid w:val="000C655E"/>
    <w:rsid w:val="000C66A4"/>
    <w:rsid w:val="000C7382"/>
    <w:rsid w:val="000D0226"/>
    <w:rsid w:val="000D1A22"/>
    <w:rsid w:val="000D1C6A"/>
    <w:rsid w:val="000D2EE5"/>
    <w:rsid w:val="000D35BD"/>
    <w:rsid w:val="000D49C0"/>
    <w:rsid w:val="000D6F7D"/>
    <w:rsid w:val="000D71CF"/>
    <w:rsid w:val="000D7225"/>
    <w:rsid w:val="000D722C"/>
    <w:rsid w:val="000D7277"/>
    <w:rsid w:val="000E0485"/>
    <w:rsid w:val="000E11F3"/>
    <w:rsid w:val="000E1951"/>
    <w:rsid w:val="000E21D9"/>
    <w:rsid w:val="000E2E7D"/>
    <w:rsid w:val="000E34F3"/>
    <w:rsid w:val="000E38B6"/>
    <w:rsid w:val="000E4205"/>
    <w:rsid w:val="000E6CC2"/>
    <w:rsid w:val="000E6D4F"/>
    <w:rsid w:val="000E7CF6"/>
    <w:rsid w:val="000E7DF4"/>
    <w:rsid w:val="000F03E7"/>
    <w:rsid w:val="000F0433"/>
    <w:rsid w:val="000F0A9F"/>
    <w:rsid w:val="000F1301"/>
    <w:rsid w:val="000F1D3C"/>
    <w:rsid w:val="000F27F6"/>
    <w:rsid w:val="000F29C8"/>
    <w:rsid w:val="000F336F"/>
    <w:rsid w:val="000F3D5D"/>
    <w:rsid w:val="000F4243"/>
    <w:rsid w:val="000F44F7"/>
    <w:rsid w:val="000F4ABF"/>
    <w:rsid w:val="000F51A4"/>
    <w:rsid w:val="000F5B66"/>
    <w:rsid w:val="000F5BE5"/>
    <w:rsid w:val="000F5FF6"/>
    <w:rsid w:val="000F65C5"/>
    <w:rsid w:val="000F7056"/>
    <w:rsid w:val="000F7103"/>
    <w:rsid w:val="000F7D2C"/>
    <w:rsid w:val="000F7F3B"/>
    <w:rsid w:val="00100E89"/>
    <w:rsid w:val="00100EB5"/>
    <w:rsid w:val="00100F0C"/>
    <w:rsid w:val="001025A3"/>
    <w:rsid w:val="001034D7"/>
    <w:rsid w:val="001036A0"/>
    <w:rsid w:val="0010457E"/>
    <w:rsid w:val="001065F5"/>
    <w:rsid w:val="00110417"/>
    <w:rsid w:val="00110B00"/>
    <w:rsid w:val="0011103A"/>
    <w:rsid w:val="00111E3E"/>
    <w:rsid w:val="001126F6"/>
    <w:rsid w:val="00112A09"/>
    <w:rsid w:val="00112EC1"/>
    <w:rsid w:val="00112F03"/>
    <w:rsid w:val="00113D1E"/>
    <w:rsid w:val="0011514B"/>
    <w:rsid w:val="00115E7F"/>
    <w:rsid w:val="00115EA5"/>
    <w:rsid w:val="0011696D"/>
    <w:rsid w:val="001211FC"/>
    <w:rsid w:val="00121681"/>
    <w:rsid w:val="0012272C"/>
    <w:rsid w:val="00122F58"/>
    <w:rsid w:val="0012352A"/>
    <w:rsid w:val="00123620"/>
    <w:rsid w:val="00123BCB"/>
    <w:rsid w:val="0012411A"/>
    <w:rsid w:val="001242DE"/>
    <w:rsid w:val="0012438E"/>
    <w:rsid w:val="00124C00"/>
    <w:rsid w:val="0012556E"/>
    <w:rsid w:val="00125B66"/>
    <w:rsid w:val="00125B8C"/>
    <w:rsid w:val="00125CCE"/>
    <w:rsid w:val="0012647A"/>
    <w:rsid w:val="00126DFD"/>
    <w:rsid w:val="00126EE1"/>
    <w:rsid w:val="001303B2"/>
    <w:rsid w:val="00130EED"/>
    <w:rsid w:val="00130F7B"/>
    <w:rsid w:val="001312BE"/>
    <w:rsid w:val="00131F1B"/>
    <w:rsid w:val="00133472"/>
    <w:rsid w:val="0013364F"/>
    <w:rsid w:val="00133A60"/>
    <w:rsid w:val="00133AAF"/>
    <w:rsid w:val="00133B98"/>
    <w:rsid w:val="00133CC9"/>
    <w:rsid w:val="00133DCE"/>
    <w:rsid w:val="0013472F"/>
    <w:rsid w:val="00134733"/>
    <w:rsid w:val="001359ED"/>
    <w:rsid w:val="001363B7"/>
    <w:rsid w:val="00137E38"/>
    <w:rsid w:val="00140B25"/>
    <w:rsid w:val="00141E1F"/>
    <w:rsid w:val="0014251A"/>
    <w:rsid w:val="00144304"/>
    <w:rsid w:val="001450DF"/>
    <w:rsid w:val="001450E0"/>
    <w:rsid w:val="00145CE7"/>
    <w:rsid w:val="0014704C"/>
    <w:rsid w:val="0014734D"/>
    <w:rsid w:val="001505D4"/>
    <w:rsid w:val="00150FDC"/>
    <w:rsid w:val="00151CC7"/>
    <w:rsid w:val="00152B36"/>
    <w:rsid w:val="00152E82"/>
    <w:rsid w:val="00153081"/>
    <w:rsid w:val="001530B2"/>
    <w:rsid w:val="00153DBB"/>
    <w:rsid w:val="001543E7"/>
    <w:rsid w:val="00154999"/>
    <w:rsid w:val="00154B0E"/>
    <w:rsid w:val="00155B77"/>
    <w:rsid w:val="00157DE3"/>
    <w:rsid w:val="00160569"/>
    <w:rsid w:val="0016091E"/>
    <w:rsid w:val="00160DD2"/>
    <w:rsid w:val="00161080"/>
    <w:rsid w:val="00161E2F"/>
    <w:rsid w:val="001622A1"/>
    <w:rsid w:val="001624A3"/>
    <w:rsid w:val="001624DA"/>
    <w:rsid w:val="00162BF5"/>
    <w:rsid w:val="00163488"/>
    <w:rsid w:val="00164627"/>
    <w:rsid w:val="00165BDE"/>
    <w:rsid w:val="00165E23"/>
    <w:rsid w:val="00166280"/>
    <w:rsid w:val="001664DF"/>
    <w:rsid w:val="00166B3A"/>
    <w:rsid w:val="00166B66"/>
    <w:rsid w:val="001671BC"/>
    <w:rsid w:val="00170099"/>
    <w:rsid w:val="00170194"/>
    <w:rsid w:val="001702DF"/>
    <w:rsid w:val="00170927"/>
    <w:rsid w:val="0017092A"/>
    <w:rsid w:val="00170A6E"/>
    <w:rsid w:val="00170E39"/>
    <w:rsid w:val="00172B90"/>
    <w:rsid w:val="00173776"/>
    <w:rsid w:val="00173A2B"/>
    <w:rsid w:val="00173CE1"/>
    <w:rsid w:val="00174417"/>
    <w:rsid w:val="001749CF"/>
    <w:rsid w:val="00174EDB"/>
    <w:rsid w:val="00176B8E"/>
    <w:rsid w:val="001770F3"/>
    <w:rsid w:val="0017780C"/>
    <w:rsid w:val="00177BCC"/>
    <w:rsid w:val="00177F23"/>
    <w:rsid w:val="0018001E"/>
    <w:rsid w:val="00180A4B"/>
    <w:rsid w:val="0018251A"/>
    <w:rsid w:val="00183A8A"/>
    <w:rsid w:val="00183D29"/>
    <w:rsid w:val="00183FAD"/>
    <w:rsid w:val="001846FB"/>
    <w:rsid w:val="00184714"/>
    <w:rsid w:val="00184C45"/>
    <w:rsid w:val="00186DA3"/>
    <w:rsid w:val="00190F8A"/>
    <w:rsid w:val="00191E3F"/>
    <w:rsid w:val="00193A85"/>
    <w:rsid w:val="00194395"/>
    <w:rsid w:val="00194963"/>
    <w:rsid w:val="00194E69"/>
    <w:rsid w:val="00194F44"/>
    <w:rsid w:val="001950DD"/>
    <w:rsid w:val="00195FF0"/>
    <w:rsid w:val="00197344"/>
    <w:rsid w:val="00197DD9"/>
    <w:rsid w:val="001A05F5"/>
    <w:rsid w:val="001A1A72"/>
    <w:rsid w:val="001A1C12"/>
    <w:rsid w:val="001A1D51"/>
    <w:rsid w:val="001A57DB"/>
    <w:rsid w:val="001A586B"/>
    <w:rsid w:val="001A5CF0"/>
    <w:rsid w:val="001A627B"/>
    <w:rsid w:val="001A72FD"/>
    <w:rsid w:val="001A73F1"/>
    <w:rsid w:val="001B1D26"/>
    <w:rsid w:val="001B1E1E"/>
    <w:rsid w:val="001B2F76"/>
    <w:rsid w:val="001B2F82"/>
    <w:rsid w:val="001B3673"/>
    <w:rsid w:val="001B396B"/>
    <w:rsid w:val="001B3DB5"/>
    <w:rsid w:val="001B413E"/>
    <w:rsid w:val="001B4B9C"/>
    <w:rsid w:val="001B72EB"/>
    <w:rsid w:val="001B7D0D"/>
    <w:rsid w:val="001B7E3D"/>
    <w:rsid w:val="001C13E9"/>
    <w:rsid w:val="001C33C1"/>
    <w:rsid w:val="001C4148"/>
    <w:rsid w:val="001C687B"/>
    <w:rsid w:val="001C786D"/>
    <w:rsid w:val="001C78FF"/>
    <w:rsid w:val="001D0014"/>
    <w:rsid w:val="001D0B29"/>
    <w:rsid w:val="001D146B"/>
    <w:rsid w:val="001D187E"/>
    <w:rsid w:val="001D1AD1"/>
    <w:rsid w:val="001D1C27"/>
    <w:rsid w:val="001D2451"/>
    <w:rsid w:val="001D2A8B"/>
    <w:rsid w:val="001D48EE"/>
    <w:rsid w:val="001D49AC"/>
    <w:rsid w:val="001D4BC9"/>
    <w:rsid w:val="001D4FE1"/>
    <w:rsid w:val="001D6D87"/>
    <w:rsid w:val="001D716D"/>
    <w:rsid w:val="001D78FF"/>
    <w:rsid w:val="001D7DD6"/>
    <w:rsid w:val="001E0062"/>
    <w:rsid w:val="001E0387"/>
    <w:rsid w:val="001E0F3F"/>
    <w:rsid w:val="001E15C2"/>
    <w:rsid w:val="001E223F"/>
    <w:rsid w:val="001E4374"/>
    <w:rsid w:val="001E4A82"/>
    <w:rsid w:val="001E4C0D"/>
    <w:rsid w:val="001E4D03"/>
    <w:rsid w:val="001E4DEB"/>
    <w:rsid w:val="001E4E95"/>
    <w:rsid w:val="001E59F4"/>
    <w:rsid w:val="001E631F"/>
    <w:rsid w:val="001F0A69"/>
    <w:rsid w:val="001F1333"/>
    <w:rsid w:val="001F1728"/>
    <w:rsid w:val="001F1EE8"/>
    <w:rsid w:val="001F2658"/>
    <w:rsid w:val="001F2DD0"/>
    <w:rsid w:val="001F3AD6"/>
    <w:rsid w:val="001F3CCB"/>
    <w:rsid w:val="001F5292"/>
    <w:rsid w:val="001F63BD"/>
    <w:rsid w:val="001F6775"/>
    <w:rsid w:val="001F69BF"/>
    <w:rsid w:val="0020004D"/>
    <w:rsid w:val="00200449"/>
    <w:rsid w:val="00200DF8"/>
    <w:rsid w:val="00200E4D"/>
    <w:rsid w:val="0020123C"/>
    <w:rsid w:val="0020196F"/>
    <w:rsid w:val="0020199B"/>
    <w:rsid w:val="002024E9"/>
    <w:rsid w:val="002034B8"/>
    <w:rsid w:val="0020515C"/>
    <w:rsid w:val="002051DA"/>
    <w:rsid w:val="0020639A"/>
    <w:rsid w:val="00206E9C"/>
    <w:rsid w:val="002078BE"/>
    <w:rsid w:val="00210857"/>
    <w:rsid w:val="00211669"/>
    <w:rsid w:val="002119A2"/>
    <w:rsid w:val="00212895"/>
    <w:rsid w:val="00213632"/>
    <w:rsid w:val="002158C4"/>
    <w:rsid w:val="00215F66"/>
    <w:rsid w:val="0021611E"/>
    <w:rsid w:val="002169DC"/>
    <w:rsid w:val="00220B6A"/>
    <w:rsid w:val="0022162D"/>
    <w:rsid w:val="002222A4"/>
    <w:rsid w:val="0022633B"/>
    <w:rsid w:val="00226F9D"/>
    <w:rsid w:val="0022731F"/>
    <w:rsid w:val="002276FA"/>
    <w:rsid w:val="00230F4A"/>
    <w:rsid w:val="00230FB5"/>
    <w:rsid w:val="00231038"/>
    <w:rsid w:val="00231746"/>
    <w:rsid w:val="00231B08"/>
    <w:rsid w:val="00232A54"/>
    <w:rsid w:val="0023376E"/>
    <w:rsid w:val="00233FAA"/>
    <w:rsid w:val="00234F3A"/>
    <w:rsid w:val="0023523A"/>
    <w:rsid w:val="00235E45"/>
    <w:rsid w:val="00235F66"/>
    <w:rsid w:val="002366EB"/>
    <w:rsid w:val="002379DD"/>
    <w:rsid w:val="00237FDB"/>
    <w:rsid w:val="0024053C"/>
    <w:rsid w:val="00241189"/>
    <w:rsid w:val="00241C46"/>
    <w:rsid w:val="002425DE"/>
    <w:rsid w:val="002436C1"/>
    <w:rsid w:val="00243DF5"/>
    <w:rsid w:val="00245106"/>
    <w:rsid w:val="002455A5"/>
    <w:rsid w:val="00245D03"/>
    <w:rsid w:val="00246334"/>
    <w:rsid w:val="00246C2A"/>
    <w:rsid w:val="0024748B"/>
    <w:rsid w:val="0024753F"/>
    <w:rsid w:val="00247A7D"/>
    <w:rsid w:val="00247D40"/>
    <w:rsid w:val="00250588"/>
    <w:rsid w:val="0025150E"/>
    <w:rsid w:val="00252462"/>
    <w:rsid w:val="00252B51"/>
    <w:rsid w:val="00253997"/>
    <w:rsid w:val="0025423C"/>
    <w:rsid w:val="0025490E"/>
    <w:rsid w:val="00254A3C"/>
    <w:rsid w:val="00254A8B"/>
    <w:rsid w:val="00254D59"/>
    <w:rsid w:val="00255480"/>
    <w:rsid w:val="00255866"/>
    <w:rsid w:val="00256152"/>
    <w:rsid w:val="00256E57"/>
    <w:rsid w:val="0025744E"/>
    <w:rsid w:val="002579CC"/>
    <w:rsid w:val="00257CDC"/>
    <w:rsid w:val="00260FFB"/>
    <w:rsid w:val="00262279"/>
    <w:rsid w:val="00263CB4"/>
    <w:rsid w:val="0026641B"/>
    <w:rsid w:val="002672C8"/>
    <w:rsid w:val="0027027C"/>
    <w:rsid w:val="00270665"/>
    <w:rsid w:val="002709BC"/>
    <w:rsid w:val="00272C53"/>
    <w:rsid w:val="00272E20"/>
    <w:rsid w:val="00273681"/>
    <w:rsid w:val="0027409E"/>
    <w:rsid w:val="002747E8"/>
    <w:rsid w:val="00274FAF"/>
    <w:rsid w:val="0027510A"/>
    <w:rsid w:val="0027608A"/>
    <w:rsid w:val="002765F4"/>
    <w:rsid w:val="002766D8"/>
    <w:rsid w:val="00276883"/>
    <w:rsid w:val="00277C1F"/>
    <w:rsid w:val="002821D7"/>
    <w:rsid w:val="00282F20"/>
    <w:rsid w:val="00283152"/>
    <w:rsid w:val="002841A6"/>
    <w:rsid w:val="00284713"/>
    <w:rsid w:val="00284BCD"/>
    <w:rsid w:val="00285867"/>
    <w:rsid w:val="0028632E"/>
    <w:rsid w:val="0029004F"/>
    <w:rsid w:val="002916BD"/>
    <w:rsid w:val="00291A31"/>
    <w:rsid w:val="00291B84"/>
    <w:rsid w:val="00292B19"/>
    <w:rsid w:val="00292B5E"/>
    <w:rsid w:val="002932FC"/>
    <w:rsid w:val="00293B59"/>
    <w:rsid w:val="00294431"/>
    <w:rsid w:val="0029480F"/>
    <w:rsid w:val="00294B49"/>
    <w:rsid w:val="0029526F"/>
    <w:rsid w:val="00295538"/>
    <w:rsid w:val="00295598"/>
    <w:rsid w:val="00297034"/>
    <w:rsid w:val="00297598"/>
    <w:rsid w:val="002A046A"/>
    <w:rsid w:val="002A05B4"/>
    <w:rsid w:val="002A0C0E"/>
    <w:rsid w:val="002A0EBC"/>
    <w:rsid w:val="002A237A"/>
    <w:rsid w:val="002A23E0"/>
    <w:rsid w:val="002A2E20"/>
    <w:rsid w:val="002A32DF"/>
    <w:rsid w:val="002A34E1"/>
    <w:rsid w:val="002A6980"/>
    <w:rsid w:val="002A6A60"/>
    <w:rsid w:val="002A7004"/>
    <w:rsid w:val="002A7DF5"/>
    <w:rsid w:val="002A7E94"/>
    <w:rsid w:val="002B001B"/>
    <w:rsid w:val="002B064E"/>
    <w:rsid w:val="002B0795"/>
    <w:rsid w:val="002B0AC9"/>
    <w:rsid w:val="002B1E52"/>
    <w:rsid w:val="002B2620"/>
    <w:rsid w:val="002B2913"/>
    <w:rsid w:val="002B3225"/>
    <w:rsid w:val="002B5080"/>
    <w:rsid w:val="002B5694"/>
    <w:rsid w:val="002B659F"/>
    <w:rsid w:val="002B7037"/>
    <w:rsid w:val="002C021F"/>
    <w:rsid w:val="002C2056"/>
    <w:rsid w:val="002C222A"/>
    <w:rsid w:val="002C23F7"/>
    <w:rsid w:val="002C266A"/>
    <w:rsid w:val="002C275F"/>
    <w:rsid w:val="002C2ADA"/>
    <w:rsid w:val="002C2D1B"/>
    <w:rsid w:val="002C3367"/>
    <w:rsid w:val="002C450E"/>
    <w:rsid w:val="002C4EAE"/>
    <w:rsid w:val="002C50C0"/>
    <w:rsid w:val="002C5C34"/>
    <w:rsid w:val="002C6302"/>
    <w:rsid w:val="002C7117"/>
    <w:rsid w:val="002C744B"/>
    <w:rsid w:val="002C7AC0"/>
    <w:rsid w:val="002C7CB4"/>
    <w:rsid w:val="002D064D"/>
    <w:rsid w:val="002D0706"/>
    <w:rsid w:val="002D29FD"/>
    <w:rsid w:val="002D2AEC"/>
    <w:rsid w:val="002D2B97"/>
    <w:rsid w:val="002D2C1F"/>
    <w:rsid w:val="002D35CA"/>
    <w:rsid w:val="002D3724"/>
    <w:rsid w:val="002D3DB4"/>
    <w:rsid w:val="002D600D"/>
    <w:rsid w:val="002D77BF"/>
    <w:rsid w:val="002D78A3"/>
    <w:rsid w:val="002E1382"/>
    <w:rsid w:val="002E2AA6"/>
    <w:rsid w:val="002E32E2"/>
    <w:rsid w:val="002E6F55"/>
    <w:rsid w:val="002F04F4"/>
    <w:rsid w:val="002F0E4E"/>
    <w:rsid w:val="002F24A1"/>
    <w:rsid w:val="002F3362"/>
    <w:rsid w:val="002F344B"/>
    <w:rsid w:val="002F3CD4"/>
    <w:rsid w:val="002F3FBD"/>
    <w:rsid w:val="002F41A5"/>
    <w:rsid w:val="002F4C66"/>
    <w:rsid w:val="002F5903"/>
    <w:rsid w:val="002F709A"/>
    <w:rsid w:val="002F7558"/>
    <w:rsid w:val="002F77A8"/>
    <w:rsid w:val="00300000"/>
    <w:rsid w:val="00300388"/>
    <w:rsid w:val="00300637"/>
    <w:rsid w:val="003010B6"/>
    <w:rsid w:val="00301619"/>
    <w:rsid w:val="00301AD3"/>
    <w:rsid w:val="00301E80"/>
    <w:rsid w:val="003025CE"/>
    <w:rsid w:val="00302755"/>
    <w:rsid w:val="00303147"/>
    <w:rsid w:val="00303458"/>
    <w:rsid w:val="003039E4"/>
    <w:rsid w:val="00304375"/>
    <w:rsid w:val="00304D18"/>
    <w:rsid w:val="00304E55"/>
    <w:rsid w:val="003050A7"/>
    <w:rsid w:val="0030551A"/>
    <w:rsid w:val="00305A15"/>
    <w:rsid w:val="00305B9A"/>
    <w:rsid w:val="00306353"/>
    <w:rsid w:val="00306D41"/>
    <w:rsid w:val="00307094"/>
    <w:rsid w:val="00307342"/>
    <w:rsid w:val="00307DE3"/>
    <w:rsid w:val="00310470"/>
    <w:rsid w:val="00310A72"/>
    <w:rsid w:val="00311C18"/>
    <w:rsid w:val="0031298C"/>
    <w:rsid w:val="00313701"/>
    <w:rsid w:val="00313D52"/>
    <w:rsid w:val="00314235"/>
    <w:rsid w:val="0031453A"/>
    <w:rsid w:val="00314BB7"/>
    <w:rsid w:val="00314E35"/>
    <w:rsid w:val="00315760"/>
    <w:rsid w:val="003169E1"/>
    <w:rsid w:val="00320186"/>
    <w:rsid w:val="003206F0"/>
    <w:rsid w:val="00320DA0"/>
    <w:rsid w:val="003211A5"/>
    <w:rsid w:val="003222FC"/>
    <w:rsid w:val="00322A55"/>
    <w:rsid w:val="00324004"/>
    <w:rsid w:val="00324EC0"/>
    <w:rsid w:val="00325D85"/>
    <w:rsid w:val="0032607C"/>
    <w:rsid w:val="00326CF5"/>
    <w:rsid w:val="00326E7B"/>
    <w:rsid w:val="003305DB"/>
    <w:rsid w:val="0033166C"/>
    <w:rsid w:val="0033358A"/>
    <w:rsid w:val="00333937"/>
    <w:rsid w:val="003342B8"/>
    <w:rsid w:val="0033504B"/>
    <w:rsid w:val="003362C7"/>
    <w:rsid w:val="00336A5A"/>
    <w:rsid w:val="00337043"/>
    <w:rsid w:val="00337AA0"/>
    <w:rsid w:val="00337E85"/>
    <w:rsid w:val="00341358"/>
    <w:rsid w:val="00341A2F"/>
    <w:rsid w:val="00341A7B"/>
    <w:rsid w:val="00342ADB"/>
    <w:rsid w:val="00343AA6"/>
    <w:rsid w:val="00343B0F"/>
    <w:rsid w:val="00344A27"/>
    <w:rsid w:val="00345F68"/>
    <w:rsid w:val="0034616E"/>
    <w:rsid w:val="00347006"/>
    <w:rsid w:val="00347D0D"/>
    <w:rsid w:val="00347D2F"/>
    <w:rsid w:val="003503AE"/>
    <w:rsid w:val="00351D8C"/>
    <w:rsid w:val="0035213A"/>
    <w:rsid w:val="00353419"/>
    <w:rsid w:val="003551CD"/>
    <w:rsid w:val="00355C14"/>
    <w:rsid w:val="00355D35"/>
    <w:rsid w:val="00356BEA"/>
    <w:rsid w:val="00357FB5"/>
    <w:rsid w:val="00360094"/>
    <w:rsid w:val="00361A05"/>
    <w:rsid w:val="0036238F"/>
    <w:rsid w:val="003627FB"/>
    <w:rsid w:val="00362826"/>
    <w:rsid w:val="00362CFD"/>
    <w:rsid w:val="00363EEF"/>
    <w:rsid w:val="0036403D"/>
    <w:rsid w:val="003642C8"/>
    <w:rsid w:val="0036455C"/>
    <w:rsid w:val="003656BF"/>
    <w:rsid w:val="00366074"/>
    <w:rsid w:val="00366FB4"/>
    <w:rsid w:val="00367122"/>
    <w:rsid w:val="0037083D"/>
    <w:rsid w:val="00370FEC"/>
    <w:rsid w:val="00372402"/>
    <w:rsid w:val="003724FE"/>
    <w:rsid w:val="003726C4"/>
    <w:rsid w:val="003732C5"/>
    <w:rsid w:val="00374086"/>
    <w:rsid w:val="0037473E"/>
    <w:rsid w:val="00375BEB"/>
    <w:rsid w:val="00375BF0"/>
    <w:rsid w:val="003762B7"/>
    <w:rsid w:val="00376C8B"/>
    <w:rsid w:val="00377160"/>
    <w:rsid w:val="003800B4"/>
    <w:rsid w:val="003809E0"/>
    <w:rsid w:val="003814E2"/>
    <w:rsid w:val="00381E88"/>
    <w:rsid w:val="003821F9"/>
    <w:rsid w:val="00382503"/>
    <w:rsid w:val="003827CD"/>
    <w:rsid w:val="00382C88"/>
    <w:rsid w:val="00382CF6"/>
    <w:rsid w:val="00383A99"/>
    <w:rsid w:val="00383D6D"/>
    <w:rsid w:val="00384713"/>
    <w:rsid w:val="00384D2B"/>
    <w:rsid w:val="003852EF"/>
    <w:rsid w:val="003859B5"/>
    <w:rsid w:val="003870EE"/>
    <w:rsid w:val="00387204"/>
    <w:rsid w:val="0038789A"/>
    <w:rsid w:val="00387ED7"/>
    <w:rsid w:val="0039016C"/>
    <w:rsid w:val="003904B4"/>
    <w:rsid w:val="00393452"/>
    <w:rsid w:val="00393CF7"/>
    <w:rsid w:val="00394AD3"/>
    <w:rsid w:val="00394C2C"/>
    <w:rsid w:val="00395441"/>
    <w:rsid w:val="003964A0"/>
    <w:rsid w:val="00396F85"/>
    <w:rsid w:val="0039723A"/>
    <w:rsid w:val="003A1C7D"/>
    <w:rsid w:val="003A1CB9"/>
    <w:rsid w:val="003A27B8"/>
    <w:rsid w:val="003A3D8C"/>
    <w:rsid w:val="003A539D"/>
    <w:rsid w:val="003A5FA1"/>
    <w:rsid w:val="003A7623"/>
    <w:rsid w:val="003B0FDF"/>
    <w:rsid w:val="003B1725"/>
    <w:rsid w:val="003B242C"/>
    <w:rsid w:val="003B324C"/>
    <w:rsid w:val="003B4D64"/>
    <w:rsid w:val="003B5CA2"/>
    <w:rsid w:val="003B5DFB"/>
    <w:rsid w:val="003B6220"/>
    <w:rsid w:val="003B64ED"/>
    <w:rsid w:val="003B6826"/>
    <w:rsid w:val="003B6F1F"/>
    <w:rsid w:val="003B7628"/>
    <w:rsid w:val="003B76DC"/>
    <w:rsid w:val="003C1E93"/>
    <w:rsid w:val="003C2161"/>
    <w:rsid w:val="003C3FAC"/>
    <w:rsid w:val="003C4071"/>
    <w:rsid w:val="003C5924"/>
    <w:rsid w:val="003C596C"/>
    <w:rsid w:val="003C6170"/>
    <w:rsid w:val="003C7A94"/>
    <w:rsid w:val="003C7DDE"/>
    <w:rsid w:val="003C7FF7"/>
    <w:rsid w:val="003D03AF"/>
    <w:rsid w:val="003D07CA"/>
    <w:rsid w:val="003D1FE5"/>
    <w:rsid w:val="003D3735"/>
    <w:rsid w:val="003D3D27"/>
    <w:rsid w:val="003D5148"/>
    <w:rsid w:val="003D5822"/>
    <w:rsid w:val="003D5999"/>
    <w:rsid w:val="003D6081"/>
    <w:rsid w:val="003D6132"/>
    <w:rsid w:val="003D6720"/>
    <w:rsid w:val="003D6B3F"/>
    <w:rsid w:val="003D73BE"/>
    <w:rsid w:val="003D7951"/>
    <w:rsid w:val="003D7A3F"/>
    <w:rsid w:val="003D7DD9"/>
    <w:rsid w:val="003E030F"/>
    <w:rsid w:val="003E1750"/>
    <w:rsid w:val="003E1EFB"/>
    <w:rsid w:val="003E2B26"/>
    <w:rsid w:val="003E4299"/>
    <w:rsid w:val="003E4396"/>
    <w:rsid w:val="003E4C74"/>
    <w:rsid w:val="003E4F77"/>
    <w:rsid w:val="003E52BE"/>
    <w:rsid w:val="003E6D92"/>
    <w:rsid w:val="003E70B9"/>
    <w:rsid w:val="003E7812"/>
    <w:rsid w:val="003F07CE"/>
    <w:rsid w:val="003F2136"/>
    <w:rsid w:val="003F277A"/>
    <w:rsid w:val="003F3190"/>
    <w:rsid w:val="003F31E6"/>
    <w:rsid w:val="003F40F9"/>
    <w:rsid w:val="003F43FA"/>
    <w:rsid w:val="003F4C40"/>
    <w:rsid w:val="003F52FE"/>
    <w:rsid w:val="003F580D"/>
    <w:rsid w:val="003F61D7"/>
    <w:rsid w:val="003F72A9"/>
    <w:rsid w:val="00401F3A"/>
    <w:rsid w:val="0040272E"/>
    <w:rsid w:val="00402EA0"/>
    <w:rsid w:val="00403387"/>
    <w:rsid w:val="00403497"/>
    <w:rsid w:val="004041C9"/>
    <w:rsid w:val="00404205"/>
    <w:rsid w:val="00406AE4"/>
    <w:rsid w:val="00406DE7"/>
    <w:rsid w:val="004079CC"/>
    <w:rsid w:val="00407AA6"/>
    <w:rsid w:val="004106A7"/>
    <w:rsid w:val="00410F85"/>
    <w:rsid w:val="00412823"/>
    <w:rsid w:val="00412DD1"/>
    <w:rsid w:val="0041353C"/>
    <w:rsid w:val="0041382E"/>
    <w:rsid w:val="00413D00"/>
    <w:rsid w:val="00414410"/>
    <w:rsid w:val="00414833"/>
    <w:rsid w:val="00414992"/>
    <w:rsid w:val="00415083"/>
    <w:rsid w:val="00415BED"/>
    <w:rsid w:val="00415CE2"/>
    <w:rsid w:val="00416ED0"/>
    <w:rsid w:val="004175B0"/>
    <w:rsid w:val="00420473"/>
    <w:rsid w:val="00420837"/>
    <w:rsid w:val="00421C9B"/>
    <w:rsid w:val="00422686"/>
    <w:rsid w:val="004244B1"/>
    <w:rsid w:val="00426041"/>
    <w:rsid w:val="0042620B"/>
    <w:rsid w:val="00426CBC"/>
    <w:rsid w:val="00427CC0"/>
    <w:rsid w:val="0043002F"/>
    <w:rsid w:val="004301CA"/>
    <w:rsid w:val="004303B3"/>
    <w:rsid w:val="00430927"/>
    <w:rsid w:val="0043134E"/>
    <w:rsid w:val="00431EDA"/>
    <w:rsid w:val="00432433"/>
    <w:rsid w:val="00432563"/>
    <w:rsid w:val="0043308A"/>
    <w:rsid w:val="00433113"/>
    <w:rsid w:val="00433284"/>
    <w:rsid w:val="00434262"/>
    <w:rsid w:val="004343D1"/>
    <w:rsid w:val="0043485C"/>
    <w:rsid w:val="00435CF7"/>
    <w:rsid w:val="00436062"/>
    <w:rsid w:val="0043673C"/>
    <w:rsid w:val="00436801"/>
    <w:rsid w:val="00436A2E"/>
    <w:rsid w:val="00437DA0"/>
    <w:rsid w:val="00440E35"/>
    <w:rsid w:val="004412CE"/>
    <w:rsid w:val="00441877"/>
    <w:rsid w:val="00442603"/>
    <w:rsid w:val="00443A49"/>
    <w:rsid w:val="00444898"/>
    <w:rsid w:val="00445E88"/>
    <w:rsid w:val="00446292"/>
    <w:rsid w:val="004469BC"/>
    <w:rsid w:val="004509F6"/>
    <w:rsid w:val="0045312C"/>
    <w:rsid w:val="00453254"/>
    <w:rsid w:val="00453326"/>
    <w:rsid w:val="0045366F"/>
    <w:rsid w:val="00453F48"/>
    <w:rsid w:val="00453F4D"/>
    <w:rsid w:val="00454062"/>
    <w:rsid w:val="00454218"/>
    <w:rsid w:val="00455D49"/>
    <w:rsid w:val="00455DF1"/>
    <w:rsid w:val="00456254"/>
    <w:rsid w:val="004563CF"/>
    <w:rsid w:val="00456A0F"/>
    <w:rsid w:val="00456C53"/>
    <w:rsid w:val="00456E84"/>
    <w:rsid w:val="0045712F"/>
    <w:rsid w:val="0046092C"/>
    <w:rsid w:val="00460F22"/>
    <w:rsid w:val="004617CD"/>
    <w:rsid w:val="004622EE"/>
    <w:rsid w:val="0046446A"/>
    <w:rsid w:val="004645D0"/>
    <w:rsid w:val="0046490E"/>
    <w:rsid w:val="00464A97"/>
    <w:rsid w:val="00464FA6"/>
    <w:rsid w:val="004651E5"/>
    <w:rsid w:val="004664E8"/>
    <w:rsid w:val="00466FD7"/>
    <w:rsid w:val="004676E4"/>
    <w:rsid w:val="0046796E"/>
    <w:rsid w:val="00467E09"/>
    <w:rsid w:val="0047041F"/>
    <w:rsid w:val="004707EC"/>
    <w:rsid w:val="00470F11"/>
    <w:rsid w:val="0047173F"/>
    <w:rsid w:val="004722FE"/>
    <w:rsid w:val="00472A2C"/>
    <w:rsid w:val="004739B2"/>
    <w:rsid w:val="00474070"/>
    <w:rsid w:val="0047586E"/>
    <w:rsid w:val="004761F8"/>
    <w:rsid w:val="0047624F"/>
    <w:rsid w:val="00476551"/>
    <w:rsid w:val="00476764"/>
    <w:rsid w:val="00477506"/>
    <w:rsid w:val="00477994"/>
    <w:rsid w:val="00480ED0"/>
    <w:rsid w:val="004815FB"/>
    <w:rsid w:val="00481CB0"/>
    <w:rsid w:val="00482251"/>
    <w:rsid w:val="00482CC2"/>
    <w:rsid w:val="004835E4"/>
    <w:rsid w:val="004838F5"/>
    <w:rsid w:val="00483FD9"/>
    <w:rsid w:val="00484CF0"/>
    <w:rsid w:val="0048562B"/>
    <w:rsid w:val="004856F7"/>
    <w:rsid w:val="00485E98"/>
    <w:rsid w:val="0048615C"/>
    <w:rsid w:val="00486A15"/>
    <w:rsid w:val="00487169"/>
    <w:rsid w:val="0049046F"/>
    <w:rsid w:val="00490539"/>
    <w:rsid w:val="004907EE"/>
    <w:rsid w:val="00490BBC"/>
    <w:rsid w:val="004910C2"/>
    <w:rsid w:val="00491342"/>
    <w:rsid w:val="00491B25"/>
    <w:rsid w:val="00491CD6"/>
    <w:rsid w:val="004925DF"/>
    <w:rsid w:val="004929D1"/>
    <w:rsid w:val="004939CA"/>
    <w:rsid w:val="00494407"/>
    <w:rsid w:val="0049785B"/>
    <w:rsid w:val="00497D5C"/>
    <w:rsid w:val="004A0831"/>
    <w:rsid w:val="004A1D81"/>
    <w:rsid w:val="004A243A"/>
    <w:rsid w:val="004A2756"/>
    <w:rsid w:val="004A3871"/>
    <w:rsid w:val="004A3BE1"/>
    <w:rsid w:val="004A3D2E"/>
    <w:rsid w:val="004A49CD"/>
    <w:rsid w:val="004A4AED"/>
    <w:rsid w:val="004A58D1"/>
    <w:rsid w:val="004A5E88"/>
    <w:rsid w:val="004A65C0"/>
    <w:rsid w:val="004A6C11"/>
    <w:rsid w:val="004B0C8E"/>
    <w:rsid w:val="004B164D"/>
    <w:rsid w:val="004B1E66"/>
    <w:rsid w:val="004B35AE"/>
    <w:rsid w:val="004B4001"/>
    <w:rsid w:val="004B4B39"/>
    <w:rsid w:val="004B5736"/>
    <w:rsid w:val="004B6EA9"/>
    <w:rsid w:val="004B7203"/>
    <w:rsid w:val="004B735F"/>
    <w:rsid w:val="004B77FF"/>
    <w:rsid w:val="004C02E5"/>
    <w:rsid w:val="004C03A8"/>
    <w:rsid w:val="004C0A7B"/>
    <w:rsid w:val="004C0F0C"/>
    <w:rsid w:val="004C19D9"/>
    <w:rsid w:val="004C1C90"/>
    <w:rsid w:val="004C21FE"/>
    <w:rsid w:val="004C49FA"/>
    <w:rsid w:val="004C4C9B"/>
    <w:rsid w:val="004C4EA4"/>
    <w:rsid w:val="004C5712"/>
    <w:rsid w:val="004C70D6"/>
    <w:rsid w:val="004C7C47"/>
    <w:rsid w:val="004C7E14"/>
    <w:rsid w:val="004D0388"/>
    <w:rsid w:val="004D0478"/>
    <w:rsid w:val="004D0A93"/>
    <w:rsid w:val="004D0D13"/>
    <w:rsid w:val="004D20F5"/>
    <w:rsid w:val="004D2AAB"/>
    <w:rsid w:val="004D2B26"/>
    <w:rsid w:val="004D34DD"/>
    <w:rsid w:val="004D35FE"/>
    <w:rsid w:val="004D382B"/>
    <w:rsid w:val="004D3B10"/>
    <w:rsid w:val="004D40AF"/>
    <w:rsid w:val="004D49D8"/>
    <w:rsid w:val="004D5099"/>
    <w:rsid w:val="004D5256"/>
    <w:rsid w:val="004D5D4E"/>
    <w:rsid w:val="004D63E7"/>
    <w:rsid w:val="004D6E8F"/>
    <w:rsid w:val="004D73A7"/>
    <w:rsid w:val="004D7BA3"/>
    <w:rsid w:val="004E30EB"/>
    <w:rsid w:val="004E35B4"/>
    <w:rsid w:val="004E3C6A"/>
    <w:rsid w:val="004E46B0"/>
    <w:rsid w:val="004E645B"/>
    <w:rsid w:val="004E706F"/>
    <w:rsid w:val="004F139C"/>
    <w:rsid w:val="004F13A9"/>
    <w:rsid w:val="004F1A36"/>
    <w:rsid w:val="004F3AC9"/>
    <w:rsid w:val="004F3E60"/>
    <w:rsid w:val="004F4072"/>
    <w:rsid w:val="004F46F0"/>
    <w:rsid w:val="004F4F78"/>
    <w:rsid w:val="004F52CF"/>
    <w:rsid w:val="004F55EC"/>
    <w:rsid w:val="004F5B96"/>
    <w:rsid w:val="004F60D0"/>
    <w:rsid w:val="004F715D"/>
    <w:rsid w:val="0050130D"/>
    <w:rsid w:val="005013A2"/>
    <w:rsid w:val="005019F1"/>
    <w:rsid w:val="00502451"/>
    <w:rsid w:val="00502ABF"/>
    <w:rsid w:val="0050386F"/>
    <w:rsid w:val="00503CF3"/>
    <w:rsid w:val="00503EE9"/>
    <w:rsid w:val="005041D5"/>
    <w:rsid w:val="005071D2"/>
    <w:rsid w:val="00510526"/>
    <w:rsid w:val="00510823"/>
    <w:rsid w:val="0051208D"/>
    <w:rsid w:val="00514D9A"/>
    <w:rsid w:val="00515789"/>
    <w:rsid w:val="00516DA1"/>
    <w:rsid w:val="005201F1"/>
    <w:rsid w:val="00520ACC"/>
    <w:rsid w:val="00520B0B"/>
    <w:rsid w:val="005212D4"/>
    <w:rsid w:val="00522752"/>
    <w:rsid w:val="00522AA1"/>
    <w:rsid w:val="00523379"/>
    <w:rsid w:val="00523F14"/>
    <w:rsid w:val="0052415B"/>
    <w:rsid w:val="00525CA0"/>
    <w:rsid w:val="005266CB"/>
    <w:rsid w:val="00527FBD"/>
    <w:rsid w:val="0053069A"/>
    <w:rsid w:val="005308B0"/>
    <w:rsid w:val="005309DB"/>
    <w:rsid w:val="00531959"/>
    <w:rsid w:val="0053444E"/>
    <w:rsid w:val="0053510C"/>
    <w:rsid w:val="00535C8A"/>
    <w:rsid w:val="00535CD5"/>
    <w:rsid w:val="00535F46"/>
    <w:rsid w:val="005362B4"/>
    <w:rsid w:val="0053633A"/>
    <w:rsid w:val="00536CE0"/>
    <w:rsid w:val="00536E3A"/>
    <w:rsid w:val="00537241"/>
    <w:rsid w:val="0053778C"/>
    <w:rsid w:val="005400DC"/>
    <w:rsid w:val="00540409"/>
    <w:rsid w:val="005408D5"/>
    <w:rsid w:val="00542CCA"/>
    <w:rsid w:val="00542F97"/>
    <w:rsid w:val="0054309D"/>
    <w:rsid w:val="005436F3"/>
    <w:rsid w:val="00544451"/>
    <w:rsid w:val="005449D5"/>
    <w:rsid w:val="00544A6C"/>
    <w:rsid w:val="00546351"/>
    <w:rsid w:val="00551149"/>
    <w:rsid w:val="0055122E"/>
    <w:rsid w:val="00551427"/>
    <w:rsid w:val="00551590"/>
    <w:rsid w:val="00551C0A"/>
    <w:rsid w:val="00553857"/>
    <w:rsid w:val="00553C6E"/>
    <w:rsid w:val="00554430"/>
    <w:rsid w:val="005555B2"/>
    <w:rsid w:val="005560A0"/>
    <w:rsid w:val="00560551"/>
    <w:rsid w:val="00560B05"/>
    <w:rsid w:val="00561A27"/>
    <w:rsid w:val="00561FE9"/>
    <w:rsid w:val="00562804"/>
    <w:rsid w:val="00564093"/>
    <w:rsid w:val="00564529"/>
    <w:rsid w:val="00564783"/>
    <w:rsid w:val="00564F46"/>
    <w:rsid w:val="005659B2"/>
    <w:rsid w:val="00566CB6"/>
    <w:rsid w:val="00567AAC"/>
    <w:rsid w:val="00572A2F"/>
    <w:rsid w:val="00572C28"/>
    <w:rsid w:val="00572D91"/>
    <w:rsid w:val="0057403F"/>
    <w:rsid w:val="00574893"/>
    <w:rsid w:val="005757A8"/>
    <w:rsid w:val="00575E03"/>
    <w:rsid w:val="00576001"/>
    <w:rsid w:val="00576A3A"/>
    <w:rsid w:val="00576B9E"/>
    <w:rsid w:val="00577555"/>
    <w:rsid w:val="005803FA"/>
    <w:rsid w:val="005806B4"/>
    <w:rsid w:val="005806F8"/>
    <w:rsid w:val="005809B5"/>
    <w:rsid w:val="00581D0F"/>
    <w:rsid w:val="005822DA"/>
    <w:rsid w:val="00583A5E"/>
    <w:rsid w:val="0058412B"/>
    <w:rsid w:val="005856D2"/>
    <w:rsid w:val="00587D7C"/>
    <w:rsid w:val="005909A0"/>
    <w:rsid w:val="00590CD8"/>
    <w:rsid w:val="00591904"/>
    <w:rsid w:val="00591D64"/>
    <w:rsid w:val="00591E65"/>
    <w:rsid w:val="00592105"/>
    <w:rsid w:val="00593310"/>
    <w:rsid w:val="0059593D"/>
    <w:rsid w:val="00595C4D"/>
    <w:rsid w:val="00597498"/>
    <w:rsid w:val="0059767A"/>
    <w:rsid w:val="005A0462"/>
    <w:rsid w:val="005A0D71"/>
    <w:rsid w:val="005A1903"/>
    <w:rsid w:val="005A43FC"/>
    <w:rsid w:val="005A4F64"/>
    <w:rsid w:val="005A6007"/>
    <w:rsid w:val="005A6752"/>
    <w:rsid w:val="005A6DE4"/>
    <w:rsid w:val="005A70FC"/>
    <w:rsid w:val="005A7236"/>
    <w:rsid w:val="005B08B3"/>
    <w:rsid w:val="005B0F07"/>
    <w:rsid w:val="005B16D7"/>
    <w:rsid w:val="005B1BB5"/>
    <w:rsid w:val="005B2FAA"/>
    <w:rsid w:val="005B31FB"/>
    <w:rsid w:val="005B372F"/>
    <w:rsid w:val="005B3AC2"/>
    <w:rsid w:val="005B439F"/>
    <w:rsid w:val="005B49CC"/>
    <w:rsid w:val="005B5F10"/>
    <w:rsid w:val="005B62FA"/>
    <w:rsid w:val="005B6576"/>
    <w:rsid w:val="005C09F1"/>
    <w:rsid w:val="005C0B01"/>
    <w:rsid w:val="005C1CF3"/>
    <w:rsid w:val="005C201C"/>
    <w:rsid w:val="005C32D6"/>
    <w:rsid w:val="005C3724"/>
    <w:rsid w:val="005C37A8"/>
    <w:rsid w:val="005C3B0D"/>
    <w:rsid w:val="005C4B2D"/>
    <w:rsid w:val="005C5AC5"/>
    <w:rsid w:val="005C5BC2"/>
    <w:rsid w:val="005C6152"/>
    <w:rsid w:val="005C61CB"/>
    <w:rsid w:val="005C72E9"/>
    <w:rsid w:val="005C79F4"/>
    <w:rsid w:val="005D03A4"/>
    <w:rsid w:val="005D163E"/>
    <w:rsid w:val="005D19DF"/>
    <w:rsid w:val="005D2664"/>
    <w:rsid w:val="005D33A6"/>
    <w:rsid w:val="005D4B30"/>
    <w:rsid w:val="005D4D03"/>
    <w:rsid w:val="005D5066"/>
    <w:rsid w:val="005D5292"/>
    <w:rsid w:val="005D5470"/>
    <w:rsid w:val="005D637B"/>
    <w:rsid w:val="005D6C4A"/>
    <w:rsid w:val="005D6FD2"/>
    <w:rsid w:val="005E0829"/>
    <w:rsid w:val="005E14F6"/>
    <w:rsid w:val="005E162C"/>
    <w:rsid w:val="005E26A1"/>
    <w:rsid w:val="005E2C12"/>
    <w:rsid w:val="005E2D33"/>
    <w:rsid w:val="005E436E"/>
    <w:rsid w:val="005E494F"/>
    <w:rsid w:val="005E5312"/>
    <w:rsid w:val="005E588E"/>
    <w:rsid w:val="005E5F0F"/>
    <w:rsid w:val="005E65CA"/>
    <w:rsid w:val="005E695B"/>
    <w:rsid w:val="005E7086"/>
    <w:rsid w:val="005E73CE"/>
    <w:rsid w:val="005E7E5C"/>
    <w:rsid w:val="005F0711"/>
    <w:rsid w:val="005F0E22"/>
    <w:rsid w:val="005F0E3C"/>
    <w:rsid w:val="005F0E71"/>
    <w:rsid w:val="005F1547"/>
    <w:rsid w:val="005F1604"/>
    <w:rsid w:val="005F24F4"/>
    <w:rsid w:val="005F27C8"/>
    <w:rsid w:val="005F2903"/>
    <w:rsid w:val="005F31D7"/>
    <w:rsid w:val="005F3AA3"/>
    <w:rsid w:val="005F52B2"/>
    <w:rsid w:val="005F537F"/>
    <w:rsid w:val="005F5931"/>
    <w:rsid w:val="005F7D07"/>
    <w:rsid w:val="00600203"/>
    <w:rsid w:val="0060020D"/>
    <w:rsid w:val="006005A0"/>
    <w:rsid w:val="00600BDF"/>
    <w:rsid w:val="00602794"/>
    <w:rsid w:val="00602D12"/>
    <w:rsid w:val="00603833"/>
    <w:rsid w:val="00604135"/>
    <w:rsid w:val="006058CB"/>
    <w:rsid w:val="0060733C"/>
    <w:rsid w:val="00607C22"/>
    <w:rsid w:val="0061093F"/>
    <w:rsid w:val="0061140B"/>
    <w:rsid w:val="00611F4B"/>
    <w:rsid w:val="00613453"/>
    <w:rsid w:val="0061377A"/>
    <w:rsid w:val="0061470B"/>
    <w:rsid w:val="00614F0B"/>
    <w:rsid w:val="0061603B"/>
    <w:rsid w:val="0061632D"/>
    <w:rsid w:val="00616AE1"/>
    <w:rsid w:val="00617F6B"/>
    <w:rsid w:val="0062067C"/>
    <w:rsid w:val="006214AD"/>
    <w:rsid w:val="0062185D"/>
    <w:rsid w:val="00621962"/>
    <w:rsid w:val="00624A2B"/>
    <w:rsid w:val="0062541F"/>
    <w:rsid w:val="00625863"/>
    <w:rsid w:val="006260E5"/>
    <w:rsid w:val="0062647B"/>
    <w:rsid w:val="00626BF4"/>
    <w:rsid w:val="00626E8D"/>
    <w:rsid w:val="00627A9B"/>
    <w:rsid w:val="00627B69"/>
    <w:rsid w:val="00633754"/>
    <w:rsid w:val="00633AD9"/>
    <w:rsid w:val="00635E85"/>
    <w:rsid w:val="0063693B"/>
    <w:rsid w:val="006371FF"/>
    <w:rsid w:val="00640F88"/>
    <w:rsid w:val="00642BAA"/>
    <w:rsid w:val="006436A7"/>
    <w:rsid w:val="00643DD9"/>
    <w:rsid w:val="006444CA"/>
    <w:rsid w:val="00644A75"/>
    <w:rsid w:val="00645DCE"/>
    <w:rsid w:val="006472A0"/>
    <w:rsid w:val="00650768"/>
    <w:rsid w:val="006512E3"/>
    <w:rsid w:val="00651512"/>
    <w:rsid w:val="00653500"/>
    <w:rsid w:val="00653D24"/>
    <w:rsid w:val="00653F0A"/>
    <w:rsid w:val="00654956"/>
    <w:rsid w:val="00654DE7"/>
    <w:rsid w:val="00655049"/>
    <w:rsid w:val="0065533C"/>
    <w:rsid w:val="00656A9D"/>
    <w:rsid w:val="00656F5E"/>
    <w:rsid w:val="00657991"/>
    <w:rsid w:val="0066229E"/>
    <w:rsid w:val="00662CBC"/>
    <w:rsid w:val="0066476E"/>
    <w:rsid w:val="00664788"/>
    <w:rsid w:val="0066619E"/>
    <w:rsid w:val="006673A8"/>
    <w:rsid w:val="0066777A"/>
    <w:rsid w:val="006700A9"/>
    <w:rsid w:val="0067038D"/>
    <w:rsid w:val="00671042"/>
    <w:rsid w:val="00671A6A"/>
    <w:rsid w:val="00673ABF"/>
    <w:rsid w:val="00673E46"/>
    <w:rsid w:val="00673F0C"/>
    <w:rsid w:val="00674B4E"/>
    <w:rsid w:val="00675082"/>
    <w:rsid w:val="00675EC1"/>
    <w:rsid w:val="006764FB"/>
    <w:rsid w:val="00676A38"/>
    <w:rsid w:val="0067775E"/>
    <w:rsid w:val="00680098"/>
    <w:rsid w:val="00680833"/>
    <w:rsid w:val="00680957"/>
    <w:rsid w:val="00682CFC"/>
    <w:rsid w:val="00682F1D"/>
    <w:rsid w:val="00683B13"/>
    <w:rsid w:val="00685264"/>
    <w:rsid w:val="00686216"/>
    <w:rsid w:val="00686325"/>
    <w:rsid w:val="0068649F"/>
    <w:rsid w:val="00686EC4"/>
    <w:rsid w:val="00687063"/>
    <w:rsid w:val="00690A09"/>
    <w:rsid w:val="00691425"/>
    <w:rsid w:val="0069185B"/>
    <w:rsid w:val="00691F37"/>
    <w:rsid w:val="006922A1"/>
    <w:rsid w:val="00694A8D"/>
    <w:rsid w:val="00695591"/>
    <w:rsid w:val="00695E17"/>
    <w:rsid w:val="00696763"/>
    <w:rsid w:val="00696CDA"/>
    <w:rsid w:val="00696D1D"/>
    <w:rsid w:val="00696DEC"/>
    <w:rsid w:val="0069734A"/>
    <w:rsid w:val="00697B2E"/>
    <w:rsid w:val="006A044A"/>
    <w:rsid w:val="006A1180"/>
    <w:rsid w:val="006A139A"/>
    <w:rsid w:val="006A1939"/>
    <w:rsid w:val="006A303A"/>
    <w:rsid w:val="006A45A4"/>
    <w:rsid w:val="006A5C3E"/>
    <w:rsid w:val="006A70CE"/>
    <w:rsid w:val="006B0367"/>
    <w:rsid w:val="006B0B61"/>
    <w:rsid w:val="006B147C"/>
    <w:rsid w:val="006B1E00"/>
    <w:rsid w:val="006B202A"/>
    <w:rsid w:val="006B4802"/>
    <w:rsid w:val="006B5097"/>
    <w:rsid w:val="006B50AD"/>
    <w:rsid w:val="006B5516"/>
    <w:rsid w:val="006B5D36"/>
    <w:rsid w:val="006B6471"/>
    <w:rsid w:val="006B7A09"/>
    <w:rsid w:val="006B7CB0"/>
    <w:rsid w:val="006C044C"/>
    <w:rsid w:val="006C07FE"/>
    <w:rsid w:val="006C0A29"/>
    <w:rsid w:val="006C17FA"/>
    <w:rsid w:val="006C1A57"/>
    <w:rsid w:val="006C2C37"/>
    <w:rsid w:val="006C35B6"/>
    <w:rsid w:val="006C42CE"/>
    <w:rsid w:val="006C5486"/>
    <w:rsid w:val="006C592D"/>
    <w:rsid w:val="006C5D93"/>
    <w:rsid w:val="006C74B3"/>
    <w:rsid w:val="006C7EF9"/>
    <w:rsid w:val="006D1D4A"/>
    <w:rsid w:val="006D209C"/>
    <w:rsid w:val="006D34E4"/>
    <w:rsid w:val="006D3791"/>
    <w:rsid w:val="006D39EB"/>
    <w:rsid w:val="006D465F"/>
    <w:rsid w:val="006D46A6"/>
    <w:rsid w:val="006D4894"/>
    <w:rsid w:val="006D4B56"/>
    <w:rsid w:val="006D4DDB"/>
    <w:rsid w:val="006D7209"/>
    <w:rsid w:val="006E0AAD"/>
    <w:rsid w:val="006E11C9"/>
    <w:rsid w:val="006E31AE"/>
    <w:rsid w:val="006E3ED5"/>
    <w:rsid w:val="006E4134"/>
    <w:rsid w:val="006E4984"/>
    <w:rsid w:val="006E5E71"/>
    <w:rsid w:val="006F18A3"/>
    <w:rsid w:val="006F1A30"/>
    <w:rsid w:val="006F32BF"/>
    <w:rsid w:val="006F38F6"/>
    <w:rsid w:val="006F3989"/>
    <w:rsid w:val="006F3DC9"/>
    <w:rsid w:val="006F3FB3"/>
    <w:rsid w:val="006F4219"/>
    <w:rsid w:val="006F55D6"/>
    <w:rsid w:val="006F575A"/>
    <w:rsid w:val="006F6243"/>
    <w:rsid w:val="006F659B"/>
    <w:rsid w:val="00700A73"/>
    <w:rsid w:val="007015E9"/>
    <w:rsid w:val="00701F9E"/>
    <w:rsid w:val="0070238A"/>
    <w:rsid w:val="00702886"/>
    <w:rsid w:val="00702A10"/>
    <w:rsid w:val="0070394A"/>
    <w:rsid w:val="007040A1"/>
    <w:rsid w:val="0070484E"/>
    <w:rsid w:val="0070491E"/>
    <w:rsid w:val="00704ED8"/>
    <w:rsid w:val="0070601C"/>
    <w:rsid w:val="0070630B"/>
    <w:rsid w:val="007066E6"/>
    <w:rsid w:val="00706C45"/>
    <w:rsid w:val="00707008"/>
    <w:rsid w:val="00710993"/>
    <w:rsid w:val="00712492"/>
    <w:rsid w:val="00712884"/>
    <w:rsid w:val="00713B2F"/>
    <w:rsid w:val="00713C6D"/>
    <w:rsid w:val="00715090"/>
    <w:rsid w:val="00715379"/>
    <w:rsid w:val="0071587A"/>
    <w:rsid w:val="007159EB"/>
    <w:rsid w:val="007160E0"/>
    <w:rsid w:val="00716601"/>
    <w:rsid w:val="00716E3F"/>
    <w:rsid w:val="007173D2"/>
    <w:rsid w:val="00717DE7"/>
    <w:rsid w:val="00720629"/>
    <w:rsid w:val="00720B16"/>
    <w:rsid w:val="00720B23"/>
    <w:rsid w:val="00720FB9"/>
    <w:rsid w:val="007219C5"/>
    <w:rsid w:val="007223FC"/>
    <w:rsid w:val="0072277B"/>
    <w:rsid w:val="00722DBB"/>
    <w:rsid w:val="00723E51"/>
    <w:rsid w:val="0072579B"/>
    <w:rsid w:val="00725CF6"/>
    <w:rsid w:val="00725F23"/>
    <w:rsid w:val="007267EB"/>
    <w:rsid w:val="0072737A"/>
    <w:rsid w:val="00730159"/>
    <w:rsid w:val="00730AC8"/>
    <w:rsid w:val="00730C0D"/>
    <w:rsid w:val="0073129C"/>
    <w:rsid w:val="00731BC5"/>
    <w:rsid w:val="00732AFD"/>
    <w:rsid w:val="00732E0C"/>
    <w:rsid w:val="007330C4"/>
    <w:rsid w:val="007339DB"/>
    <w:rsid w:val="007340ED"/>
    <w:rsid w:val="007356FC"/>
    <w:rsid w:val="00735CE3"/>
    <w:rsid w:val="007363C4"/>
    <w:rsid w:val="00736DD5"/>
    <w:rsid w:val="007372BE"/>
    <w:rsid w:val="0073765E"/>
    <w:rsid w:val="007407D3"/>
    <w:rsid w:val="0074101E"/>
    <w:rsid w:val="0074150A"/>
    <w:rsid w:val="00741FEC"/>
    <w:rsid w:val="007433D3"/>
    <w:rsid w:val="00743A86"/>
    <w:rsid w:val="00743F1B"/>
    <w:rsid w:val="0074430F"/>
    <w:rsid w:val="007448B9"/>
    <w:rsid w:val="0074509B"/>
    <w:rsid w:val="007464E2"/>
    <w:rsid w:val="007468E9"/>
    <w:rsid w:val="00746BED"/>
    <w:rsid w:val="00746E9B"/>
    <w:rsid w:val="00747D71"/>
    <w:rsid w:val="00750288"/>
    <w:rsid w:val="0075066C"/>
    <w:rsid w:val="00751BF1"/>
    <w:rsid w:val="00752BBB"/>
    <w:rsid w:val="007537F1"/>
    <w:rsid w:val="00753A4F"/>
    <w:rsid w:val="00755C58"/>
    <w:rsid w:val="00756643"/>
    <w:rsid w:val="007567FF"/>
    <w:rsid w:val="00756DA9"/>
    <w:rsid w:val="0075794D"/>
    <w:rsid w:val="007607C7"/>
    <w:rsid w:val="007608C8"/>
    <w:rsid w:val="00760C26"/>
    <w:rsid w:val="00761696"/>
    <w:rsid w:val="00761834"/>
    <w:rsid w:val="00761D2E"/>
    <w:rsid w:val="00761D56"/>
    <w:rsid w:val="007620D8"/>
    <w:rsid w:val="007631A8"/>
    <w:rsid w:val="00763926"/>
    <w:rsid w:val="0076420A"/>
    <w:rsid w:val="007645ED"/>
    <w:rsid w:val="007646E3"/>
    <w:rsid w:val="0076492F"/>
    <w:rsid w:val="00764D0F"/>
    <w:rsid w:val="00764ED5"/>
    <w:rsid w:val="007665AE"/>
    <w:rsid w:val="007665E7"/>
    <w:rsid w:val="007669D1"/>
    <w:rsid w:val="00767776"/>
    <w:rsid w:val="00767809"/>
    <w:rsid w:val="00767F65"/>
    <w:rsid w:val="007714AE"/>
    <w:rsid w:val="00773845"/>
    <w:rsid w:val="0077605D"/>
    <w:rsid w:val="00780896"/>
    <w:rsid w:val="00780E48"/>
    <w:rsid w:val="00780FF2"/>
    <w:rsid w:val="007815A1"/>
    <w:rsid w:val="00781F37"/>
    <w:rsid w:val="0078251C"/>
    <w:rsid w:val="00783BF6"/>
    <w:rsid w:val="00783D1B"/>
    <w:rsid w:val="00783F46"/>
    <w:rsid w:val="0078501F"/>
    <w:rsid w:val="00785229"/>
    <w:rsid w:val="0078620B"/>
    <w:rsid w:val="00787F19"/>
    <w:rsid w:val="007905BD"/>
    <w:rsid w:val="0079186B"/>
    <w:rsid w:val="007919EE"/>
    <w:rsid w:val="00793312"/>
    <w:rsid w:val="00794B5C"/>
    <w:rsid w:val="00796669"/>
    <w:rsid w:val="00796A9E"/>
    <w:rsid w:val="00796D05"/>
    <w:rsid w:val="007970C0"/>
    <w:rsid w:val="00797687"/>
    <w:rsid w:val="007979C3"/>
    <w:rsid w:val="00797F44"/>
    <w:rsid w:val="007A0BE3"/>
    <w:rsid w:val="007A20FE"/>
    <w:rsid w:val="007A25AF"/>
    <w:rsid w:val="007A30A5"/>
    <w:rsid w:val="007A3DCF"/>
    <w:rsid w:val="007A4EEC"/>
    <w:rsid w:val="007A5FB9"/>
    <w:rsid w:val="007A62D0"/>
    <w:rsid w:val="007A664A"/>
    <w:rsid w:val="007A6A80"/>
    <w:rsid w:val="007A6FC4"/>
    <w:rsid w:val="007A70C6"/>
    <w:rsid w:val="007A7FE7"/>
    <w:rsid w:val="007B11D0"/>
    <w:rsid w:val="007B1CB5"/>
    <w:rsid w:val="007B1DF3"/>
    <w:rsid w:val="007B27E9"/>
    <w:rsid w:val="007B2987"/>
    <w:rsid w:val="007B2E0B"/>
    <w:rsid w:val="007B40EF"/>
    <w:rsid w:val="007B5FDA"/>
    <w:rsid w:val="007B6A8F"/>
    <w:rsid w:val="007B70D3"/>
    <w:rsid w:val="007B7835"/>
    <w:rsid w:val="007C0B77"/>
    <w:rsid w:val="007C0C5F"/>
    <w:rsid w:val="007C1031"/>
    <w:rsid w:val="007C1116"/>
    <w:rsid w:val="007C3596"/>
    <w:rsid w:val="007C3AA6"/>
    <w:rsid w:val="007C4940"/>
    <w:rsid w:val="007C495E"/>
    <w:rsid w:val="007C4EF2"/>
    <w:rsid w:val="007C55D4"/>
    <w:rsid w:val="007C590E"/>
    <w:rsid w:val="007C6368"/>
    <w:rsid w:val="007C7537"/>
    <w:rsid w:val="007D093F"/>
    <w:rsid w:val="007D0BE8"/>
    <w:rsid w:val="007D0D6D"/>
    <w:rsid w:val="007D115B"/>
    <w:rsid w:val="007D190D"/>
    <w:rsid w:val="007D26ED"/>
    <w:rsid w:val="007D2DCB"/>
    <w:rsid w:val="007D333B"/>
    <w:rsid w:val="007D36CA"/>
    <w:rsid w:val="007D4C02"/>
    <w:rsid w:val="007D5396"/>
    <w:rsid w:val="007D579E"/>
    <w:rsid w:val="007D5920"/>
    <w:rsid w:val="007D61ED"/>
    <w:rsid w:val="007D6496"/>
    <w:rsid w:val="007D6731"/>
    <w:rsid w:val="007D6837"/>
    <w:rsid w:val="007D7001"/>
    <w:rsid w:val="007D782F"/>
    <w:rsid w:val="007D784E"/>
    <w:rsid w:val="007D79B4"/>
    <w:rsid w:val="007D7E87"/>
    <w:rsid w:val="007E1666"/>
    <w:rsid w:val="007E1ECC"/>
    <w:rsid w:val="007E229D"/>
    <w:rsid w:val="007E2A09"/>
    <w:rsid w:val="007E40DD"/>
    <w:rsid w:val="007E4D5F"/>
    <w:rsid w:val="007E4D84"/>
    <w:rsid w:val="007E5A59"/>
    <w:rsid w:val="007E7C73"/>
    <w:rsid w:val="007F0225"/>
    <w:rsid w:val="007F0AC8"/>
    <w:rsid w:val="007F0B50"/>
    <w:rsid w:val="007F10CE"/>
    <w:rsid w:val="007F167C"/>
    <w:rsid w:val="007F2066"/>
    <w:rsid w:val="007F2B93"/>
    <w:rsid w:val="007F4005"/>
    <w:rsid w:val="007F44BC"/>
    <w:rsid w:val="007F64E9"/>
    <w:rsid w:val="007F7EFE"/>
    <w:rsid w:val="007F7F51"/>
    <w:rsid w:val="008004E5"/>
    <w:rsid w:val="00800B11"/>
    <w:rsid w:val="0080100B"/>
    <w:rsid w:val="00801232"/>
    <w:rsid w:val="008014DB"/>
    <w:rsid w:val="00801BBC"/>
    <w:rsid w:val="00801E06"/>
    <w:rsid w:val="00802684"/>
    <w:rsid w:val="00802729"/>
    <w:rsid w:val="0080341A"/>
    <w:rsid w:val="00804380"/>
    <w:rsid w:val="00804490"/>
    <w:rsid w:val="00805F5F"/>
    <w:rsid w:val="00805FBA"/>
    <w:rsid w:val="00806655"/>
    <w:rsid w:val="00806B2A"/>
    <w:rsid w:val="008071EA"/>
    <w:rsid w:val="00810DA4"/>
    <w:rsid w:val="008111F8"/>
    <w:rsid w:val="008114F3"/>
    <w:rsid w:val="00811689"/>
    <w:rsid w:val="00813597"/>
    <w:rsid w:val="00813B3D"/>
    <w:rsid w:val="008146A2"/>
    <w:rsid w:val="00814A29"/>
    <w:rsid w:val="00814EE8"/>
    <w:rsid w:val="00814FD6"/>
    <w:rsid w:val="00816711"/>
    <w:rsid w:val="00816975"/>
    <w:rsid w:val="00817E4D"/>
    <w:rsid w:val="00820D62"/>
    <w:rsid w:val="00822457"/>
    <w:rsid w:val="008251FD"/>
    <w:rsid w:val="00825793"/>
    <w:rsid w:val="008259B8"/>
    <w:rsid w:val="00825AD3"/>
    <w:rsid w:val="00825ADA"/>
    <w:rsid w:val="00825DEA"/>
    <w:rsid w:val="00825FA4"/>
    <w:rsid w:val="0082667C"/>
    <w:rsid w:val="008269BB"/>
    <w:rsid w:val="00826C36"/>
    <w:rsid w:val="00827362"/>
    <w:rsid w:val="008279A8"/>
    <w:rsid w:val="00827E59"/>
    <w:rsid w:val="00830FC0"/>
    <w:rsid w:val="0083160C"/>
    <w:rsid w:val="0083213F"/>
    <w:rsid w:val="00832711"/>
    <w:rsid w:val="0083338A"/>
    <w:rsid w:val="00833923"/>
    <w:rsid w:val="00834CDA"/>
    <w:rsid w:val="00835E0B"/>
    <w:rsid w:val="008362EF"/>
    <w:rsid w:val="008367C0"/>
    <w:rsid w:val="00836CF4"/>
    <w:rsid w:val="00836F9D"/>
    <w:rsid w:val="00840F68"/>
    <w:rsid w:val="00843178"/>
    <w:rsid w:val="00843EBB"/>
    <w:rsid w:val="008443EB"/>
    <w:rsid w:val="00844E1C"/>
    <w:rsid w:val="00844FB1"/>
    <w:rsid w:val="00846BFA"/>
    <w:rsid w:val="00846E1E"/>
    <w:rsid w:val="008471F9"/>
    <w:rsid w:val="00847A9C"/>
    <w:rsid w:val="00847C99"/>
    <w:rsid w:val="00847E19"/>
    <w:rsid w:val="008512ED"/>
    <w:rsid w:val="00851D9C"/>
    <w:rsid w:val="00854477"/>
    <w:rsid w:val="00855674"/>
    <w:rsid w:val="00856812"/>
    <w:rsid w:val="00856A85"/>
    <w:rsid w:val="00856E27"/>
    <w:rsid w:val="0086027C"/>
    <w:rsid w:val="008610DC"/>
    <w:rsid w:val="0086291A"/>
    <w:rsid w:val="00862D4F"/>
    <w:rsid w:val="00863AB4"/>
    <w:rsid w:val="008657C0"/>
    <w:rsid w:val="00866970"/>
    <w:rsid w:val="00870406"/>
    <w:rsid w:val="0087108B"/>
    <w:rsid w:val="0087111A"/>
    <w:rsid w:val="00871456"/>
    <w:rsid w:val="00871856"/>
    <w:rsid w:val="00872ABA"/>
    <w:rsid w:val="00872FCE"/>
    <w:rsid w:val="00874EBD"/>
    <w:rsid w:val="008761FC"/>
    <w:rsid w:val="00877D2F"/>
    <w:rsid w:val="008800C1"/>
    <w:rsid w:val="00881137"/>
    <w:rsid w:val="00881373"/>
    <w:rsid w:val="0088279E"/>
    <w:rsid w:val="00882933"/>
    <w:rsid w:val="00882AF3"/>
    <w:rsid w:val="00882F35"/>
    <w:rsid w:val="00883A75"/>
    <w:rsid w:val="00883F98"/>
    <w:rsid w:val="00884396"/>
    <w:rsid w:val="008843FC"/>
    <w:rsid w:val="00885EAF"/>
    <w:rsid w:val="008862BD"/>
    <w:rsid w:val="00887670"/>
    <w:rsid w:val="00887DD7"/>
    <w:rsid w:val="0089038C"/>
    <w:rsid w:val="008917E7"/>
    <w:rsid w:val="00891F93"/>
    <w:rsid w:val="00893A8B"/>
    <w:rsid w:val="008946C7"/>
    <w:rsid w:val="008962E9"/>
    <w:rsid w:val="0089653C"/>
    <w:rsid w:val="00896CA9"/>
    <w:rsid w:val="00897158"/>
    <w:rsid w:val="00897AEF"/>
    <w:rsid w:val="008A0CFE"/>
    <w:rsid w:val="008A0DE6"/>
    <w:rsid w:val="008A13F9"/>
    <w:rsid w:val="008A1FF5"/>
    <w:rsid w:val="008A233D"/>
    <w:rsid w:val="008A237E"/>
    <w:rsid w:val="008A2B47"/>
    <w:rsid w:val="008A2CFF"/>
    <w:rsid w:val="008A447D"/>
    <w:rsid w:val="008A4AF5"/>
    <w:rsid w:val="008A4EFA"/>
    <w:rsid w:val="008A62A5"/>
    <w:rsid w:val="008A6722"/>
    <w:rsid w:val="008A7E2E"/>
    <w:rsid w:val="008B04D8"/>
    <w:rsid w:val="008B1D42"/>
    <w:rsid w:val="008B3124"/>
    <w:rsid w:val="008B3503"/>
    <w:rsid w:val="008B35D8"/>
    <w:rsid w:val="008B5749"/>
    <w:rsid w:val="008B5B89"/>
    <w:rsid w:val="008B6744"/>
    <w:rsid w:val="008B6B9C"/>
    <w:rsid w:val="008B6E55"/>
    <w:rsid w:val="008B72A5"/>
    <w:rsid w:val="008B7762"/>
    <w:rsid w:val="008B7BD4"/>
    <w:rsid w:val="008C0421"/>
    <w:rsid w:val="008C1918"/>
    <w:rsid w:val="008C1A51"/>
    <w:rsid w:val="008C1E39"/>
    <w:rsid w:val="008C2A4A"/>
    <w:rsid w:val="008C2F29"/>
    <w:rsid w:val="008C3202"/>
    <w:rsid w:val="008C404A"/>
    <w:rsid w:val="008C421B"/>
    <w:rsid w:val="008C4680"/>
    <w:rsid w:val="008C4AD0"/>
    <w:rsid w:val="008C65CD"/>
    <w:rsid w:val="008C6B30"/>
    <w:rsid w:val="008C7430"/>
    <w:rsid w:val="008C7A77"/>
    <w:rsid w:val="008D0F41"/>
    <w:rsid w:val="008D185F"/>
    <w:rsid w:val="008D2E6F"/>
    <w:rsid w:val="008D3033"/>
    <w:rsid w:val="008D371A"/>
    <w:rsid w:val="008D493B"/>
    <w:rsid w:val="008D4A7C"/>
    <w:rsid w:val="008D5163"/>
    <w:rsid w:val="008D51DA"/>
    <w:rsid w:val="008D53A9"/>
    <w:rsid w:val="008D5615"/>
    <w:rsid w:val="008D59CC"/>
    <w:rsid w:val="008D5F0D"/>
    <w:rsid w:val="008D5FCB"/>
    <w:rsid w:val="008D683A"/>
    <w:rsid w:val="008E02D6"/>
    <w:rsid w:val="008E0308"/>
    <w:rsid w:val="008E0359"/>
    <w:rsid w:val="008E0805"/>
    <w:rsid w:val="008E08ED"/>
    <w:rsid w:val="008E0FFB"/>
    <w:rsid w:val="008E12B9"/>
    <w:rsid w:val="008E2B4D"/>
    <w:rsid w:val="008E3094"/>
    <w:rsid w:val="008E3295"/>
    <w:rsid w:val="008E3DD1"/>
    <w:rsid w:val="008E55EA"/>
    <w:rsid w:val="008E5926"/>
    <w:rsid w:val="008E637E"/>
    <w:rsid w:val="008E75C5"/>
    <w:rsid w:val="008E7887"/>
    <w:rsid w:val="008E7E6E"/>
    <w:rsid w:val="008F08D7"/>
    <w:rsid w:val="008F1194"/>
    <w:rsid w:val="008F1884"/>
    <w:rsid w:val="008F237A"/>
    <w:rsid w:val="008F2796"/>
    <w:rsid w:val="008F34D3"/>
    <w:rsid w:val="008F39CC"/>
    <w:rsid w:val="008F4306"/>
    <w:rsid w:val="008F67CE"/>
    <w:rsid w:val="008F6A2F"/>
    <w:rsid w:val="008F6B5E"/>
    <w:rsid w:val="008F6FA1"/>
    <w:rsid w:val="008F755E"/>
    <w:rsid w:val="008F79D0"/>
    <w:rsid w:val="009008B1"/>
    <w:rsid w:val="00900FFE"/>
    <w:rsid w:val="00901F58"/>
    <w:rsid w:val="00902015"/>
    <w:rsid w:val="00903107"/>
    <w:rsid w:val="00903531"/>
    <w:rsid w:val="00904A65"/>
    <w:rsid w:val="00904DC3"/>
    <w:rsid w:val="00905793"/>
    <w:rsid w:val="00906A6F"/>
    <w:rsid w:val="00907263"/>
    <w:rsid w:val="0090729C"/>
    <w:rsid w:val="009074CA"/>
    <w:rsid w:val="00907E8B"/>
    <w:rsid w:val="00912168"/>
    <w:rsid w:val="009123F6"/>
    <w:rsid w:val="00913E2A"/>
    <w:rsid w:val="0091468D"/>
    <w:rsid w:val="0091475E"/>
    <w:rsid w:val="009163B6"/>
    <w:rsid w:val="00916B61"/>
    <w:rsid w:val="00917ED2"/>
    <w:rsid w:val="00917F42"/>
    <w:rsid w:val="009202F4"/>
    <w:rsid w:val="009205E3"/>
    <w:rsid w:val="00920B30"/>
    <w:rsid w:val="009217A9"/>
    <w:rsid w:val="00922F29"/>
    <w:rsid w:val="009231E6"/>
    <w:rsid w:val="00924926"/>
    <w:rsid w:val="00924ED9"/>
    <w:rsid w:val="00926705"/>
    <w:rsid w:val="009277E9"/>
    <w:rsid w:val="00927BBC"/>
    <w:rsid w:val="0093042C"/>
    <w:rsid w:val="0093114D"/>
    <w:rsid w:val="00931316"/>
    <w:rsid w:val="00931A47"/>
    <w:rsid w:val="00931EDF"/>
    <w:rsid w:val="00933086"/>
    <w:rsid w:val="00934A0F"/>
    <w:rsid w:val="00935CA2"/>
    <w:rsid w:val="00935EE2"/>
    <w:rsid w:val="0093700C"/>
    <w:rsid w:val="009375B0"/>
    <w:rsid w:val="00937ED6"/>
    <w:rsid w:val="00940213"/>
    <w:rsid w:val="009406E7"/>
    <w:rsid w:val="00940B04"/>
    <w:rsid w:val="00940BDB"/>
    <w:rsid w:val="00942EE8"/>
    <w:rsid w:val="00944126"/>
    <w:rsid w:val="00944AB3"/>
    <w:rsid w:val="00945F61"/>
    <w:rsid w:val="009465F6"/>
    <w:rsid w:val="009469A2"/>
    <w:rsid w:val="00947493"/>
    <w:rsid w:val="00947931"/>
    <w:rsid w:val="00950141"/>
    <w:rsid w:val="00950FC7"/>
    <w:rsid w:val="00951D07"/>
    <w:rsid w:val="00952835"/>
    <w:rsid w:val="00952C01"/>
    <w:rsid w:val="00953FB3"/>
    <w:rsid w:val="0095455D"/>
    <w:rsid w:val="0095482D"/>
    <w:rsid w:val="00954B48"/>
    <w:rsid w:val="00955459"/>
    <w:rsid w:val="009563AA"/>
    <w:rsid w:val="00957ACF"/>
    <w:rsid w:val="00957B91"/>
    <w:rsid w:val="00960570"/>
    <w:rsid w:val="00960F88"/>
    <w:rsid w:val="00962113"/>
    <w:rsid w:val="009623A4"/>
    <w:rsid w:val="009631D1"/>
    <w:rsid w:val="00963229"/>
    <w:rsid w:val="009632EA"/>
    <w:rsid w:val="00963D51"/>
    <w:rsid w:val="0096515A"/>
    <w:rsid w:val="00965C79"/>
    <w:rsid w:val="00966601"/>
    <w:rsid w:val="00967094"/>
    <w:rsid w:val="00970079"/>
    <w:rsid w:val="009700A9"/>
    <w:rsid w:val="00970A79"/>
    <w:rsid w:val="00971A1C"/>
    <w:rsid w:val="00971E20"/>
    <w:rsid w:val="00972B5A"/>
    <w:rsid w:val="00972CEF"/>
    <w:rsid w:val="00973C9C"/>
    <w:rsid w:val="009752BD"/>
    <w:rsid w:val="009758CF"/>
    <w:rsid w:val="00975BBA"/>
    <w:rsid w:val="00975FEE"/>
    <w:rsid w:val="009762AE"/>
    <w:rsid w:val="00976687"/>
    <w:rsid w:val="009831C5"/>
    <w:rsid w:val="0098672A"/>
    <w:rsid w:val="009868F8"/>
    <w:rsid w:val="00987A76"/>
    <w:rsid w:val="00987B88"/>
    <w:rsid w:val="00990141"/>
    <w:rsid w:val="00990AFA"/>
    <w:rsid w:val="00990D6F"/>
    <w:rsid w:val="0099157D"/>
    <w:rsid w:val="00991B97"/>
    <w:rsid w:val="00993A67"/>
    <w:rsid w:val="00994CD1"/>
    <w:rsid w:val="00994D7F"/>
    <w:rsid w:val="009962A0"/>
    <w:rsid w:val="009962A7"/>
    <w:rsid w:val="0099644E"/>
    <w:rsid w:val="00996F8C"/>
    <w:rsid w:val="009A035E"/>
    <w:rsid w:val="009A0627"/>
    <w:rsid w:val="009A0875"/>
    <w:rsid w:val="009A1F65"/>
    <w:rsid w:val="009A44CB"/>
    <w:rsid w:val="009A454D"/>
    <w:rsid w:val="009A472B"/>
    <w:rsid w:val="009A4FC3"/>
    <w:rsid w:val="009A542D"/>
    <w:rsid w:val="009A57E7"/>
    <w:rsid w:val="009A5942"/>
    <w:rsid w:val="009A5C14"/>
    <w:rsid w:val="009A6DC0"/>
    <w:rsid w:val="009A70B5"/>
    <w:rsid w:val="009A7763"/>
    <w:rsid w:val="009A7A9E"/>
    <w:rsid w:val="009A7B95"/>
    <w:rsid w:val="009B05E8"/>
    <w:rsid w:val="009B05F1"/>
    <w:rsid w:val="009B08EF"/>
    <w:rsid w:val="009B126C"/>
    <w:rsid w:val="009B1592"/>
    <w:rsid w:val="009B1936"/>
    <w:rsid w:val="009B23A7"/>
    <w:rsid w:val="009B2CF2"/>
    <w:rsid w:val="009B3E0A"/>
    <w:rsid w:val="009B45E7"/>
    <w:rsid w:val="009B493A"/>
    <w:rsid w:val="009B4DE3"/>
    <w:rsid w:val="009B535D"/>
    <w:rsid w:val="009B62CB"/>
    <w:rsid w:val="009B6612"/>
    <w:rsid w:val="009B6991"/>
    <w:rsid w:val="009B6A55"/>
    <w:rsid w:val="009C0980"/>
    <w:rsid w:val="009C0F3B"/>
    <w:rsid w:val="009C133B"/>
    <w:rsid w:val="009C158C"/>
    <w:rsid w:val="009C196E"/>
    <w:rsid w:val="009C2336"/>
    <w:rsid w:val="009C2BD7"/>
    <w:rsid w:val="009C3B52"/>
    <w:rsid w:val="009C4A6F"/>
    <w:rsid w:val="009C54BE"/>
    <w:rsid w:val="009C55EA"/>
    <w:rsid w:val="009C55F9"/>
    <w:rsid w:val="009C6025"/>
    <w:rsid w:val="009C64D5"/>
    <w:rsid w:val="009C6EF1"/>
    <w:rsid w:val="009D161B"/>
    <w:rsid w:val="009D162C"/>
    <w:rsid w:val="009D18A0"/>
    <w:rsid w:val="009D1EF0"/>
    <w:rsid w:val="009D2E92"/>
    <w:rsid w:val="009D478F"/>
    <w:rsid w:val="009D479C"/>
    <w:rsid w:val="009D4D22"/>
    <w:rsid w:val="009D4D77"/>
    <w:rsid w:val="009D5125"/>
    <w:rsid w:val="009D613E"/>
    <w:rsid w:val="009D6583"/>
    <w:rsid w:val="009D705F"/>
    <w:rsid w:val="009D7772"/>
    <w:rsid w:val="009D7E79"/>
    <w:rsid w:val="009E0B76"/>
    <w:rsid w:val="009E1143"/>
    <w:rsid w:val="009E2925"/>
    <w:rsid w:val="009E409E"/>
    <w:rsid w:val="009E63C4"/>
    <w:rsid w:val="009E6FA5"/>
    <w:rsid w:val="009E7131"/>
    <w:rsid w:val="009F0065"/>
    <w:rsid w:val="009F0651"/>
    <w:rsid w:val="009F0908"/>
    <w:rsid w:val="009F1984"/>
    <w:rsid w:val="009F1B15"/>
    <w:rsid w:val="009F1BCB"/>
    <w:rsid w:val="009F20C9"/>
    <w:rsid w:val="009F2488"/>
    <w:rsid w:val="009F3436"/>
    <w:rsid w:val="009F3650"/>
    <w:rsid w:val="009F57B8"/>
    <w:rsid w:val="009F6E81"/>
    <w:rsid w:val="009F7321"/>
    <w:rsid w:val="009F7500"/>
    <w:rsid w:val="009F7990"/>
    <w:rsid w:val="00A00194"/>
    <w:rsid w:val="00A001C6"/>
    <w:rsid w:val="00A00244"/>
    <w:rsid w:val="00A01B60"/>
    <w:rsid w:val="00A02BF2"/>
    <w:rsid w:val="00A031F9"/>
    <w:rsid w:val="00A04BE3"/>
    <w:rsid w:val="00A05A0B"/>
    <w:rsid w:val="00A05E0C"/>
    <w:rsid w:val="00A07A6B"/>
    <w:rsid w:val="00A11A72"/>
    <w:rsid w:val="00A11C5A"/>
    <w:rsid w:val="00A12FE6"/>
    <w:rsid w:val="00A1330B"/>
    <w:rsid w:val="00A134BC"/>
    <w:rsid w:val="00A14944"/>
    <w:rsid w:val="00A15004"/>
    <w:rsid w:val="00A2017E"/>
    <w:rsid w:val="00A22459"/>
    <w:rsid w:val="00A2337E"/>
    <w:rsid w:val="00A24A28"/>
    <w:rsid w:val="00A24FA6"/>
    <w:rsid w:val="00A2547A"/>
    <w:rsid w:val="00A256ED"/>
    <w:rsid w:val="00A261BA"/>
    <w:rsid w:val="00A26573"/>
    <w:rsid w:val="00A26D65"/>
    <w:rsid w:val="00A2727E"/>
    <w:rsid w:val="00A27A34"/>
    <w:rsid w:val="00A317BE"/>
    <w:rsid w:val="00A318A7"/>
    <w:rsid w:val="00A329A4"/>
    <w:rsid w:val="00A32AE5"/>
    <w:rsid w:val="00A33C4A"/>
    <w:rsid w:val="00A33F32"/>
    <w:rsid w:val="00A37578"/>
    <w:rsid w:val="00A403A6"/>
    <w:rsid w:val="00A403A8"/>
    <w:rsid w:val="00A404B2"/>
    <w:rsid w:val="00A406D2"/>
    <w:rsid w:val="00A40D2D"/>
    <w:rsid w:val="00A40F81"/>
    <w:rsid w:val="00A41901"/>
    <w:rsid w:val="00A41CE3"/>
    <w:rsid w:val="00A41E20"/>
    <w:rsid w:val="00A428F3"/>
    <w:rsid w:val="00A43874"/>
    <w:rsid w:val="00A44630"/>
    <w:rsid w:val="00A446D4"/>
    <w:rsid w:val="00A44D89"/>
    <w:rsid w:val="00A4582E"/>
    <w:rsid w:val="00A466C5"/>
    <w:rsid w:val="00A471F9"/>
    <w:rsid w:val="00A472C5"/>
    <w:rsid w:val="00A502DA"/>
    <w:rsid w:val="00A50CD1"/>
    <w:rsid w:val="00A51090"/>
    <w:rsid w:val="00A513F1"/>
    <w:rsid w:val="00A518CE"/>
    <w:rsid w:val="00A52128"/>
    <w:rsid w:val="00A528CC"/>
    <w:rsid w:val="00A5297E"/>
    <w:rsid w:val="00A52EF0"/>
    <w:rsid w:val="00A5472F"/>
    <w:rsid w:val="00A54C4F"/>
    <w:rsid w:val="00A560DE"/>
    <w:rsid w:val="00A563BD"/>
    <w:rsid w:val="00A565E9"/>
    <w:rsid w:val="00A567FD"/>
    <w:rsid w:val="00A56F02"/>
    <w:rsid w:val="00A570F1"/>
    <w:rsid w:val="00A5721B"/>
    <w:rsid w:val="00A57FD5"/>
    <w:rsid w:val="00A61B87"/>
    <w:rsid w:val="00A62028"/>
    <w:rsid w:val="00A62FE0"/>
    <w:rsid w:val="00A6320B"/>
    <w:rsid w:val="00A63615"/>
    <w:rsid w:val="00A63B52"/>
    <w:rsid w:val="00A6444C"/>
    <w:rsid w:val="00A64491"/>
    <w:rsid w:val="00A655DD"/>
    <w:rsid w:val="00A66DA4"/>
    <w:rsid w:val="00A71E32"/>
    <w:rsid w:val="00A73844"/>
    <w:rsid w:val="00A73FA4"/>
    <w:rsid w:val="00A7441C"/>
    <w:rsid w:val="00A745D2"/>
    <w:rsid w:val="00A74951"/>
    <w:rsid w:val="00A75036"/>
    <w:rsid w:val="00A7606A"/>
    <w:rsid w:val="00A76C4C"/>
    <w:rsid w:val="00A7702A"/>
    <w:rsid w:val="00A777D7"/>
    <w:rsid w:val="00A77A28"/>
    <w:rsid w:val="00A80332"/>
    <w:rsid w:val="00A80D18"/>
    <w:rsid w:val="00A82048"/>
    <w:rsid w:val="00A840C8"/>
    <w:rsid w:val="00A84413"/>
    <w:rsid w:val="00A85069"/>
    <w:rsid w:val="00A851D3"/>
    <w:rsid w:val="00A85C99"/>
    <w:rsid w:val="00A85CBE"/>
    <w:rsid w:val="00A86059"/>
    <w:rsid w:val="00A8667F"/>
    <w:rsid w:val="00A867D3"/>
    <w:rsid w:val="00A8682A"/>
    <w:rsid w:val="00A86AC2"/>
    <w:rsid w:val="00A877EA"/>
    <w:rsid w:val="00A90434"/>
    <w:rsid w:val="00A90848"/>
    <w:rsid w:val="00A90A79"/>
    <w:rsid w:val="00A90D5D"/>
    <w:rsid w:val="00A919A8"/>
    <w:rsid w:val="00A937B0"/>
    <w:rsid w:val="00A941BA"/>
    <w:rsid w:val="00A943CD"/>
    <w:rsid w:val="00A94817"/>
    <w:rsid w:val="00A95618"/>
    <w:rsid w:val="00A95E04"/>
    <w:rsid w:val="00A9702D"/>
    <w:rsid w:val="00AA00D8"/>
    <w:rsid w:val="00AA084D"/>
    <w:rsid w:val="00AA09CE"/>
    <w:rsid w:val="00AA0DAC"/>
    <w:rsid w:val="00AA109A"/>
    <w:rsid w:val="00AA1646"/>
    <w:rsid w:val="00AA184D"/>
    <w:rsid w:val="00AA21D4"/>
    <w:rsid w:val="00AA2273"/>
    <w:rsid w:val="00AA3ADF"/>
    <w:rsid w:val="00AA3C01"/>
    <w:rsid w:val="00AA4180"/>
    <w:rsid w:val="00AA4945"/>
    <w:rsid w:val="00AA4F18"/>
    <w:rsid w:val="00AA5FE9"/>
    <w:rsid w:val="00AA7490"/>
    <w:rsid w:val="00AA79FE"/>
    <w:rsid w:val="00AA7EB9"/>
    <w:rsid w:val="00AB0321"/>
    <w:rsid w:val="00AB12D8"/>
    <w:rsid w:val="00AB1B43"/>
    <w:rsid w:val="00AB21EA"/>
    <w:rsid w:val="00AB29DA"/>
    <w:rsid w:val="00AB2D5C"/>
    <w:rsid w:val="00AB3A12"/>
    <w:rsid w:val="00AB3BFD"/>
    <w:rsid w:val="00AB516D"/>
    <w:rsid w:val="00AB51C0"/>
    <w:rsid w:val="00AB538D"/>
    <w:rsid w:val="00AB636D"/>
    <w:rsid w:val="00AB70F7"/>
    <w:rsid w:val="00AB7D80"/>
    <w:rsid w:val="00AC005D"/>
    <w:rsid w:val="00AC12F5"/>
    <w:rsid w:val="00AC1749"/>
    <w:rsid w:val="00AC2608"/>
    <w:rsid w:val="00AC2A9D"/>
    <w:rsid w:val="00AC353A"/>
    <w:rsid w:val="00AC42DB"/>
    <w:rsid w:val="00AC4894"/>
    <w:rsid w:val="00AC56CE"/>
    <w:rsid w:val="00AC59CF"/>
    <w:rsid w:val="00AC604F"/>
    <w:rsid w:val="00AC63E8"/>
    <w:rsid w:val="00AC71B2"/>
    <w:rsid w:val="00AD0DBB"/>
    <w:rsid w:val="00AD1227"/>
    <w:rsid w:val="00AD21DC"/>
    <w:rsid w:val="00AD2B68"/>
    <w:rsid w:val="00AD2F15"/>
    <w:rsid w:val="00AD34FD"/>
    <w:rsid w:val="00AD4224"/>
    <w:rsid w:val="00AD4E75"/>
    <w:rsid w:val="00AD51FA"/>
    <w:rsid w:val="00AD65E0"/>
    <w:rsid w:val="00AD6DC7"/>
    <w:rsid w:val="00AD74C8"/>
    <w:rsid w:val="00AD7ED0"/>
    <w:rsid w:val="00AD7FF6"/>
    <w:rsid w:val="00AE09FB"/>
    <w:rsid w:val="00AE1A9A"/>
    <w:rsid w:val="00AE2F67"/>
    <w:rsid w:val="00AE3181"/>
    <w:rsid w:val="00AE357C"/>
    <w:rsid w:val="00AE6795"/>
    <w:rsid w:val="00AE6D50"/>
    <w:rsid w:val="00AE6ED6"/>
    <w:rsid w:val="00AE7EDF"/>
    <w:rsid w:val="00AF0065"/>
    <w:rsid w:val="00AF07F9"/>
    <w:rsid w:val="00AF165B"/>
    <w:rsid w:val="00AF16C9"/>
    <w:rsid w:val="00AF1823"/>
    <w:rsid w:val="00AF3257"/>
    <w:rsid w:val="00AF4186"/>
    <w:rsid w:val="00B00AD9"/>
    <w:rsid w:val="00B00C8D"/>
    <w:rsid w:val="00B017C4"/>
    <w:rsid w:val="00B01969"/>
    <w:rsid w:val="00B0253D"/>
    <w:rsid w:val="00B04BED"/>
    <w:rsid w:val="00B06A7F"/>
    <w:rsid w:val="00B06B66"/>
    <w:rsid w:val="00B06EDD"/>
    <w:rsid w:val="00B078AF"/>
    <w:rsid w:val="00B10470"/>
    <w:rsid w:val="00B10AEC"/>
    <w:rsid w:val="00B12212"/>
    <w:rsid w:val="00B12515"/>
    <w:rsid w:val="00B125A8"/>
    <w:rsid w:val="00B1324C"/>
    <w:rsid w:val="00B1367C"/>
    <w:rsid w:val="00B1478F"/>
    <w:rsid w:val="00B15D86"/>
    <w:rsid w:val="00B168BC"/>
    <w:rsid w:val="00B16963"/>
    <w:rsid w:val="00B17A09"/>
    <w:rsid w:val="00B17E9C"/>
    <w:rsid w:val="00B2044E"/>
    <w:rsid w:val="00B21864"/>
    <w:rsid w:val="00B2285C"/>
    <w:rsid w:val="00B232F1"/>
    <w:rsid w:val="00B234B3"/>
    <w:rsid w:val="00B235F8"/>
    <w:rsid w:val="00B23BB3"/>
    <w:rsid w:val="00B24FA2"/>
    <w:rsid w:val="00B2696E"/>
    <w:rsid w:val="00B274B4"/>
    <w:rsid w:val="00B27D31"/>
    <w:rsid w:val="00B30BB7"/>
    <w:rsid w:val="00B3130A"/>
    <w:rsid w:val="00B320FF"/>
    <w:rsid w:val="00B32B9E"/>
    <w:rsid w:val="00B32FB1"/>
    <w:rsid w:val="00B336BA"/>
    <w:rsid w:val="00B3417B"/>
    <w:rsid w:val="00B35AFE"/>
    <w:rsid w:val="00B36C6A"/>
    <w:rsid w:val="00B36C92"/>
    <w:rsid w:val="00B40329"/>
    <w:rsid w:val="00B40396"/>
    <w:rsid w:val="00B40A35"/>
    <w:rsid w:val="00B40B8D"/>
    <w:rsid w:val="00B4103B"/>
    <w:rsid w:val="00B410F6"/>
    <w:rsid w:val="00B417E1"/>
    <w:rsid w:val="00B4284B"/>
    <w:rsid w:val="00B42A03"/>
    <w:rsid w:val="00B4322A"/>
    <w:rsid w:val="00B432A2"/>
    <w:rsid w:val="00B43C11"/>
    <w:rsid w:val="00B43D87"/>
    <w:rsid w:val="00B44A7C"/>
    <w:rsid w:val="00B4527C"/>
    <w:rsid w:val="00B45440"/>
    <w:rsid w:val="00B4657E"/>
    <w:rsid w:val="00B47C5D"/>
    <w:rsid w:val="00B5024E"/>
    <w:rsid w:val="00B50405"/>
    <w:rsid w:val="00B505E4"/>
    <w:rsid w:val="00B5087C"/>
    <w:rsid w:val="00B51834"/>
    <w:rsid w:val="00B51977"/>
    <w:rsid w:val="00B51A12"/>
    <w:rsid w:val="00B529D0"/>
    <w:rsid w:val="00B53BE1"/>
    <w:rsid w:val="00B54040"/>
    <w:rsid w:val="00B5466A"/>
    <w:rsid w:val="00B546E5"/>
    <w:rsid w:val="00B54E07"/>
    <w:rsid w:val="00B551B1"/>
    <w:rsid w:val="00B5589F"/>
    <w:rsid w:val="00B565C8"/>
    <w:rsid w:val="00B56E68"/>
    <w:rsid w:val="00B5747E"/>
    <w:rsid w:val="00B575ED"/>
    <w:rsid w:val="00B57F78"/>
    <w:rsid w:val="00B61187"/>
    <w:rsid w:val="00B61952"/>
    <w:rsid w:val="00B629F1"/>
    <w:rsid w:val="00B62F9E"/>
    <w:rsid w:val="00B6326B"/>
    <w:rsid w:val="00B64124"/>
    <w:rsid w:val="00B644CA"/>
    <w:rsid w:val="00B65387"/>
    <w:rsid w:val="00B65A04"/>
    <w:rsid w:val="00B65E8B"/>
    <w:rsid w:val="00B6662D"/>
    <w:rsid w:val="00B66F7A"/>
    <w:rsid w:val="00B673E9"/>
    <w:rsid w:val="00B67872"/>
    <w:rsid w:val="00B67ED0"/>
    <w:rsid w:val="00B70145"/>
    <w:rsid w:val="00B704AF"/>
    <w:rsid w:val="00B7089F"/>
    <w:rsid w:val="00B708EA"/>
    <w:rsid w:val="00B70E53"/>
    <w:rsid w:val="00B71451"/>
    <w:rsid w:val="00B74278"/>
    <w:rsid w:val="00B74705"/>
    <w:rsid w:val="00B74730"/>
    <w:rsid w:val="00B74B9D"/>
    <w:rsid w:val="00B75149"/>
    <w:rsid w:val="00B77A6A"/>
    <w:rsid w:val="00B803D6"/>
    <w:rsid w:val="00B81460"/>
    <w:rsid w:val="00B819B6"/>
    <w:rsid w:val="00B82774"/>
    <w:rsid w:val="00B83257"/>
    <w:rsid w:val="00B851E6"/>
    <w:rsid w:val="00B859BC"/>
    <w:rsid w:val="00B87A04"/>
    <w:rsid w:val="00B903E3"/>
    <w:rsid w:val="00B911C2"/>
    <w:rsid w:val="00B9179C"/>
    <w:rsid w:val="00B91DF8"/>
    <w:rsid w:val="00B93396"/>
    <w:rsid w:val="00B95300"/>
    <w:rsid w:val="00B9543E"/>
    <w:rsid w:val="00B9594C"/>
    <w:rsid w:val="00B96F03"/>
    <w:rsid w:val="00B9734C"/>
    <w:rsid w:val="00B97CDC"/>
    <w:rsid w:val="00BA0B05"/>
    <w:rsid w:val="00BA1C6F"/>
    <w:rsid w:val="00BA1DDC"/>
    <w:rsid w:val="00BA2BD3"/>
    <w:rsid w:val="00BA314C"/>
    <w:rsid w:val="00BA5044"/>
    <w:rsid w:val="00BA6076"/>
    <w:rsid w:val="00BA6C1F"/>
    <w:rsid w:val="00BA6D21"/>
    <w:rsid w:val="00BB1E94"/>
    <w:rsid w:val="00BB3B84"/>
    <w:rsid w:val="00BB57F4"/>
    <w:rsid w:val="00BB60CB"/>
    <w:rsid w:val="00BB64DA"/>
    <w:rsid w:val="00BB6A72"/>
    <w:rsid w:val="00BB7712"/>
    <w:rsid w:val="00BB796A"/>
    <w:rsid w:val="00BC0700"/>
    <w:rsid w:val="00BC15E0"/>
    <w:rsid w:val="00BC15F3"/>
    <w:rsid w:val="00BC177D"/>
    <w:rsid w:val="00BC1A41"/>
    <w:rsid w:val="00BC2114"/>
    <w:rsid w:val="00BC2908"/>
    <w:rsid w:val="00BC2FBD"/>
    <w:rsid w:val="00BC3FC3"/>
    <w:rsid w:val="00BC5224"/>
    <w:rsid w:val="00BC57BB"/>
    <w:rsid w:val="00BC6BAB"/>
    <w:rsid w:val="00BC6E0A"/>
    <w:rsid w:val="00BC6F11"/>
    <w:rsid w:val="00BC6FDF"/>
    <w:rsid w:val="00BC76AF"/>
    <w:rsid w:val="00BC7AE4"/>
    <w:rsid w:val="00BC7D79"/>
    <w:rsid w:val="00BD02DD"/>
    <w:rsid w:val="00BD09E2"/>
    <w:rsid w:val="00BD1076"/>
    <w:rsid w:val="00BD1CB5"/>
    <w:rsid w:val="00BD25A6"/>
    <w:rsid w:val="00BD2B6F"/>
    <w:rsid w:val="00BD40FE"/>
    <w:rsid w:val="00BD4A4B"/>
    <w:rsid w:val="00BD4C27"/>
    <w:rsid w:val="00BD50C5"/>
    <w:rsid w:val="00BD5E03"/>
    <w:rsid w:val="00BD606A"/>
    <w:rsid w:val="00BD626E"/>
    <w:rsid w:val="00BD6E92"/>
    <w:rsid w:val="00BD759F"/>
    <w:rsid w:val="00BE05BB"/>
    <w:rsid w:val="00BE0F25"/>
    <w:rsid w:val="00BE13D4"/>
    <w:rsid w:val="00BE207E"/>
    <w:rsid w:val="00BE274E"/>
    <w:rsid w:val="00BE336C"/>
    <w:rsid w:val="00BE4B81"/>
    <w:rsid w:val="00BE4D2C"/>
    <w:rsid w:val="00BE7988"/>
    <w:rsid w:val="00BE7F6B"/>
    <w:rsid w:val="00BF0382"/>
    <w:rsid w:val="00BF082E"/>
    <w:rsid w:val="00BF0FC4"/>
    <w:rsid w:val="00BF191A"/>
    <w:rsid w:val="00BF1E0A"/>
    <w:rsid w:val="00BF27E9"/>
    <w:rsid w:val="00BF36F3"/>
    <w:rsid w:val="00BF5F68"/>
    <w:rsid w:val="00BF6F76"/>
    <w:rsid w:val="00C00006"/>
    <w:rsid w:val="00C00489"/>
    <w:rsid w:val="00C02978"/>
    <w:rsid w:val="00C034A9"/>
    <w:rsid w:val="00C03859"/>
    <w:rsid w:val="00C03913"/>
    <w:rsid w:val="00C03CFF"/>
    <w:rsid w:val="00C03DBF"/>
    <w:rsid w:val="00C048E6"/>
    <w:rsid w:val="00C04FA0"/>
    <w:rsid w:val="00C05E01"/>
    <w:rsid w:val="00C05E42"/>
    <w:rsid w:val="00C05F8E"/>
    <w:rsid w:val="00C06075"/>
    <w:rsid w:val="00C063F1"/>
    <w:rsid w:val="00C068D6"/>
    <w:rsid w:val="00C07625"/>
    <w:rsid w:val="00C078BD"/>
    <w:rsid w:val="00C101CF"/>
    <w:rsid w:val="00C102E1"/>
    <w:rsid w:val="00C10584"/>
    <w:rsid w:val="00C1153A"/>
    <w:rsid w:val="00C1228D"/>
    <w:rsid w:val="00C13805"/>
    <w:rsid w:val="00C13B53"/>
    <w:rsid w:val="00C14A11"/>
    <w:rsid w:val="00C14D09"/>
    <w:rsid w:val="00C14E7A"/>
    <w:rsid w:val="00C15CA6"/>
    <w:rsid w:val="00C16807"/>
    <w:rsid w:val="00C2025F"/>
    <w:rsid w:val="00C214FA"/>
    <w:rsid w:val="00C2167D"/>
    <w:rsid w:val="00C21BCC"/>
    <w:rsid w:val="00C228FA"/>
    <w:rsid w:val="00C23C07"/>
    <w:rsid w:val="00C2403A"/>
    <w:rsid w:val="00C248E4"/>
    <w:rsid w:val="00C24CC2"/>
    <w:rsid w:val="00C25E2D"/>
    <w:rsid w:val="00C266D3"/>
    <w:rsid w:val="00C266DA"/>
    <w:rsid w:val="00C26FE9"/>
    <w:rsid w:val="00C270C6"/>
    <w:rsid w:val="00C27BD3"/>
    <w:rsid w:val="00C27D03"/>
    <w:rsid w:val="00C27DE4"/>
    <w:rsid w:val="00C303DE"/>
    <w:rsid w:val="00C3081E"/>
    <w:rsid w:val="00C31095"/>
    <w:rsid w:val="00C31607"/>
    <w:rsid w:val="00C31645"/>
    <w:rsid w:val="00C31721"/>
    <w:rsid w:val="00C32321"/>
    <w:rsid w:val="00C32332"/>
    <w:rsid w:val="00C3241E"/>
    <w:rsid w:val="00C349F0"/>
    <w:rsid w:val="00C34A1E"/>
    <w:rsid w:val="00C34BEB"/>
    <w:rsid w:val="00C35828"/>
    <w:rsid w:val="00C35C9E"/>
    <w:rsid w:val="00C36509"/>
    <w:rsid w:val="00C36D95"/>
    <w:rsid w:val="00C3720B"/>
    <w:rsid w:val="00C3793F"/>
    <w:rsid w:val="00C37982"/>
    <w:rsid w:val="00C37B93"/>
    <w:rsid w:val="00C40214"/>
    <w:rsid w:val="00C41423"/>
    <w:rsid w:val="00C424DA"/>
    <w:rsid w:val="00C43335"/>
    <w:rsid w:val="00C4334F"/>
    <w:rsid w:val="00C4393F"/>
    <w:rsid w:val="00C4404A"/>
    <w:rsid w:val="00C442E5"/>
    <w:rsid w:val="00C4434A"/>
    <w:rsid w:val="00C44974"/>
    <w:rsid w:val="00C44E9E"/>
    <w:rsid w:val="00C46098"/>
    <w:rsid w:val="00C46157"/>
    <w:rsid w:val="00C46439"/>
    <w:rsid w:val="00C467EA"/>
    <w:rsid w:val="00C46B32"/>
    <w:rsid w:val="00C47389"/>
    <w:rsid w:val="00C4743D"/>
    <w:rsid w:val="00C47A26"/>
    <w:rsid w:val="00C50E1F"/>
    <w:rsid w:val="00C512BC"/>
    <w:rsid w:val="00C516EC"/>
    <w:rsid w:val="00C51B83"/>
    <w:rsid w:val="00C53DC9"/>
    <w:rsid w:val="00C53EDD"/>
    <w:rsid w:val="00C55DAD"/>
    <w:rsid w:val="00C571A9"/>
    <w:rsid w:val="00C57A73"/>
    <w:rsid w:val="00C615A7"/>
    <w:rsid w:val="00C616BF"/>
    <w:rsid w:val="00C61BBC"/>
    <w:rsid w:val="00C626A0"/>
    <w:rsid w:val="00C62C5D"/>
    <w:rsid w:val="00C64873"/>
    <w:rsid w:val="00C648D7"/>
    <w:rsid w:val="00C64B16"/>
    <w:rsid w:val="00C64F81"/>
    <w:rsid w:val="00C65241"/>
    <w:rsid w:val="00C65A0A"/>
    <w:rsid w:val="00C66628"/>
    <w:rsid w:val="00C674C0"/>
    <w:rsid w:val="00C70419"/>
    <w:rsid w:val="00C70578"/>
    <w:rsid w:val="00C70E87"/>
    <w:rsid w:val="00C7118E"/>
    <w:rsid w:val="00C712BC"/>
    <w:rsid w:val="00C72223"/>
    <w:rsid w:val="00C72782"/>
    <w:rsid w:val="00C7422F"/>
    <w:rsid w:val="00C751BF"/>
    <w:rsid w:val="00C75D0F"/>
    <w:rsid w:val="00C762C7"/>
    <w:rsid w:val="00C7651A"/>
    <w:rsid w:val="00C77280"/>
    <w:rsid w:val="00C7769A"/>
    <w:rsid w:val="00C7779F"/>
    <w:rsid w:val="00C812AA"/>
    <w:rsid w:val="00C8174A"/>
    <w:rsid w:val="00C81AD1"/>
    <w:rsid w:val="00C83111"/>
    <w:rsid w:val="00C84265"/>
    <w:rsid w:val="00C845DC"/>
    <w:rsid w:val="00C84ED5"/>
    <w:rsid w:val="00C851B3"/>
    <w:rsid w:val="00C85D87"/>
    <w:rsid w:val="00C9070B"/>
    <w:rsid w:val="00C90E0F"/>
    <w:rsid w:val="00C91979"/>
    <w:rsid w:val="00C92377"/>
    <w:rsid w:val="00C94791"/>
    <w:rsid w:val="00C96465"/>
    <w:rsid w:val="00C96B12"/>
    <w:rsid w:val="00C96D0A"/>
    <w:rsid w:val="00C97038"/>
    <w:rsid w:val="00CA001B"/>
    <w:rsid w:val="00CA01AD"/>
    <w:rsid w:val="00CA1067"/>
    <w:rsid w:val="00CA1761"/>
    <w:rsid w:val="00CA1A52"/>
    <w:rsid w:val="00CA2625"/>
    <w:rsid w:val="00CA3024"/>
    <w:rsid w:val="00CA3E46"/>
    <w:rsid w:val="00CA5399"/>
    <w:rsid w:val="00CA542C"/>
    <w:rsid w:val="00CA5475"/>
    <w:rsid w:val="00CA57F0"/>
    <w:rsid w:val="00CA6FE3"/>
    <w:rsid w:val="00CA7E44"/>
    <w:rsid w:val="00CB19DA"/>
    <w:rsid w:val="00CB1BF5"/>
    <w:rsid w:val="00CB3AF4"/>
    <w:rsid w:val="00CB3F45"/>
    <w:rsid w:val="00CB40A0"/>
    <w:rsid w:val="00CB44F6"/>
    <w:rsid w:val="00CB51FF"/>
    <w:rsid w:val="00CB58A8"/>
    <w:rsid w:val="00CB67BD"/>
    <w:rsid w:val="00CB7F06"/>
    <w:rsid w:val="00CC0334"/>
    <w:rsid w:val="00CC1692"/>
    <w:rsid w:val="00CC16DA"/>
    <w:rsid w:val="00CC1B8B"/>
    <w:rsid w:val="00CC1DF5"/>
    <w:rsid w:val="00CC3A59"/>
    <w:rsid w:val="00CC4253"/>
    <w:rsid w:val="00CC4804"/>
    <w:rsid w:val="00CC5133"/>
    <w:rsid w:val="00CC5361"/>
    <w:rsid w:val="00CC5C9B"/>
    <w:rsid w:val="00CC5F27"/>
    <w:rsid w:val="00CC63FE"/>
    <w:rsid w:val="00CC661E"/>
    <w:rsid w:val="00CC7437"/>
    <w:rsid w:val="00CC7EC6"/>
    <w:rsid w:val="00CD1841"/>
    <w:rsid w:val="00CD20E1"/>
    <w:rsid w:val="00CD2951"/>
    <w:rsid w:val="00CD3BBB"/>
    <w:rsid w:val="00CD3C54"/>
    <w:rsid w:val="00CD6CCD"/>
    <w:rsid w:val="00CD7989"/>
    <w:rsid w:val="00CE0493"/>
    <w:rsid w:val="00CE3521"/>
    <w:rsid w:val="00CE357E"/>
    <w:rsid w:val="00CE3BC2"/>
    <w:rsid w:val="00CE5723"/>
    <w:rsid w:val="00CE5FC4"/>
    <w:rsid w:val="00CE6251"/>
    <w:rsid w:val="00CE6392"/>
    <w:rsid w:val="00CE6AD1"/>
    <w:rsid w:val="00CE6ED8"/>
    <w:rsid w:val="00CE74C3"/>
    <w:rsid w:val="00CF1168"/>
    <w:rsid w:val="00CF1B5F"/>
    <w:rsid w:val="00CF1C88"/>
    <w:rsid w:val="00CF25F6"/>
    <w:rsid w:val="00CF2927"/>
    <w:rsid w:val="00CF3FC7"/>
    <w:rsid w:val="00CF4841"/>
    <w:rsid w:val="00CF4C52"/>
    <w:rsid w:val="00CF5493"/>
    <w:rsid w:val="00CF56F5"/>
    <w:rsid w:val="00CF5B07"/>
    <w:rsid w:val="00CF64CD"/>
    <w:rsid w:val="00CF67D8"/>
    <w:rsid w:val="00CF694E"/>
    <w:rsid w:val="00CF6BF4"/>
    <w:rsid w:val="00CF72BC"/>
    <w:rsid w:val="00CF7532"/>
    <w:rsid w:val="00CF7DE9"/>
    <w:rsid w:val="00D0056A"/>
    <w:rsid w:val="00D00A07"/>
    <w:rsid w:val="00D00AEB"/>
    <w:rsid w:val="00D01398"/>
    <w:rsid w:val="00D013D3"/>
    <w:rsid w:val="00D0189D"/>
    <w:rsid w:val="00D02AC6"/>
    <w:rsid w:val="00D03607"/>
    <w:rsid w:val="00D03D68"/>
    <w:rsid w:val="00D04528"/>
    <w:rsid w:val="00D050BA"/>
    <w:rsid w:val="00D052C5"/>
    <w:rsid w:val="00D05E32"/>
    <w:rsid w:val="00D06FC6"/>
    <w:rsid w:val="00D071BC"/>
    <w:rsid w:val="00D101D7"/>
    <w:rsid w:val="00D106A3"/>
    <w:rsid w:val="00D11CE7"/>
    <w:rsid w:val="00D12281"/>
    <w:rsid w:val="00D12584"/>
    <w:rsid w:val="00D12C41"/>
    <w:rsid w:val="00D14D03"/>
    <w:rsid w:val="00D15896"/>
    <w:rsid w:val="00D16A6E"/>
    <w:rsid w:val="00D174F0"/>
    <w:rsid w:val="00D17707"/>
    <w:rsid w:val="00D222FD"/>
    <w:rsid w:val="00D22569"/>
    <w:rsid w:val="00D22E79"/>
    <w:rsid w:val="00D236DE"/>
    <w:rsid w:val="00D243A9"/>
    <w:rsid w:val="00D26410"/>
    <w:rsid w:val="00D26CDC"/>
    <w:rsid w:val="00D2713F"/>
    <w:rsid w:val="00D2772F"/>
    <w:rsid w:val="00D3079F"/>
    <w:rsid w:val="00D30C5E"/>
    <w:rsid w:val="00D3100A"/>
    <w:rsid w:val="00D312EB"/>
    <w:rsid w:val="00D31D97"/>
    <w:rsid w:val="00D3348F"/>
    <w:rsid w:val="00D33C30"/>
    <w:rsid w:val="00D3413F"/>
    <w:rsid w:val="00D3483B"/>
    <w:rsid w:val="00D3497A"/>
    <w:rsid w:val="00D37235"/>
    <w:rsid w:val="00D373B0"/>
    <w:rsid w:val="00D37508"/>
    <w:rsid w:val="00D40C07"/>
    <w:rsid w:val="00D40C75"/>
    <w:rsid w:val="00D40F22"/>
    <w:rsid w:val="00D4142C"/>
    <w:rsid w:val="00D4229B"/>
    <w:rsid w:val="00D42325"/>
    <w:rsid w:val="00D42F0B"/>
    <w:rsid w:val="00D44B7B"/>
    <w:rsid w:val="00D44C56"/>
    <w:rsid w:val="00D45C32"/>
    <w:rsid w:val="00D462AD"/>
    <w:rsid w:val="00D46B3C"/>
    <w:rsid w:val="00D46FF7"/>
    <w:rsid w:val="00D47AD5"/>
    <w:rsid w:val="00D47D4C"/>
    <w:rsid w:val="00D5016C"/>
    <w:rsid w:val="00D512FD"/>
    <w:rsid w:val="00D518C3"/>
    <w:rsid w:val="00D51C09"/>
    <w:rsid w:val="00D532C6"/>
    <w:rsid w:val="00D5426B"/>
    <w:rsid w:val="00D5599A"/>
    <w:rsid w:val="00D55B21"/>
    <w:rsid w:val="00D55CEF"/>
    <w:rsid w:val="00D569AD"/>
    <w:rsid w:val="00D56FBF"/>
    <w:rsid w:val="00D57FAB"/>
    <w:rsid w:val="00D60215"/>
    <w:rsid w:val="00D605E5"/>
    <w:rsid w:val="00D62A8B"/>
    <w:rsid w:val="00D631C3"/>
    <w:rsid w:val="00D63FD6"/>
    <w:rsid w:val="00D64C2A"/>
    <w:rsid w:val="00D66D81"/>
    <w:rsid w:val="00D67005"/>
    <w:rsid w:val="00D70EEA"/>
    <w:rsid w:val="00D71595"/>
    <w:rsid w:val="00D71741"/>
    <w:rsid w:val="00D71B33"/>
    <w:rsid w:val="00D72158"/>
    <w:rsid w:val="00D72663"/>
    <w:rsid w:val="00D73025"/>
    <w:rsid w:val="00D740F4"/>
    <w:rsid w:val="00D75DFD"/>
    <w:rsid w:val="00D76353"/>
    <w:rsid w:val="00D7794A"/>
    <w:rsid w:val="00D802FD"/>
    <w:rsid w:val="00D8107A"/>
    <w:rsid w:val="00D8162D"/>
    <w:rsid w:val="00D81DE2"/>
    <w:rsid w:val="00D824F2"/>
    <w:rsid w:val="00D82881"/>
    <w:rsid w:val="00D82CD4"/>
    <w:rsid w:val="00D83FAB"/>
    <w:rsid w:val="00D843A8"/>
    <w:rsid w:val="00D843F9"/>
    <w:rsid w:val="00D857E5"/>
    <w:rsid w:val="00D869C5"/>
    <w:rsid w:val="00D90A20"/>
    <w:rsid w:val="00D911D6"/>
    <w:rsid w:val="00D91DCA"/>
    <w:rsid w:val="00D92014"/>
    <w:rsid w:val="00D932E1"/>
    <w:rsid w:val="00D937A6"/>
    <w:rsid w:val="00D94A5A"/>
    <w:rsid w:val="00D95D27"/>
    <w:rsid w:val="00D97721"/>
    <w:rsid w:val="00DA0427"/>
    <w:rsid w:val="00DA05B7"/>
    <w:rsid w:val="00DA127D"/>
    <w:rsid w:val="00DA1450"/>
    <w:rsid w:val="00DA1FAD"/>
    <w:rsid w:val="00DA266F"/>
    <w:rsid w:val="00DA26A7"/>
    <w:rsid w:val="00DA2928"/>
    <w:rsid w:val="00DA30E8"/>
    <w:rsid w:val="00DA3AE2"/>
    <w:rsid w:val="00DA3B33"/>
    <w:rsid w:val="00DA3DC7"/>
    <w:rsid w:val="00DA42A3"/>
    <w:rsid w:val="00DA50F2"/>
    <w:rsid w:val="00DA5B4D"/>
    <w:rsid w:val="00DA5CDB"/>
    <w:rsid w:val="00DA7075"/>
    <w:rsid w:val="00DA74A2"/>
    <w:rsid w:val="00DA76BE"/>
    <w:rsid w:val="00DB1EF7"/>
    <w:rsid w:val="00DB23B3"/>
    <w:rsid w:val="00DB3CEF"/>
    <w:rsid w:val="00DB47D6"/>
    <w:rsid w:val="00DB4FFA"/>
    <w:rsid w:val="00DB5DF8"/>
    <w:rsid w:val="00DB5E98"/>
    <w:rsid w:val="00DB65DC"/>
    <w:rsid w:val="00DB6664"/>
    <w:rsid w:val="00DB6B6B"/>
    <w:rsid w:val="00DB73FB"/>
    <w:rsid w:val="00DB7B75"/>
    <w:rsid w:val="00DB7CD4"/>
    <w:rsid w:val="00DC0DBE"/>
    <w:rsid w:val="00DC2A0D"/>
    <w:rsid w:val="00DC2B7E"/>
    <w:rsid w:val="00DC3413"/>
    <w:rsid w:val="00DC3910"/>
    <w:rsid w:val="00DC429D"/>
    <w:rsid w:val="00DC5146"/>
    <w:rsid w:val="00DC5F55"/>
    <w:rsid w:val="00DC6512"/>
    <w:rsid w:val="00DC6E17"/>
    <w:rsid w:val="00DC6F8F"/>
    <w:rsid w:val="00DD2246"/>
    <w:rsid w:val="00DD26B7"/>
    <w:rsid w:val="00DD32D3"/>
    <w:rsid w:val="00DD35D4"/>
    <w:rsid w:val="00DD36B7"/>
    <w:rsid w:val="00DD3969"/>
    <w:rsid w:val="00DD4C4B"/>
    <w:rsid w:val="00DD4DCA"/>
    <w:rsid w:val="00DD5181"/>
    <w:rsid w:val="00DD5AEC"/>
    <w:rsid w:val="00DD5CCB"/>
    <w:rsid w:val="00DD6003"/>
    <w:rsid w:val="00DD651B"/>
    <w:rsid w:val="00DD725A"/>
    <w:rsid w:val="00DD7B1D"/>
    <w:rsid w:val="00DE1A4C"/>
    <w:rsid w:val="00DE1B04"/>
    <w:rsid w:val="00DE285A"/>
    <w:rsid w:val="00DE288C"/>
    <w:rsid w:val="00DE2F3F"/>
    <w:rsid w:val="00DE3123"/>
    <w:rsid w:val="00DE3774"/>
    <w:rsid w:val="00DE4AFA"/>
    <w:rsid w:val="00DE51AF"/>
    <w:rsid w:val="00DE5417"/>
    <w:rsid w:val="00DE5630"/>
    <w:rsid w:val="00DE5A55"/>
    <w:rsid w:val="00DE7227"/>
    <w:rsid w:val="00DE7312"/>
    <w:rsid w:val="00DE76FC"/>
    <w:rsid w:val="00DF0898"/>
    <w:rsid w:val="00DF0E35"/>
    <w:rsid w:val="00DF0F94"/>
    <w:rsid w:val="00DF2C48"/>
    <w:rsid w:val="00DF33BD"/>
    <w:rsid w:val="00DF3500"/>
    <w:rsid w:val="00DF3789"/>
    <w:rsid w:val="00DF3F22"/>
    <w:rsid w:val="00DF4241"/>
    <w:rsid w:val="00DF4303"/>
    <w:rsid w:val="00DF45B4"/>
    <w:rsid w:val="00DF4BAB"/>
    <w:rsid w:val="00DF4D77"/>
    <w:rsid w:val="00DF4E86"/>
    <w:rsid w:val="00DF5B12"/>
    <w:rsid w:val="00DF5D14"/>
    <w:rsid w:val="00DF608E"/>
    <w:rsid w:val="00DF676A"/>
    <w:rsid w:val="00DF6CC5"/>
    <w:rsid w:val="00DF6DEE"/>
    <w:rsid w:val="00DF6F9C"/>
    <w:rsid w:val="00DF6FF1"/>
    <w:rsid w:val="00DF76E0"/>
    <w:rsid w:val="00E0139A"/>
    <w:rsid w:val="00E015A9"/>
    <w:rsid w:val="00E016B1"/>
    <w:rsid w:val="00E02883"/>
    <w:rsid w:val="00E04029"/>
    <w:rsid w:val="00E04242"/>
    <w:rsid w:val="00E05D7D"/>
    <w:rsid w:val="00E07284"/>
    <w:rsid w:val="00E079B2"/>
    <w:rsid w:val="00E07DFA"/>
    <w:rsid w:val="00E10861"/>
    <w:rsid w:val="00E120BC"/>
    <w:rsid w:val="00E1376C"/>
    <w:rsid w:val="00E13B02"/>
    <w:rsid w:val="00E14425"/>
    <w:rsid w:val="00E151A5"/>
    <w:rsid w:val="00E15635"/>
    <w:rsid w:val="00E15908"/>
    <w:rsid w:val="00E16BEE"/>
    <w:rsid w:val="00E16D43"/>
    <w:rsid w:val="00E21914"/>
    <w:rsid w:val="00E21B02"/>
    <w:rsid w:val="00E21E4E"/>
    <w:rsid w:val="00E22D70"/>
    <w:rsid w:val="00E23869"/>
    <w:rsid w:val="00E23885"/>
    <w:rsid w:val="00E26156"/>
    <w:rsid w:val="00E26B75"/>
    <w:rsid w:val="00E26F08"/>
    <w:rsid w:val="00E27323"/>
    <w:rsid w:val="00E2768F"/>
    <w:rsid w:val="00E3099D"/>
    <w:rsid w:val="00E30DA9"/>
    <w:rsid w:val="00E31803"/>
    <w:rsid w:val="00E31C8B"/>
    <w:rsid w:val="00E32002"/>
    <w:rsid w:val="00E32786"/>
    <w:rsid w:val="00E333FB"/>
    <w:rsid w:val="00E3340F"/>
    <w:rsid w:val="00E3345C"/>
    <w:rsid w:val="00E335BB"/>
    <w:rsid w:val="00E33B57"/>
    <w:rsid w:val="00E35822"/>
    <w:rsid w:val="00E36150"/>
    <w:rsid w:val="00E36F7B"/>
    <w:rsid w:val="00E40778"/>
    <w:rsid w:val="00E41642"/>
    <w:rsid w:val="00E4178B"/>
    <w:rsid w:val="00E41FE9"/>
    <w:rsid w:val="00E4501A"/>
    <w:rsid w:val="00E45786"/>
    <w:rsid w:val="00E4586E"/>
    <w:rsid w:val="00E45DE5"/>
    <w:rsid w:val="00E45DEB"/>
    <w:rsid w:val="00E45E03"/>
    <w:rsid w:val="00E464B9"/>
    <w:rsid w:val="00E46BFA"/>
    <w:rsid w:val="00E47194"/>
    <w:rsid w:val="00E477BE"/>
    <w:rsid w:val="00E478A7"/>
    <w:rsid w:val="00E47B62"/>
    <w:rsid w:val="00E47E0A"/>
    <w:rsid w:val="00E51517"/>
    <w:rsid w:val="00E51F74"/>
    <w:rsid w:val="00E54533"/>
    <w:rsid w:val="00E54924"/>
    <w:rsid w:val="00E55868"/>
    <w:rsid w:val="00E569B2"/>
    <w:rsid w:val="00E60C14"/>
    <w:rsid w:val="00E61815"/>
    <w:rsid w:val="00E63A22"/>
    <w:rsid w:val="00E63C50"/>
    <w:rsid w:val="00E63FC6"/>
    <w:rsid w:val="00E640AE"/>
    <w:rsid w:val="00E64C68"/>
    <w:rsid w:val="00E653EB"/>
    <w:rsid w:val="00E65D86"/>
    <w:rsid w:val="00E66834"/>
    <w:rsid w:val="00E66967"/>
    <w:rsid w:val="00E67E1C"/>
    <w:rsid w:val="00E7036A"/>
    <w:rsid w:val="00E708B4"/>
    <w:rsid w:val="00E70E2A"/>
    <w:rsid w:val="00E713EE"/>
    <w:rsid w:val="00E71643"/>
    <w:rsid w:val="00E71A18"/>
    <w:rsid w:val="00E721D3"/>
    <w:rsid w:val="00E72791"/>
    <w:rsid w:val="00E72C1A"/>
    <w:rsid w:val="00E73A84"/>
    <w:rsid w:val="00E74BBE"/>
    <w:rsid w:val="00E75DF7"/>
    <w:rsid w:val="00E763CD"/>
    <w:rsid w:val="00E76A0F"/>
    <w:rsid w:val="00E76F44"/>
    <w:rsid w:val="00E7711B"/>
    <w:rsid w:val="00E807D4"/>
    <w:rsid w:val="00E80A66"/>
    <w:rsid w:val="00E8114F"/>
    <w:rsid w:val="00E820A3"/>
    <w:rsid w:val="00E828F9"/>
    <w:rsid w:val="00E8297A"/>
    <w:rsid w:val="00E82B64"/>
    <w:rsid w:val="00E839DF"/>
    <w:rsid w:val="00E83E08"/>
    <w:rsid w:val="00E850A3"/>
    <w:rsid w:val="00E8528B"/>
    <w:rsid w:val="00E85A66"/>
    <w:rsid w:val="00E85D6A"/>
    <w:rsid w:val="00E868FF"/>
    <w:rsid w:val="00E869DC"/>
    <w:rsid w:val="00E86A15"/>
    <w:rsid w:val="00E87034"/>
    <w:rsid w:val="00E90733"/>
    <w:rsid w:val="00E90F26"/>
    <w:rsid w:val="00E91850"/>
    <w:rsid w:val="00E922C2"/>
    <w:rsid w:val="00E92F4A"/>
    <w:rsid w:val="00E931A2"/>
    <w:rsid w:val="00E93D9A"/>
    <w:rsid w:val="00E95B5E"/>
    <w:rsid w:val="00E95D88"/>
    <w:rsid w:val="00E96340"/>
    <w:rsid w:val="00E96551"/>
    <w:rsid w:val="00E96BBF"/>
    <w:rsid w:val="00E96F2B"/>
    <w:rsid w:val="00EA138E"/>
    <w:rsid w:val="00EA38D5"/>
    <w:rsid w:val="00EA4363"/>
    <w:rsid w:val="00EA51AC"/>
    <w:rsid w:val="00EA5409"/>
    <w:rsid w:val="00EA589F"/>
    <w:rsid w:val="00EA5F10"/>
    <w:rsid w:val="00EA5F30"/>
    <w:rsid w:val="00EA68D0"/>
    <w:rsid w:val="00EA6EA0"/>
    <w:rsid w:val="00EA6F59"/>
    <w:rsid w:val="00EA7580"/>
    <w:rsid w:val="00EA789A"/>
    <w:rsid w:val="00EA7F85"/>
    <w:rsid w:val="00EB096B"/>
    <w:rsid w:val="00EB1A9B"/>
    <w:rsid w:val="00EB219C"/>
    <w:rsid w:val="00EB321E"/>
    <w:rsid w:val="00EB56FC"/>
    <w:rsid w:val="00EB5F9C"/>
    <w:rsid w:val="00EB6244"/>
    <w:rsid w:val="00EB62A2"/>
    <w:rsid w:val="00EB64FC"/>
    <w:rsid w:val="00EB6C2C"/>
    <w:rsid w:val="00EB7463"/>
    <w:rsid w:val="00EB777A"/>
    <w:rsid w:val="00EB7B3E"/>
    <w:rsid w:val="00EC0FC7"/>
    <w:rsid w:val="00EC2329"/>
    <w:rsid w:val="00EC23FA"/>
    <w:rsid w:val="00EC3466"/>
    <w:rsid w:val="00EC37C6"/>
    <w:rsid w:val="00EC3CEA"/>
    <w:rsid w:val="00EC4ACC"/>
    <w:rsid w:val="00EC4F27"/>
    <w:rsid w:val="00EC548A"/>
    <w:rsid w:val="00EC5A47"/>
    <w:rsid w:val="00EC6DAC"/>
    <w:rsid w:val="00EC744B"/>
    <w:rsid w:val="00EC778D"/>
    <w:rsid w:val="00EC7B5A"/>
    <w:rsid w:val="00ED1573"/>
    <w:rsid w:val="00ED1966"/>
    <w:rsid w:val="00ED1987"/>
    <w:rsid w:val="00ED2394"/>
    <w:rsid w:val="00ED2DFA"/>
    <w:rsid w:val="00ED419B"/>
    <w:rsid w:val="00ED4C06"/>
    <w:rsid w:val="00ED4DA5"/>
    <w:rsid w:val="00ED5AAA"/>
    <w:rsid w:val="00ED5AF3"/>
    <w:rsid w:val="00ED6747"/>
    <w:rsid w:val="00ED6E55"/>
    <w:rsid w:val="00ED70CB"/>
    <w:rsid w:val="00ED71E9"/>
    <w:rsid w:val="00ED72F9"/>
    <w:rsid w:val="00ED7419"/>
    <w:rsid w:val="00ED78BD"/>
    <w:rsid w:val="00EE050F"/>
    <w:rsid w:val="00EE067F"/>
    <w:rsid w:val="00EE081A"/>
    <w:rsid w:val="00EE13C7"/>
    <w:rsid w:val="00EE1CE1"/>
    <w:rsid w:val="00EE1EB5"/>
    <w:rsid w:val="00EE243B"/>
    <w:rsid w:val="00EE28DF"/>
    <w:rsid w:val="00EE2CF1"/>
    <w:rsid w:val="00EE2F5B"/>
    <w:rsid w:val="00EE2FB7"/>
    <w:rsid w:val="00EE38B5"/>
    <w:rsid w:val="00EE47A0"/>
    <w:rsid w:val="00EE60DB"/>
    <w:rsid w:val="00EE6653"/>
    <w:rsid w:val="00EE6883"/>
    <w:rsid w:val="00EE70C8"/>
    <w:rsid w:val="00EE7E38"/>
    <w:rsid w:val="00EE7EEA"/>
    <w:rsid w:val="00EF1A87"/>
    <w:rsid w:val="00EF1C5D"/>
    <w:rsid w:val="00EF1D7E"/>
    <w:rsid w:val="00EF2D5D"/>
    <w:rsid w:val="00EF39FC"/>
    <w:rsid w:val="00EF449C"/>
    <w:rsid w:val="00EF4CEE"/>
    <w:rsid w:val="00EF51BE"/>
    <w:rsid w:val="00EF5638"/>
    <w:rsid w:val="00EF5E36"/>
    <w:rsid w:val="00EF6801"/>
    <w:rsid w:val="00EF76A0"/>
    <w:rsid w:val="00EF78AD"/>
    <w:rsid w:val="00EF7D54"/>
    <w:rsid w:val="00EF7F09"/>
    <w:rsid w:val="00F0059C"/>
    <w:rsid w:val="00F00DBF"/>
    <w:rsid w:val="00F01157"/>
    <w:rsid w:val="00F016CA"/>
    <w:rsid w:val="00F01E4F"/>
    <w:rsid w:val="00F02A3A"/>
    <w:rsid w:val="00F04143"/>
    <w:rsid w:val="00F0482C"/>
    <w:rsid w:val="00F04F8E"/>
    <w:rsid w:val="00F05F9F"/>
    <w:rsid w:val="00F0740D"/>
    <w:rsid w:val="00F07750"/>
    <w:rsid w:val="00F07780"/>
    <w:rsid w:val="00F0785B"/>
    <w:rsid w:val="00F106C0"/>
    <w:rsid w:val="00F10988"/>
    <w:rsid w:val="00F10A86"/>
    <w:rsid w:val="00F1110C"/>
    <w:rsid w:val="00F11168"/>
    <w:rsid w:val="00F12149"/>
    <w:rsid w:val="00F13587"/>
    <w:rsid w:val="00F13834"/>
    <w:rsid w:val="00F14DE1"/>
    <w:rsid w:val="00F15F0F"/>
    <w:rsid w:val="00F16387"/>
    <w:rsid w:val="00F1649C"/>
    <w:rsid w:val="00F16B82"/>
    <w:rsid w:val="00F16BF2"/>
    <w:rsid w:val="00F2036A"/>
    <w:rsid w:val="00F203C7"/>
    <w:rsid w:val="00F20769"/>
    <w:rsid w:val="00F210E0"/>
    <w:rsid w:val="00F21157"/>
    <w:rsid w:val="00F21209"/>
    <w:rsid w:val="00F214CB"/>
    <w:rsid w:val="00F21646"/>
    <w:rsid w:val="00F21917"/>
    <w:rsid w:val="00F24293"/>
    <w:rsid w:val="00F24526"/>
    <w:rsid w:val="00F24E14"/>
    <w:rsid w:val="00F25662"/>
    <w:rsid w:val="00F25CBF"/>
    <w:rsid w:val="00F27A4B"/>
    <w:rsid w:val="00F27BB1"/>
    <w:rsid w:val="00F27E42"/>
    <w:rsid w:val="00F3088C"/>
    <w:rsid w:val="00F319C6"/>
    <w:rsid w:val="00F31BEE"/>
    <w:rsid w:val="00F325DC"/>
    <w:rsid w:val="00F329B1"/>
    <w:rsid w:val="00F32B0E"/>
    <w:rsid w:val="00F32F05"/>
    <w:rsid w:val="00F331E9"/>
    <w:rsid w:val="00F339E2"/>
    <w:rsid w:val="00F33DC4"/>
    <w:rsid w:val="00F33E8F"/>
    <w:rsid w:val="00F3545A"/>
    <w:rsid w:val="00F35946"/>
    <w:rsid w:val="00F359C0"/>
    <w:rsid w:val="00F37DBE"/>
    <w:rsid w:val="00F40D7C"/>
    <w:rsid w:val="00F410B7"/>
    <w:rsid w:val="00F41778"/>
    <w:rsid w:val="00F421EA"/>
    <w:rsid w:val="00F430AC"/>
    <w:rsid w:val="00F462D5"/>
    <w:rsid w:val="00F464E9"/>
    <w:rsid w:val="00F46975"/>
    <w:rsid w:val="00F477B9"/>
    <w:rsid w:val="00F50562"/>
    <w:rsid w:val="00F516F6"/>
    <w:rsid w:val="00F519AF"/>
    <w:rsid w:val="00F52F08"/>
    <w:rsid w:val="00F53604"/>
    <w:rsid w:val="00F54A39"/>
    <w:rsid w:val="00F54B2D"/>
    <w:rsid w:val="00F54BBB"/>
    <w:rsid w:val="00F55625"/>
    <w:rsid w:val="00F559EB"/>
    <w:rsid w:val="00F55C71"/>
    <w:rsid w:val="00F55D59"/>
    <w:rsid w:val="00F55EC6"/>
    <w:rsid w:val="00F55FAE"/>
    <w:rsid w:val="00F5704C"/>
    <w:rsid w:val="00F5762A"/>
    <w:rsid w:val="00F60171"/>
    <w:rsid w:val="00F6086F"/>
    <w:rsid w:val="00F613FA"/>
    <w:rsid w:val="00F624FB"/>
    <w:rsid w:val="00F62FDA"/>
    <w:rsid w:val="00F6338E"/>
    <w:rsid w:val="00F63599"/>
    <w:rsid w:val="00F645A1"/>
    <w:rsid w:val="00F64BF4"/>
    <w:rsid w:val="00F6582D"/>
    <w:rsid w:val="00F65B0C"/>
    <w:rsid w:val="00F6631F"/>
    <w:rsid w:val="00F7133C"/>
    <w:rsid w:val="00F718A6"/>
    <w:rsid w:val="00F71C7D"/>
    <w:rsid w:val="00F72112"/>
    <w:rsid w:val="00F723D6"/>
    <w:rsid w:val="00F724AB"/>
    <w:rsid w:val="00F72D22"/>
    <w:rsid w:val="00F74188"/>
    <w:rsid w:val="00F757A1"/>
    <w:rsid w:val="00F7798C"/>
    <w:rsid w:val="00F77E87"/>
    <w:rsid w:val="00F806A9"/>
    <w:rsid w:val="00F81320"/>
    <w:rsid w:val="00F81620"/>
    <w:rsid w:val="00F8217F"/>
    <w:rsid w:val="00F83113"/>
    <w:rsid w:val="00F83C22"/>
    <w:rsid w:val="00F84521"/>
    <w:rsid w:val="00F86093"/>
    <w:rsid w:val="00F86C89"/>
    <w:rsid w:val="00F86FFD"/>
    <w:rsid w:val="00F87451"/>
    <w:rsid w:val="00F8785D"/>
    <w:rsid w:val="00F906AB"/>
    <w:rsid w:val="00F91766"/>
    <w:rsid w:val="00F91A6E"/>
    <w:rsid w:val="00F92C23"/>
    <w:rsid w:val="00F92EC2"/>
    <w:rsid w:val="00F9313C"/>
    <w:rsid w:val="00F94E4E"/>
    <w:rsid w:val="00F96B7D"/>
    <w:rsid w:val="00F96E67"/>
    <w:rsid w:val="00F97165"/>
    <w:rsid w:val="00F97FB3"/>
    <w:rsid w:val="00F97FE5"/>
    <w:rsid w:val="00FA0537"/>
    <w:rsid w:val="00FA0AAA"/>
    <w:rsid w:val="00FA25EA"/>
    <w:rsid w:val="00FA272D"/>
    <w:rsid w:val="00FA2E5C"/>
    <w:rsid w:val="00FA2ECA"/>
    <w:rsid w:val="00FA2FA8"/>
    <w:rsid w:val="00FA4A00"/>
    <w:rsid w:val="00FA5D30"/>
    <w:rsid w:val="00FA655A"/>
    <w:rsid w:val="00FA65E5"/>
    <w:rsid w:val="00FA6A63"/>
    <w:rsid w:val="00FA74C0"/>
    <w:rsid w:val="00FB0FE4"/>
    <w:rsid w:val="00FB1348"/>
    <w:rsid w:val="00FB1925"/>
    <w:rsid w:val="00FB1EA0"/>
    <w:rsid w:val="00FB2144"/>
    <w:rsid w:val="00FB2C2B"/>
    <w:rsid w:val="00FB2DA4"/>
    <w:rsid w:val="00FB3F05"/>
    <w:rsid w:val="00FB45C2"/>
    <w:rsid w:val="00FB50BE"/>
    <w:rsid w:val="00FB6B51"/>
    <w:rsid w:val="00FC0DD4"/>
    <w:rsid w:val="00FC1E49"/>
    <w:rsid w:val="00FC2786"/>
    <w:rsid w:val="00FC299E"/>
    <w:rsid w:val="00FC36CB"/>
    <w:rsid w:val="00FC3779"/>
    <w:rsid w:val="00FC3DC8"/>
    <w:rsid w:val="00FC400D"/>
    <w:rsid w:val="00FC4750"/>
    <w:rsid w:val="00FC58AA"/>
    <w:rsid w:val="00FC5AD5"/>
    <w:rsid w:val="00FC63CC"/>
    <w:rsid w:val="00FC6B40"/>
    <w:rsid w:val="00FC7979"/>
    <w:rsid w:val="00FC7CE2"/>
    <w:rsid w:val="00FD0184"/>
    <w:rsid w:val="00FD0AF0"/>
    <w:rsid w:val="00FD1489"/>
    <w:rsid w:val="00FD15A5"/>
    <w:rsid w:val="00FD1902"/>
    <w:rsid w:val="00FD2169"/>
    <w:rsid w:val="00FD245E"/>
    <w:rsid w:val="00FD24D9"/>
    <w:rsid w:val="00FD2B4A"/>
    <w:rsid w:val="00FD43CA"/>
    <w:rsid w:val="00FD4B6C"/>
    <w:rsid w:val="00FD589C"/>
    <w:rsid w:val="00FD5B6F"/>
    <w:rsid w:val="00FD6176"/>
    <w:rsid w:val="00FD6598"/>
    <w:rsid w:val="00FD6C77"/>
    <w:rsid w:val="00FD6D51"/>
    <w:rsid w:val="00FD74C2"/>
    <w:rsid w:val="00FD7C6C"/>
    <w:rsid w:val="00FE0E33"/>
    <w:rsid w:val="00FE1CB9"/>
    <w:rsid w:val="00FE2B98"/>
    <w:rsid w:val="00FE3040"/>
    <w:rsid w:val="00FE54A8"/>
    <w:rsid w:val="00FE5E25"/>
    <w:rsid w:val="00FE6741"/>
    <w:rsid w:val="00FE6B1A"/>
    <w:rsid w:val="00FE788A"/>
    <w:rsid w:val="00FE7B1F"/>
    <w:rsid w:val="00FF06F9"/>
    <w:rsid w:val="00FF0FB4"/>
    <w:rsid w:val="00FF1A88"/>
    <w:rsid w:val="00FF2B2A"/>
    <w:rsid w:val="00FF2B97"/>
    <w:rsid w:val="00FF3DC4"/>
    <w:rsid w:val="00FF44E7"/>
    <w:rsid w:val="00FF4EE6"/>
    <w:rsid w:val="00FF683E"/>
    <w:rsid w:val="00FF7670"/>
    <w:rsid w:val="01096F64"/>
    <w:rsid w:val="010D3E32"/>
    <w:rsid w:val="011E27CD"/>
    <w:rsid w:val="01345ED7"/>
    <w:rsid w:val="013930AF"/>
    <w:rsid w:val="013A744D"/>
    <w:rsid w:val="014354FF"/>
    <w:rsid w:val="0153453C"/>
    <w:rsid w:val="0153462C"/>
    <w:rsid w:val="01572ED7"/>
    <w:rsid w:val="015A3032"/>
    <w:rsid w:val="0168358B"/>
    <w:rsid w:val="01695881"/>
    <w:rsid w:val="016D09F4"/>
    <w:rsid w:val="018876DC"/>
    <w:rsid w:val="018E7785"/>
    <w:rsid w:val="01A02591"/>
    <w:rsid w:val="01AA6FD1"/>
    <w:rsid w:val="01AB1B3B"/>
    <w:rsid w:val="01AF3D57"/>
    <w:rsid w:val="01B522D2"/>
    <w:rsid w:val="01CA7044"/>
    <w:rsid w:val="01CB54EA"/>
    <w:rsid w:val="01D30357"/>
    <w:rsid w:val="01D9216D"/>
    <w:rsid w:val="01EC4381"/>
    <w:rsid w:val="02050E93"/>
    <w:rsid w:val="020D1201"/>
    <w:rsid w:val="020E06E0"/>
    <w:rsid w:val="021D448E"/>
    <w:rsid w:val="02231D17"/>
    <w:rsid w:val="0226186C"/>
    <w:rsid w:val="02274C09"/>
    <w:rsid w:val="02321D5A"/>
    <w:rsid w:val="023A4DB2"/>
    <w:rsid w:val="024A1CE2"/>
    <w:rsid w:val="025101E2"/>
    <w:rsid w:val="025E186D"/>
    <w:rsid w:val="027912A9"/>
    <w:rsid w:val="027F518A"/>
    <w:rsid w:val="028F7CEA"/>
    <w:rsid w:val="02943F42"/>
    <w:rsid w:val="02A94270"/>
    <w:rsid w:val="02B11073"/>
    <w:rsid w:val="02B51591"/>
    <w:rsid w:val="02BD5872"/>
    <w:rsid w:val="02C33FF8"/>
    <w:rsid w:val="02C60907"/>
    <w:rsid w:val="02C8452A"/>
    <w:rsid w:val="02CE64B1"/>
    <w:rsid w:val="02DB1B49"/>
    <w:rsid w:val="02E27592"/>
    <w:rsid w:val="02EF5B43"/>
    <w:rsid w:val="02F3289C"/>
    <w:rsid w:val="02F41779"/>
    <w:rsid w:val="02F56BCA"/>
    <w:rsid w:val="02FD0BF6"/>
    <w:rsid w:val="03034435"/>
    <w:rsid w:val="03047B72"/>
    <w:rsid w:val="03082EEB"/>
    <w:rsid w:val="03106E1B"/>
    <w:rsid w:val="03154559"/>
    <w:rsid w:val="03195B97"/>
    <w:rsid w:val="031E491E"/>
    <w:rsid w:val="031F2EA6"/>
    <w:rsid w:val="03235A64"/>
    <w:rsid w:val="03291F42"/>
    <w:rsid w:val="033262D9"/>
    <w:rsid w:val="033A578F"/>
    <w:rsid w:val="033B79F5"/>
    <w:rsid w:val="03421FC7"/>
    <w:rsid w:val="036B0333"/>
    <w:rsid w:val="037260C9"/>
    <w:rsid w:val="0375650D"/>
    <w:rsid w:val="037628A1"/>
    <w:rsid w:val="03764036"/>
    <w:rsid w:val="0379330A"/>
    <w:rsid w:val="038431CC"/>
    <w:rsid w:val="03844292"/>
    <w:rsid w:val="0385696F"/>
    <w:rsid w:val="038D4257"/>
    <w:rsid w:val="03906228"/>
    <w:rsid w:val="0392321C"/>
    <w:rsid w:val="03A2232B"/>
    <w:rsid w:val="03A63E9D"/>
    <w:rsid w:val="03A74D3B"/>
    <w:rsid w:val="03A80D12"/>
    <w:rsid w:val="03AE3B51"/>
    <w:rsid w:val="03BD4369"/>
    <w:rsid w:val="03C823DE"/>
    <w:rsid w:val="03CA3582"/>
    <w:rsid w:val="03DA2B87"/>
    <w:rsid w:val="03DB6C6A"/>
    <w:rsid w:val="03DC6360"/>
    <w:rsid w:val="03DD122A"/>
    <w:rsid w:val="03E06910"/>
    <w:rsid w:val="03EB173F"/>
    <w:rsid w:val="03ED0C96"/>
    <w:rsid w:val="03EE6004"/>
    <w:rsid w:val="03F909CF"/>
    <w:rsid w:val="03F93A9B"/>
    <w:rsid w:val="04066B99"/>
    <w:rsid w:val="040A7BD3"/>
    <w:rsid w:val="04192284"/>
    <w:rsid w:val="043312E7"/>
    <w:rsid w:val="043D69C2"/>
    <w:rsid w:val="043F37C4"/>
    <w:rsid w:val="045560D9"/>
    <w:rsid w:val="045C7D7F"/>
    <w:rsid w:val="04674182"/>
    <w:rsid w:val="046874D3"/>
    <w:rsid w:val="046D4B31"/>
    <w:rsid w:val="047540A6"/>
    <w:rsid w:val="04763DF0"/>
    <w:rsid w:val="0482632C"/>
    <w:rsid w:val="049632DF"/>
    <w:rsid w:val="04A741FF"/>
    <w:rsid w:val="04A76ED6"/>
    <w:rsid w:val="04A923EC"/>
    <w:rsid w:val="04AC0EFB"/>
    <w:rsid w:val="04AD6FEA"/>
    <w:rsid w:val="04B63702"/>
    <w:rsid w:val="04C81C8C"/>
    <w:rsid w:val="04CF101F"/>
    <w:rsid w:val="04D70BAD"/>
    <w:rsid w:val="04E8215F"/>
    <w:rsid w:val="04F01786"/>
    <w:rsid w:val="04FE16ED"/>
    <w:rsid w:val="04FE2E9B"/>
    <w:rsid w:val="05017DD7"/>
    <w:rsid w:val="050B0A06"/>
    <w:rsid w:val="050D4C4E"/>
    <w:rsid w:val="05160E9B"/>
    <w:rsid w:val="051669AD"/>
    <w:rsid w:val="05172558"/>
    <w:rsid w:val="051B7D8F"/>
    <w:rsid w:val="052757BE"/>
    <w:rsid w:val="05294C90"/>
    <w:rsid w:val="052E67A8"/>
    <w:rsid w:val="052F41A8"/>
    <w:rsid w:val="053416F2"/>
    <w:rsid w:val="05346DD7"/>
    <w:rsid w:val="054018C1"/>
    <w:rsid w:val="05436779"/>
    <w:rsid w:val="055A4032"/>
    <w:rsid w:val="05701B3A"/>
    <w:rsid w:val="05712FAA"/>
    <w:rsid w:val="05867B14"/>
    <w:rsid w:val="05895C23"/>
    <w:rsid w:val="058C49A4"/>
    <w:rsid w:val="05931450"/>
    <w:rsid w:val="0595071E"/>
    <w:rsid w:val="05A5399C"/>
    <w:rsid w:val="05A72885"/>
    <w:rsid w:val="05AB3A93"/>
    <w:rsid w:val="05BB2D13"/>
    <w:rsid w:val="05C146FC"/>
    <w:rsid w:val="05C24554"/>
    <w:rsid w:val="05C77529"/>
    <w:rsid w:val="05CC1846"/>
    <w:rsid w:val="05D201DB"/>
    <w:rsid w:val="05DF38B7"/>
    <w:rsid w:val="05E2494F"/>
    <w:rsid w:val="05E85019"/>
    <w:rsid w:val="05E93A36"/>
    <w:rsid w:val="05EC58FE"/>
    <w:rsid w:val="05F06113"/>
    <w:rsid w:val="060530A2"/>
    <w:rsid w:val="060968CE"/>
    <w:rsid w:val="060C0BF5"/>
    <w:rsid w:val="061346F1"/>
    <w:rsid w:val="06192177"/>
    <w:rsid w:val="061D67A9"/>
    <w:rsid w:val="061D75B4"/>
    <w:rsid w:val="06280889"/>
    <w:rsid w:val="06352159"/>
    <w:rsid w:val="0637498B"/>
    <w:rsid w:val="063830F8"/>
    <w:rsid w:val="063E4CE9"/>
    <w:rsid w:val="0644114B"/>
    <w:rsid w:val="064F5427"/>
    <w:rsid w:val="06524801"/>
    <w:rsid w:val="065D43D9"/>
    <w:rsid w:val="06624AB0"/>
    <w:rsid w:val="06684E70"/>
    <w:rsid w:val="066A266A"/>
    <w:rsid w:val="066D211C"/>
    <w:rsid w:val="06774542"/>
    <w:rsid w:val="06837B3B"/>
    <w:rsid w:val="06961293"/>
    <w:rsid w:val="069762C4"/>
    <w:rsid w:val="06A429CE"/>
    <w:rsid w:val="06A84414"/>
    <w:rsid w:val="06A87C21"/>
    <w:rsid w:val="06AE7ED0"/>
    <w:rsid w:val="06BB1810"/>
    <w:rsid w:val="06BE55EB"/>
    <w:rsid w:val="06BF1CFA"/>
    <w:rsid w:val="06CB2176"/>
    <w:rsid w:val="06E3547B"/>
    <w:rsid w:val="06E423A9"/>
    <w:rsid w:val="06EB5A74"/>
    <w:rsid w:val="06FC6F82"/>
    <w:rsid w:val="070005FE"/>
    <w:rsid w:val="070C7AAE"/>
    <w:rsid w:val="071115A8"/>
    <w:rsid w:val="071F05EE"/>
    <w:rsid w:val="07201CA4"/>
    <w:rsid w:val="07223296"/>
    <w:rsid w:val="07232A97"/>
    <w:rsid w:val="07247135"/>
    <w:rsid w:val="07283A1B"/>
    <w:rsid w:val="072B1029"/>
    <w:rsid w:val="07404D92"/>
    <w:rsid w:val="07463591"/>
    <w:rsid w:val="07531CE8"/>
    <w:rsid w:val="07543E36"/>
    <w:rsid w:val="07602B69"/>
    <w:rsid w:val="0762512D"/>
    <w:rsid w:val="07694F22"/>
    <w:rsid w:val="076A3C33"/>
    <w:rsid w:val="076B60E8"/>
    <w:rsid w:val="076C524F"/>
    <w:rsid w:val="07731EDA"/>
    <w:rsid w:val="077F474D"/>
    <w:rsid w:val="07864525"/>
    <w:rsid w:val="078B77BD"/>
    <w:rsid w:val="07931E97"/>
    <w:rsid w:val="079760C3"/>
    <w:rsid w:val="07A76359"/>
    <w:rsid w:val="07A93962"/>
    <w:rsid w:val="07AB05A2"/>
    <w:rsid w:val="07B2585B"/>
    <w:rsid w:val="07CA3AEE"/>
    <w:rsid w:val="07DB4646"/>
    <w:rsid w:val="07E70546"/>
    <w:rsid w:val="07E87FB5"/>
    <w:rsid w:val="07EF434F"/>
    <w:rsid w:val="07F17270"/>
    <w:rsid w:val="07F86A7E"/>
    <w:rsid w:val="081A3081"/>
    <w:rsid w:val="08237404"/>
    <w:rsid w:val="08292020"/>
    <w:rsid w:val="082A7A6A"/>
    <w:rsid w:val="082B798A"/>
    <w:rsid w:val="08323D6C"/>
    <w:rsid w:val="083808EE"/>
    <w:rsid w:val="083B6A22"/>
    <w:rsid w:val="084767BD"/>
    <w:rsid w:val="085F515F"/>
    <w:rsid w:val="08660278"/>
    <w:rsid w:val="0875764B"/>
    <w:rsid w:val="08795A53"/>
    <w:rsid w:val="087E44A8"/>
    <w:rsid w:val="087F0EB6"/>
    <w:rsid w:val="0882164E"/>
    <w:rsid w:val="088350A7"/>
    <w:rsid w:val="08992DEC"/>
    <w:rsid w:val="089B0120"/>
    <w:rsid w:val="08A17D4C"/>
    <w:rsid w:val="08AB297C"/>
    <w:rsid w:val="08B70287"/>
    <w:rsid w:val="08C15D2C"/>
    <w:rsid w:val="08CA0463"/>
    <w:rsid w:val="08CC0BDF"/>
    <w:rsid w:val="08D16F11"/>
    <w:rsid w:val="08E865C5"/>
    <w:rsid w:val="08EC1747"/>
    <w:rsid w:val="08F8134C"/>
    <w:rsid w:val="08FC69E3"/>
    <w:rsid w:val="09014C79"/>
    <w:rsid w:val="090A4A6A"/>
    <w:rsid w:val="091F26E2"/>
    <w:rsid w:val="09270DE8"/>
    <w:rsid w:val="09286544"/>
    <w:rsid w:val="092A604D"/>
    <w:rsid w:val="09301B4F"/>
    <w:rsid w:val="09312371"/>
    <w:rsid w:val="09376B41"/>
    <w:rsid w:val="09421FE2"/>
    <w:rsid w:val="09473E92"/>
    <w:rsid w:val="09496CE6"/>
    <w:rsid w:val="094A6CD2"/>
    <w:rsid w:val="094C5101"/>
    <w:rsid w:val="094F1804"/>
    <w:rsid w:val="09513983"/>
    <w:rsid w:val="09520E14"/>
    <w:rsid w:val="09546425"/>
    <w:rsid w:val="09565436"/>
    <w:rsid w:val="095733E7"/>
    <w:rsid w:val="095D1D11"/>
    <w:rsid w:val="095F2EB0"/>
    <w:rsid w:val="0965224F"/>
    <w:rsid w:val="096B7C53"/>
    <w:rsid w:val="096F369C"/>
    <w:rsid w:val="099C5BE8"/>
    <w:rsid w:val="09A5691D"/>
    <w:rsid w:val="09A635B1"/>
    <w:rsid w:val="09B256AE"/>
    <w:rsid w:val="09C64837"/>
    <w:rsid w:val="09D478DF"/>
    <w:rsid w:val="09D6248E"/>
    <w:rsid w:val="09DC23AD"/>
    <w:rsid w:val="09EA2105"/>
    <w:rsid w:val="09F25085"/>
    <w:rsid w:val="09F56A1E"/>
    <w:rsid w:val="09F57BBD"/>
    <w:rsid w:val="0A05572C"/>
    <w:rsid w:val="0A066698"/>
    <w:rsid w:val="0A077140"/>
    <w:rsid w:val="0A093E1A"/>
    <w:rsid w:val="0A13797F"/>
    <w:rsid w:val="0A2766B7"/>
    <w:rsid w:val="0A2A49C7"/>
    <w:rsid w:val="0A2B0109"/>
    <w:rsid w:val="0A556860"/>
    <w:rsid w:val="0A564792"/>
    <w:rsid w:val="0A6B6222"/>
    <w:rsid w:val="0A6E5095"/>
    <w:rsid w:val="0A7449FA"/>
    <w:rsid w:val="0A7A1B33"/>
    <w:rsid w:val="0A7C10EC"/>
    <w:rsid w:val="0A8000C8"/>
    <w:rsid w:val="0A9567C3"/>
    <w:rsid w:val="0A9636B5"/>
    <w:rsid w:val="0A967038"/>
    <w:rsid w:val="0A9A67CC"/>
    <w:rsid w:val="0AA837BF"/>
    <w:rsid w:val="0AA91CD5"/>
    <w:rsid w:val="0ABC5089"/>
    <w:rsid w:val="0ABE6EE8"/>
    <w:rsid w:val="0ACF546F"/>
    <w:rsid w:val="0ADD0325"/>
    <w:rsid w:val="0AE837D9"/>
    <w:rsid w:val="0AEB3731"/>
    <w:rsid w:val="0B011273"/>
    <w:rsid w:val="0B0E34EF"/>
    <w:rsid w:val="0B1816E9"/>
    <w:rsid w:val="0B1C3B94"/>
    <w:rsid w:val="0B22206B"/>
    <w:rsid w:val="0B2640BD"/>
    <w:rsid w:val="0B371A2F"/>
    <w:rsid w:val="0B393E11"/>
    <w:rsid w:val="0B3C6043"/>
    <w:rsid w:val="0B3E3AFA"/>
    <w:rsid w:val="0B400D9A"/>
    <w:rsid w:val="0B571424"/>
    <w:rsid w:val="0B6033E4"/>
    <w:rsid w:val="0B7028CB"/>
    <w:rsid w:val="0B852A77"/>
    <w:rsid w:val="0B8762D6"/>
    <w:rsid w:val="0B8F153D"/>
    <w:rsid w:val="0B946AF9"/>
    <w:rsid w:val="0B9920BC"/>
    <w:rsid w:val="0BA749FE"/>
    <w:rsid w:val="0BAD668E"/>
    <w:rsid w:val="0BBA3A47"/>
    <w:rsid w:val="0BBA6E60"/>
    <w:rsid w:val="0BBC31C2"/>
    <w:rsid w:val="0BC17C1C"/>
    <w:rsid w:val="0BC42583"/>
    <w:rsid w:val="0BC45090"/>
    <w:rsid w:val="0BC9217A"/>
    <w:rsid w:val="0BCC2749"/>
    <w:rsid w:val="0BCD0937"/>
    <w:rsid w:val="0BCE4E88"/>
    <w:rsid w:val="0BD84F20"/>
    <w:rsid w:val="0BD97BE6"/>
    <w:rsid w:val="0BDB6A04"/>
    <w:rsid w:val="0BDD10FC"/>
    <w:rsid w:val="0BE25940"/>
    <w:rsid w:val="0BED2775"/>
    <w:rsid w:val="0BF82099"/>
    <w:rsid w:val="0BF97372"/>
    <w:rsid w:val="0C0C32AC"/>
    <w:rsid w:val="0C0F71C7"/>
    <w:rsid w:val="0C183B25"/>
    <w:rsid w:val="0C1A0608"/>
    <w:rsid w:val="0C2958E1"/>
    <w:rsid w:val="0C2D1872"/>
    <w:rsid w:val="0C3B2D04"/>
    <w:rsid w:val="0C4333CE"/>
    <w:rsid w:val="0C434BEB"/>
    <w:rsid w:val="0C475203"/>
    <w:rsid w:val="0C4A42DD"/>
    <w:rsid w:val="0C56327B"/>
    <w:rsid w:val="0C575E84"/>
    <w:rsid w:val="0C682814"/>
    <w:rsid w:val="0C6A4A7B"/>
    <w:rsid w:val="0C7055DD"/>
    <w:rsid w:val="0C706E4E"/>
    <w:rsid w:val="0C747B70"/>
    <w:rsid w:val="0C751B3D"/>
    <w:rsid w:val="0C7F3E0D"/>
    <w:rsid w:val="0C835A48"/>
    <w:rsid w:val="0C8C6097"/>
    <w:rsid w:val="0C914D49"/>
    <w:rsid w:val="0C9A7902"/>
    <w:rsid w:val="0CA21DAC"/>
    <w:rsid w:val="0CA268E9"/>
    <w:rsid w:val="0CAE31F4"/>
    <w:rsid w:val="0CB630EB"/>
    <w:rsid w:val="0CCA3955"/>
    <w:rsid w:val="0CD41033"/>
    <w:rsid w:val="0CDA5273"/>
    <w:rsid w:val="0CDE7165"/>
    <w:rsid w:val="0CE041A7"/>
    <w:rsid w:val="0CE17A4D"/>
    <w:rsid w:val="0CE96B24"/>
    <w:rsid w:val="0CEA175E"/>
    <w:rsid w:val="0CF176E8"/>
    <w:rsid w:val="0CF41713"/>
    <w:rsid w:val="0D171BAB"/>
    <w:rsid w:val="0D2A6377"/>
    <w:rsid w:val="0D2E781D"/>
    <w:rsid w:val="0D3716A6"/>
    <w:rsid w:val="0D3856CB"/>
    <w:rsid w:val="0D4010AD"/>
    <w:rsid w:val="0D475FD0"/>
    <w:rsid w:val="0D5869A7"/>
    <w:rsid w:val="0D7725E8"/>
    <w:rsid w:val="0D786A33"/>
    <w:rsid w:val="0D83590F"/>
    <w:rsid w:val="0D8E088A"/>
    <w:rsid w:val="0D8E21C9"/>
    <w:rsid w:val="0D9F6992"/>
    <w:rsid w:val="0DA44EC2"/>
    <w:rsid w:val="0DA85975"/>
    <w:rsid w:val="0DAB55FE"/>
    <w:rsid w:val="0DAF4280"/>
    <w:rsid w:val="0DBE2DC3"/>
    <w:rsid w:val="0DC04D85"/>
    <w:rsid w:val="0DC81C4F"/>
    <w:rsid w:val="0DDF6469"/>
    <w:rsid w:val="0DE92C28"/>
    <w:rsid w:val="0DED5CB5"/>
    <w:rsid w:val="0DF010E0"/>
    <w:rsid w:val="0DF644CF"/>
    <w:rsid w:val="0E0422E3"/>
    <w:rsid w:val="0E086A83"/>
    <w:rsid w:val="0E1B3E93"/>
    <w:rsid w:val="0E21430C"/>
    <w:rsid w:val="0E245572"/>
    <w:rsid w:val="0E34272F"/>
    <w:rsid w:val="0E3F352B"/>
    <w:rsid w:val="0E46737F"/>
    <w:rsid w:val="0E577D74"/>
    <w:rsid w:val="0E5805B7"/>
    <w:rsid w:val="0E5D16A2"/>
    <w:rsid w:val="0E6334B9"/>
    <w:rsid w:val="0E64703E"/>
    <w:rsid w:val="0E7143A2"/>
    <w:rsid w:val="0E7542A0"/>
    <w:rsid w:val="0E7A4CE2"/>
    <w:rsid w:val="0E8C657F"/>
    <w:rsid w:val="0E9D7ADA"/>
    <w:rsid w:val="0EA81262"/>
    <w:rsid w:val="0EB554F6"/>
    <w:rsid w:val="0EBC4133"/>
    <w:rsid w:val="0EC47A27"/>
    <w:rsid w:val="0ECD6747"/>
    <w:rsid w:val="0ED324E7"/>
    <w:rsid w:val="0ED658E5"/>
    <w:rsid w:val="0EE45A45"/>
    <w:rsid w:val="0EEA073C"/>
    <w:rsid w:val="0EF06560"/>
    <w:rsid w:val="0EF86CB8"/>
    <w:rsid w:val="0EFA7667"/>
    <w:rsid w:val="0EFD4B48"/>
    <w:rsid w:val="0F203C55"/>
    <w:rsid w:val="0F2E1147"/>
    <w:rsid w:val="0F2E692D"/>
    <w:rsid w:val="0F3023AE"/>
    <w:rsid w:val="0F333BD3"/>
    <w:rsid w:val="0F4358A7"/>
    <w:rsid w:val="0F4F75A9"/>
    <w:rsid w:val="0F5553FB"/>
    <w:rsid w:val="0F5A4287"/>
    <w:rsid w:val="0F5E2E7B"/>
    <w:rsid w:val="0F5F430B"/>
    <w:rsid w:val="0F6051E2"/>
    <w:rsid w:val="0F607F0E"/>
    <w:rsid w:val="0F6D25E8"/>
    <w:rsid w:val="0F7A6610"/>
    <w:rsid w:val="0F855B0D"/>
    <w:rsid w:val="0F8D294B"/>
    <w:rsid w:val="0F8D6C0B"/>
    <w:rsid w:val="0F9479D3"/>
    <w:rsid w:val="0F992246"/>
    <w:rsid w:val="0FAF4DE3"/>
    <w:rsid w:val="0FB757C2"/>
    <w:rsid w:val="0FBD0EC6"/>
    <w:rsid w:val="0FC04798"/>
    <w:rsid w:val="0FD6110D"/>
    <w:rsid w:val="0FDA54BC"/>
    <w:rsid w:val="0FEC1CE9"/>
    <w:rsid w:val="0FEC1D10"/>
    <w:rsid w:val="0FF67576"/>
    <w:rsid w:val="0FF902AD"/>
    <w:rsid w:val="10081E6D"/>
    <w:rsid w:val="100B3B4A"/>
    <w:rsid w:val="100E3A77"/>
    <w:rsid w:val="10184299"/>
    <w:rsid w:val="101E7929"/>
    <w:rsid w:val="102719F8"/>
    <w:rsid w:val="103706D8"/>
    <w:rsid w:val="10451378"/>
    <w:rsid w:val="1048247B"/>
    <w:rsid w:val="10594368"/>
    <w:rsid w:val="105E2FC9"/>
    <w:rsid w:val="10722BCA"/>
    <w:rsid w:val="107D4F44"/>
    <w:rsid w:val="108166F7"/>
    <w:rsid w:val="10871CDD"/>
    <w:rsid w:val="10894825"/>
    <w:rsid w:val="108B4D1D"/>
    <w:rsid w:val="108F4B64"/>
    <w:rsid w:val="109022F8"/>
    <w:rsid w:val="10960E26"/>
    <w:rsid w:val="109D79E8"/>
    <w:rsid w:val="10A654B6"/>
    <w:rsid w:val="10A83A33"/>
    <w:rsid w:val="10A945F4"/>
    <w:rsid w:val="10BD5C09"/>
    <w:rsid w:val="10BE78BE"/>
    <w:rsid w:val="10C664A7"/>
    <w:rsid w:val="10C81A80"/>
    <w:rsid w:val="10D80961"/>
    <w:rsid w:val="10D84BB2"/>
    <w:rsid w:val="10E55ACF"/>
    <w:rsid w:val="10ED705E"/>
    <w:rsid w:val="10FF7721"/>
    <w:rsid w:val="1101035E"/>
    <w:rsid w:val="11072F1A"/>
    <w:rsid w:val="110C25A3"/>
    <w:rsid w:val="111B64DD"/>
    <w:rsid w:val="111F0D72"/>
    <w:rsid w:val="1124174C"/>
    <w:rsid w:val="112B0EFD"/>
    <w:rsid w:val="113532CD"/>
    <w:rsid w:val="113E77D4"/>
    <w:rsid w:val="114B0BD6"/>
    <w:rsid w:val="114C1CCD"/>
    <w:rsid w:val="11580FA1"/>
    <w:rsid w:val="11717114"/>
    <w:rsid w:val="117307CF"/>
    <w:rsid w:val="117355F9"/>
    <w:rsid w:val="1180289C"/>
    <w:rsid w:val="11A7265A"/>
    <w:rsid w:val="11A90132"/>
    <w:rsid w:val="11AE50AD"/>
    <w:rsid w:val="11AF597F"/>
    <w:rsid w:val="11BA7693"/>
    <w:rsid w:val="11C06C50"/>
    <w:rsid w:val="11CA72EF"/>
    <w:rsid w:val="11CC7456"/>
    <w:rsid w:val="11DA2D2F"/>
    <w:rsid w:val="11DC70FC"/>
    <w:rsid w:val="11DF7049"/>
    <w:rsid w:val="11E12487"/>
    <w:rsid w:val="11EF178C"/>
    <w:rsid w:val="11F3184C"/>
    <w:rsid w:val="11F62C74"/>
    <w:rsid w:val="11F6483A"/>
    <w:rsid w:val="12033E9F"/>
    <w:rsid w:val="12033F91"/>
    <w:rsid w:val="120A7556"/>
    <w:rsid w:val="120F07B3"/>
    <w:rsid w:val="121700F0"/>
    <w:rsid w:val="12174DED"/>
    <w:rsid w:val="122347FC"/>
    <w:rsid w:val="122359F4"/>
    <w:rsid w:val="12261F55"/>
    <w:rsid w:val="123212B1"/>
    <w:rsid w:val="124706EB"/>
    <w:rsid w:val="124E39EB"/>
    <w:rsid w:val="125D33A6"/>
    <w:rsid w:val="12682F27"/>
    <w:rsid w:val="12712DBC"/>
    <w:rsid w:val="127B15E0"/>
    <w:rsid w:val="128B5E58"/>
    <w:rsid w:val="129C2721"/>
    <w:rsid w:val="12A173C6"/>
    <w:rsid w:val="12A2089F"/>
    <w:rsid w:val="12A574E4"/>
    <w:rsid w:val="12AA1FCD"/>
    <w:rsid w:val="12AE43AB"/>
    <w:rsid w:val="12BB0647"/>
    <w:rsid w:val="12C36107"/>
    <w:rsid w:val="12C72579"/>
    <w:rsid w:val="12CD02E4"/>
    <w:rsid w:val="12CD0B79"/>
    <w:rsid w:val="12D614DA"/>
    <w:rsid w:val="12D93B56"/>
    <w:rsid w:val="12EB22F1"/>
    <w:rsid w:val="12F86CEF"/>
    <w:rsid w:val="12FF3FAC"/>
    <w:rsid w:val="13050AED"/>
    <w:rsid w:val="13077E39"/>
    <w:rsid w:val="130A5042"/>
    <w:rsid w:val="130C0567"/>
    <w:rsid w:val="130D5EF4"/>
    <w:rsid w:val="131806E8"/>
    <w:rsid w:val="13180E81"/>
    <w:rsid w:val="131B76BF"/>
    <w:rsid w:val="131E5A54"/>
    <w:rsid w:val="132666FE"/>
    <w:rsid w:val="132B2FAA"/>
    <w:rsid w:val="13300B4F"/>
    <w:rsid w:val="13302AD6"/>
    <w:rsid w:val="13352C51"/>
    <w:rsid w:val="1335521D"/>
    <w:rsid w:val="133A3D80"/>
    <w:rsid w:val="134C1E93"/>
    <w:rsid w:val="134E0FBA"/>
    <w:rsid w:val="135C54E2"/>
    <w:rsid w:val="136006AB"/>
    <w:rsid w:val="136C4388"/>
    <w:rsid w:val="137B2262"/>
    <w:rsid w:val="1387393B"/>
    <w:rsid w:val="138D7FB7"/>
    <w:rsid w:val="139307A7"/>
    <w:rsid w:val="139E24CA"/>
    <w:rsid w:val="13CA764E"/>
    <w:rsid w:val="13D85728"/>
    <w:rsid w:val="13DA0421"/>
    <w:rsid w:val="13E575F5"/>
    <w:rsid w:val="13EC1236"/>
    <w:rsid w:val="13F628A9"/>
    <w:rsid w:val="13FF11B0"/>
    <w:rsid w:val="14005205"/>
    <w:rsid w:val="1404363E"/>
    <w:rsid w:val="14113CC3"/>
    <w:rsid w:val="14172C63"/>
    <w:rsid w:val="14186DED"/>
    <w:rsid w:val="1424201B"/>
    <w:rsid w:val="14287802"/>
    <w:rsid w:val="142B455C"/>
    <w:rsid w:val="142D20C9"/>
    <w:rsid w:val="14310562"/>
    <w:rsid w:val="143E1E92"/>
    <w:rsid w:val="1448144E"/>
    <w:rsid w:val="144C52DA"/>
    <w:rsid w:val="14572526"/>
    <w:rsid w:val="14600F3D"/>
    <w:rsid w:val="1463094C"/>
    <w:rsid w:val="14636207"/>
    <w:rsid w:val="146E4979"/>
    <w:rsid w:val="147015CE"/>
    <w:rsid w:val="14705B06"/>
    <w:rsid w:val="148964D2"/>
    <w:rsid w:val="149C0447"/>
    <w:rsid w:val="149F349B"/>
    <w:rsid w:val="14A43C64"/>
    <w:rsid w:val="14A75D6E"/>
    <w:rsid w:val="14A93DFD"/>
    <w:rsid w:val="14AE709E"/>
    <w:rsid w:val="14AF3399"/>
    <w:rsid w:val="14B54A06"/>
    <w:rsid w:val="14C1517A"/>
    <w:rsid w:val="14C46036"/>
    <w:rsid w:val="14C95F28"/>
    <w:rsid w:val="14CA7A3B"/>
    <w:rsid w:val="14D83477"/>
    <w:rsid w:val="14E51EF4"/>
    <w:rsid w:val="14F07FF2"/>
    <w:rsid w:val="14F1597F"/>
    <w:rsid w:val="14F56A4A"/>
    <w:rsid w:val="14F6254D"/>
    <w:rsid w:val="14F67A40"/>
    <w:rsid w:val="150074C4"/>
    <w:rsid w:val="1502609F"/>
    <w:rsid w:val="1509116B"/>
    <w:rsid w:val="150C2883"/>
    <w:rsid w:val="150E365F"/>
    <w:rsid w:val="151625EC"/>
    <w:rsid w:val="151B2925"/>
    <w:rsid w:val="151C0B37"/>
    <w:rsid w:val="152A50C1"/>
    <w:rsid w:val="15324A69"/>
    <w:rsid w:val="15390394"/>
    <w:rsid w:val="15432790"/>
    <w:rsid w:val="15513F6E"/>
    <w:rsid w:val="15641ED2"/>
    <w:rsid w:val="156C71A8"/>
    <w:rsid w:val="15736F2A"/>
    <w:rsid w:val="157D2FF2"/>
    <w:rsid w:val="15833B89"/>
    <w:rsid w:val="158877FC"/>
    <w:rsid w:val="1592405F"/>
    <w:rsid w:val="159B190B"/>
    <w:rsid w:val="15A15127"/>
    <w:rsid w:val="15B650F5"/>
    <w:rsid w:val="15BC1645"/>
    <w:rsid w:val="15BE493E"/>
    <w:rsid w:val="15CB6368"/>
    <w:rsid w:val="15CF287D"/>
    <w:rsid w:val="15D0424F"/>
    <w:rsid w:val="15D51921"/>
    <w:rsid w:val="15D82C35"/>
    <w:rsid w:val="15DB5F39"/>
    <w:rsid w:val="15E24378"/>
    <w:rsid w:val="15E65D5D"/>
    <w:rsid w:val="15F26272"/>
    <w:rsid w:val="15F96CAC"/>
    <w:rsid w:val="16003EBB"/>
    <w:rsid w:val="160A56C6"/>
    <w:rsid w:val="16117820"/>
    <w:rsid w:val="16143E55"/>
    <w:rsid w:val="16160F6A"/>
    <w:rsid w:val="16181F63"/>
    <w:rsid w:val="161E0919"/>
    <w:rsid w:val="16213F84"/>
    <w:rsid w:val="162A2C97"/>
    <w:rsid w:val="162C4EF6"/>
    <w:rsid w:val="163068BB"/>
    <w:rsid w:val="16312A12"/>
    <w:rsid w:val="163D2691"/>
    <w:rsid w:val="164A3C03"/>
    <w:rsid w:val="16576FFF"/>
    <w:rsid w:val="166E5447"/>
    <w:rsid w:val="167B1FA5"/>
    <w:rsid w:val="167D5A4F"/>
    <w:rsid w:val="167D5C8B"/>
    <w:rsid w:val="167D5D73"/>
    <w:rsid w:val="16827E0D"/>
    <w:rsid w:val="16942708"/>
    <w:rsid w:val="169A44F1"/>
    <w:rsid w:val="16AD2A96"/>
    <w:rsid w:val="16B9680F"/>
    <w:rsid w:val="16C021F8"/>
    <w:rsid w:val="16C51A1F"/>
    <w:rsid w:val="16C52BE5"/>
    <w:rsid w:val="16D769AB"/>
    <w:rsid w:val="16E04894"/>
    <w:rsid w:val="16FD5A0C"/>
    <w:rsid w:val="16FF5248"/>
    <w:rsid w:val="17011880"/>
    <w:rsid w:val="1707488A"/>
    <w:rsid w:val="17093D7D"/>
    <w:rsid w:val="170D1C6C"/>
    <w:rsid w:val="17185E43"/>
    <w:rsid w:val="171A746E"/>
    <w:rsid w:val="171C7BD2"/>
    <w:rsid w:val="171E28E6"/>
    <w:rsid w:val="17205824"/>
    <w:rsid w:val="17224EDE"/>
    <w:rsid w:val="1724329B"/>
    <w:rsid w:val="172474C1"/>
    <w:rsid w:val="17360383"/>
    <w:rsid w:val="17432D6B"/>
    <w:rsid w:val="17580BCA"/>
    <w:rsid w:val="175D213E"/>
    <w:rsid w:val="176161EF"/>
    <w:rsid w:val="1764447F"/>
    <w:rsid w:val="17665D05"/>
    <w:rsid w:val="177032FA"/>
    <w:rsid w:val="17767F07"/>
    <w:rsid w:val="178E023F"/>
    <w:rsid w:val="178F6A13"/>
    <w:rsid w:val="17A46455"/>
    <w:rsid w:val="17A967CF"/>
    <w:rsid w:val="17AA4E4E"/>
    <w:rsid w:val="17B513B1"/>
    <w:rsid w:val="17BA6F24"/>
    <w:rsid w:val="17D5127C"/>
    <w:rsid w:val="17DB41FD"/>
    <w:rsid w:val="17EE1F12"/>
    <w:rsid w:val="18087F07"/>
    <w:rsid w:val="180A7BFE"/>
    <w:rsid w:val="180C16BE"/>
    <w:rsid w:val="181B60D9"/>
    <w:rsid w:val="181F5100"/>
    <w:rsid w:val="182320B0"/>
    <w:rsid w:val="1825474B"/>
    <w:rsid w:val="183423A1"/>
    <w:rsid w:val="18453FC9"/>
    <w:rsid w:val="184975A7"/>
    <w:rsid w:val="184E23F7"/>
    <w:rsid w:val="18501CDC"/>
    <w:rsid w:val="185B0C66"/>
    <w:rsid w:val="185B3AA3"/>
    <w:rsid w:val="185D2622"/>
    <w:rsid w:val="186E4C91"/>
    <w:rsid w:val="186E7D6B"/>
    <w:rsid w:val="18747453"/>
    <w:rsid w:val="18840ED6"/>
    <w:rsid w:val="18862EF4"/>
    <w:rsid w:val="1895169E"/>
    <w:rsid w:val="189665E0"/>
    <w:rsid w:val="18A93AA9"/>
    <w:rsid w:val="18BA2D76"/>
    <w:rsid w:val="18C979DE"/>
    <w:rsid w:val="18D87F02"/>
    <w:rsid w:val="18DC25C3"/>
    <w:rsid w:val="18DF73B3"/>
    <w:rsid w:val="18E070E4"/>
    <w:rsid w:val="18E44789"/>
    <w:rsid w:val="18FD0A35"/>
    <w:rsid w:val="1915052B"/>
    <w:rsid w:val="191E5048"/>
    <w:rsid w:val="1934698E"/>
    <w:rsid w:val="1942617C"/>
    <w:rsid w:val="19466537"/>
    <w:rsid w:val="19517ECB"/>
    <w:rsid w:val="196064FA"/>
    <w:rsid w:val="196B760C"/>
    <w:rsid w:val="196C4D5C"/>
    <w:rsid w:val="19746251"/>
    <w:rsid w:val="197719EE"/>
    <w:rsid w:val="197A1330"/>
    <w:rsid w:val="197C0C76"/>
    <w:rsid w:val="197E1AF9"/>
    <w:rsid w:val="198669E6"/>
    <w:rsid w:val="19942C88"/>
    <w:rsid w:val="1999328D"/>
    <w:rsid w:val="199A3F2C"/>
    <w:rsid w:val="19A617B4"/>
    <w:rsid w:val="19A922D2"/>
    <w:rsid w:val="19A94838"/>
    <w:rsid w:val="19AC1F87"/>
    <w:rsid w:val="19B14AEA"/>
    <w:rsid w:val="19BE0767"/>
    <w:rsid w:val="19BF02B8"/>
    <w:rsid w:val="19C702F8"/>
    <w:rsid w:val="19CA6EB2"/>
    <w:rsid w:val="19CC727D"/>
    <w:rsid w:val="19D73138"/>
    <w:rsid w:val="19D92726"/>
    <w:rsid w:val="19DC06D0"/>
    <w:rsid w:val="19DF2A9B"/>
    <w:rsid w:val="19DF3D8E"/>
    <w:rsid w:val="19E14B66"/>
    <w:rsid w:val="19E25E4D"/>
    <w:rsid w:val="19EA47AB"/>
    <w:rsid w:val="19F026DD"/>
    <w:rsid w:val="19F05152"/>
    <w:rsid w:val="19F1444F"/>
    <w:rsid w:val="1A003650"/>
    <w:rsid w:val="1A043415"/>
    <w:rsid w:val="1A070118"/>
    <w:rsid w:val="1A075651"/>
    <w:rsid w:val="1A077D2F"/>
    <w:rsid w:val="1A0A219E"/>
    <w:rsid w:val="1A1B7FE1"/>
    <w:rsid w:val="1A236969"/>
    <w:rsid w:val="1A286F60"/>
    <w:rsid w:val="1A2C7A02"/>
    <w:rsid w:val="1A2D0203"/>
    <w:rsid w:val="1A2D3EDE"/>
    <w:rsid w:val="1A3934F4"/>
    <w:rsid w:val="1A3E65EE"/>
    <w:rsid w:val="1A413381"/>
    <w:rsid w:val="1A472610"/>
    <w:rsid w:val="1A520FBE"/>
    <w:rsid w:val="1A5333FC"/>
    <w:rsid w:val="1A6F58ED"/>
    <w:rsid w:val="1A7275D5"/>
    <w:rsid w:val="1A7B02F1"/>
    <w:rsid w:val="1A970818"/>
    <w:rsid w:val="1AAB4CA1"/>
    <w:rsid w:val="1AB00ACD"/>
    <w:rsid w:val="1AB77CCA"/>
    <w:rsid w:val="1ABC53BD"/>
    <w:rsid w:val="1AC90C8B"/>
    <w:rsid w:val="1ADB2D37"/>
    <w:rsid w:val="1AE47673"/>
    <w:rsid w:val="1B003112"/>
    <w:rsid w:val="1B0623C3"/>
    <w:rsid w:val="1B0F3F68"/>
    <w:rsid w:val="1B103D73"/>
    <w:rsid w:val="1B163DFC"/>
    <w:rsid w:val="1B196291"/>
    <w:rsid w:val="1B21144F"/>
    <w:rsid w:val="1B280851"/>
    <w:rsid w:val="1B2E1013"/>
    <w:rsid w:val="1B381912"/>
    <w:rsid w:val="1B395568"/>
    <w:rsid w:val="1B407834"/>
    <w:rsid w:val="1B41572D"/>
    <w:rsid w:val="1B4D47DE"/>
    <w:rsid w:val="1B4F421C"/>
    <w:rsid w:val="1B5A755A"/>
    <w:rsid w:val="1B5D0A87"/>
    <w:rsid w:val="1B636547"/>
    <w:rsid w:val="1B642B83"/>
    <w:rsid w:val="1B647EDE"/>
    <w:rsid w:val="1B83432E"/>
    <w:rsid w:val="1B851B28"/>
    <w:rsid w:val="1B8C7593"/>
    <w:rsid w:val="1B933924"/>
    <w:rsid w:val="1B9C1EC6"/>
    <w:rsid w:val="1BA17139"/>
    <w:rsid w:val="1BA23DC4"/>
    <w:rsid w:val="1BA609FB"/>
    <w:rsid w:val="1BB11F4C"/>
    <w:rsid w:val="1BBC1CA7"/>
    <w:rsid w:val="1BC2223F"/>
    <w:rsid w:val="1BC629DE"/>
    <w:rsid w:val="1BD8142C"/>
    <w:rsid w:val="1BDE4BA6"/>
    <w:rsid w:val="1BE54402"/>
    <w:rsid w:val="1BEE404E"/>
    <w:rsid w:val="1BF7443D"/>
    <w:rsid w:val="1C0217DF"/>
    <w:rsid w:val="1C05092F"/>
    <w:rsid w:val="1C067C67"/>
    <w:rsid w:val="1C09172E"/>
    <w:rsid w:val="1C2928C2"/>
    <w:rsid w:val="1C3D0B0F"/>
    <w:rsid w:val="1C3F6712"/>
    <w:rsid w:val="1C451740"/>
    <w:rsid w:val="1C457937"/>
    <w:rsid w:val="1C48310E"/>
    <w:rsid w:val="1C4F1C5B"/>
    <w:rsid w:val="1C516CD2"/>
    <w:rsid w:val="1C5262DB"/>
    <w:rsid w:val="1C571AA0"/>
    <w:rsid w:val="1C5A442F"/>
    <w:rsid w:val="1C5C1A83"/>
    <w:rsid w:val="1C5E383E"/>
    <w:rsid w:val="1C644DB1"/>
    <w:rsid w:val="1C7E51D8"/>
    <w:rsid w:val="1C867971"/>
    <w:rsid w:val="1C89419D"/>
    <w:rsid w:val="1C8A28C2"/>
    <w:rsid w:val="1C9B14B0"/>
    <w:rsid w:val="1C9B637D"/>
    <w:rsid w:val="1CA40C0C"/>
    <w:rsid w:val="1CB21A4B"/>
    <w:rsid w:val="1CB74949"/>
    <w:rsid w:val="1CB81D96"/>
    <w:rsid w:val="1CD5683F"/>
    <w:rsid w:val="1CE269B3"/>
    <w:rsid w:val="1CE26D9F"/>
    <w:rsid w:val="1CEB499E"/>
    <w:rsid w:val="1CFF1ABF"/>
    <w:rsid w:val="1D0B60B4"/>
    <w:rsid w:val="1D190072"/>
    <w:rsid w:val="1D1B1C2D"/>
    <w:rsid w:val="1D1C51E9"/>
    <w:rsid w:val="1D231173"/>
    <w:rsid w:val="1D262960"/>
    <w:rsid w:val="1D2D0597"/>
    <w:rsid w:val="1D33777C"/>
    <w:rsid w:val="1D366EE8"/>
    <w:rsid w:val="1D370EF1"/>
    <w:rsid w:val="1D3D0649"/>
    <w:rsid w:val="1D3F04E6"/>
    <w:rsid w:val="1D3F1422"/>
    <w:rsid w:val="1D40154F"/>
    <w:rsid w:val="1D403285"/>
    <w:rsid w:val="1D4B5569"/>
    <w:rsid w:val="1D4D7618"/>
    <w:rsid w:val="1D4F048A"/>
    <w:rsid w:val="1D512826"/>
    <w:rsid w:val="1D5178E6"/>
    <w:rsid w:val="1D526622"/>
    <w:rsid w:val="1D5B5D2C"/>
    <w:rsid w:val="1D5C0434"/>
    <w:rsid w:val="1D622FF7"/>
    <w:rsid w:val="1D630BCC"/>
    <w:rsid w:val="1D693F29"/>
    <w:rsid w:val="1D740786"/>
    <w:rsid w:val="1D7615C4"/>
    <w:rsid w:val="1D7A37DB"/>
    <w:rsid w:val="1D7D6734"/>
    <w:rsid w:val="1D8B3A5B"/>
    <w:rsid w:val="1D8C2B34"/>
    <w:rsid w:val="1D8F06D0"/>
    <w:rsid w:val="1D94798E"/>
    <w:rsid w:val="1D9D6FF3"/>
    <w:rsid w:val="1D9F31B9"/>
    <w:rsid w:val="1DA23388"/>
    <w:rsid w:val="1DAD6BC5"/>
    <w:rsid w:val="1DB06535"/>
    <w:rsid w:val="1DB54174"/>
    <w:rsid w:val="1DB97D04"/>
    <w:rsid w:val="1DCE1814"/>
    <w:rsid w:val="1DED2DDA"/>
    <w:rsid w:val="1DF72EE2"/>
    <w:rsid w:val="1E117340"/>
    <w:rsid w:val="1E120BA4"/>
    <w:rsid w:val="1E15341A"/>
    <w:rsid w:val="1E194B86"/>
    <w:rsid w:val="1E1A5164"/>
    <w:rsid w:val="1E253B42"/>
    <w:rsid w:val="1E277F02"/>
    <w:rsid w:val="1E2834F7"/>
    <w:rsid w:val="1E3A163E"/>
    <w:rsid w:val="1E3A526C"/>
    <w:rsid w:val="1E3C4E01"/>
    <w:rsid w:val="1E494532"/>
    <w:rsid w:val="1E593CF9"/>
    <w:rsid w:val="1E7926B6"/>
    <w:rsid w:val="1E8D444A"/>
    <w:rsid w:val="1E96045A"/>
    <w:rsid w:val="1E9B4EB2"/>
    <w:rsid w:val="1E9C27FC"/>
    <w:rsid w:val="1EAF7347"/>
    <w:rsid w:val="1EB47F54"/>
    <w:rsid w:val="1EB708DB"/>
    <w:rsid w:val="1EBC4004"/>
    <w:rsid w:val="1EC31262"/>
    <w:rsid w:val="1ED6778D"/>
    <w:rsid w:val="1ED726B4"/>
    <w:rsid w:val="1EDE53E2"/>
    <w:rsid w:val="1EEC0E77"/>
    <w:rsid w:val="1EF23B0D"/>
    <w:rsid w:val="1EFB559C"/>
    <w:rsid w:val="1F0F09DB"/>
    <w:rsid w:val="1F2150C9"/>
    <w:rsid w:val="1F237235"/>
    <w:rsid w:val="1F2B4A12"/>
    <w:rsid w:val="1F355966"/>
    <w:rsid w:val="1F3C3877"/>
    <w:rsid w:val="1F3D3C30"/>
    <w:rsid w:val="1F4515B2"/>
    <w:rsid w:val="1F483C21"/>
    <w:rsid w:val="1F4B0BE5"/>
    <w:rsid w:val="1F4F388C"/>
    <w:rsid w:val="1F51767D"/>
    <w:rsid w:val="1F532DA6"/>
    <w:rsid w:val="1F551B6E"/>
    <w:rsid w:val="1F594420"/>
    <w:rsid w:val="1F5B0B02"/>
    <w:rsid w:val="1F705077"/>
    <w:rsid w:val="1F862CF3"/>
    <w:rsid w:val="1F886FA7"/>
    <w:rsid w:val="1FA96E4C"/>
    <w:rsid w:val="1FAC017C"/>
    <w:rsid w:val="1FBC37D3"/>
    <w:rsid w:val="1FD11518"/>
    <w:rsid w:val="1FD2380D"/>
    <w:rsid w:val="1FD61F23"/>
    <w:rsid w:val="1FE16E27"/>
    <w:rsid w:val="1FED417F"/>
    <w:rsid w:val="1FF26B3D"/>
    <w:rsid w:val="2003339F"/>
    <w:rsid w:val="2009302C"/>
    <w:rsid w:val="200A7B67"/>
    <w:rsid w:val="201B23DD"/>
    <w:rsid w:val="20277313"/>
    <w:rsid w:val="20283FFD"/>
    <w:rsid w:val="202F4199"/>
    <w:rsid w:val="203D30AE"/>
    <w:rsid w:val="20454486"/>
    <w:rsid w:val="204E212C"/>
    <w:rsid w:val="20504CBF"/>
    <w:rsid w:val="2054026E"/>
    <w:rsid w:val="206A0005"/>
    <w:rsid w:val="20762E71"/>
    <w:rsid w:val="207748CC"/>
    <w:rsid w:val="208438ED"/>
    <w:rsid w:val="20903E4E"/>
    <w:rsid w:val="20906B7D"/>
    <w:rsid w:val="20933A06"/>
    <w:rsid w:val="20997A75"/>
    <w:rsid w:val="209D22B4"/>
    <w:rsid w:val="20A769E0"/>
    <w:rsid w:val="20AC309F"/>
    <w:rsid w:val="20AE53E1"/>
    <w:rsid w:val="20B547ED"/>
    <w:rsid w:val="20B91AD5"/>
    <w:rsid w:val="20C427B9"/>
    <w:rsid w:val="20C6209A"/>
    <w:rsid w:val="20D72CF6"/>
    <w:rsid w:val="20E03174"/>
    <w:rsid w:val="20E51585"/>
    <w:rsid w:val="20F32260"/>
    <w:rsid w:val="20F625EA"/>
    <w:rsid w:val="20FB43F0"/>
    <w:rsid w:val="20FB676C"/>
    <w:rsid w:val="21041ECB"/>
    <w:rsid w:val="210469CC"/>
    <w:rsid w:val="21094289"/>
    <w:rsid w:val="211C2204"/>
    <w:rsid w:val="211D2484"/>
    <w:rsid w:val="211E0459"/>
    <w:rsid w:val="21286EB3"/>
    <w:rsid w:val="212B5888"/>
    <w:rsid w:val="212C68D7"/>
    <w:rsid w:val="21345203"/>
    <w:rsid w:val="213D7C4C"/>
    <w:rsid w:val="214510F2"/>
    <w:rsid w:val="21453080"/>
    <w:rsid w:val="21497810"/>
    <w:rsid w:val="214B381F"/>
    <w:rsid w:val="215D7191"/>
    <w:rsid w:val="215E768F"/>
    <w:rsid w:val="21641DE3"/>
    <w:rsid w:val="216D4D6D"/>
    <w:rsid w:val="217312AC"/>
    <w:rsid w:val="21776B0B"/>
    <w:rsid w:val="21824410"/>
    <w:rsid w:val="21867929"/>
    <w:rsid w:val="2189144E"/>
    <w:rsid w:val="218E592C"/>
    <w:rsid w:val="219042DA"/>
    <w:rsid w:val="21A1172D"/>
    <w:rsid w:val="21B47F5B"/>
    <w:rsid w:val="21CF7C99"/>
    <w:rsid w:val="21DD13F3"/>
    <w:rsid w:val="21E430F3"/>
    <w:rsid w:val="21FC6010"/>
    <w:rsid w:val="21FF4DEE"/>
    <w:rsid w:val="22053222"/>
    <w:rsid w:val="220A13C1"/>
    <w:rsid w:val="220E4723"/>
    <w:rsid w:val="220F4F05"/>
    <w:rsid w:val="22182848"/>
    <w:rsid w:val="222022F7"/>
    <w:rsid w:val="22250A28"/>
    <w:rsid w:val="222B17CD"/>
    <w:rsid w:val="222B325A"/>
    <w:rsid w:val="22391127"/>
    <w:rsid w:val="223F530F"/>
    <w:rsid w:val="224730F4"/>
    <w:rsid w:val="22497DDC"/>
    <w:rsid w:val="224A6C26"/>
    <w:rsid w:val="22510BCD"/>
    <w:rsid w:val="22515C9C"/>
    <w:rsid w:val="22590B38"/>
    <w:rsid w:val="225B5E61"/>
    <w:rsid w:val="22605358"/>
    <w:rsid w:val="2269733C"/>
    <w:rsid w:val="226B0C37"/>
    <w:rsid w:val="22860EFB"/>
    <w:rsid w:val="22894F6C"/>
    <w:rsid w:val="229E5EF6"/>
    <w:rsid w:val="229F2CD8"/>
    <w:rsid w:val="22A0665F"/>
    <w:rsid w:val="22A81E9B"/>
    <w:rsid w:val="22AB0BE3"/>
    <w:rsid w:val="22B928E2"/>
    <w:rsid w:val="22BB710D"/>
    <w:rsid w:val="22C84B1C"/>
    <w:rsid w:val="22C93320"/>
    <w:rsid w:val="22D00A05"/>
    <w:rsid w:val="22DE308D"/>
    <w:rsid w:val="22DF700B"/>
    <w:rsid w:val="22ED6513"/>
    <w:rsid w:val="22F42780"/>
    <w:rsid w:val="22F94608"/>
    <w:rsid w:val="23084994"/>
    <w:rsid w:val="230C3BF2"/>
    <w:rsid w:val="230D44B2"/>
    <w:rsid w:val="231112A1"/>
    <w:rsid w:val="23153D73"/>
    <w:rsid w:val="23294DA4"/>
    <w:rsid w:val="232A31F4"/>
    <w:rsid w:val="232B3028"/>
    <w:rsid w:val="23324B43"/>
    <w:rsid w:val="23353927"/>
    <w:rsid w:val="233A0D56"/>
    <w:rsid w:val="233B7F84"/>
    <w:rsid w:val="23467365"/>
    <w:rsid w:val="234E5292"/>
    <w:rsid w:val="23523288"/>
    <w:rsid w:val="235424EC"/>
    <w:rsid w:val="236C4C45"/>
    <w:rsid w:val="236F00CF"/>
    <w:rsid w:val="2371781E"/>
    <w:rsid w:val="23787EBC"/>
    <w:rsid w:val="237E2346"/>
    <w:rsid w:val="237F1892"/>
    <w:rsid w:val="23830BF6"/>
    <w:rsid w:val="2391337B"/>
    <w:rsid w:val="239D00EF"/>
    <w:rsid w:val="239F199E"/>
    <w:rsid w:val="23A07C85"/>
    <w:rsid w:val="23AA6630"/>
    <w:rsid w:val="23AB52C0"/>
    <w:rsid w:val="23AF2C1D"/>
    <w:rsid w:val="23B238A1"/>
    <w:rsid w:val="23B82958"/>
    <w:rsid w:val="23BF0A67"/>
    <w:rsid w:val="23C63FC5"/>
    <w:rsid w:val="23D10C83"/>
    <w:rsid w:val="23E21C4E"/>
    <w:rsid w:val="23E34485"/>
    <w:rsid w:val="240F218E"/>
    <w:rsid w:val="24120D92"/>
    <w:rsid w:val="241847E6"/>
    <w:rsid w:val="241B793F"/>
    <w:rsid w:val="241D0382"/>
    <w:rsid w:val="2427539E"/>
    <w:rsid w:val="242E4DF4"/>
    <w:rsid w:val="24332B4D"/>
    <w:rsid w:val="243A6FB9"/>
    <w:rsid w:val="24461561"/>
    <w:rsid w:val="24465E7F"/>
    <w:rsid w:val="2464719D"/>
    <w:rsid w:val="246D5534"/>
    <w:rsid w:val="24762209"/>
    <w:rsid w:val="24773CE6"/>
    <w:rsid w:val="247A68DB"/>
    <w:rsid w:val="24812CAC"/>
    <w:rsid w:val="24977505"/>
    <w:rsid w:val="24A26D93"/>
    <w:rsid w:val="24A310A6"/>
    <w:rsid w:val="24A90781"/>
    <w:rsid w:val="24A94685"/>
    <w:rsid w:val="24BA7B31"/>
    <w:rsid w:val="24C56B1E"/>
    <w:rsid w:val="24CA4072"/>
    <w:rsid w:val="24CF1893"/>
    <w:rsid w:val="24D75DE1"/>
    <w:rsid w:val="24DB08E9"/>
    <w:rsid w:val="24E203FF"/>
    <w:rsid w:val="24EA2E16"/>
    <w:rsid w:val="24FD6E00"/>
    <w:rsid w:val="25007C4D"/>
    <w:rsid w:val="250410B4"/>
    <w:rsid w:val="25066490"/>
    <w:rsid w:val="25081631"/>
    <w:rsid w:val="25085A2D"/>
    <w:rsid w:val="25095FB4"/>
    <w:rsid w:val="25125B70"/>
    <w:rsid w:val="25142268"/>
    <w:rsid w:val="251A55CA"/>
    <w:rsid w:val="251B0537"/>
    <w:rsid w:val="251C72FE"/>
    <w:rsid w:val="253007AC"/>
    <w:rsid w:val="253C30F9"/>
    <w:rsid w:val="254D3444"/>
    <w:rsid w:val="254E38B7"/>
    <w:rsid w:val="255327A8"/>
    <w:rsid w:val="255C4A4F"/>
    <w:rsid w:val="25615CD6"/>
    <w:rsid w:val="2577795C"/>
    <w:rsid w:val="25787DC6"/>
    <w:rsid w:val="25822169"/>
    <w:rsid w:val="258348C9"/>
    <w:rsid w:val="2585266E"/>
    <w:rsid w:val="25857D51"/>
    <w:rsid w:val="25921CA4"/>
    <w:rsid w:val="25947996"/>
    <w:rsid w:val="259F531F"/>
    <w:rsid w:val="25A24227"/>
    <w:rsid w:val="25A663CD"/>
    <w:rsid w:val="25A9799F"/>
    <w:rsid w:val="25B4788F"/>
    <w:rsid w:val="25B8042B"/>
    <w:rsid w:val="25BF3B70"/>
    <w:rsid w:val="25C215BF"/>
    <w:rsid w:val="25CB2AE5"/>
    <w:rsid w:val="25D17FBD"/>
    <w:rsid w:val="25D22FF2"/>
    <w:rsid w:val="25D84432"/>
    <w:rsid w:val="25E41429"/>
    <w:rsid w:val="25F068A9"/>
    <w:rsid w:val="25F47DCB"/>
    <w:rsid w:val="26017FE3"/>
    <w:rsid w:val="260F0FCC"/>
    <w:rsid w:val="26162F9F"/>
    <w:rsid w:val="26285570"/>
    <w:rsid w:val="262B337E"/>
    <w:rsid w:val="262C1722"/>
    <w:rsid w:val="262C38A3"/>
    <w:rsid w:val="262E0F7F"/>
    <w:rsid w:val="26473C37"/>
    <w:rsid w:val="266202F1"/>
    <w:rsid w:val="26665AD9"/>
    <w:rsid w:val="26681125"/>
    <w:rsid w:val="267C4A71"/>
    <w:rsid w:val="267E62E7"/>
    <w:rsid w:val="268637CF"/>
    <w:rsid w:val="268846E6"/>
    <w:rsid w:val="269D74B9"/>
    <w:rsid w:val="269E430B"/>
    <w:rsid w:val="26A128F1"/>
    <w:rsid w:val="26A31B69"/>
    <w:rsid w:val="26A61943"/>
    <w:rsid w:val="26AD07F9"/>
    <w:rsid w:val="26B367DF"/>
    <w:rsid w:val="26B42A1A"/>
    <w:rsid w:val="26C116E8"/>
    <w:rsid w:val="26C25308"/>
    <w:rsid w:val="26C655A0"/>
    <w:rsid w:val="26C86A12"/>
    <w:rsid w:val="26CA7463"/>
    <w:rsid w:val="26CB529A"/>
    <w:rsid w:val="26D00710"/>
    <w:rsid w:val="26E222DC"/>
    <w:rsid w:val="26E628DC"/>
    <w:rsid w:val="26E65E49"/>
    <w:rsid w:val="26EA4AAD"/>
    <w:rsid w:val="26F0197C"/>
    <w:rsid w:val="26F55BE8"/>
    <w:rsid w:val="26F56719"/>
    <w:rsid w:val="270B5779"/>
    <w:rsid w:val="270D7803"/>
    <w:rsid w:val="27137843"/>
    <w:rsid w:val="271B104A"/>
    <w:rsid w:val="273A445C"/>
    <w:rsid w:val="273B1378"/>
    <w:rsid w:val="273F08A2"/>
    <w:rsid w:val="27427939"/>
    <w:rsid w:val="27533C8E"/>
    <w:rsid w:val="2756245B"/>
    <w:rsid w:val="27586B74"/>
    <w:rsid w:val="275E4A93"/>
    <w:rsid w:val="276B63AC"/>
    <w:rsid w:val="276D67BF"/>
    <w:rsid w:val="27740206"/>
    <w:rsid w:val="27845EBA"/>
    <w:rsid w:val="279723AC"/>
    <w:rsid w:val="27A46E01"/>
    <w:rsid w:val="27A92674"/>
    <w:rsid w:val="27B35675"/>
    <w:rsid w:val="27CA1384"/>
    <w:rsid w:val="27D33954"/>
    <w:rsid w:val="27D7701A"/>
    <w:rsid w:val="27DC1F02"/>
    <w:rsid w:val="27DF53AA"/>
    <w:rsid w:val="27E90584"/>
    <w:rsid w:val="27FE3209"/>
    <w:rsid w:val="28002268"/>
    <w:rsid w:val="2808149B"/>
    <w:rsid w:val="280865A3"/>
    <w:rsid w:val="28095B66"/>
    <w:rsid w:val="280C5626"/>
    <w:rsid w:val="28180DB2"/>
    <w:rsid w:val="281C67C6"/>
    <w:rsid w:val="28262FFA"/>
    <w:rsid w:val="2831017E"/>
    <w:rsid w:val="283264F5"/>
    <w:rsid w:val="28370F22"/>
    <w:rsid w:val="28382D1E"/>
    <w:rsid w:val="283E16C3"/>
    <w:rsid w:val="28443D22"/>
    <w:rsid w:val="28493539"/>
    <w:rsid w:val="2866617B"/>
    <w:rsid w:val="286D5B95"/>
    <w:rsid w:val="286F5102"/>
    <w:rsid w:val="287F1A75"/>
    <w:rsid w:val="28806A5E"/>
    <w:rsid w:val="2882003E"/>
    <w:rsid w:val="28893793"/>
    <w:rsid w:val="289C186B"/>
    <w:rsid w:val="289E1ADE"/>
    <w:rsid w:val="28A2755B"/>
    <w:rsid w:val="28A97AF2"/>
    <w:rsid w:val="28B12E5F"/>
    <w:rsid w:val="28B93229"/>
    <w:rsid w:val="28BA4414"/>
    <w:rsid w:val="28C5219E"/>
    <w:rsid w:val="28CC2700"/>
    <w:rsid w:val="28D0111A"/>
    <w:rsid w:val="28DC03E8"/>
    <w:rsid w:val="28EC424C"/>
    <w:rsid w:val="28EC6178"/>
    <w:rsid w:val="28F10F1A"/>
    <w:rsid w:val="28F11492"/>
    <w:rsid w:val="28F42A33"/>
    <w:rsid w:val="28FC0AE4"/>
    <w:rsid w:val="29096924"/>
    <w:rsid w:val="291B55B8"/>
    <w:rsid w:val="291D1D8A"/>
    <w:rsid w:val="29205315"/>
    <w:rsid w:val="2922093E"/>
    <w:rsid w:val="2923009C"/>
    <w:rsid w:val="29235AB0"/>
    <w:rsid w:val="29253ACB"/>
    <w:rsid w:val="29293BB2"/>
    <w:rsid w:val="2929562D"/>
    <w:rsid w:val="292B14A8"/>
    <w:rsid w:val="2930256F"/>
    <w:rsid w:val="293E32BA"/>
    <w:rsid w:val="29467712"/>
    <w:rsid w:val="294C19C5"/>
    <w:rsid w:val="294C50AC"/>
    <w:rsid w:val="294E13D9"/>
    <w:rsid w:val="295C1BAE"/>
    <w:rsid w:val="295F5621"/>
    <w:rsid w:val="296F7D9B"/>
    <w:rsid w:val="2974658F"/>
    <w:rsid w:val="298A529C"/>
    <w:rsid w:val="298E7BA9"/>
    <w:rsid w:val="299B288D"/>
    <w:rsid w:val="299F70B2"/>
    <w:rsid w:val="29A256AF"/>
    <w:rsid w:val="29AB2002"/>
    <w:rsid w:val="29AD15DD"/>
    <w:rsid w:val="29B16239"/>
    <w:rsid w:val="29B31170"/>
    <w:rsid w:val="29BE62A7"/>
    <w:rsid w:val="29BE68E7"/>
    <w:rsid w:val="29BF38DB"/>
    <w:rsid w:val="29C36E35"/>
    <w:rsid w:val="29CE7BAB"/>
    <w:rsid w:val="29D717BD"/>
    <w:rsid w:val="29E11A02"/>
    <w:rsid w:val="29E4221E"/>
    <w:rsid w:val="29E838ED"/>
    <w:rsid w:val="29E952C2"/>
    <w:rsid w:val="29EE028D"/>
    <w:rsid w:val="29F7183A"/>
    <w:rsid w:val="2A0252C0"/>
    <w:rsid w:val="2A0F7B5E"/>
    <w:rsid w:val="2A1472D7"/>
    <w:rsid w:val="2A15437E"/>
    <w:rsid w:val="2A1E2270"/>
    <w:rsid w:val="2A253865"/>
    <w:rsid w:val="2A2765EA"/>
    <w:rsid w:val="2A276930"/>
    <w:rsid w:val="2A306A8E"/>
    <w:rsid w:val="2A332FE8"/>
    <w:rsid w:val="2A3705FA"/>
    <w:rsid w:val="2A3F7FF4"/>
    <w:rsid w:val="2A4230EA"/>
    <w:rsid w:val="2A4A2B40"/>
    <w:rsid w:val="2A563230"/>
    <w:rsid w:val="2A5723F8"/>
    <w:rsid w:val="2A5D2F1B"/>
    <w:rsid w:val="2A620E59"/>
    <w:rsid w:val="2A667317"/>
    <w:rsid w:val="2A667FEE"/>
    <w:rsid w:val="2A672BB5"/>
    <w:rsid w:val="2A676C1A"/>
    <w:rsid w:val="2A7930C8"/>
    <w:rsid w:val="2A7B5501"/>
    <w:rsid w:val="2A7C4DFA"/>
    <w:rsid w:val="2A8D5FAA"/>
    <w:rsid w:val="2A9C636E"/>
    <w:rsid w:val="2A9D68C5"/>
    <w:rsid w:val="2AA369A1"/>
    <w:rsid w:val="2AAB3F7D"/>
    <w:rsid w:val="2AB11E4B"/>
    <w:rsid w:val="2AB54523"/>
    <w:rsid w:val="2AC95377"/>
    <w:rsid w:val="2ACB3B4E"/>
    <w:rsid w:val="2AD0063B"/>
    <w:rsid w:val="2AD06270"/>
    <w:rsid w:val="2AD22100"/>
    <w:rsid w:val="2AF21E8B"/>
    <w:rsid w:val="2AF81962"/>
    <w:rsid w:val="2B0C1367"/>
    <w:rsid w:val="2B140748"/>
    <w:rsid w:val="2B144FEE"/>
    <w:rsid w:val="2B184F98"/>
    <w:rsid w:val="2B217D2B"/>
    <w:rsid w:val="2B2A6E1D"/>
    <w:rsid w:val="2B2E61BA"/>
    <w:rsid w:val="2B357E8F"/>
    <w:rsid w:val="2B3B2315"/>
    <w:rsid w:val="2B442B28"/>
    <w:rsid w:val="2B443DB8"/>
    <w:rsid w:val="2B447F8C"/>
    <w:rsid w:val="2B482EBD"/>
    <w:rsid w:val="2B4D7268"/>
    <w:rsid w:val="2B527D81"/>
    <w:rsid w:val="2B587FF8"/>
    <w:rsid w:val="2B5E683A"/>
    <w:rsid w:val="2B6107ED"/>
    <w:rsid w:val="2B6428DA"/>
    <w:rsid w:val="2B6E267A"/>
    <w:rsid w:val="2B731C37"/>
    <w:rsid w:val="2B7942B0"/>
    <w:rsid w:val="2B7A700A"/>
    <w:rsid w:val="2B7C05F4"/>
    <w:rsid w:val="2B7C4B5A"/>
    <w:rsid w:val="2B7D31BC"/>
    <w:rsid w:val="2B7E0A92"/>
    <w:rsid w:val="2B846DD9"/>
    <w:rsid w:val="2B967F8B"/>
    <w:rsid w:val="2B9D5A68"/>
    <w:rsid w:val="2BA87186"/>
    <w:rsid w:val="2BB56B1A"/>
    <w:rsid w:val="2BBF4233"/>
    <w:rsid w:val="2BDD6E12"/>
    <w:rsid w:val="2BE62B4B"/>
    <w:rsid w:val="2BE94332"/>
    <w:rsid w:val="2BEC167C"/>
    <w:rsid w:val="2BED7C81"/>
    <w:rsid w:val="2BEF5E63"/>
    <w:rsid w:val="2BFA626C"/>
    <w:rsid w:val="2C084621"/>
    <w:rsid w:val="2C186D12"/>
    <w:rsid w:val="2C1C20A9"/>
    <w:rsid w:val="2C1E328B"/>
    <w:rsid w:val="2C286654"/>
    <w:rsid w:val="2C315972"/>
    <w:rsid w:val="2C334589"/>
    <w:rsid w:val="2C3823E4"/>
    <w:rsid w:val="2C450566"/>
    <w:rsid w:val="2C4A78EF"/>
    <w:rsid w:val="2C4D6197"/>
    <w:rsid w:val="2C542E3A"/>
    <w:rsid w:val="2C5B3850"/>
    <w:rsid w:val="2C634F07"/>
    <w:rsid w:val="2C75110C"/>
    <w:rsid w:val="2C7A6F87"/>
    <w:rsid w:val="2C7D1DD2"/>
    <w:rsid w:val="2C7F444E"/>
    <w:rsid w:val="2C816910"/>
    <w:rsid w:val="2C92734F"/>
    <w:rsid w:val="2C974F7D"/>
    <w:rsid w:val="2CA252DF"/>
    <w:rsid w:val="2CA305DC"/>
    <w:rsid w:val="2CAD43E8"/>
    <w:rsid w:val="2CB3524E"/>
    <w:rsid w:val="2CB41485"/>
    <w:rsid w:val="2CCC1A01"/>
    <w:rsid w:val="2CD127A8"/>
    <w:rsid w:val="2CD42AC8"/>
    <w:rsid w:val="2CD43F01"/>
    <w:rsid w:val="2CE06ADC"/>
    <w:rsid w:val="2CE434B7"/>
    <w:rsid w:val="2CF64B25"/>
    <w:rsid w:val="2CFE716B"/>
    <w:rsid w:val="2D024E57"/>
    <w:rsid w:val="2D077192"/>
    <w:rsid w:val="2D133EB2"/>
    <w:rsid w:val="2D1411FA"/>
    <w:rsid w:val="2D152281"/>
    <w:rsid w:val="2D156596"/>
    <w:rsid w:val="2D1F67AE"/>
    <w:rsid w:val="2D2B53E8"/>
    <w:rsid w:val="2D35106A"/>
    <w:rsid w:val="2D505425"/>
    <w:rsid w:val="2D5A5065"/>
    <w:rsid w:val="2D6A1AEC"/>
    <w:rsid w:val="2D6F7BED"/>
    <w:rsid w:val="2D70535B"/>
    <w:rsid w:val="2D7251D8"/>
    <w:rsid w:val="2D755061"/>
    <w:rsid w:val="2D77483C"/>
    <w:rsid w:val="2D813B36"/>
    <w:rsid w:val="2D842F1A"/>
    <w:rsid w:val="2D920154"/>
    <w:rsid w:val="2D9976E2"/>
    <w:rsid w:val="2D9D1EA4"/>
    <w:rsid w:val="2DA34EF5"/>
    <w:rsid w:val="2DA8017B"/>
    <w:rsid w:val="2DA9069F"/>
    <w:rsid w:val="2DB72BC2"/>
    <w:rsid w:val="2DB770D2"/>
    <w:rsid w:val="2DBC02CE"/>
    <w:rsid w:val="2DBF2F58"/>
    <w:rsid w:val="2DC67F0B"/>
    <w:rsid w:val="2DDB7DFA"/>
    <w:rsid w:val="2DF34919"/>
    <w:rsid w:val="2E1835B1"/>
    <w:rsid w:val="2E2B3512"/>
    <w:rsid w:val="2E4324DA"/>
    <w:rsid w:val="2E52731E"/>
    <w:rsid w:val="2E5D0E63"/>
    <w:rsid w:val="2E6721F0"/>
    <w:rsid w:val="2E79348E"/>
    <w:rsid w:val="2E852ACB"/>
    <w:rsid w:val="2E8863B4"/>
    <w:rsid w:val="2EA015F1"/>
    <w:rsid w:val="2EA024D1"/>
    <w:rsid w:val="2EA1348E"/>
    <w:rsid w:val="2EA8202E"/>
    <w:rsid w:val="2EB04D19"/>
    <w:rsid w:val="2EB166AB"/>
    <w:rsid w:val="2EB3490D"/>
    <w:rsid w:val="2EBE7D19"/>
    <w:rsid w:val="2EC64D04"/>
    <w:rsid w:val="2EC901D7"/>
    <w:rsid w:val="2ED051A0"/>
    <w:rsid w:val="2EDB3D76"/>
    <w:rsid w:val="2EDC22A6"/>
    <w:rsid w:val="2EDF3DDB"/>
    <w:rsid w:val="2EE44062"/>
    <w:rsid w:val="2EFE2F95"/>
    <w:rsid w:val="2F0509F1"/>
    <w:rsid w:val="2F1201CF"/>
    <w:rsid w:val="2F145336"/>
    <w:rsid w:val="2F1E3DB3"/>
    <w:rsid w:val="2F26673C"/>
    <w:rsid w:val="2F4100F5"/>
    <w:rsid w:val="2F46214C"/>
    <w:rsid w:val="2F4E0B46"/>
    <w:rsid w:val="2F544800"/>
    <w:rsid w:val="2F5F4700"/>
    <w:rsid w:val="2F603A6A"/>
    <w:rsid w:val="2F700217"/>
    <w:rsid w:val="2FA22DFE"/>
    <w:rsid w:val="2FA318F0"/>
    <w:rsid w:val="2FBF68A3"/>
    <w:rsid w:val="2FC9496C"/>
    <w:rsid w:val="2FCC4A77"/>
    <w:rsid w:val="2FCD52D7"/>
    <w:rsid w:val="2FD22892"/>
    <w:rsid w:val="2FD31664"/>
    <w:rsid w:val="2FD51EA5"/>
    <w:rsid w:val="2FED3BC4"/>
    <w:rsid w:val="2FEF1151"/>
    <w:rsid w:val="2FF458C9"/>
    <w:rsid w:val="2FF66F32"/>
    <w:rsid w:val="2FF670A7"/>
    <w:rsid w:val="2FF7169A"/>
    <w:rsid w:val="2FF765D6"/>
    <w:rsid w:val="2FF933F9"/>
    <w:rsid w:val="2FFC4438"/>
    <w:rsid w:val="3007482D"/>
    <w:rsid w:val="300C2568"/>
    <w:rsid w:val="3026092D"/>
    <w:rsid w:val="302E5F3C"/>
    <w:rsid w:val="30314EB8"/>
    <w:rsid w:val="303C0284"/>
    <w:rsid w:val="30462661"/>
    <w:rsid w:val="305A6442"/>
    <w:rsid w:val="305C2635"/>
    <w:rsid w:val="30613062"/>
    <w:rsid w:val="30655059"/>
    <w:rsid w:val="307136E6"/>
    <w:rsid w:val="307658EC"/>
    <w:rsid w:val="30841DAC"/>
    <w:rsid w:val="308E03A6"/>
    <w:rsid w:val="309C5707"/>
    <w:rsid w:val="309D0795"/>
    <w:rsid w:val="30A919BE"/>
    <w:rsid w:val="30AE1D09"/>
    <w:rsid w:val="30B1499E"/>
    <w:rsid w:val="30BB3FD9"/>
    <w:rsid w:val="30BE3F50"/>
    <w:rsid w:val="30C86AB3"/>
    <w:rsid w:val="30D81B3D"/>
    <w:rsid w:val="30DA32BF"/>
    <w:rsid w:val="30EF4BD7"/>
    <w:rsid w:val="30EF7BFF"/>
    <w:rsid w:val="30F02C02"/>
    <w:rsid w:val="30F30AC1"/>
    <w:rsid w:val="310F6E39"/>
    <w:rsid w:val="3118459C"/>
    <w:rsid w:val="311B4D8D"/>
    <w:rsid w:val="311E07F7"/>
    <w:rsid w:val="31261529"/>
    <w:rsid w:val="31272425"/>
    <w:rsid w:val="312E544E"/>
    <w:rsid w:val="313057FA"/>
    <w:rsid w:val="313A196E"/>
    <w:rsid w:val="313B05D5"/>
    <w:rsid w:val="31472496"/>
    <w:rsid w:val="316560EC"/>
    <w:rsid w:val="31753C10"/>
    <w:rsid w:val="318678B4"/>
    <w:rsid w:val="31881012"/>
    <w:rsid w:val="318E7CBE"/>
    <w:rsid w:val="319F4D9F"/>
    <w:rsid w:val="31B70DF7"/>
    <w:rsid w:val="31CE7BB5"/>
    <w:rsid w:val="31D10261"/>
    <w:rsid w:val="31D92A4C"/>
    <w:rsid w:val="31E57610"/>
    <w:rsid w:val="31EA22FE"/>
    <w:rsid w:val="31F16D03"/>
    <w:rsid w:val="31F47DC6"/>
    <w:rsid w:val="31F92A6F"/>
    <w:rsid w:val="31FA2BF2"/>
    <w:rsid w:val="31FE06AE"/>
    <w:rsid w:val="31FE1BFF"/>
    <w:rsid w:val="320104A3"/>
    <w:rsid w:val="320336DF"/>
    <w:rsid w:val="3214323B"/>
    <w:rsid w:val="32173206"/>
    <w:rsid w:val="321D7EDA"/>
    <w:rsid w:val="32225ABD"/>
    <w:rsid w:val="322B6A4E"/>
    <w:rsid w:val="32391C9F"/>
    <w:rsid w:val="323F466C"/>
    <w:rsid w:val="32454E82"/>
    <w:rsid w:val="32460A89"/>
    <w:rsid w:val="32461745"/>
    <w:rsid w:val="3248549E"/>
    <w:rsid w:val="32491590"/>
    <w:rsid w:val="324D0E72"/>
    <w:rsid w:val="325453F3"/>
    <w:rsid w:val="32643067"/>
    <w:rsid w:val="326A21EF"/>
    <w:rsid w:val="327B1F9F"/>
    <w:rsid w:val="32884B8E"/>
    <w:rsid w:val="328A6DAE"/>
    <w:rsid w:val="32AC0031"/>
    <w:rsid w:val="32B54F17"/>
    <w:rsid w:val="32B8574F"/>
    <w:rsid w:val="32C0298F"/>
    <w:rsid w:val="32C44399"/>
    <w:rsid w:val="32CC4F93"/>
    <w:rsid w:val="32CF3EEC"/>
    <w:rsid w:val="32D55A28"/>
    <w:rsid w:val="32E558A2"/>
    <w:rsid w:val="32FA32B7"/>
    <w:rsid w:val="330C2A9A"/>
    <w:rsid w:val="330D7A08"/>
    <w:rsid w:val="331C7C0C"/>
    <w:rsid w:val="3328712B"/>
    <w:rsid w:val="3332058F"/>
    <w:rsid w:val="333373CC"/>
    <w:rsid w:val="33346179"/>
    <w:rsid w:val="33346908"/>
    <w:rsid w:val="333636C9"/>
    <w:rsid w:val="333726DB"/>
    <w:rsid w:val="33393E2C"/>
    <w:rsid w:val="333F0E83"/>
    <w:rsid w:val="33465B36"/>
    <w:rsid w:val="334D175A"/>
    <w:rsid w:val="335D7A4F"/>
    <w:rsid w:val="336045CB"/>
    <w:rsid w:val="33650CAA"/>
    <w:rsid w:val="33713745"/>
    <w:rsid w:val="337A39BA"/>
    <w:rsid w:val="337B0E24"/>
    <w:rsid w:val="338D06DC"/>
    <w:rsid w:val="339A72FB"/>
    <w:rsid w:val="33A336EF"/>
    <w:rsid w:val="33AB464E"/>
    <w:rsid w:val="33B9549D"/>
    <w:rsid w:val="33BE1549"/>
    <w:rsid w:val="33C860F8"/>
    <w:rsid w:val="33DE220C"/>
    <w:rsid w:val="33DE57BA"/>
    <w:rsid w:val="33E26C50"/>
    <w:rsid w:val="33EC5958"/>
    <w:rsid w:val="33ED5AF2"/>
    <w:rsid w:val="33EE7170"/>
    <w:rsid w:val="33FE552D"/>
    <w:rsid w:val="33FF702C"/>
    <w:rsid w:val="34023302"/>
    <w:rsid w:val="34042E97"/>
    <w:rsid w:val="34071D65"/>
    <w:rsid w:val="340F578C"/>
    <w:rsid w:val="3410777F"/>
    <w:rsid w:val="34190E90"/>
    <w:rsid w:val="34197884"/>
    <w:rsid w:val="341B67F4"/>
    <w:rsid w:val="34241E8E"/>
    <w:rsid w:val="3424360F"/>
    <w:rsid w:val="342C0E51"/>
    <w:rsid w:val="34300FA3"/>
    <w:rsid w:val="343B2E98"/>
    <w:rsid w:val="344605AA"/>
    <w:rsid w:val="34481CD0"/>
    <w:rsid w:val="344B6252"/>
    <w:rsid w:val="34581840"/>
    <w:rsid w:val="34602A06"/>
    <w:rsid w:val="34612B14"/>
    <w:rsid w:val="3464024B"/>
    <w:rsid w:val="3465048D"/>
    <w:rsid w:val="34797DCF"/>
    <w:rsid w:val="348722A0"/>
    <w:rsid w:val="348F359B"/>
    <w:rsid w:val="349F1AA3"/>
    <w:rsid w:val="34A9284D"/>
    <w:rsid w:val="34B07223"/>
    <w:rsid w:val="34B54A50"/>
    <w:rsid w:val="34B6583E"/>
    <w:rsid w:val="34B76BC7"/>
    <w:rsid w:val="34BB2CD7"/>
    <w:rsid w:val="34BC46ED"/>
    <w:rsid w:val="34BE1635"/>
    <w:rsid w:val="34C23F0D"/>
    <w:rsid w:val="34C57286"/>
    <w:rsid w:val="34CC00D3"/>
    <w:rsid w:val="34D2441F"/>
    <w:rsid w:val="34D72C19"/>
    <w:rsid w:val="34D73340"/>
    <w:rsid w:val="34DA756E"/>
    <w:rsid w:val="34DC5044"/>
    <w:rsid w:val="34E20187"/>
    <w:rsid w:val="34EB291C"/>
    <w:rsid w:val="350C4AD3"/>
    <w:rsid w:val="350F4737"/>
    <w:rsid w:val="35143012"/>
    <w:rsid w:val="351A1EF3"/>
    <w:rsid w:val="351E2264"/>
    <w:rsid w:val="3526195B"/>
    <w:rsid w:val="35270D50"/>
    <w:rsid w:val="35281E1D"/>
    <w:rsid w:val="353D15CB"/>
    <w:rsid w:val="35404339"/>
    <w:rsid w:val="35447836"/>
    <w:rsid w:val="354C413B"/>
    <w:rsid w:val="355565AF"/>
    <w:rsid w:val="355B34A4"/>
    <w:rsid w:val="35631F42"/>
    <w:rsid w:val="35642417"/>
    <w:rsid w:val="356B739B"/>
    <w:rsid w:val="35713CF3"/>
    <w:rsid w:val="357D2D9B"/>
    <w:rsid w:val="358316A2"/>
    <w:rsid w:val="35A457F3"/>
    <w:rsid w:val="35AC1F22"/>
    <w:rsid w:val="35AF636D"/>
    <w:rsid w:val="35B03F34"/>
    <w:rsid w:val="35BF0193"/>
    <w:rsid w:val="35BF228D"/>
    <w:rsid w:val="35C32A56"/>
    <w:rsid w:val="35C402E4"/>
    <w:rsid w:val="35C745DA"/>
    <w:rsid w:val="35CB7BC4"/>
    <w:rsid w:val="35CE1479"/>
    <w:rsid w:val="35CE42A3"/>
    <w:rsid w:val="35D444EA"/>
    <w:rsid w:val="35E45310"/>
    <w:rsid w:val="35EC6F72"/>
    <w:rsid w:val="35FA49FC"/>
    <w:rsid w:val="36111D3B"/>
    <w:rsid w:val="36136399"/>
    <w:rsid w:val="361C71C0"/>
    <w:rsid w:val="361D5BB0"/>
    <w:rsid w:val="361F255F"/>
    <w:rsid w:val="3626537A"/>
    <w:rsid w:val="363D5BC2"/>
    <w:rsid w:val="363E4C6B"/>
    <w:rsid w:val="36411BD2"/>
    <w:rsid w:val="364918AE"/>
    <w:rsid w:val="364A5848"/>
    <w:rsid w:val="365E5B6A"/>
    <w:rsid w:val="36641444"/>
    <w:rsid w:val="36762B93"/>
    <w:rsid w:val="367F0410"/>
    <w:rsid w:val="3696776B"/>
    <w:rsid w:val="36B01301"/>
    <w:rsid w:val="36C162B9"/>
    <w:rsid w:val="36C22673"/>
    <w:rsid w:val="36D03DAA"/>
    <w:rsid w:val="36D1082A"/>
    <w:rsid w:val="36D254F8"/>
    <w:rsid w:val="36F0197C"/>
    <w:rsid w:val="36FB43FE"/>
    <w:rsid w:val="370137E2"/>
    <w:rsid w:val="370500D3"/>
    <w:rsid w:val="370E42BB"/>
    <w:rsid w:val="37101D05"/>
    <w:rsid w:val="37114944"/>
    <w:rsid w:val="371449DF"/>
    <w:rsid w:val="371674E1"/>
    <w:rsid w:val="371930A2"/>
    <w:rsid w:val="371A4595"/>
    <w:rsid w:val="371E043B"/>
    <w:rsid w:val="37262D3A"/>
    <w:rsid w:val="373A7AF8"/>
    <w:rsid w:val="373D491F"/>
    <w:rsid w:val="373D6328"/>
    <w:rsid w:val="373F58B6"/>
    <w:rsid w:val="37420AD4"/>
    <w:rsid w:val="374534D2"/>
    <w:rsid w:val="37457A24"/>
    <w:rsid w:val="37526CB1"/>
    <w:rsid w:val="375767E6"/>
    <w:rsid w:val="375C6F89"/>
    <w:rsid w:val="37667C0A"/>
    <w:rsid w:val="376F58CE"/>
    <w:rsid w:val="37805199"/>
    <w:rsid w:val="37856ABB"/>
    <w:rsid w:val="3785733B"/>
    <w:rsid w:val="378A61F6"/>
    <w:rsid w:val="37900C02"/>
    <w:rsid w:val="37905561"/>
    <w:rsid w:val="37962082"/>
    <w:rsid w:val="379E43AF"/>
    <w:rsid w:val="37A66D50"/>
    <w:rsid w:val="37AB4832"/>
    <w:rsid w:val="37AD4028"/>
    <w:rsid w:val="37B53B48"/>
    <w:rsid w:val="37BB02A4"/>
    <w:rsid w:val="37C36E7D"/>
    <w:rsid w:val="37D70140"/>
    <w:rsid w:val="37D822CF"/>
    <w:rsid w:val="37D83A95"/>
    <w:rsid w:val="37D93FA5"/>
    <w:rsid w:val="37E018D6"/>
    <w:rsid w:val="37E22DB7"/>
    <w:rsid w:val="37E329F4"/>
    <w:rsid w:val="37E53CA1"/>
    <w:rsid w:val="37E86773"/>
    <w:rsid w:val="37EA40E9"/>
    <w:rsid w:val="37EC15D3"/>
    <w:rsid w:val="37F12801"/>
    <w:rsid w:val="37F23C93"/>
    <w:rsid w:val="37FF62E3"/>
    <w:rsid w:val="380B7682"/>
    <w:rsid w:val="38123EDC"/>
    <w:rsid w:val="381D6D09"/>
    <w:rsid w:val="38222DAE"/>
    <w:rsid w:val="3828625F"/>
    <w:rsid w:val="382E4764"/>
    <w:rsid w:val="383E1C7E"/>
    <w:rsid w:val="38405E59"/>
    <w:rsid w:val="38406232"/>
    <w:rsid w:val="38410EBF"/>
    <w:rsid w:val="384D1CCD"/>
    <w:rsid w:val="38523359"/>
    <w:rsid w:val="38564A03"/>
    <w:rsid w:val="385B57A5"/>
    <w:rsid w:val="386108A2"/>
    <w:rsid w:val="386910FC"/>
    <w:rsid w:val="386F2891"/>
    <w:rsid w:val="387F4B81"/>
    <w:rsid w:val="38920917"/>
    <w:rsid w:val="38936DEF"/>
    <w:rsid w:val="389802E1"/>
    <w:rsid w:val="38A9024C"/>
    <w:rsid w:val="38A920F3"/>
    <w:rsid w:val="38B02EDC"/>
    <w:rsid w:val="38B03C65"/>
    <w:rsid w:val="38B81960"/>
    <w:rsid w:val="38C05568"/>
    <w:rsid w:val="38C54391"/>
    <w:rsid w:val="38C56618"/>
    <w:rsid w:val="38C966F2"/>
    <w:rsid w:val="38E21813"/>
    <w:rsid w:val="38F16DAC"/>
    <w:rsid w:val="38F925DF"/>
    <w:rsid w:val="38FC759F"/>
    <w:rsid w:val="39022116"/>
    <w:rsid w:val="39046CBB"/>
    <w:rsid w:val="39085FCE"/>
    <w:rsid w:val="391A539D"/>
    <w:rsid w:val="392C0F8F"/>
    <w:rsid w:val="392D41BE"/>
    <w:rsid w:val="392F768E"/>
    <w:rsid w:val="393F78C4"/>
    <w:rsid w:val="3940499F"/>
    <w:rsid w:val="39502B7F"/>
    <w:rsid w:val="395567F6"/>
    <w:rsid w:val="395753B9"/>
    <w:rsid w:val="396371A6"/>
    <w:rsid w:val="396A5B4C"/>
    <w:rsid w:val="397216AB"/>
    <w:rsid w:val="39722483"/>
    <w:rsid w:val="39725411"/>
    <w:rsid w:val="39776DE7"/>
    <w:rsid w:val="3978472E"/>
    <w:rsid w:val="39851B94"/>
    <w:rsid w:val="39931F67"/>
    <w:rsid w:val="39B23A0E"/>
    <w:rsid w:val="39B32288"/>
    <w:rsid w:val="39B77B25"/>
    <w:rsid w:val="39BE7535"/>
    <w:rsid w:val="39C1457C"/>
    <w:rsid w:val="39C82975"/>
    <w:rsid w:val="39CA7B6B"/>
    <w:rsid w:val="39DB415E"/>
    <w:rsid w:val="39EA554C"/>
    <w:rsid w:val="39EE617E"/>
    <w:rsid w:val="3A0057F9"/>
    <w:rsid w:val="3A005DCC"/>
    <w:rsid w:val="3A0D519A"/>
    <w:rsid w:val="3A110698"/>
    <w:rsid w:val="3A165069"/>
    <w:rsid w:val="3A165D90"/>
    <w:rsid w:val="3A1A600C"/>
    <w:rsid w:val="3A1A7103"/>
    <w:rsid w:val="3A1D330E"/>
    <w:rsid w:val="3A1D5BB7"/>
    <w:rsid w:val="3A201FED"/>
    <w:rsid w:val="3A303BAB"/>
    <w:rsid w:val="3A425A40"/>
    <w:rsid w:val="3A4856FD"/>
    <w:rsid w:val="3A4C4FDA"/>
    <w:rsid w:val="3A4D7C0C"/>
    <w:rsid w:val="3A4E3255"/>
    <w:rsid w:val="3A526EC4"/>
    <w:rsid w:val="3A544053"/>
    <w:rsid w:val="3A5E2491"/>
    <w:rsid w:val="3A6020F7"/>
    <w:rsid w:val="3A6C0E45"/>
    <w:rsid w:val="3A8C217C"/>
    <w:rsid w:val="3A8F5F18"/>
    <w:rsid w:val="3AA6051E"/>
    <w:rsid w:val="3AAD51B1"/>
    <w:rsid w:val="3AB028FF"/>
    <w:rsid w:val="3AB77902"/>
    <w:rsid w:val="3ABB780A"/>
    <w:rsid w:val="3ABD2125"/>
    <w:rsid w:val="3AC10939"/>
    <w:rsid w:val="3AC873F6"/>
    <w:rsid w:val="3AC96800"/>
    <w:rsid w:val="3ACF560F"/>
    <w:rsid w:val="3AE37BDD"/>
    <w:rsid w:val="3AED3D62"/>
    <w:rsid w:val="3AEE5B0E"/>
    <w:rsid w:val="3AF93B35"/>
    <w:rsid w:val="3AF94658"/>
    <w:rsid w:val="3AFD08D2"/>
    <w:rsid w:val="3B1E322E"/>
    <w:rsid w:val="3B2136B9"/>
    <w:rsid w:val="3B230240"/>
    <w:rsid w:val="3B311019"/>
    <w:rsid w:val="3B4A3A1C"/>
    <w:rsid w:val="3B4A6A61"/>
    <w:rsid w:val="3B5B2C90"/>
    <w:rsid w:val="3B60454D"/>
    <w:rsid w:val="3B642C2E"/>
    <w:rsid w:val="3B6C02E4"/>
    <w:rsid w:val="3B6E49BC"/>
    <w:rsid w:val="3B7B7262"/>
    <w:rsid w:val="3B7D1A04"/>
    <w:rsid w:val="3B8107C0"/>
    <w:rsid w:val="3B81295F"/>
    <w:rsid w:val="3B835015"/>
    <w:rsid w:val="3B8D2298"/>
    <w:rsid w:val="3B984501"/>
    <w:rsid w:val="3B9A57C6"/>
    <w:rsid w:val="3B9C41DB"/>
    <w:rsid w:val="3BA0197E"/>
    <w:rsid w:val="3BA06EAA"/>
    <w:rsid w:val="3BA64036"/>
    <w:rsid w:val="3BB57280"/>
    <w:rsid w:val="3BBA761D"/>
    <w:rsid w:val="3BBC539F"/>
    <w:rsid w:val="3BCD3338"/>
    <w:rsid w:val="3BDC7BE3"/>
    <w:rsid w:val="3BE57EC4"/>
    <w:rsid w:val="3BE802F7"/>
    <w:rsid w:val="3BFE15DD"/>
    <w:rsid w:val="3C183625"/>
    <w:rsid w:val="3C2B3A11"/>
    <w:rsid w:val="3C3D12C4"/>
    <w:rsid w:val="3C3E07E3"/>
    <w:rsid w:val="3C4F6810"/>
    <w:rsid w:val="3C544C1F"/>
    <w:rsid w:val="3C5D16B6"/>
    <w:rsid w:val="3C5E2633"/>
    <w:rsid w:val="3C693FFF"/>
    <w:rsid w:val="3C6B1146"/>
    <w:rsid w:val="3C6B61FE"/>
    <w:rsid w:val="3C6F2174"/>
    <w:rsid w:val="3C714BB7"/>
    <w:rsid w:val="3C714BDA"/>
    <w:rsid w:val="3C766C83"/>
    <w:rsid w:val="3C7B004F"/>
    <w:rsid w:val="3C80170B"/>
    <w:rsid w:val="3C8105FC"/>
    <w:rsid w:val="3C836894"/>
    <w:rsid w:val="3C870ADF"/>
    <w:rsid w:val="3CA21CD1"/>
    <w:rsid w:val="3CA74156"/>
    <w:rsid w:val="3CAE6923"/>
    <w:rsid w:val="3CB42C60"/>
    <w:rsid w:val="3CD702EC"/>
    <w:rsid w:val="3CE03FB1"/>
    <w:rsid w:val="3CE22E92"/>
    <w:rsid w:val="3CE91AFF"/>
    <w:rsid w:val="3CEF30A7"/>
    <w:rsid w:val="3CF153CC"/>
    <w:rsid w:val="3D150CF9"/>
    <w:rsid w:val="3D1E485D"/>
    <w:rsid w:val="3D1E4C6D"/>
    <w:rsid w:val="3D1F6909"/>
    <w:rsid w:val="3D29796C"/>
    <w:rsid w:val="3D2A65FB"/>
    <w:rsid w:val="3D2D38B4"/>
    <w:rsid w:val="3D2F15D1"/>
    <w:rsid w:val="3D2F4F49"/>
    <w:rsid w:val="3D3F7EA7"/>
    <w:rsid w:val="3D501FAB"/>
    <w:rsid w:val="3D5045E3"/>
    <w:rsid w:val="3D590122"/>
    <w:rsid w:val="3D69793A"/>
    <w:rsid w:val="3D71533E"/>
    <w:rsid w:val="3D787C7F"/>
    <w:rsid w:val="3D84663D"/>
    <w:rsid w:val="3D8A2495"/>
    <w:rsid w:val="3D8A2CB5"/>
    <w:rsid w:val="3D8D0DD0"/>
    <w:rsid w:val="3D8F791C"/>
    <w:rsid w:val="3D92189C"/>
    <w:rsid w:val="3D957655"/>
    <w:rsid w:val="3DC71826"/>
    <w:rsid w:val="3DCA4C59"/>
    <w:rsid w:val="3DCD599D"/>
    <w:rsid w:val="3DD0631C"/>
    <w:rsid w:val="3DD14BA7"/>
    <w:rsid w:val="3DD42445"/>
    <w:rsid w:val="3DD43698"/>
    <w:rsid w:val="3DD66359"/>
    <w:rsid w:val="3DDE79D8"/>
    <w:rsid w:val="3DFC1847"/>
    <w:rsid w:val="3DFC6B57"/>
    <w:rsid w:val="3DFD147A"/>
    <w:rsid w:val="3E004AC7"/>
    <w:rsid w:val="3E0D7F80"/>
    <w:rsid w:val="3E0F4B97"/>
    <w:rsid w:val="3E1A0B85"/>
    <w:rsid w:val="3E1E53F4"/>
    <w:rsid w:val="3E260E34"/>
    <w:rsid w:val="3E3265FB"/>
    <w:rsid w:val="3E326708"/>
    <w:rsid w:val="3E363CD2"/>
    <w:rsid w:val="3E393A8F"/>
    <w:rsid w:val="3E5526C1"/>
    <w:rsid w:val="3E591805"/>
    <w:rsid w:val="3E6D62DF"/>
    <w:rsid w:val="3E751FD6"/>
    <w:rsid w:val="3E7A36E3"/>
    <w:rsid w:val="3E7B5663"/>
    <w:rsid w:val="3E8000C3"/>
    <w:rsid w:val="3EA405C0"/>
    <w:rsid w:val="3EAD331D"/>
    <w:rsid w:val="3EB029E5"/>
    <w:rsid w:val="3EBE650B"/>
    <w:rsid w:val="3ECD3652"/>
    <w:rsid w:val="3ECD5B0B"/>
    <w:rsid w:val="3ED44C32"/>
    <w:rsid w:val="3EDB3F74"/>
    <w:rsid w:val="3F0668BA"/>
    <w:rsid w:val="3F092939"/>
    <w:rsid w:val="3F0F0A0C"/>
    <w:rsid w:val="3F0F1E55"/>
    <w:rsid w:val="3F144291"/>
    <w:rsid w:val="3F1B1549"/>
    <w:rsid w:val="3F1D5609"/>
    <w:rsid w:val="3F291347"/>
    <w:rsid w:val="3F2A57F1"/>
    <w:rsid w:val="3F2D0B9B"/>
    <w:rsid w:val="3F2D0F53"/>
    <w:rsid w:val="3F3100DD"/>
    <w:rsid w:val="3F412E17"/>
    <w:rsid w:val="3F4C66EF"/>
    <w:rsid w:val="3F5254F9"/>
    <w:rsid w:val="3F557759"/>
    <w:rsid w:val="3F5A0F6F"/>
    <w:rsid w:val="3F5F75C1"/>
    <w:rsid w:val="3F610550"/>
    <w:rsid w:val="3F651F36"/>
    <w:rsid w:val="3F667AA4"/>
    <w:rsid w:val="3F727992"/>
    <w:rsid w:val="3F740212"/>
    <w:rsid w:val="3F946DAB"/>
    <w:rsid w:val="3F9C2463"/>
    <w:rsid w:val="3F9F7F01"/>
    <w:rsid w:val="3FA145FB"/>
    <w:rsid w:val="3FB46325"/>
    <w:rsid w:val="3FB9127B"/>
    <w:rsid w:val="3FB93E82"/>
    <w:rsid w:val="3FBB3270"/>
    <w:rsid w:val="3FBC356E"/>
    <w:rsid w:val="3FC920F7"/>
    <w:rsid w:val="3FCE3903"/>
    <w:rsid w:val="3FE266C5"/>
    <w:rsid w:val="3FE3566B"/>
    <w:rsid w:val="3FE63A4B"/>
    <w:rsid w:val="3FF54B35"/>
    <w:rsid w:val="40087B33"/>
    <w:rsid w:val="4013542E"/>
    <w:rsid w:val="40183E9E"/>
    <w:rsid w:val="401D0966"/>
    <w:rsid w:val="4024553F"/>
    <w:rsid w:val="40263745"/>
    <w:rsid w:val="40341C30"/>
    <w:rsid w:val="40352310"/>
    <w:rsid w:val="403860DE"/>
    <w:rsid w:val="403A2E57"/>
    <w:rsid w:val="403B2415"/>
    <w:rsid w:val="403E3C95"/>
    <w:rsid w:val="4043767B"/>
    <w:rsid w:val="404E7546"/>
    <w:rsid w:val="4060383F"/>
    <w:rsid w:val="40672B72"/>
    <w:rsid w:val="406870F5"/>
    <w:rsid w:val="40735C87"/>
    <w:rsid w:val="40852D92"/>
    <w:rsid w:val="40855E2E"/>
    <w:rsid w:val="40880940"/>
    <w:rsid w:val="408E4045"/>
    <w:rsid w:val="409221B1"/>
    <w:rsid w:val="40970F71"/>
    <w:rsid w:val="409F0D3E"/>
    <w:rsid w:val="40A028A8"/>
    <w:rsid w:val="40A02C07"/>
    <w:rsid w:val="40A6694F"/>
    <w:rsid w:val="40B812DF"/>
    <w:rsid w:val="40BE1485"/>
    <w:rsid w:val="40BF7286"/>
    <w:rsid w:val="40CA46E8"/>
    <w:rsid w:val="40CD02B0"/>
    <w:rsid w:val="40DA556D"/>
    <w:rsid w:val="40E160B1"/>
    <w:rsid w:val="40E34F98"/>
    <w:rsid w:val="40E37882"/>
    <w:rsid w:val="40F02FAE"/>
    <w:rsid w:val="40F438B4"/>
    <w:rsid w:val="40F52E07"/>
    <w:rsid w:val="40F67298"/>
    <w:rsid w:val="40FD3844"/>
    <w:rsid w:val="40FD5CA4"/>
    <w:rsid w:val="41080026"/>
    <w:rsid w:val="410C6967"/>
    <w:rsid w:val="411B4BC9"/>
    <w:rsid w:val="411B4D5B"/>
    <w:rsid w:val="411B6C04"/>
    <w:rsid w:val="411C6609"/>
    <w:rsid w:val="4132640F"/>
    <w:rsid w:val="41347979"/>
    <w:rsid w:val="41361EC6"/>
    <w:rsid w:val="413B28AB"/>
    <w:rsid w:val="41411942"/>
    <w:rsid w:val="41420D45"/>
    <w:rsid w:val="4143378D"/>
    <w:rsid w:val="414B3BD2"/>
    <w:rsid w:val="414C5142"/>
    <w:rsid w:val="41556A83"/>
    <w:rsid w:val="41562C7D"/>
    <w:rsid w:val="416C77F7"/>
    <w:rsid w:val="416E41C2"/>
    <w:rsid w:val="417B1439"/>
    <w:rsid w:val="418215F8"/>
    <w:rsid w:val="418600AC"/>
    <w:rsid w:val="41A71653"/>
    <w:rsid w:val="41A94A34"/>
    <w:rsid w:val="41AE7ADB"/>
    <w:rsid w:val="41B20129"/>
    <w:rsid w:val="41B212AF"/>
    <w:rsid w:val="41B213FC"/>
    <w:rsid w:val="41B73F8B"/>
    <w:rsid w:val="41B9070E"/>
    <w:rsid w:val="41B954E3"/>
    <w:rsid w:val="41CB09E7"/>
    <w:rsid w:val="41D159FF"/>
    <w:rsid w:val="41D21B67"/>
    <w:rsid w:val="41D32142"/>
    <w:rsid w:val="41F86571"/>
    <w:rsid w:val="41FA6BA0"/>
    <w:rsid w:val="42066F15"/>
    <w:rsid w:val="42094C4D"/>
    <w:rsid w:val="420D44A5"/>
    <w:rsid w:val="421F27A6"/>
    <w:rsid w:val="422173DA"/>
    <w:rsid w:val="422817AF"/>
    <w:rsid w:val="422A5962"/>
    <w:rsid w:val="42322E2C"/>
    <w:rsid w:val="42325D4D"/>
    <w:rsid w:val="423347FB"/>
    <w:rsid w:val="42340C5F"/>
    <w:rsid w:val="424F3677"/>
    <w:rsid w:val="42533F46"/>
    <w:rsid w:val="42610910"/>
    <w:rsid w:val="427325F0"/>
    <w:rsid w:val="427442DA"/>
    <w:rsid w:val="4274697B"/>
    <w:rsid w:val="428772D4"/>
    <w:rsid w:val="428A07FE"/>
    <w:rsid w:val="429B55E1"/>
    <w:rsid w:val="42A67C48"/>
    <w:rsid w:val="42AD783E"/>
    <w:rsid w:val="42B22E38"/>
    <w:rsid w:val="42B6283E"/>
    <w:rsid w:val="42BC1125"/>
    <w:rsid w:val="42BD0354"/>
    <w:rsid w:val="42D13754"/>
    <w:rsid w:val="42DC1A43"/>
    <w:rsid w:val="42DF4E35"/>
    <w:rsid w:val="42E4157F"/>
    <w:rsid w:val="42E52C57"/>
    <w:rsid w:val="42E62392"/>
    <w:rsid w:val="42EF6C7F"/>
    <w:rsid w:val="42F0487E"/>
    <w:rsid w:val="42F066C2"/>
    <w:rsid w:val="42F86E82"/>
    <w:rsid w:val="42F87FAA"/>
    <w:rsid w:val="432919DC"/>
    <w:rsid w:val="43343FE8"/>
    <w:rsid w:val="43375B44"/>
    <w:rsid w:val="433D4F49"/>
    <w:rsid w:val="4340095F"/>
    <w:rsid w:val="434A4920"/>
    <w:rsid w:val="434C12B5"/>
    <w:rsid w:val="43537DAA"/>
    <w:rsid w:val="43544154"/>
    <w:rsid w:val="435C0A14"/>
    <w:rsid w:val="436822D1"/>
    <w:rsid w:val="4377086E"/>
    <w:rsid w:val="437F174E"/>
    <w:rsid w:val="438363A1"/>
    <w:rsid w:val="439C02EA"/>
    <w:rsid w:val="439E2D5E"/>
    <w:rsid w:val="439E5BFC"/>
    <w:rsid w:val="43AD1381"/>
    <w:rsid w:val="43BF7975"/>
    <w:rsid w:val="43C028DE"/>
    <w:rsid w:val="43C134D4"/>
    <w:rsid w:val="43CF2CBF"/>
    <w:rsid w:val="43DD7F35"/>
    <w:rsid w:val="43F27A63"/>
    <w:rsid w:val="440B19DE"/>
    <w:rsid w:val="440F518B"/>
    <w:rsid w:val="441D36B0"/>
    <w:rsid w:val="441F7EFA"/>
    <w:rsid w:val="44275B2E"/>
    <w:rsid w:val="442F42B0"/>
    <w:rsid w:val="44354161"/>
    <w:rsid w:val="443871F1"/>
    <w:rsid w:val="443B1379"/>
    <w:rsid w:val="44452377"/>
    <w:rsid w:val="444606DF"/>
    <w:rsid w:val="44580E6C"/>
    <w:rsid w:val="445A2BB2"/>
    <w:rsid w:val="445A6F31"/>
    <w:rsid w:val="44642EA4"/>
    <w:rsid w:val="447C7D2F"/>
    <w:rsid w:val="447D7645"/>
    <w:rsid w:val="447E695F"/>
    <w:rsid w:val="448437D0"/>
    <w:rsid w:val="448C40C4"/>
    <w:rsid w:val="44945473"/>
    <w:rsid w:val="449F34E4"/>
    <w:rsid w:val="44A83F10"/>
    <w:rsid w:val="44B4132E"/>
    <w:rsid w:val="44C154EE"/>
    <w:rsid w:val="44CB5C95"/>
    <w:rsid w:val="44CD3B68"/>
    <w:rsid w:val="44CF4427"/>
    <w:rsid w:val="44DD587C"/>
    <w:rsid w:val="44E22EF8"/>
    <w:rsid w:val="44E5425F"/>
    <w:rsid w:val="44EF3D29"/>
    <w:rsid w:val="44F2742E"/>
    <w:rsid w:val="44F9230E"/>
    <w:rsid w:val="44FB5350"/>
    <w:rsid w:val="45001593"/>
    <w:rsid w:val="450A78D3"/>
    <w:rsid w:val="450C71F4"/>
    <w:rsid w:val="45193DC1"/>
    <w:rsid w:val="451A03B9"/>
    <w:rsid w:val="45231E3D"/>
    <w:rsid w:val="45244329"/>
    <w:rsid w:val="452E03D4"/>
    <w:rsid w:val="452F2225"/>
    <w:rsid w:val="45387A1B"/>
    <w:rsid w:val="453C350A"/>
    <w:rsid w:val="454129E2"/>
    <w:rsid w:val="454B3194"/>
    <w:rsid w:val="454E1449"/>
    <w:rsid w:val="45631EC8"/>
    <w:rsid w:val="45651630"/>
    <w:rsid w:val="456A0E31"/>
    <w:rsid w:val="456B2283"/>
    <w:rsid w:val="456D26BB"/>
    <w:rsid w:val="456E2687"/>
    <w:rsid w:val="45706131"/>
    <w:rsid w:val="457775B5"/>
    <w:rsid w:val="457D7C38"/>
    <w:rsid w:val="458C5BBB"/>
    <w:rsid w:val="45911443"/>
    <w:rsid w:val="459431E2"/>
    <w:rsid w:val="45964B70"/>
    <w:rsid w:val="45AA35AC"/>
    <w:rsid w:val="45B069C0"/>
    <w:rsid w:val="45BF3739"/>
    <w:rsid w:val="45C10A97"/>
    <w:rsid w:val="45C61379"/>
    <w:rsid w:val="45C87C35"/>
    <w:rsid w:val="45D043C8"/>
    <w:rsid w:val="45D66F79"/>
    <w:rsid w:val="45E75902"/>
    <w:rsid w:val="45EC24A1"/>
    <w:rsid w:val="45ED187D"/>
    <w:rsid w:val="45EE3D43"/>
    <w:rsid w:val="45EF6027"/>
    <w:rsid w:val="45EF70C2"/>
    <w:rsid w:val="45F3770D"/>
    <w:rsid w:val="45F46E7C"/>
    <w:rsid w:val="45FD53D5"/>
    <w:rsid w:val="45FE055E"/>
    <w:rsid w:val="460352E5"/>
    <w:rsid w:val="46167E08"/>
    <w:rsid w:val="461809E9"/>
    <w:rsid w:val="46193213"/>
    <w:rsid w:val="461C3B64"/>
    <w:rsid w:val="461E166B"/>
    <w:rsid w:val="46275681"/>
    <w:rsid w:val="462910C5"/>
    <w:rsid w:val="462929EB"/>
    <w:rsid w:val="462D1FD4"/>
    <w:rsid w:val="46343750"/>
    <w:rsid w:val="4634381B"/>
    <w:rsid w:val="463874B9"/>
    <w:rsid w:val="463F3225"/>
    <w:rsid w:val="463F42BD"/>
    <w:rsid w:val="46494EC4"/>
    <w:rsid w:val="464F4BC5"/>
    <w:rsid w:val="4651618E"/>
    <w:rsid w:val="4663380B"/>
    <w:rsid w:val="466552FA"/>
    <w:rsid w:val="467645D0"/>
    <w:rsid w:val="468518E3"/>
    <w:rsid w:val="46977B94"/>
    <w:rsid w:val="46B24F70"/>
    <w:rsid w:val="46B61E37"/>
    <w:rsid w:val="46B85FB0"/>
    <w:rsid w:val="46BF214E"/>
    <w:rsid w:val="46C31FFD"/>
    <w:rsid w:val="46E67CF8"/>
    <w:rsid w:val="46FC118D"/>
    <w:rsid w:val="471860CF"/>
    <w:rsid w:val="472056CD"/>
    <w:rsid w:val="47346371"/>
    <w:rsid w:val="473A1DAE"/>
    <w:rsid w:val="474569E3"/>
    <w:rsid w:val="47460CD4"/>
    <w:rsid w:val="47462911"/>
    <w:rsid w:val="474A419D"/>
    <w:rsid w:val="475D0AF0"/>
    <w:rsid w:val="476E0525"/>
    <w:rsid w:val="477827D6"/>
    <w:rsid w:val="477D29DD"/>
    <w:rsid w:val="4782235B"/>
    <w:rsid w:val="47854364"/>
    <w:rsid w:val="478C0178"/>
    <w:rsid w:val="478C7298"/>
    <w:rsid w:val="479818CA"/>
    <w:rsid w:val="479C0D37"/>
    <w:rsid w:val="47A266DD"/>
    <w:rsid w:val="47A806A6"/>
    <w:rsid w:val="47A81BD4"/>
    <w:rsid w:val="47AB5FB8"/>
    <w:rsid w:val="47B01F63"/>
    <w:rsid w:val="47B57AA9"/>
    <w:rsid w:val="47BD1A01"/>
    <w:rsid w:val="47C75897"/>
    <w:rsid w:val="47D16693"/>
    <w:rsid w:val="47D4301F"/>
    <w:rsid w:val="47FD2993"/>
    <w:rsid w:val="48081356"/>
    <w:rsid w:val="48111E70"/>
    <w:rsid w:val="48122653"/>
    <w:rsid w:val="481F3081"/>
    <w:rsid w:val="482F1009"/>
    <w:rsid w:val="483A6853"/>
    <w:rsid w:val="48415BA9"/>
    <w:rsid w:val="484C3E81"/>
    <w:rsid w:val="48512D8D"/>
    <w:rsid w:val="4853360D"/>
    <w:rsid w:val="48544E73"/>
    <w:rsid w:val="485C0139"/>
    <w:rsid w:val="48680D15"/>
    <w:rsid w:val="48703291"/>
    <w:rsid w:val="487810BE"/>
    <w:rsid w:val="487854C2"/>
    <w:rsid w:val="48986ACB"/>
    <w:rsid w:val="489B4B80"/>
    <w:rsid w:val="489C1098"/>
    <w:rsid w:val="48AE7361"/>
    <w:rsid w:val="48AF22DB"/>
    <w:rsid w:val="48C26CCD"/>
    <w:rsid w:val="48C573A7"/>
    <w:rsid w:val="48D35880"/>
    <w:rsid w:val="48D6719B"/>
    <w:rsid w:val="48DB385F"/>
    <w:rsid w:val="48E95594"/>
    <w:rsid w:val="48E95BA3"/>
    <w:rsid w:val="48F44633"/>
    <w:rsid w:val="48FC3DD9"/>
    <w:rsid w:val="490D08ED"/>
    <w:rsid w:val="490F36ED"/>
    <w:rsid w:val="49114E4A"/>
    <w:rsid w:val="49136CBE"/>
    <w:rsid w:val="49167A1D"/>
    <w:rsid w:val="49167B51"/>
    <w:rsid w:val="491F2D2B"/>
    <w:rsid w:val="49200CC1"/>
    <w:rsid w:val="49283F30"/>
    <w:rsid w:val="492F2C5D"/>
    <w:rsid w:val="493703E6"/>
    <w:rsid w:val="494B66D4"/>
    <w:rsid w:val="494E7F34"/>
    <w:rsid w:val="495D1EA2"/>
    <w:rsid w:val="496126D1"/>
    <w:rsid w:val="49627A84"/>
    <w:rsid w:val="49632BF9"/>
    <w:rsid w:val="49694817"/>
    <w:rsid w:val="496D3F81"/>
    <w:rsid w:val="49705355"/>
    <w:rsid w:val="49737D38"/>
    <w:rsid w:val="497654C2"/>
    <w:rsid w:val="497F02CD"/>
    <w:rsid w:val="498A40A7"/>
    <w:rsid w:val="498C3014"/>
    <w:rsid w:val="498E499B"/>
    <w:rsid w:val="49993113"/>
    <w:rsid w:val="49A525D0"/>
    <w:rsid w:val="49B20A4B"/>
    <w:rsid w:val="49B80D9A"/>
    <w:rsid w:val="49BB38BB"/>
    <w:rsid w:val="49C119FE"/>
    <w:rsid w:val="49C53E7F"/>
    <w:rsid w:val="49C8680B"/>
    <w:rsid w:val="49DC4761"/>
    <w:rsid w:val="49DF2E17"/>
    <w:rsid w:val="49E27FA8"/>
    <w:rsid w:val="49E34092"/>
    <w:rsid w:val="49E74EB7"/>
    <w:rsid w:val="49E848E1"/>
    <w:rsid w:val="49EA5198"/>
    <w:rsid w:val="49EC6FDA"/>
    <w:rsid w:val="49ED25E1"/>
    <w:rsid w:val="49F62A86"/>
    <w:rsid w:val="4A0C6FE4"/>
    <w:rsid w:val="4A120F67"/>
    <w:rsid w:val="4A153BB2"/>
    <w:rsid w:val="4A1D6D18"/>
    <w:rsid w:val="4A483701"/>
    <w:rsid w:val="4A4D7520"/>
    <w:rsid w:val="4A591D2A"/>
    <w:rsid w:val="4A5938F5"/>
    <w:rsid w:val="4A5C069D"/>
    <w:rsid w:val="4A637681"/>
    <w:rsid w:val="4A870DDA"/>
    <w:rsid w:val="4A8A5E97"/>
    <w:rsid w:val="4A8F6D97"/>
    <w:rsid w:val="4A947899"/>
    <w:rsid w:val="4A9608B5"/>
    <w:rsid w:val="4AB374A7"/>
    <w:rsid w:val="4AC015DC"/>
    <w:rsid w:val="4ADD6B8B"/>
    <w:rsid w:val="4AE24FDB"/>
    <w:rsid w:val="4AE74853"/>
    <w:rsid w:val="4AEA0BFE"/>
    <w:rsid w:val="4AEC1A96"/>
    <w:rsid w:val="4AF07D34"/>
    <w:rsid w:val="4AF8272A"/>
    <w:rsid w:val="4B002063"/>
    <w:rsid w:val="4B236579"/>
    <w:rsid w:val="4B256B35"/>
    <w:rsid w:val="4B2B4049"/>
    <w:rsid w:val="4B3F1CDC"/>
    <w:rsid w:val="4B434576"/>
    <w:rsid w:val="4B46092C"/>
    <w:rsid w:val="4B4C1786"/>
    <w:rsid w:val="4B4F3DA3"/>
    <w:rsid w:val="4B51021F"/>
    <w:rsid w:val="4B5B6BCB"/>
    <w:rsid w:val="4B657184"/>
    <w:rsid w:val="4B6A42ED"/>
    <w:rsid w:val="4B7A6E1E"/>
    <w:rsid w:val="4BA13FCA"/>
    <w:rsid w:val="4BA441CB"/>
    <w:rsid w:val="4BA7353C"/>
    <w:rsid w:val="4BB75EE8"/>
    <w:rsid w:val="4BB82AAE"/>
    <w:rsid w:val="4BCC0512"/>
    <w:rsid w:val="4BCD36D2"/>
    <w:rsid w:val="4BCE4304"/>
    <w:rsid w:val="4BD04899"/>
    <w:rsid w:val="4BD67E9D"/>
    <w:rsid w:val="4BD7272C"/>
    <w:rsid w:val="4BDD0878"/>
    <w:rsid w:val="4BE0264C"/>
    <w:rsid w:val="4BE165EF"/>
    <w:rsid w:val="4BE93577"/>
    <w:rsid w:val="4BED6879"/>
    <w:rsid w:val="4BF018CF"/>
    <w:rsid w:val="4BF33106"/>
    <w:rsid w:val="4BFE59E1"/>
    <w:rsid w:val="4BFF0867"/>
    <w:rsid w:val="4C001976"/>
    <w:rsid w:val="4C095C96"/>
    <w:rsid w:val="4C0A6584"/>
    <w:rsid w:val="4C1816DC"/>
    <w:rsid w:val="4C197005"/>
    <w:rsid w:val="4C1C0FA5"/>
    <w:rsid w:val="4C237780"/>
    <w:rsid w:val="4C320032"/>
    <w:rsid w:val="4C335951"/>
    <w:rsid w:val="4C3E0D64"/>
    <w:rsid w:val="4C3F21AE"/>
    <w:rsid w:val="4C400D3A"/>
    <w:rsid w:val="4C432FC2"/>
    <w:rsid w:val="4C490615"/>
    <w:rsid w:val="4C504B93"/>
    <w:rsid w:val="4C5A2774"/>
    <w:rsid w:val="4C5B6AA9"/>
    <w:rsid w:val="4C634072"/>
    <w:rsid w:val="4C773859"/>
    <w:rsid w:val="4C7F1BFD"/>
    <w:rsid w:val="4C855117"/>
    <w:rsid w:val="4C855FCB"/>
    <w:rsid w:val="4C90286A"/>
    <w:rsid w:val="4C953226"/>
    <w:rsid w:val="4C9D0394"/>
    <w:rsid w:val="4C9F1C64"/>
    <w:rsid w:val="4CA4326E"/>
    <w:rsid w:val="4CA52E92"/>
    <w:rsid w:val="4CA62988"/>
    <w:rsid w:val="4CBD20F6"/>
    <w:rsid w:val="4CC56D25"/>
    <w:rsid w:val="4CC6778C"/>
    <w:rsid w:val="4CC81936"/>
    <w:rsid w:val="4CCE2140"/>
    <w:rsid w:val="4CD01D1F"/>
    <w:rsid w:val="4CD23C01"/>
    <w:rsid w:val="4CD324B4"/>
    <w:rsid w:val="4CDD0BC6"/>
    <w:rsid w:val="4CDE282D"/>
    <w:rsid w:val="4CE577A8"/>
    <w:rsid w:val="4CEA0297"/>
    <w:rsid w:val="4CFF3AF9"/>
    <w:rsid w:val="4D0A724D"/>
    <w:rsid w:val="4D147472"/>
    <w:rsid w:val="4D1A4381"/>
    <w:rsid w:val="4D2924D2"/>
    <w:rsid w:val="4D2A43C5"/>
    <w:rsid w:val="4D3C3B78"/>
    <w:rsid w:val="4D4E78F7"/>
    <w:rsid w:val="4D5D13C2"/>
    <w:rsid w:val="4D6C55BB"/>
    <w:rsid w:val="4D722D24"/>
    <w:rsid w:val="4D764762"/>
    <w:rsid w:val="4D7D7073"/>
    <w:rsid w:val="4D8372F3"/>
    <w:rsid w:val="4D8B7B9D"/>
    <w:rsid w:val="4D961D96"/>
    <w:rsid w:val="4D964D02"/>
    <w:rsid w:val="4D9B62B4"/>
    <w:rsid w:val="4DA0113A"/>
    <w:rsid w:val="4DA85319"/>
    <w:rsid w:val="4DAA1320"/>
    <w:rsid w:val="4DB220F7"/>
    <w:rsid w:val="4DBF5807"/>
    <w:rsid w:val="4DCA09E7"/>
    <w:rsid w:val="4DE2328F"/>
    <w:rsid w:val="4DE24250"/>
    <w:rsid w:val="4DE418FE"/>
    <w:rsid w:val="4DE45709"/>
    <w:rsid w:val="4DEE526E"/>
    <w:rsid w:val="4DF43F4F"/>
    <w:rsid w:val="4E085D11"/>
    <w:rsid w:val="4E0B0A97"/>
    <w:rsid w:val="4E144B9C"/>
    <w:rsid w:val="4E2502CA"/>
    <w:rsid w:val="4E26047E"/>
    <w:rsid w:val="4E2F6C60"/>
    <w:rsid w:val="4E3130AB"/>
    <w:rsid w:val="4E365133"/>
    <w:rsid w:val="4E3A196E"/>
    <w:rsid w:val="4E3D2BEC"/>
    <w:rsid w:val="4E4816F7"/>
    <w:rsid w:val="4E4E3B76"/>
    <w:rsid w:val="4E4E43F2"/>
    <w:rsid w:val="4E5262EB"/>
    <w:rsid w:val="4E536937"/>
    <w:rsid w:val="4E5E11C6"/>
    <w:rsid w:val="4E5E6989"/>
    <w:rsid w:val="4E707BEE"/>
    <w:rsid w:val="4E7421B7"/>
    <w:rsid w:val="4E7A2C09"/>
    <w:rsid w:val="4E7A2E19"/>
    <w:rsid w:val="4E7C3CAB"/>
    <w:rsid w:val="4E8846C7"/>
    <w:rsid w:val="4E951549"/>
    <w:rsid w:val="4E996485"/>
    <w:rsid w:val="4E9A6EC3"/>
    <w:rsid w:val="4E9E6CA0"/>
    <w:rsid w:val="4EA37909"/>
    <w:rsid w:val="4EAA1847"/>
    <w:rsid w:val="4EB43229"/>
    <w:rsid w:val="4EC375CB"/>
    <w:rsid w:val="4ED53B5D"/>
    <w:rsid w:val="4EDC5312"/>
    <w:rsid w:val="4EE10C22"/>
    <w:rsid w:val="4EE6629E"/>
    <w:rsid w:val="4EEE2F1C"/>
    <w:rsid w:val="4EF4503D"/>
    <w:rsid w:val="4F09555D"/>
    <w:rsid w:val="4F1639AF"/>
    <w:rsid w:val="4F25241D"/>
    <w:rsid w:val="4F27643E"/>
    <w:rsid w:val="4F44190C"/>
    <w:rsid w:val="4F564B65"/>
    <w:rsid w:val="4F580701"/>
    <w:rsid w:val="4F592604"/>
    <w:rsid w:val="4F604B42"/>
    <w:rsid w:val="4F6575E9"/>
    <w:rsid w:val="4F6C7648"/>
    <w:rsid w:val="4F7A37D0"/>
    <w:rsid w:val="4F941A1E"/>
    <w:rsid w:val="4F9E45CB"/>
    <w:rsid w:val="4FA55AF5"/>
    <w:rsid w:val="4FAF54C7"/>
    <w:rsid w:val="4FBE7A50"/>
    <w:rsid w:val="4FC45505"/>
    <w:rsid w:val="4FCD754A"/>
    <w:rsid w:val="4FCF415B"/>
    <w:rsid w:val="4FD04524"/>
    <w:rsid w:val="4FD36BF8"/>
    <w:rsid w:val="4FD64932"/>
    <w:rsid w:val="4FDF0AB8"/>
    <w:rsid w:val="4FE47FC5"/>
    <w:rsid w:val="4FE917B6"/>
    <w:rsid w:val="4FE95025"/>
    <w:rsid w:val="4FEA0A34"/>
    <w:rsid w:val="4FF07F9F"/>
    <w:rsid w:val="4FF83B5E"/>
    <w:rsid w:val="50033932"/>
    <w:rsid w:val="500442FB"/>
    <w:rsid w:val="500B2A88"/>
    <w:rsid w:val="500F732D"/>
    <w:rsid w:val="501205A2"/>
    <w:rsid w:val="50160CC3"/>
    <w:rsid w:val="501D127C"/>
    <w:rsid w:val="50224769"/>
    <w:rsid w:val="50254C96"/>
    <w:rsid w:val="50337421"/>
    <w:rsid w:val="50340186"/>
    <w:rsid w:val="503E7BC3"/>
    <w:rsid w:val="50454FD6"/>
    <w:rsid w:val="50471632"/>
    <w:rsid w:val="50497306"/>
    <w:rsid w:val="504B4D6E"/>
    <w:rsid w:val="504E4E6A"/>
    <w:rsid w:val="50663EBF"/>
    <w:rsid w:val="50790AC5"/>
    <w:rsid w:val="507E01BB"/>
    <w:rsid w:val="507E4C0C"/>
    <w:rsid w:val="50810299"/>
    <w:rsid w:val="50886F13"/>
    <w:rsid w:val="50954483"/>
    <w:rsid w:val="50986BDA"/>
    <w:rsid w:val="50A90F4F"/>
    <w:rsid w:val="50AA3AFC"/>
    <w:rsid w:val="50B133C3"/>
    <w:rsid w:val="50BA61A1"/>
    <w:rsid w:val="50BC3607"/>
    <w:rsid w:val="50CE20CC"/>
    <w:rsid w:val="50CE4889"/>
    <w:rsid w:val="50D04690"/>
    <w:rsid w:val="50D255D0"/>
    <w:rsid w:val="50D976F5"/>
    <w:rsid w:val="50DC5135"/>
    <w:rsid w:val="50DC6BC8"/>
    <w:rsid w:val="50DD5F5D"/>
    <w:rsid w:val="50E760A3"/>
    <w:rsid w:val="50ED18FC"/>
    <w:rsid w:val="50F81FDD"/>
    <w:rsid w:val="510001F6"/>
    <w:rsid w:val="510541BF"/>
    <w:rsid w:val="510B5ED5"/>
    <w:rsid w:val="51162080"/>
    <w:rsid w:val="51166EF9"/>
    <w:rsid w:val="511C62F1"/>
    <w:rsid w:val="511D7396"/>
    <w:rsid w:val="513C0476"/>
    <w:rsid w:val="513D7B66"/>
    <w:rsid w:val="51431D27"/>
    <w:rsid w:val="515322F8"/>
    <w:rsid w:val="51603CB7"/>
    <w:rsid w:val="516738E8"/>
    <w:rsid w:val="516C08E4"/>
    <w:rsid w:val="517A1060"/>
    <w:rsid w:val="51882F71"/>
    <w:rsid w:val="518B07AE"/>
    <w:rsid w:val="518E2BFD"/>
    <w:rsid w:val="518E6B4D"/>
    <w:rsid w:val="518F0440"/>
    <w:rsid w:val="519427C5"/>
    <w:rsid w:val="51962773"/>
    <w:rsid w:val="519C78B6"/>
    <w:rsid w:val="51AB5790"/>
    <w:rsid w:val="51AD0B89"/>
    <w:rsid w:val="51C73A22"/>
    <w:rsid w:val="51C809CE"/>
    <w:rsid w:val="51C930E8"/>
    <w:rsid w:val="51D860AE"/>
    <w:rsid w:val="51DB2213"/>
    <w:rsid w:val="51DD7091"/>
    <w:rsid w:val="51E36272"/>
    <w:rsid w:val="51EE6ED3"/>
    <w:rsid w:val="51F77A4B"/>
    <w:rsid w:val="51FB40F4"/>
    <w:rsid w:val="51FD6D6D"/>
    <w:rsid w:val="52083E3C"/>
    <w:rsid w:val="520B3EA6"/>
    <w:rsid w:val="521E495A"/>
    <w:rsid w:val="52222A50"/>
    <w:rsid w:val="522F352F"/>
    <w:rsid w:val="523F41F1"/>
    <w:rsid w:val="52475A14"/>
    <w:rsid w:val="52521490"/>
    <w:rsid w:val="525769FC"/>
    <w:rsid w:val="526A6404"/>
    <w:rsid w:val="526C22CB"/>
    <w:rsid w:val="527F6FEA"/>
    <w:rsid w:val="52876E22"/>
    <w:rsid w:val="528A65D5"/>
    <w:rsid w:val="5291168A"/>
    <w:rsid w:val="529D3717"/>
    <w:rsid w:val="529E261D"/>
    <w:rsid w:val="52A82AE3"/>
    <w:rsid w:val="52AF617F"/>
    <w:rsid w:val="52AF6614"/>
    <w:rsid w:val="52BC289F"/>
    <w:rsid w:val="52C04713"/>
    <w:rsid w:val="52C06506"/>
    <w:rsid w:val="52C17F72"/>
    <w:rsid w:val="52C52A87"/>
    <w:rsid w:val="52C530BB"/>
    <w:rsid w:val="52D6081E"/>
    <w:rsid w:val="52DE5558"/>
    <w:rsid w:val="52E304A1"/>
    <w:rsid w:val="52E46607"/>
    <w:rsid w:val="530150A6"/>
    <w:rsid w:val="53112B55"/>
    <w:rsid w:val="531F4D7E"/>
    <w:rsid w:val="53223C4A"/>
    <w:rsid w:val="532C039B"/>
    <w:rsid w:val="532F25A1"/>
    <w:rsid w:val="533151B8"/>
    <w:rsid w:val="533B4BDA"/>
    <w:rsid w:val="534171A8"/>
    <w:rsid w:val="53446B13"/>
    <w:rsid w:val="53461BB3"/>
    <w:rsid w:val="534E27F4"/>
    <w:rsid w:val="535302BE"/>
    <w:rsid w:val="53665535"/>
    <w:rsid w:val="53736A2A"/>
    <w:rsid w:val="53791255"/>
    <w:rsid w:val="53827B26"/>
    <w:rsid w:val="53844723"/>
    <w:rsid w:val="5387322C"/>
    <w:rsid w:val="538B6E2C"/>
    <w:rsid w:val="538D5C24"/>
    <w:rsid w:val="5395790C"/>
    <w:rsid w:val="539A6C94"/>
    <w:rsid w:val="53A80579"/>
    <w:rsid w:val="53A868D9"/>
    <w:rsid w:val="53B203E4"/>
    <w:rsid w:val="53B37A9E"/>
    <w:rsid w:val="53B46776"/>
    <w:rsid w:val="53B71E3D"/>
    <w:rsid w:val="53B72D2C"/>
    <w:rsid w:val="53C15FC3"/>
    <w:rsid w:val="53CD44E6"/>
    <w:rsid w:val="53CE1C72"/>
    <w:rsid w:val="53D947E7"/>
    <w:rsid w:val="53D94D31"/>
    <w:rsid w:val="53E57965"/>
    <w:rsid w:val="53EF08A6"/>
    <w:rsid w:val="53F8001A"/>
    <w:rsid w:val="5404756E"/>
    <w:rsid w:val="5408650D"/>
    <w:rsid w:val="54105988"/>
    <w:rsid w:val="541A46C5"/>
    <w:rsid w:val="541F6CA6"/>
    <w:rsid w:val="542963D1"/>
    <w:rsid w:val="542B06B6"/>
    <w:rsid w:val="542E1937"/>
    <w:rsid w:val="54373AB8"/>
    <w:rsid w:val="5441703F"/>
    <w:rsid w:val="54441181"/>
    <w:rsid w:val="5445447C"/>
    <w:rsid w:val="545827D7"/>
    <w:rsid w:val="54751A27"/>
    <w:rsid w:val="54785B44"/>
    <w:rsid w:val="547903A3"/>
    <w:rsid w:val="547D2B60"/>
    <w:rsid w:val="549555E2"/>
    <w:rsid w:val="54A422B8"/>
    <w:rsid w:val="54A50013"/>
    <w:rsid w:val="54A83051"/>
    <w:rsid w:val="54B464C3"/>
    <w:rsid w:val="54B813E9"/>
    <w:rsid w:val="54B83ADA"/>
    <w:rsid w:val="54BD2D6B"/>
    <w:rsid w:val="54C35E5C"/>
    <w:rsid w:val="54CB2443"/>
    <w:rsid w:val="54CB30D9"/>
    <w:rsid w:val="54CE113F"/>
    <w:rsid w:val="54CF6BE8"/>
    <w:rsid w:val="54D311D6"/>
    <w:rsid w:val="54D55E63"/>
    <w:rsid w:val="54DE3408"/>
    <w:rsid w:val="54F01DAF"/>
    <w:rsid w:val="54F519CE"/>
    <w:rsid w:val="54F528B8"/>
    <w:rsid w:val="54FA46AD"/>
    <w:rsid w:val="54FE057D"/>
    <w:rsid w:val="54FF1786"/>
    <w:rsid w:val="550161A7"/>
    <w:rsid w:val="55022A19"/>
    <w:rsid w:val="550720F3"/>
    <w:rsid w:val="552A1EFF"/>
    <w:rsid w:val="55313A24"/>
    <w:rsid w:val="55335255"/>
    <w:rsid w:val="55336DD6"/>
    <w:rsid w:val="55425E84"/>
    <w:rsid w:val="55505074"/>
    <w:rsid w:val="555E3C8A"/>
    <w:rsid w:val="55634300"/>
    <w:rsid w:val="556A084A"/>
    <w:rsid w:val="556B5274"/>
    <w:rsid w:val="55723134"/>
    <w:rsid w:val="557318DD"/>
    <w:rsid w:val="557F26FB"/>
    <w:rsid w:val="55814705"/>
    <w:rsid w:val="558765D2"/>
    <w:rsid w:val="559E62C6"/>
    <w:rsid w:val="55AC2A1D"/>
    <w:rsid w:val="55BB6071"/>
    <w:rsid w:val="55BD57BD"/>
    <w:rsid w:val="55C52CB1"/>
    <w:rsid w:val="55D86810"/>
    <w:rsid w:val="55E829DA"/>
    <w:rsid w:val="55EE762F"/>
    <w:rsid w:val="55F35D2F"/>
    <w:rsid w:val="55F36D31"/>
    <w:rsid w:val="560A6EA4"/>
    <w:rsid w:val="560C1C79"/>
    <w:rsid w:val="56134A34"/>
    <w:rsid w:val="56242F51"/>
    <w:rsid w:val="562435B0"/>
    <w:rsid w:val="56273B21"/>
    <w:rsid w:val="563071ED"/>
    <w:rsid w:val="563E283D"/>
    <w:rsid w:val="564512F2"/>
    <w:rsid w:val="56542CC6"/>
    <w:rsid w:val="56636C2F"/>
    <w:rsid w:val="56657DD6"/>
    <w:rsid w:val="567042C9"/>
    <w:rsid w:val="567E3F47"/>
    <w:rsid w:val="5680063E"/>
    <w:rsid w:val="56806F4E"/>
    <w:rsid w:val="56895B6C"/>
    <w:rsid w:val="568C6120"/>
    <w:rsid w:val="56934E6B"/>
    <w:rsid w:val="56AA5523"/>
    <w:rsid w:val="56AC5844"/>
    <w:rsid w:val="56B305D6"/>
    <w:rsid w:val="56C13D7F"/>
    <w:rsid w:val="56C66D69"/>
    <w:rsid w:val="56CA570E"/>
    <w:rsid w:val="56EB6B58"/>
    <w:rsid w:val="56F160AC"/>
    <w:rsid w:val="56F246C4"/>
    <w:rsid w:val="570E463B"/>
    <w:rsid w:val="57117464"/>
    <w:rsid w:val="571E565A"/>
    <w:rsid w:val="571F0743"/>
    <w:rsid w:val="572068B0"/>
    <w:rsid w:val="573904D6"/>
    <w:rsid w:val="57602C1A"/>
    <w:rsid w:val="57634243"/>
    <w:rsid w:val="5766483B"/>
    <w:rsid w:val="576A6F9F"/>
    <w:rsid w:val="5771743E"/>
    <w:rsid w:val="57771C22"/>
    <w:rsid w:val="577B09D9"/>
    <w:rsid w:val="577B6C51"/>
    <w:rsid w:val="577C35BE"/>
    <w:rsid w:val="57877FD3"/>
    <w:rsid w:val="578D3B0C"/>
    <w:rsid w:val="578F7440"/>
    <w:rsid w:val="57914896"/>
    <w:rsid w:val="57972F4F"/>
    <w:rsid w:val="57996CA1"/>
    <w:rsid w:val="579D55D2"/>
    <w:rsid w:val="57A114A2"/>
    <w:rsid w:val="57BD6A99"/>
    <w:rsid w:val="57C6627D"/>
    <w:rsid w:val="57CE326D"/>
    <w:rsid w:val="57D56067"/>
    <w:rsid w:val="57DF3072"/>
    <w:rsid w:val="57E71935"/>
    <w:rsid w:val="57F6781C"/>
    <w:rsid w:val="580224B1"/>
    <w:rsid w:val="580A18F8"/>
    <w:rsid w:val="580B0C92"/>
    <w:rsid w:val="580E7952"/>
    <w:rsid w:val="581A40E5"/>
    <w:rsid w:val="581B665F"/>
    <w:rsid w:val="58385A19"/>
    <w:rsid w:val="583D12B5"/>
    <w:rsid w:val="58564010"/>
    <w:rsid w:val="585E4CEA"/>
    <w:rsid w:val="586D185C"/>
    <w:rsid w:val="586E1F56"/>
    <w:rsid w:val="587156F6"/>
    <w:rsid w:val="587568B5"/>
    <w:rsid w:val="58762FAF"/>
    <w:rsid w:val="587B7B01"/>
    <w:rsid w:val="58887114"/>
    <w:rsid w:val="588C7BA9"/>
    <w:rsid w:val="58951737"/>
    <w:rsid w:val="58A663BF"/>
    <w:rsid w:val="58A8475E"/>
    <w:rsid w:val="58B27438"/>
    <w:rsid w:val="58BA2510"/>
    <w:rsid w:val="58C7228F"/>
    <w:rsid w:val="58D012A0"/>
    <w:rsid w:val="58E12CDA"/>
    <w:rsid w:val="58E66F51"/>
    <w:rsid w:val="58F024D3"/>
    <w:rsid w:val="58F66800"/>
    <w:rsid w:val="58FE34CE"/>
    <w:rsid w:val="5900556E"/>
    <w:rsid w:val="5910618D"/>
    <w:rsid w:val="59167F0F"/>
    <w:rsid w:val="591E7756"/>
    <w:rsid w:val="59243179"/>
    <w:rsid w:val="593A439E"/>
    <w:rsid w:val="593C0FEE"/>
    <w:rsid w:val="59434C5F"/>
    <w:rsid w:val="59447D0F"/>
    <w:rsid w:val="59593410"/>
    <w:rsid w:val="59597EA9"/>
    <w:rsid w:val="59666FD0"/>
    <w:rsid w:val="597B2D09"/>
    <w:rsid w:val="597B713A"/>
    <w:rsid w:val="597D4C4A"/>
    <w:rsid w:val="597F0FC5"/>
    <w:rsid w:val="59807E10"/>
    <w:rsid w:val="59890F39"/>
    <w:rsid w:val="598A70E6"/>
    <w:rsid w:val="59A16026"/>
    <w:rsid w:val="59AC67BA"/>
    <w:rsid w:val="59AE16AF"/>
    <w:rsid w:val="59B54FFD"/>
    <w:rsid w:val="59B57E4C"/>
    <w:rsid w:val="59B70430"/>
    <w:rsid w:val="59C149C2"/>
    <w:rsid w:val="59C232F1"/>
    <w:rsid w:val="59E00C4F"/>
    <w:rsid w:val="59E54182"/>
    <w:rsid w:val="59EC21A1"/>
    <w:rsid w:val="59F823A8"/>
    <w:rsid w:val="5A011FDA"/>
    <w:rsid w:val="5A0209CD"/>
    <w:rsid w:val="5A0711BD"/>
    <w:rsid w:val="5A0F4CB5"/>
    <w:rsid w:val="5A11360D"/>
    <w:rsid w:val="5A14185C"/>
    <w:rsid w:val="5A1E393D"/>
    <w:rsid w:val="5A235805"/>
    <w:rsid w:val="5A3A032E"/>
    <w:rsid w:val="5A3B6E8B"/>
    <w:rsid w:val="5A3F220C"/>
    <w:rsid w:val="5A4E3CF8"/>
    <w:rsid w:val="5A567C3A"/>
    <w:rsid w:val="5A5F6CEF"/>
    <w:rsid w:val="5A6603B8"/>
    <w:rsid w:val="5A6763FF"/>
    <w:rsid w:val="5A69581D"/>
    <w:rsid w:val="5A6D0D03"/>
    <w:rsid w:val="5A7A2847"/>
    <w:rsid w:val="5A7D0F3C"/>
    <w:rsid w:val="5A7E0E0E"/>
    <w:rsid w:val="5A851156"/>
    <w:rsid w:val="5A8550CF"/>
    <w:rsid w:val="5A855437"/>
    <w:rsid w:val="5A8861FC"/>
    <w:rsid w:val="5A976837"/>
    <w:rsid w:val="5A9A6E15"/>
    <w:rsid w:val="5A9B764B"/>
    <w:rsid w:val="5AA05B27"/>
    <w:rsid w:val="5AA3626B"/>
    <w:rsid w:val="5AA73161"/>
    <w:rsid w:val="5AA97502"/>
    <w:rsid w:val="5AAA738F"/>
    <w:rsid w:val="5AAB7C17"/>
    <w:rsid w:val="5AB12437"/>
    <w:rsid w:val="5ABE3A85"/>
    <w:rsid w:val="5ACF477C"/>
    <w:rsid w:val="5AD9175D"/>
    <w:rsid w:val="5ADB2F8A"/>
    <w:rsid w:val="5ADD6630"/>
    <w:rsid w:val="5AE37909"/>
    <w:rsid w:val="5AE731D0"/>
    <w:rsid w:val="5AEC4FB0"/>
    <w:rsid w:val="5AF201A3"/>
    <w:rsid w:val="5AF21846"/>
    <w:rsid w:val="5AFE7388"/>
    <w:rsid w:val="5B0941A9"/>
    <w:rsid w:val="5B1D74CF"/>
    <w:rsid w:val="5B211CCD"/>
    <w:rsid w:val="5B213ED2"/>
    <w:rsid w:val="5B223D51"/>
    <w:rsid w:val="5B285DB7"/>
    <w:rsid w:val="5B2A5CEC"/>
    <w:rsid w:val="5B2E4A55"/>
    <w:rsid w:val="5B3A11A0"/>
    <w:rsid w:val="5B4857A8"/>
    <w:rsid w:val="5B494AD7"/>
    <w:rsid w:val="5B582F46"/>
    <w:rsid w:val="5B5C47A5"/>
    <w:rsid w:val="5B5F571C"/>
    <w:rsid w:val="5B60132F"/>
    <w:rsid w:val="5B6664DF"/>
    <w:rsid w:val="5B671FDF"/>
    <w:rsid w:val="5B712356"/>
    <w:rsid w:val="5B8A62A5"/>
    <w:rsid w:val="5B8F0F10"/>
    <w:rsid w:val="5B950720"/>
    <w:rsid w:val="5B9B16AE"/>
    <w:rsid w:val="5B9F2C3A"/>
    <w:rsid w:val="5BA62F28"/>
    <w:rsid w:val="5BA84A80"/>
    <w:rsid w:val="5BA91C47"/>
    <w:rsid w:val="5BAB22BE"/>
    <w:rsid w:val="5BAF7015"/>
    <w:rsid w:val="5BB66D8D"/>
    <w:rsid w:val="5BBE1E03"/>
    <w:rsid w:val="5BBF6B37"/>
    <w:rsid w:val="5BC22418"/>
    <w:rsid w:val="5BC91C84"/>
    <w:rsid w:val="5BCD3928"/>
    <w:rsid w:val="5BDB2FD6"/>
    <w:rsid w:val="5BE97039"/>
    <w:rsid w:val="5BEC1A5C"/>
    <w:rsid w:val="5BED360F"/>
    <w:rsid w:val="5BFA670C"/>
    <w:rsid w:val="5C030EAC"/>
    <w:rsid w:val="5C052306"/>
    <w:rsid w:val="5C0E3DBF"/>
    <w:rsid w:val="5C1E1738"/>
    <w:rsid w:val="5C2470F5"/>
    <w:rsid w:val="5C260ED7"/>
    <w:rsid w:val="5C274363"/>
    <w:rsid w:val="5C28396C"/>
    <w:rsid w:val="5C2F4D65"/>
    <w:rsid w:val="5C453383"/>
    <w:rsid w:val="5C4A6E17"/>
    <w:rsid w:val="5C4D63F6"/>
    <w:rsid w:val="5C5801CF"/>
    <w:rsid w:val="5C5E6016"/>
    <w:rsid w:val="5C6004B2"/>
    <w:rsid w:val="5C616700"/>
    <w:rsid w:val="5C9424F2"/>
    <w:rsid w:val="5C9579DF"/>
    <w:rsid w:val="5CA10422"/>
    <w:rsid w:val="5CA86AC7"/>
    <w:rsid w:val="5CAD7863"/>
    <w:rsid w:val="5CB25066"/>
    <w:rsid w:val="5CB735D1"/>
    <w:rsid w:val="5CBD5788"/>
    <w:rsid w:val="5CBF1ACA"/>
    <w:rsid w:val="5CC3748E"/>
    <w:rsid w:val="5CDA03BD"/>
    <w:rsid w:val="5CDA4800"/>
    <w:rsid w:val="5CE83242"/>
    <w:rsid w:val="5CEE298E"/>
    <w:rsid w:val="5CF12E67"/>
    <w:rsid w:val="5CF363AF"/>
    <w:rsid w:val="5CF54DCC"/>
    <w:rsid w:val="5CFB0C98"/>
    <w:rsid w:val="5D077317"/>
    <w:rsid w:val="5D11285A"/>
    <w:rsid w:val="5D302779"/>
    <w:rsid w:val="5D353683"/>
    <w:rsid w:val="5D3E4633"/>
    <w:rsid w:val="5D3F0449"/>
    <w:rsid w:val="5D3F7480"/>
    <w:rsid w:val="5D5D3144"/>
    <w:rsid w:val="5D5D4B2F"/>
    <w:rsid w:val="5D61344D"/>
    <w:rsid w:val="5D677493"/>
    <w:rsid w:val="5D733A05"/>
    <w:rsid w:val="5D8560E7"/>
    <w:rsid w:val="5D8A326E"/>
    <w:rsid w:val="5D8B579D"/>
    <w:rsid w:val="5D8F6E8C"/>
    <w:rsid w:val="5D91227B"/>
    <w:rsid w:val="5D9616D3"/>
    <w:rsid w:val="5D9D0CBF"/>
    <w:rsid w:val="5DA630FD"/>
    <w:rsid w:val="5DAD534C"/>
    <w:rsid w:val="5DC85C22"/>
    <w:rsid w:val="5DD051EB"/>
    <w:rsid w:val="5DD81B64"/>
    <w:rsid w:val="5DDD0C01"/>
    <w:rsid w:val="5DDF2C78"/>
    <w:rsid w:val="5DDF7118"/>
    <w:rsid w:val="5DE00FDA"/>
    <w:rsid w:val="5DE01E22"/>
    <w:rsid w:val="5DEF4C41"/>
    <w:rsid w:val="5DF62864"/>
    <w:rsid w:val="5DF748A1"/>
    <w:rsid w:val="5E0D293F"/>
    <w:rsid w:val="5E202A9E"/>
    <w:rsid w:val="5E404CEC"/>
    <w:rsid w:val="5E496763"/>
    <w:rsid w:val="5E4D377B"/>
    <w:rsid w:val="5E4F14E2"/>
    <w:rsid w:val="5E603C90"/>
    <w:rsid w:val="5E6370C3"/>
    <w:rsid w:val="5E6A4AF0"/>
    <w:rsid w:val="5E711A1D"/>
    <w:rsid w:val="5E7E7B68"/>
    <w:rsid w:val="5E8169BF"/>
    <w:rsid w:val="5E98432F"/>
    <w:rsid w:val="5EBA2845"/>
    <w:rsid w:val="5EBC2909"/>
    <w:rsid w:val="5ECD76EA"/>
    <w:rsid w:val="5EDD1A1E"/>
    <w:rsid w:val="5EDD480C"/>
    <w:rsid w:val="5EE808AE"/>
    <w:rsid w:val="5EF31786"/>
    <w:rsid w:val="5EFA7753"/>
    <w:rsid w:val="5EFE38FC"/>
    <w:rsid w:val="5F012BE5"/>
    <w:rsid w:val="5F0A3A8C"/>
    <w:rsid w:val="5F0C468E"/>
    <w:rsid w:val="5F0E388F"/>
    <w:rsid w:val="5F1D72DD"/>
    <w:rsid w:val="5F247692"/>
    <w:rsid w:val="5F371E83"/>
    <w:rsid w:val="5F43355C"/>
    <w:rsid w:val="5F4C3449"/>
    <w:rsid w:val="5F5471F1"/>
    <w:rsid w:val="5F5605A0"/>
    <w:rsid w:val="5F5C293C"/>
    <w:rsid w:val="5F6A7F6F"/>
    <w:rsid w:val="5F784350"/>
    <w:rsid w:val="5F7D6B95"/>
    <w:rsid w:val="5F823EA9"/>
    <w:rsid w:val="5F8C4BD5"/>
    <w:rsid w:val="5F951DF1"/>
    <w:rsid w:val="5F9C032F"/>
    <w:rsid w:val="5F9C39D1"/>
    <w:rsid w:val="5FA0271F"/>
    <w:rsid w:val="5FA963AF"/>
    <w:rsid w:val="5FBA7CC6"/>
    <w:rsid w:val="5FBF6EFC"/>
    <w:rsid w:val="5FC1013E"/>
    <w:rsid w:val="5FC578AF"/>
    <w:rsid w:val="5FCA6B2D"/>
    <w:rsid w:val="5FCB48CD"/>
    <w:rsid w:val="5FCF6899"/>
    <w:rsid w:val="5FD2346E"/>
    <w:rsid w:val="5FD80FBE"/>
    <w:rsid w:val="5FD96365"/>
    <w:rsid w:val="5FE05B5E"/>
    <w:rsid w:val="5FE26BF9"/>
    <w:rsid w:val="5FFC4483"/>
    <w:rsid w:val="60094D2C"/>
    <w:rsid w:val="602907ED"/>
    <w:rsid w:val="602A3F9D"/>
    <w:rsid w:val="603D2D3B"/>
    <w:rsid w:val="60475C4F"/>
    <w:rsid w:val="604E270A"/>
    <w:rsid w:val="605A79EE"/>
    <w:rsid w:val="607764FE"/>
    <w:rsid w:val="607E3AFB"/>
    <w:rsid w:val="60805093"/>
    <w:rsid w:val="608B1B75"/>
    <w:rsid w:val="60997A7B"/>
    <w:rsid w:val="609A1057"/>
    <w:rsid w:val="60AE54C3"/>
    <w:rsid w:val="60BF2F8F"/>
    <w:rsid w:val="60C00554"/>
    <w:rsid w:val="60C517C4"/>
    <w:rsid w:val="60C773AA"/>
    <w:rsid w:val="60D14602"/>
    <w:rsid w:val="60D567E5"/>
    <w:rsid w:val="60DF12F6"/>
    <w:rsid w:val="60EA7A30"/>
    <w:rsid w:val="60F81F00"/>
    <w:rsid w:val="60FF6C32"/>
    <w:rsid w:val="61015D7B"/>
    <w:rsid w:val="610E1472"/>
    <w:rsid w:val="6110361A"/>
    <w:rsid w:val="61140905"/>
    <w:rsid w:val="611A2491"/>
    <w:rsid w:val="611B7449"/>
    <w:rsid w:val="61343992"/>
    <w:rsid w:val="613A368A"/>
    <w:rsid w:val="613F235B"/>
    <w:rsid w:val="61417E8D"/>
    <w:rsid w:val="6150209C"/>
    <w:rsid w:val="61592FD1"/>
    <w:rsid w:val="61633C51"/>
    <w:rsid w:val="616403C9"/>
    <w:rsid w:val="6170605B"/>
    <w:rsid w:val="61856FFD"/>
    <w:rsid w:val="618D04D2"/>
    <w:rsid w:val="61937DE6"/>
    <w:rsid w:val="619A7498"/>
    <w:rsid w:val="619D2C02"/>
    <w:rsid w:val="61A35780"/>
    <w:rsid w:val="61AF2933"/>
    <w:rsid w:val="61B372F7"/>
    <w:rsid w:val="61BC26DE"/>
    <w:rsid w:val="61C77E29"/>
    <w:rsid w:val="61CA2DDD"/>
    <w:rsid w:val="61D84169"/>
    <w:rsid w:val="61DB2D1E"/>
    <w:rsid w:val="61E322C9"/>
    <w:rsid w:val="61E66335"/>
    <w:rsid w:val="61E96CB3"/>
    <w:rsid w:val="61F12870"/>
    <w:rsid w:val="62097A86"/>
    <w:rsid w:val="620F4603"/>
    <w:rsid w:val="622D7AAB"/>
    <w:rsid w:val="62353712"/>
    <w:rsid w:val="62366B6B"/>
    <w:rsid w:val="623675F6"/>
    <w:rsid w:val="623A5F12"/>
    <w:rsid w:val="62434137"/>
    <w:rsid w:val="62492067"/>
    <w:rsid w:val="62620E8D"/>
    <w:rsid w:val="62696740"/>
    <w:rsid w:val="6274669A"/>
    <w:rsid w:val="62786EF5"/>
    <w:rsid w:val="627E3938"/>
    <w:rsid w:val="628F7407"/>
    <w:rsid w:val="628F7750"/>
    <w:rsid w:val="6293185C"/>
    <w:rsid w:val="62997343"/>
    <w:rsid w:val="629D0B33"/>
    <w:rsid w:val="62A43F2F"/>
    <w:rsid w:val="62A85D5A"/>
    <w:rsid w:val="62A962A9"/>
    <w:rsid w:val="62B06D08"/>
    <w:rsid w:val="62BA0727"/>
    <w:rsid w:val="62C409EB"/>
    <w:rsid w:val="62C467A7"/>
    <w:rsid w:val="62D30D82"/>
    <w:rsid w:val="62D3744B"/>
    <w:rsid w:val="62D61745"/>
    <w:rsid w:val="62DC4E1A"/>
    <w:rsid w:val="62E278AB"/>
    <w:rsid w:val="62E73B0D"/>
    <w:rsid w:val="62E857EB"/>
    <w:rsid w:val="62ED3BFB"/>
    <w:rsid w:val="62EE459F"/>
    <w:rsid w:val="62FB0972"/>
    <w:rsid w:val="630B22DA"/>
    <w:rsid w:val="630F0237"/>
    <w:rsid w:val="63167C26"/>
    <w:rsid w:val="63297666"/>
    <w:rsid w:val="63354232"/>
    <w:rsid w:val="633D0C68"/>
    <w:rsid w:val="63461C21"/>
    <w:rsid w:val="635504E7"/>
    <w:rsid w:val="635B59F7"/>
    <w:rsid w:val="635B7EBB"/>
    <w:rsid w:val="635C0F4F"/>
    <w:rsid w:val="6361757D"/>
    <w:rsid w:val="636E0999"/>
    <w:rsid w:val="63834036"/>
    <w:rsid w:val="63847EBE"/>
    <w:rsid w:val="638A37D2"/>
    <w:rsid w:val="63953AD9"/>
    <w:rsid w:val="639B23B6"/>
    <w:rsid w:val="63A67A01"/>
    <w:rsid w:val="63AA6096"/>
    <w:rsid w:val="63C24C59"/>
    <w:rsid w:val="63CC4164"/>
    <w:rsid w:val="63CF01C4"/>
    <w:rsid w:val="63D71292"/>
    <w:rsid w:val="63E00D8C"/>
    <w:rsid w:val="63E44E26"/>
    <w:rsid w:val="63F8368E"/>
    <w:rsid w:val="63FD5AA1"/>
    <w:rsid w:val="64014A2C"/>
    <w:rsid w:val="64042958"/>
    <w:rsid w:val="64061DE5"/>
    <w:rsid w:val="6406775E"/>
    <w:rsid w:val="640B1CFD"/>
    <w:rsid w:val="640B40C9"/>
    <w:rsid w:val="640D63C1"/>
    <w:rsid w:val="640E1284"/>
    <w:rsid w:val="6419212D"/>
    <w:rsid w:val="641B20FF"/>
    <w:rsid w:val="641E4920"/>
    <w:rsid w:val="6422079A"/>
    <w:rsid w:val="64242458"/>
    <w:rsid w:val="64265149"/>
    <w:rsid w:val="642A5CC1"/>
    <w:rsid w:val="642C2419"/>
    <w:rsid w:val="642C795B"/>
    <w:rsid w:val="6438311C"/>
    <w:rsid w:val="643C590C"/>
    <w:rsid w:val="644138D8"/>
    <w:rsid w:val="64420333"/>
    <w:rsid w:val="64517684"/>
    <w:rsid w:val="64537DA4"/>
    <w:rsid w:val="645A62B9"/>
    <w:rsid w:val="64643155"/>
    <w:rsid w:val="647238EB"/>
    <w:rsid w:val="64726E5D"/>
    <w:rsid w:val="64745879"/>
    <w:rsid w:val="64776FF1"/>
    <w:rsid w:val="64831C72"/>
    <w:rsid w:val="648A7AB4"/>
    <w:rsid w:val="6494274C"/>
    <w:rsid w:val="64993195"/>
    <w:rsid w:val="649B324A"/>
    <w:rsid w:val="64A3701B"/>
    <w:rsid w:val="64A53A6D"/>
    <w:rsid w:val="64A67BE1"/>
    <w:rsid w:val="64AD220C"/>
    <w:rsid w:val="64B17EB1"/>
    <w:rsid w:val="64B3613C"/>
    <w:rsid w:val="64B97384"/>
    <w:rsid w:val="64BA0F20"/>
    <w:rsid w:val="64BF0C98"/>
    <w:rsid w:val="64D1408B"/>
    <w:rsid w:val="64D85596"/>
    <w:rsid w:val="64D92F18"/>
    <w:rsid w:val="64E447FB"/>
    <w:rsid w:val="64F01DC5"/>
    <w:rsid w:val="64F165A9"/>
    <w:rsid w:val="64FA2F88"/>
    <w:rsid w:val="650141C0"/>
    <w:rsid w:val="65283C7D"/>
    <w:rsid w:val="65360A56"/>
    <w:rsid w:val="65402B6D"/>
    <w:rsid w:val="65456463"/>
    <w:rsid w:val="65462F10"/>
    <w:rsid w:val="654679D7"/>
    <w:rsid w:val="65624DB7"/>
    <w:rsid w:val="65671CA7"/>
    <w:rsid w:val="6567622F"/>
    <w:rsid w:val="656A2983"/>
    <w:rsid w:val="656E4F40"/>
    <w:rsid w:val="658D5BA6"/>
    <w:rsid w:val="65984DF1"/>
    <w:rsid w:val="65AB176E"/>
    <w:rsid w:val="65AB4645"/>
    <w:rsid w:val="65AB6FCC"/>
    <w:rsid w:val="65B01520"/>
    <w:rsid w:val="65BA18D8"/>
    <w:rsid w:val="65BB32AF"/>
    <w:rsid w:val="65C356D4"/>
    <w:rsid w:val="65C84E81"/>
    <w:rsid w:val="65CD6C90"/>
    <w:rsid w:val="65DD39D9"/>
    <w:rsid w:val="65E27E4E"/>
    <w:rsid w:val="65E752FB"/>
    <w:rsid w:val="65EA5682"/>
    <w:rsid w:val="65EE162D"/>
    <w:rsid w:val="65FD34F3"/>
    <w:rsid w:val="660B5EC3"/>
    <w:rsid w:val="66110FAB"/>
    <w:rsid w:val="66137345"/>
    <w:rsid w:val="6614793D"/>
    <w:rsid w:val="6622041A"/>
    <w:rsid w:val="66273FB0"/>
    <w:rsid w:val="662F093E"/>
    <w:rsid w:val="6630495D"/>
    <w:rsid w:val="6632562D"/>
    <w:rsid w:val="66362EC7"/>
    <w:rsid w:val="663A25BC"/>
    <w:rsid w:val="663C168D"/>
    <w:rsid w:val="663C2969"/>
    <w:rsid w:val="6658071D"/>
    <w:rsid w:val="66655577"/>
    <w:rsid w:val="666A4F9C"/>
    <w:rsid w:val="666F1745"/>
    <w:rsid w:val="668650F6"/>
    <w:rsid w:val="66880ED6"/>
    <w:rsid w:val="669D704F"/>
    <w:rsid w:val="66AB3EC5"/>
    <w:rsid w:val="66AC6EFC"/>
    <w:rsid w:val="66AE11BA"/>
    <w:rsid w:val="66AF654A"/>
    <w:rsid w:val="66B735A3"/>
    <w:rsid w:val="66BE385F"/>
    <w:rsid w:val="66CA3AFE"/>
    <w:rsid w:val="66E64C1D"/>
    <w:rsid w:val="66F80F79"/>
    <w:rsid w:val="66FB4D34"/>
    <w:rsid w:val="66FB4DEF"/>
    <w:rsid w:val="66FC5B33"/>
    <w:rsid w:val="67017B75"/>
    <w:rsid w:val="670D7A51"/>
    <w:rsid w:val="670F7EFF"/>
    <w:rsid w:val="671141FA"/>
    <w:rsid w:val="67276465"/>
    <w:rsid w:val="67306E47"/>
    <w:rsid w:val="67332C13"/>
    <w:rsid w:val="673F1C63"/>
    <w:rsid w:val="673F4D92"/>
    <w:rsid w:val="67417835"/>
    <w:rsid w:val="67436816"/>
    <w:rsid w:val="6746217B"/>
    <w:rsid w:val="67486EC1"/>
    <w:rsid w:val="67561BAB"/>
    <w:rsid w:val="676D25DC"/>
    <w:rsid w:val="6772777B"/>
    <w:rsid w:val="67866E1E"/>
    <w:rsid w:val="678B29F5"/>
    <w:rsid w:val="678E19F1"/>
    <w:rsid w:val="679E465B"/>
    <w:rsid w:val="67A04CD2"/>
    <w:rsid w:val="67A82CD8"/>
    <w:rsid w:val="67A91DD3"/>
    <w:rsid w:val="67AC227B"/>
    <w:rsid w:val="67AE185A"/>
    <w:rsid w:val="67BA2ED4"/>
    <w:rsid w:val="67C05953"/>
    <w:rsid w:val="67C64641"/>
    <w:rsid w:val="67CA245E"/>
    <w:rsid w:val="67CF4582"/>
    <w:rsid w:val="67CF671D"/>
    <w:rsid w:val="67FC2839"/>
    <w:rsid w:val="67FC624E"/>
    <w:rsid w:val="68024255"/>
    <w:rsid w:val="6802716F"/>
    <w:rsid w:val="6804711D"/>
    <w:rsid w:val="681362E2"/>
    <w:rsid w:val="681569AD"/>
    <w:rsid w:val="682E60E4"/>
    <w:rsid w:val="68383AB8"/>
    <w:rsid w:val="683A1B31"/>
    <w:rsid w:val="683D547E"/>
    <w:rsid w:val="68445B1F"/>
    <w:rsid w:val="68491B6C"/>
    <w:rsid w:val="6850133A"/>
    <w:rsid w:val="685D0094"/>
    <w:rsid w:val="685E4912"/>
    <w:rsid w:val="68652121"/>
    <w:rsid w:val="68861720"/>
    <w:rsid w:val="688B2F2B"/>
    <w:rsid w:val="689A6D62"/>
    <w:rsid w:val="689E3A42"/>
    <w:rsid w:val="68B93D1C"/>
    <w:rsid w:val="68C17BCC"/>
    <w:rsid w:val="68C84C8D"/>
    <w:rsid w:val="68DF13C1"/>
    <w:rsid w:val="68EC0D3E"/>
    <w:rsid w:val="68F91DF1"/>
    <w:rsid w:val="68FB7DF4"/>
    <w:rsid w:val="69024731"/>
    <w:rsid w:val="690472CF"/>
    <w:rsid w:val="691179BD"/>
    <w:rsid w:val="69144304"/>
    <w:rsid w:val="691B2E9E"/>
    <w:rsid w:val="69200B1F"/>
    <w:rsid w:val="69241560"/>
    <w:rsid w:val="692C47AF"/>
    <w:rsid w:val="6938685D"/>
    <w:rsid w:val="693929AD"/>
    <w:rsid w:val="693D1558"/>
    <w:rsid w:val="69440FB7"/>
    <w:rsid w:val="69474A61"/>
    <w:rsid w:val="69477368"/>
    <w:rsid w:val="694C3FAA"/>
    <w:rsid w:val="69503505"/>
    <w:rsid w:val="6959138E"/>
    <w:rsid w:val="695939D4"/>
    <w:rsid w:val="695A2AA4"/>
    <w:rsid w:val="695C233A"/>
    <w:rsid w:val="69635432"/>
    <w:rsid w:val="69912913"/>
    <w:rsid w:val="69914ACA"/>
    <w:rsid w:val="699F63E6"/>
    <w:rsid w:val="69A23A34"/>
    <w:rsid w:val="69A432CB"/>
    <w:rsid w:val="69B317C0"/>
    <w:rsid w:val="69C04ABB"/>
    <w:rsid w:val="69C13AA2"/>
    <w:rsid w:val="69C26E97"/>
    <w:rsid w:val="69CE4CE4"/>
    <w:rsid w:val="69D63BFC"/>
    <w:rsid w:val="6A063291"/>
    <w:rsid w:val="6A185080"/>
    <w:rsid w:val="6A253162"/>
    <w:rsid w:val="6A3A6DE0"/>
    <w:rsid w:val="6A3A7894"/>
    <w:rsid w:val="6A3C4545"/>
    <w:rsid w:val="6A432665"/>
    <w:rsid w:val="6A4877E4"/>
    <w:rsid w:val="6A4B6CD5"/>
    <w:rsid w:val="6A4E5117"/>
    <w:rsid w:val="6A4F1B24"/>
    <w:rsid w:val="6A566969"/>
    <w:rsid w:val="6A587FDF"/>
    <w:rsid w:val="6A5B70F4"/>
    <w:rsid w:val="6A633F5B"/>
    <w:rsid w:val="6A6925A2"/>
    <w:rsid w:val="6A697DC8"/>
    <w:rsid w:val="6A6D5522"/>
    <w:rsid w:val="6A71259B"/>
    <w:rsid w:val="6A836CE4"/>
    <w:rsid w:val="6A8460D6"/>
    <w:rsid w:val="6A8D584F"/>
    <w:rsid w:val="6AC26D0D"/>
    <w:rsid w:val="6ACE4D37"/>
    <w:rsid w:val="6AD85EC4"/>
    <w:rsid w:val="6ADA6F1B"/>
    <w:rsid w:val="6AE75309"/>
    <w:rsid w:val="6AF53EC5"/>
    <w:rsid w:val="6AF87F2E"/>
    <w:rsid w:val="6B134A4A"/>
    <w:rsid w:val="6B175FFC"/>
    <w:rsid w:val="6B274C50"/>
    <w:rsid w:val="6B2F0954"/>
    <w:rsid w:val="6B311935"/>
    <w:rsid w:val="6B355505"/>
    <w:rsid w:val="6B356DD6"/>
    <w:rsid w:val="6B3C3D32"/>
    <w:rsid w:val="6B3E2573"/>
    <w:rsid w:val="6B3F0080"/>
    <w:rsid w:val="6B456ADD"/>
    <w:rsid w:val="6B47134E"/>
    <w:rsid w:val="6B4C029E"/>
    <w:rsid w:val="6B4D0380"/>
    <w:rsid w:val="6B5D1110"/>
    <w:rsid w:val="6B62569A"/>
    <w:rsid w:val="6B6272C8"/>
    <w:rsid w:val="6B7E05F4"/>
    <w:rsid w:val="6B8174B3"/>
    <w:rsid w:val="6B834A2D"/>
    <w:rsid w:val="6B8715D3"/>
    <w:rsid w:val="6B904428"/>
    <w:rsid w:val="6B976CC1"/>
    <w:rsid w:val="6B9D3291"/>
    <w:rsid w:val="6BCF6391"/>
    <w:rsid w:val="6BDC2AAF"/>
    <w:rsid w:val="6BE323A3"/>
    <w:rsid w:val="6BE746E9"/>
    <w:rsid w:val="6BE92BCD"/>
    <w:rsid w:val="6BFC1CD4"/>
    <w:rsid w:val="6BFF661C"/>
    <w:rsid w:val="6C050E0B"/>
    <w:rsid w:val="6C055656"/>
    <w:rsid w:val="6C0A563E"/>
    <w:rsid w:val="6C0C5806"/>
    <w:rsid w:val="6C1006E1"/>
    <w:rsid w:val="6C1709EC"/>
    <w:rsid w:val="6C1B089B"/>
    <w:rsid w:val="6C2208AB"/>
    <w:rsid w:val="6C2814C5"/>
    <w:rsid w:val="6C326F7D"/>
    <w:rsid w:val="6C3F630A"/>
    <w:rsid w:val="6C446395"/>
    <w:rsid w:val="6C485EFF"/>
    <w:rsid w:val="6C4C0CA8"/>
    <w:rsid w:val="6C5556CC"/>
    <w:rsid w:val="6C562452"/>
    <w:rsid w:val="6C5A4886"/>
    <w:rsid w:val="6C6941C6"/>
    <w:rsid w:val="6C6D5804"/>
    <w:rsid w:val="6C6E5D6B"/>
    <w:rsid w:val="6C787CB5"/>
    <w:rsid w:val="6C7D4538"/>
    <w:rsid w:val="6C7D4C99"/>
    <w:rsid w:val="6C885DC8"/>
    <w:rsid w:val="6CA529D9"/>
    <w:rsid w:val="6CA77B25"/>
    <w:rsid w:val="6CC417E3"/>
    <w:rsid w:val="6CC771DE"/>
    <w:rsid w:val="6CCC34C8"/>
    <w:rsid w:val="6CCE16E4"/>
    <w:rsid w:val="6CDC65BA"/>
    <w:rsid w:val="6CDD3A5C"/>
    <w:rsid w:val="6CE4087E"/>
    <w:rsid w:val="6CE430A4"/>
    <w:rsid w:val="6CE82EC6"/>
    <w:rsid w:val="6CEA72C0"/>
    <w:rsid w:val="6CEC2D2F"/>
    <w:rsid w:val="6CEC60B2"/>
    <w:rsid w:val="6CF00BDF"/>
    <w:rsid w:val="6CF10365"/>
    <w:rsid w:val="6CF33C40"/>
    <w:rsid w:val="6CF76CCE"/>
    <w:rsid w:val="6CF8003C"/>
    <w:rsid w:val="6CFC1F82"/>
    <w:rsid w:val="6CFF02F3"/>
    <w:rsid w:val="6D006613"/>
    <w:rsid w:val="6D064A43"/>
    <w:rsid w:val="6D106BD4"/>
    <w:rsid w:val="6D163B89"/>
    <w:rsid w:val="6D1A43F4"/>
    <w:rsid w:val="6D252B6B"/>
    <w:rsid w:val="6D281885"/>
    <w:rsid w:val="6D346F1D"/>
    <w:rsid w:val="6D361C65"/>
    <w:rsid w:val="6D37722C"/>
    <w:rsid w:val="6D3C595C"/>
    <w:rsid w:val="6D506716"/>
    <w:rsid w:val="6D5645C6"/>
    <w:rsid w:val="6D57181B"/>
    <w:rsid w:val="6D5F137A"/>
    <w:rsid w:val="6D684EAB"/>
    <w:rsid w:val="6D6C0536"/>
    <w:rsid w:val="6D6C44AF"/>
    <w:rsid w:val="6D6D3FDF"/>
    <w:rsid w:val="6D7273BF"/>
    <w:rsid w:val="6D777BD8"/>
    <w:rsid w:val="6D8F7B39"/>
    <w:rsid w:val="6D9F1794"/>
    <w:rsid w:val="6DAB4D00"/>
    <w:rsid w:val="6DC8702A"/>
    <w:rsid w:val="6DD41E64"/>
    <w:rsid w:val="6DD53A5A"/>
    <w:rsid w:val="6DDB768F"/>
    <w:rsid w:val="6DE02F5E"/>
    <w:rsid w:val="6DE317C3"/>
    <w:rsid w:val="6DE5597F"/>
    <w:rsid w:val="6DEA2AF2"/>
    <w:rsid w:val="6DF0434D"/>
    <w:rsid w:val="6DF1202B"/>
    <w:rsid w:val="6DF27BA0"/>
    <w:rsid w:val="6DF4644E"/>
    <w:rsid w:val="6DF55E6E"/>
    <w:rsid w:val="6DF77B96"/>
    <w:rsid w:val="6E062157"/>
    <w:rsid w:val="6E0B3D67"/>
    <w:rsid w:val="6E104D52"/>
    <w:rsid w:val="6E163CFE"/>
    <w:rsid w:val="6E1A3DA9"/>
    <w:rsid w:val="6E1F3329"/>
    <w:rsid w:val="6E2414D0"/>
    <w:rsid w:val="6E246230"/>
    <w:rsid w:val="6E2A44A5"/>
    <w:rsid w:val="6E335A5B"/>
    <w:rsid w:val="6E3621C3"/>
    <w:rsid w:val="6E453189"/>
    <w:rsid w:val="6E454CC8"/>
    <w:rsid w:val="6E490261"/>
    <w:rsid w:val="6E530820"/>
    <w:rsid w:val="6E557A22"/>
    <w:rsid w:val="6E5F0DAA"/>
    <w:rsid w:val="6E656EBC"/>
    <w:rsid w:val="6E7A2651"/>
    <w:rsid w:val="6E7B361D"/>
    <w:rsid w:val="6E8C65B7"/>
    <w:rsid w:val="6E9F1975"/>
    <w:rsid w:val="6EAE3DA2"/>
    <w:rsid w:val="6EB8360B"/>
    <w:rsid w:val="6EC4312C"/>
    <w:rsid w:val="6EDE21EB"/>
    <w:rsid w:val="6EF21B88"/>
    <w:rsid w:val="6EF62377"/>
    <w:rsid w:val="6EFF2445"/>
    <w:rsid w:val="6F000F1E"/>
    <w:rsid w:val="6F063E1D"/>
    <w:rsid w:val="6F0A2370"/>
    <w:rsid w:val="6F0A4DA8"/>
    <w:rsid w:val="6F112CE7"/>
    <w:rsid w:val="6F136B01"/>
    <w:rsid w:val="6F1404DE"/>
    <w:rsid w:val="6F1F579B"/>
    <w:rsid w:val="6F3376BD"/>
    <w:rsid w:val="6F35275C"/>
    <w:rsid w:val="6F4D5894"/>
    <w:rsid w:val="6F51203A"/>
    <w:rsid w:val="6F542E31"/>
    <w:rsid w:val="6F5A5DF8"/>
    <w:rsid w:val="6F5C3100"/>
    <w:rsid w:val="6F61120D"/>
    <w:rsid w:val="6F62091E"/>
    <w:rsid w:val="6F667723"/>
    <w:rsid w:val="6F701A97"/>
    <w:rsid w:val="6F7701D6"/>
    <w:rsid w:val="6F7F091B"/>
    <w:rsid w:val="6F7F7551"/>
    <w:rsid w:val="6F8F5BAE"/>
    <w:rsid w:val="6F9D213C"/>
    <w:rsid w:val="6FA00E69"/>
    <w:rsid w:val="6FA43E60"/>
    <w:rsid w:val="6FA628FC"/>
    <w:rsid w:val="6FA808D1"/>
    <w:rsid w:val="6FA85C0E"/>
    <w:rsid w:val="6FA86512"/>
    <w:rsid w:val="6FA86B05"/>
    <w:rsid w:val="6FAF09D1"/>
    <w:rsid w:val="6FCA4CE0"/>
    <w:rsid w:val="6FCD31B3"/>
    <w:rsid w:val="6FCD7779"/>
    <w:rsid w:val="6FD0055A"/>
    <w:rsid w:val="6FD33AAE"/>
    <w:rsid w:val="6FD375E8"/>
    <w:rsid w:val="6FD57A77"/>
    <w:rsid w:val="6FD966D2"/>
    <w:rsid w:val="6FE068E4"/>
    <w:rsid w:val="6FE536DD"/>
    <w:rsid w:val="6FE54D61"/>
    <w:rsid w:val="6FF15EB3"/>
    <w:rsid w:val="6FF546B8"/>
    <w:rsid w:val="6FF86250"/>
    <w:rsid w:val="6FF9508C"/>
    <w:rsid w:val="6FFB22E5"/>
    <w:rsid w:val="700751F8"/>
    <w:rsid w:val="700C7F99"/>
    <w:rsid w:val="700F6C5A"/>
    <w:rsid w:val="70134404"/>
    <w:rsid w:val="70157DD5"/>
    <w:rsid w:val="702811A4"/>
    <w:rsid w:val="702F7772"/>
    <w:rsid w:val="703C4DCE"/>
    <w:rsid w:val="703C7596"/>
    <w:rsid w:val="7052415E"/>
    <w:rsid w:val="70584663"/>
    <w:rsid w:val="705D0282"/>
    <w:rsid w:val="705D494B"/>
    <w:rsid w:val="70647404"/>
    <w:rsid w:val="707B4BB9"/>
    <w:rsid w:val="7080255C"/>
    <w:rsid w:val="70804F16"/>
    <w:rsid w:val="7088000E"/>
    <w:rsid w:val="70880D75"/>
    <w:rsid w:val="70952C97"/>
    <w:rsid w:val="709605B2"/>
    <w:rsid w:val="7098155B"/>
    <w:rsid w:val="709826C2"/>
    <w:rsid w:val="70CA5526"/>
    <w:rsid w:val="70D23371"/>
    <w:rsid w:val="70DF36FD"/>
    <w:rsid w:val="70F266BA"/>
    <w:rsid w:val="70F44551"/>
    <w:rsid w:val="710B68F8"/>
    <w:rsid w:val="710C4A55"/>
    <w:rsid w:val="710F71D0"/>
    <w:rsid w:val="711E33D2"/>
    <w:rsid w:val="71287BEF"/>
    <w:rsid w:val="712A5894"/>
    <w:rsid w:val="712A6CE9"/>
    <w:rsid w:val="712C30B6"/>
    <w:rsid w:val="71371E23"/>
    <w:rsid w:val="713F3124"/>
    <w:rsid w:val="714239FD"/>
    <w:rsid w:val="714536D2"/>
    <w:rsid w:val="714B0D1A"/>
    <w:rsid w:val="714F2D5E"/>
    <w:rsid w:val="71560D5E"/>
    <w:rsid w:val="71697275"/>
    <w:rsid w:val="71697A56"/>
    <w:rsid w:val="716C7A6C"/>
    <w:rsid w:val="71702E1C"/>
    <w:rsid w:val="71703DB3"/>
    <w:rsid w:val="71753F72"/>
    <w:rsid w:val="718364FC"/>
    <w:rsid w:val="7186766D"/>
    <w:rsid w:val="71892FFE"/>
    <w:rsid w:val="718B7760"/>
    <w:rsid w:val="718C39B6"/>
    <w:rsid w:val="718C658F"/>
    <w:rsid w:val="718E301B"/>
    <w:rsid w:val="718E6E2B"/>
    <w:rsid w:val="71900C30"/>
    <w:rsid w:val="71A420BB"/>
    <w:rsid w:val="71B26561"/>
    <w:rsid w:val="71B76C37"/>
    <w:rsid w:val="71CA336D"/>
    <w:rsid w:val="71D072E1"/>
    <w:rsid w:val="71D14035"/>
    <w:rsid w:val="71DC4CAC"/>
    <w:rsid w:val="71E25E81"/>
    <w:rsid w:val="71F15AFE"/>
    <w:rsid w:val="71FA3323"/>
    <w:rsid w:val="71FD3949"/>
    <w:rsid w:val="720D1F1F"/>
    <w:rsid w:val="721F4F38"/>
    <w:rsid w:val="722864C5"/>
    <w:rsid w:val="7228724A"/>
    <w:rsid w:val="72353609"/>
    <w:rsid w:val="723B3115"/>
    <w:rsid w:val="723B7D8F"/>
    <w:rsid w:val="72416C20"/>
    <w:rsid w:val="72563A1C"/>
    <w:rsid w:val="72596D50"/>
    <w:rsid w:val="725F36EB"/>
    <w:rsid w:val="72644908"/>
    <w:rsid w:val="72666170"/>
    <w:rsid w:val="727134A0"/>
    <w:rsid w:val="727174FB"/>
    <w:rsid w:val="727B60E0"/>
    <w:rsid w:val="727F5222"/>
    <w:rsid w:val="72827B39"/>
    <w:rsid w:val="728C0BE4"/>
    <w:rsid w:val="729D18D5"/>
    <w:rsid w:val="72AA546C"/>
    <w:rsid w:val="72B5333B"/>
    <w:rsid w:val="72C94F41"/>
    <w:rsid w:val="72CB6631"/>
    <w:rsid w:val="72CF49C2"/>
    <w:rsid w:val="72D4387A"/>
    <w:rsid w:val="72D67994"/>
    <w:rsid w:val="72D7051A"/>
    <w:rsid w:val="72F25470"/>
    <w:rsid w:val="72F91E95"/>
    <w:rsid w:val="73080923"/>
    <w:rsid w:val="730C5B4E"/>
    <w:rsid w:val="731125EE"/>
    <w:rsid w:val="7316463A"/>
    <w:rsid w:val="7317405C"/>
    <w:rsid w:val="7328244B"/>
    <w:rsid w:val="732A36AC"/>
    <w:rsid w:val="733440B1"/>
    <w:rsid w:val="7335269F"/>
    <w:rsid w:val="733A049C"/>
    <w:rsid w:val="733A5B9A"/>
    <w:rsid w:val="7341049C"/>
    <w:rsid w:val="73491462"/>
    <w:rsid w:val="734B78B4"/>
    <w:rsid w:val="734E1BEC"/>
    <w:rsid w:val="73505624"/>
    <w:rsid w:val="73530BC6"/>
    <w:rsid w:val="7358133C"/>
    <w:rsid w:val="735925A6"/>
    <w:rsid w:val="73827254"/>
    <w:rsid w:val="738C54E7"/>
    <w:rsid w:val="73930668"/>
    <w:rsid w:val="7396760B"/>
    <w:rsid w:val="73B20910"/>
    <w:rsid w:val="73BD69AD"/>
    <w:rsid w:val="73C121B9"/>
    <w:rsid w:val="73C91E6F"/>
    <w:rsid w:val="73CB59CA"/>
    <w:rsid w:val="73D74517"/>
    <w:rsid w:val="73DA730C"/>
    <w:rsid w:val="73DF7BFD"/>
    <w:rsid w:val="73E32D7C"/>
    <w:rsid w:val="73E647D0"/>
    <w:rsid w:val="73E814A3"/>
    <w:rsid w:val="73F15747"/>
    <w:rsid w:val="73FB5A90"/>
    <w:rsid w:val="73FE7D8E"/>
    <w:rsid w:val="740124B3"/>
    <w:rsid w:val="7406578C"/>
    <w:rsid w:val="741159B0"/>
    <w:rsid w:val="741A29C8"/>
    <w:rsid w:val="741E1308"/>
    <w:rsid w:val="74274FED"/>
    <w:rsid w:val="742D694F"/>
    <w:rsid w:val="743177FA"/>
    <w:rsid w:val="74392C4F"/>
    <w:rsid w:val="743B6797"/>
    <w:rsid w:val="743C15A6"/>
    <w:rsid w:val="743F116C"/>
    <w:rsid w:val="744372E0"/>
    <w:rsid w:val="7450271D"/>
    <w:rsid w:val="74587C1B"/>
    <w:rsid w:val="74600884"/>
    <w:rsid w:val="74764121"/>
    <w:rsid w:val="74784453"/>
    <w:rsid w:val="747D5679"/>
    <w:rsid w:val="74834C1B"/>
    <w:rsid w:val="74883A18"/>
    <w:rsid w:val="748B1843"/>
    <w:rsid w:val="74920535"/>
    <w:rsid w:val="74966354"/>
    <w:rsid w:val="749846D5"/>
    <w:rsid w:val="749C6582"/>
    <w:rsid w:val="749D4D1F"/>
    <w:rsid w:val="74A36ACB"/>
    <w:rsid w:val="74A47AB6"/>
    <w:rsid w:val="74BF6978"/>
    <w:rsid w:val="74CD515D"/>
    <w:rsid w:val="74D50D99"/>
    <w:rsid w:val="74DD1867"/>
    <w:rsid w:val="74DE0119"/>
    <w:rsid w:val="74EA657C"/>
    <w:rsid w:val="74F47894"/>
    <w:rsid w:val="74F824A8"/>
    <w:rsid w:val="75035052"/>
    <w:rsid w:val="750D7ED4"/>
    <w:rsid w:val="75101915"/>
    <w:rsid w:val="7515520F"/>
    <w:rsid w:val="75343057"/>
    <w:rsid w:val="753C525D"/>
    <w:rsid w:val="75413E03"/>
    <w:rsid w:val="754325DD"/>
    <w:rsid w:val="75455533"/>
    <w:rsid w:val="75473D7D"/>
    <w:rsid w:val="75505FB0"/>
    <w:rsid w:val="755328D0"/>
    <w:rsid w:val="755842E4"/>
    <w:rsid w:val="755B5C32"/>
    <w:rsid w:val="75690D40"/>
    <w:rsid w:val="757976E9"/>
    <w:rsid w:val="758837C0"/>
    <w:rsid w:val="75896B45"/>
    <w:rsid w:val="758C341D"/>
    <w:rsid w:val="758D62FC"/>
    <w:rsid w:val="759477AE"/>
    <w:rsid w:val="759810DC"/>
    <w:rsid w:val="75A0244B"/>
    <w:rsid w:val="75A04BF1"/>
    <w:rsid w:val="75A56204"/>
    <w:rsid w:val="75AB200F"/>
    <w:rsid w:val="75B30892"/>
    <w:rsid w:val="75B9271D"/>
    <w:rsid w:val="75BA12E2"/>
    <w:rsid w:val="75BA2609"/>
    <w:rsid w:val="75BD5355"/>
    <w:rsid w:val="75BE5B16"/>
    <w:rsid w:val="75C16F04"/>
    <w:rsid w:val="75CF16A0"/>
    <w:rsid w:val="75D24011"/>
    <w:rsid w:val="75D248AE"/>
    <w:rsid w:val="75D4751F"/>
    <w:rsid w:val="75D554C1"/>
    <w:rsid w:val="75DB2B70"/>
    <w:rsid w:val="75E76BE6"/>
    <w:rsid w:val="75F036FA"/>
    <w:rsid w:val="75F0614D"/>
    <w:rsid w:val="75FC029A"/>
    <w:rsid w:val="7604494B"/>
    <w:rsid w:val="76060723"/>
    <w:rsid w:val="76163EE4"/>
    <w:rsid w:val="76226144"/>
    <w:rsid w:val="76232811"/>
    <w:rsid w:val="762413AC"/>
    <w:rsid w:val="762A7030"/>
    <w:rsid w:val="762E3F4B"/>
    <w:rsid w:val="763D72D7"/>
    <w:rsid w:val="7643723F"/>
    <w:rsid w:val="76454A62"/>
    <w:rsid w:val="764C5A34"/>
    <w:rsid w:val="765601C7"/>
    <w:rsid w:val="76560E6E"/>
    <w:rsid w:val="76615FD1"/>
    <w:rsid w:val="766963DF"/>
    <w:rsid w:val="76702E40"/>
    <w:rsid w:val="76816F25"/>
    <w:rsid w:val="76893007"/>
    <w:rsid w:val="768F1A73"/>
    <w:rsid w:val="768F39AF"/>
    <w:rsid w:val="76954AB3"/>
    <w:rsid w:val="76AA3816"/>
    <w:rsid w:val="76B66BC1"/>
    <w:rsid w:val="76E0462A"/>
    <w:rsid w:val="76EB008C"/>
    <w:rsid w:val="76EF1A7D"/>
    <w:rsid w:val="77020366"/>
    <w:rsid w:val="7707152E"/>
    <w:rsid w:val="77164313"/>
    <w:rsid w:val="77200B82"/>
    <w:rsid w:val="77206047"/>
    <w:rsid w:val="77221368"/>
    <w:rsid w:val="77265C97"/>
    <w:rsid w:val="772E19A9"/>
    <w:rsid w:val="77347046"/>
    <w:rsid w:val="773B2778"/>
    <w:rsid w:val="77445C06"/>
    <w:rsid w:val="77485474"/>
    <w:rsid w:val="77667C2A"/>
    <w:rsid w:val="776833C3"/>
    <w:rsid w:val="77733AC1"/>
    <w:rsid w:val="77766584"/>
    <w:rsid w:val="777E4B75"/>
    <w:rsid w:val="77856B57"/>
    <w:rsid w:val="77886E5B"/>
    <w:rsid w:val="778A1CDD"/>
    <w:rsid w:val="778B6FFA"/>
    <w:rsid w:val="778C28E5"/>
    <w:rsid w:val="779F4B1D"/>
    <w:rsid w:val="77A82052"/>
    <w:rsid w:val="77AB523D"/>
    <w:rsid w:val="77AD7473"/>
    <w:rsid w:val="77B22AD2"/>
    <w:rsid w:val="77D66F19"/>
    <w:rsid w:val="77DF0FFE"/>
    <w:rsid w:val="77E74EA3"/>
    <w:rsid w:val="77EC4E1A"/>
    <w:rsid w:val="77F93AD5"/>
    <w:rsid w:val="77FE6B15"/>
    <w:rsid w:val="78072897"/>
    <w:rsid w:val="780D5BA7"/>
    <w:rsid w:val="781E6120"/>
    <w:rsid w:val="78247ECD"/>
    <w:rsid w:val="782A2A31"/>
    <w:rsid w:val="782D3D3A"/>
    <w:rsid w:val="782E595C"/>
    <w:rsid w:val="78350944"/>
    <w:rsid w:val="783963BB"/>
    <w:rsid w:val="7847683F"/>
    <w:rsid w:val="78592AE1"/>
    <w:rsid w:val="785F36C4"/>
    <w:rsid w:val="78647B38"/>
    <w:rsid w:val="78671BBD"/>
    <w:rsid w:val="786733AF"/>
    <w:rsid w:val="786C1502"/>
    <w:rsid w:val="78812F30"/>
    <w:rsid w:val="7881633C"/>
    <w:rsid w:val="789412D2"/>
    <w:rsid w:val="78994653"/>
    <w:rsid w:val="78A23DCC"/>
    <w:rsid w:val="78B106EF"/>
    <w:rsid w:val="78B236BF"/>
    <w:rsid w:val="78BB40CD"/>
    <w:rsid w:val="78C2513D"/>
    <w:rsid w:val="78C2745B"/>
    <w:rsid w:val="78C325E3"/>
    <w:rsid w:val="78CA7836"/>
    <w:rsid w:val="78EF05C0"/>
    <w:rsid w:val="790F07B9"/>
    <w:rsid w:val="791C1A74"/>
    <w:rsid w:val="791C779B"/>
    <w:rsid w:val="79211DC3"/>
    <w:rsid w:val="79451271"/>
    <w:rsid w:val="794D2A77"/>
    <w:rsid w:val="79534CF6"/>
    <w:rsid w:val="795752FE"/>
    <w:rsid w:val="79605474"/>
    <w:rsid w:val="79631219"/>
    <w:rsid w:val="7963187D"/>
    <w:rsid w:val="797E2D94"/>
    <w:rsid w:val="79892EF0"/>
    <w:rsid w:val="798B08DE"/>
    <w:rsid w:val="79905F4F"/>
    <w:rsid w:val="79933F0B"/>
    <w:rsid w:val="79984CB7"/>
    <w:rsid w:val="7999719B"/>
    <w:rsid w:val="79A27AC6"/>
    <w:rsid w:val="79AE005F"/>
    <w:rsid w:val="79B658FE"/>
    <w:rsid w:val="79B71604"/>
    <w:rsid w:val="79D055AE"/>
    <w:rsid w:val="79DE0BC3"/>
    <w:rsid w:val="79F9067D"/>
    <w:rsid w:val="79FE6A8C"/>
    <w:rsid w:val="7A026B0B"/>
    <w:rsid w:val="7A074AA7"/>
    <w:rsid w:val="7A12486F"/>
    <w:rsid w:val="7A164AE0"/>
    <w:rsid w:val="7A17550E"/>
    <w:rsid w:val="7A1D5BCA"/>
    <w:rsid w:val="7A290A2B"/>
    <w:rsid w:val="7A2925B3"/>
    <w:rsid w:val="7A3C7619"/>
    <w:rsid w:val="7A500017"/>
    <w:rsid w:val="7A577EF6"/>
    <w:rsid w:val="7A6B60EF"/>
    <w:rsid w:val="7A6C4757"/>
    <w:rsid w:val="7A71047E"/>
    <w:rsid w:val="7A77071C"/>
    <w:rsid w:val="7A861DEB"/>
    <w:rsid w:val="7A892CDF"/>
    <w:rsid w:val="7A8D1326"/>
    <w:rsid w:val="7A912CB4"/>
    <w:rsid w:val="7A964EFD"/>
    <w:rsid w:val="7AA06B35"/>
    <w:rsid w:val="7AA8683F"/>
    <w:rsid w:val="7AAC1916"/>
    <w:rsid w:val="7ABA389A"/>
    <w:rsid w:val="7ABB585A"/>
    <w:rsid w:val="7ABE3149"/>
    <w:rsid w:val="7AC15B24"/>
    <w:rsid w:val="7ADB4E96"/>
    <w:rsid w:val="7ADC4D23"/>
    <w:rsid w:val="7AEA42A3"/>
    <w:rsid w:val="7AEB1E03"/>
    <w:rsid w:val="7AEF47F3"/>
    <w:rsid w:val="7AEF4804"/>
    <w:rsid w:val="7AFF5301"/>
    <w:rsid w:val="7B002151"/>
    <w:rsid w:val="7B013FE1"/>
    <w:rsid w:val="7B0217E6"/>
    <w:rsid w:val="7B0226A7"/>
    <w:rsid w:val="7B0D277C"/>
    <w:rsid w:val="7B1A1FD7"/>
    <w:rsid w:val="7B2948F5"/>
    <w:rsid w:val="7B316253"/>
    <w:rsid w:val="7B376E26"/>
    <w:rsid w:val="7B3808E0"/>
    <w:rsid w:val="7B4A331E"/>
    <w:rsid w:val="7B587523"/>
    <w:rsid w:val="7B631FC6"/>
    <w:rsid w:val="7B6B676E"/>
    <w:rsid w:val="7B776005"/>
    <w:rsid w:val="7B7A1189"/>
    <w:rsid w:val="7B7B3D4F"/>
    <w:rsid w:val="7B806144"/>
    <w:rsid w:val="7B850568"/>
    <w:rsid w:val="7B8C6BB5"/>
    <w:rsid w:val="7B94534A"/>
    <w:rsid w:val="7BB43E63"/>
    <w:rsid w:val="7BBD3616"/>
    <w:rsid w:val="7BC01697"/>
    <w:rsid w:val="7BC7283B"/>
    <w:rsid w:val="7BCC1864"/>
    <w:rsid w:val="7BDC1166"/>
    <w:rsid w:val="7BE84E85"/>
    <w:rsid w:val="7BEA6A00"/>
    <w:rsid w:val="7BF562CD"/>
    <w:rsid w:val="7BFA6D0E"/>
    <w:rsid w:val="7C1A2843"/>
    <w:rsid w:val="7C2B2083"/>
    <w:rsid w:val="7C320127"/>
    <w:rsid w:val="7C320D0F"/>
    <w:rsid w:val="7C365313"/>
    <w:rsid w:val="7C3B5800"/>
    <w:rsid w:val="7C3D7028"/>
    <w:rsid w:val="7C403741"/>
    <w:rsid w:val="7C447E50"/>
    <w:rsid w:val="7C542CAF"/>
    <w:rsid w:val="7C554ABD"/>
    <w:rsid w:val="7C5E2245"/>
    <w:rsid w:val="7C622CFB"/>
    <w:rsid w:val="7C794E64"/>
    <w:rsid w:val="7C7D6F3B"/>
    <w:rsid w:val="7C824496"/>
    <w:rsid w:val="7C964439"/>
    <w:rsid w:val="7C9B3740"/>
    <w:rsid w:val="7C9E6D73"/>
    <w:rsid w:val="7CB0081C"/>
    <w:rsid w:val="7CB80C1E"/>
    <w:rsid w:val="7CB932B3"/>
    <w:rsid w:val="7CBA4BBB"/>
    <w:rsid w:val="7CC204B4"/>
    <w:rsid w:val="7CC370E6"/>
    <w:rsid w:val="7CCB07D6"/>
    <w:rsid w:val="7CD321D8"/>
    <w:rsid w:val="7CD87D80"/>
    <w:rsid w:val="7CDC7503"/>
    <w:rsid w:val="7CDE3D5F"/>
    <w:rsid w:val="7CE15591"/>
    <w:rsid w:val="7CE23CCD"/>
    <w:rsid w:val="7CE8714F"/>
    <w:rsid w:val="7CE97A34"/>
    <w:rsid w:val="7D02287F"/>
    <w:rsid w:val="7D071B08"/>
    <w:rsid w:val="7D0F772E"/>
    <w:rsid w:val="7D196567"/>
    <w:rsid w:val="7D1F2E11"/>
    <w:rsid w:val="7D216EBD"/>
    <w:rsid w:val="7D3C42E9"/>
    <w:rsid w:val="7D3F12B1"/>
    <w:rsid w:val="7D470518"/>
    <w:rsid w:val="7D631F12"/>
    <w:rsid w:val="7D67693B"/>
    <w:rsid w:val="7D6B77AB"/>
    <w:rsid w:val="7D7041CC"/>
    <w:rsid w:val="7D785FFB"/>
    <w:rsid w:val="7D7944BD"/>
    <w:rsid w:val="7D7A3506"/>
    <w:rsid w:val="7D90155E"/>
    <w:rsid w:val="7D911296"/>
    <w:rsid w:val="7D980C30"/>
    <w:rsid w:val="7DAB496E"/>
    <w:rsid w:val="7DAD38EF"/>
    <w:rsid w:val="7DB5379D"/>
    <w:rsid w:val="7DBC67FA"/>
    <w:rsid w:val="7DC4776F"/>
    <w:rsid w:val="7DDE0252"/>
    <w:rsid w:val="7DE87622"/>
    <w:rsid w:val="7DE92585"/>
    <w:rsid w:val="7DE9582C"/>
    <w:rsid w:val="7DF441E0"/>
    <w:rsid w:val="7E1652C2"/>
    <w:rsid w:val="7E1A78D3"/>
    <w:rsid w:val="7E334242"/>
    <w:rsid w:val="7E335CAB"/>
    <w:rsid w:val="7E3606A2"/>
    <w:rsid w:val="7E3B052D"/>
    <w:rsid w:val="7E40505A"/>
    <w:rsid w:val="7E491C6A"/>
    <w:rsid w:val="7E4F093D"/>
    <w:rsid w:val="7E5A30AC"/>
    <w:rsid w:val="7E5A50BD"/>
    <w:rsid w:val="7E5E4287"/>
    <w:rsid w:val="7E5F3642"/>
    <w:rsid w:val="7E627D2F"/>
    <w:rsid w:val="7E757799"/>
    <w:rsid w:val="7E7A32C5"/>
    <w:rsid w:val="7E7D3369"/>
    <w:rsid w:val="7E8219DC"/>
    <w:rsid w:val="7E862487"/>
    <w:rsid w:val="7E8C372C"/>
    <w:rsid w:val="7E94340D"/>
    <w:rsid w:val="7E967305"/>
    <w:rsid w:val="7E973F35"/>
    <w:rsid w:val="7EA0530B"/>
    <w:rsid w:val="7EA0583E"/>
    <w:rsid w:val="7EA5444B"/>
    <w:rsid w:val="7EA76BF7"/>
    <w:rsid w:val="7EB14D62"/>
    <w:rsid w:val="7EB70EDA"/>
    <w:rsid w:val="7EC66A96"/>
    <w:rsid w:val="7ECF346A"/>
    <w:rsid w:val="7ED22C01"/>
    <w:rsid w:val="7EDD3234"/>
    <w:rsid w:val="7EE27A7A"/>
    <w:rsid w:val="7EF00DAE"/>
    <w:rsid w:val="7EF9013B"/>
    <w:rsid w:val="7EFA2E85"/>
    <w:rsid w:val="7F015A64"/>
    <w:rsid w:val="7F156BB4"/>
    <w:rsid w:val="7F1C5D59"/>
    <w:rsid w:val="7F2E4032"/>
    <w:rsid w:val="7F3C09A1"/>
    <w:rsid w:val="7F435023"/>
    <w:rsid w:val="7F4453A8"/>
    <w:rsid w:val="7F44650F"/>
    <w:rsid w:val="7F4F77E0"/>
    <w:rsid w:val="7F520E9A"/>
    <w:rsid w:val="7F5A63A1"/>
    <w:rsid w:val="7F5C125B"/>
    <w:rsid w:val="7F63224D"/>
    <w:rsid w:val="7F754EA2"/>
    <w:rsid w:val="7F7B4DEA"/>
    <w:rsid w:val="7F827DE9"/>
    <w:rsid w:val="7F852744"/>
    <w:rsid w:val="7F932219"/>
    <w:rsid w:val="7FA85FE4"/>
    <w:rsid w:val="7FA92ED5"/>
    <w:rsid w:val="7FAE449D"/>
    <w:rsid w:val="7FAF00E5"/>
    <w:rsid w:val="7FB647ED"/>
    <w:rsid w:val="7FC27060"/>
    <w:rsid w:val="7FCB6122"/>
    <w:rsid w:val="7FCC51E3"/>
    <w:rsid w:val="7FD728A5"/>
    <w:rsid w:val="7FDD0935"/>
    <w:rsid w:val="7FDD0BAD"/>
    <w:rsid w:val="7FE26DBE"/>
    <w:rsid w:val="7FED55A0"/>
    <w:rsid w:val="7FF3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8"/>
    <w:qFormat/>
    <w:uiPriority w:val="1"/>
    <w:pPr>
      <w:autoSpaceDE w:val="0"/>
      <w:autoSpaceDN w:val="0"/>
      <w:adjustRightInd w:val="0"/>
      <w:spacing w:before="17"/>
      <w:ind w:left="1144"/>
      <w:jc w:val="left"/>
      <w:outlineLvl w:val="0"/>
    </w:pPr>
    <w:rPr>
      <w:rFonts w:ascii="黑体" w:eastAsia="黑体"/>
      <w:b/>
      <w:bCs/>
      <w:kern w:val="0"/>
      <w:sz w:val="36"/>
      <w:szCs w:val="36"/>
    </w:rPr>
  </w:style>
  <w:style w:type="paragraph" w:styleId="4">
    <w:name w:val="heading 2"/>
    <w:basedOn w:val="1"/>
    <w:next w:val="1"/>
    <w:link w:val="39"/>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40"/>
    <w:qFormat/>
    <w:uiPriority w:val="1"/>
    <w:pPr>
      <w:autoSpaceDE w:val="0"/>
      <w:autoSpaceDN w:val="0"/>
      <w:adjustRightInd w:val="0"/>
      <w:spacing w:before="34"/>
      <w:ind w:left="120"/>
      <w:jc w:val="left"/>
      <w:outlineLvl w:val="2"/>
    </w:pPr>
    <w:rPr>
      <w:rFonts w:ascii="宋体"/>
      <w:b/>
      <w:bCs/>
      <w:kern w:val="0"/>
      <w:sz w:val="20"/>
      <w:szCs w:val="21"/>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
    <w:qFormat/>
    <w:uiPriority w:val="1"/>
    <w:pPr>
      <w:autoSpaceDE w:val="0"/>
      <w:autoSpaceDN w:val="0"/>
      <w:adjustRightInd w:val="0"/>
      <w:spacing w:before="162"/>
      <w:ind w:left="120"/>
      <w:jc w:val="left"/>
    </w:pPr>
    <w:rPr>
      <w:rFonts w:ascii="宋体"/>
      <w:kern w:val="0"/>
      <w:sz w:val="20"/>
      <w:szCs w:val="21"/>
    </w:rPr>
  </w:style>
  <w:style w:type="paragraph" w:styleId="6">
    <w:name w:val="annotation text"/>
    <w:basedOn w:val="1"/>
    <w:link w:val="41"/>
    <w:unhideWhenUsed/>
    <w:qFormat/>
    <w:uiPriority w:val="99"/>
    <w:pPr>
      <w:jc w:val="left"/>
    </w:pPr>
  </w:style>
  <w:style w:type="paragraph" w:styleId="7">
    <w:name w:val="Date"/>
    <w:basedOn w:val="1"/>
    <w:next w:val="1"/>
    <w:link w:val="43"/>
    <w:unhideWhenUsed/>
    <w:qFormat/>
    <w:uiPriority w:val="99"/>
    <w:pPr>
      <w:ind w:left="100" w:leftChars="2500"/>
    </w:pPr>
  </w:style>
  <w:style w:type="paragraph" w:styleId="8">
    <w:name w:val="Balloon Text"/>
    <w:basedOn w:val="1"/>
    <w:link w:val="44"/>
    <w:unhideWhenUsed/>
    <w:qFormat/>
    <w:uiPriority w:val="99"/>
    <w:rPr>
      <w:kern w:val="0"/>
      <w:sz w:val="18"/>
      <w:szCs w:val="18"/>
    </w:rPr>
  </w:style>
  <w:style w:type="paragraph" w:styleId="9">
    <w:name w:val="footer"/>
    <w:basedOn w:val="1"/>
    <w:link w:val="45"/>
    <w:unhideWhenUsed/>
    <w:qFormat/>
    <w:uiPriority w:val="99"/>
    <w:pPr>
      <w:tabs>
        <w:tab w:val="center" w:pos="4153"/>
        <w:tab w:val="right" w:pos="8306"/>
      </w:tabs>
      <w:snapToGrid w:val="0"/>
      <w:jc w:val="left"/>
    </w:pPr>
    <w:rPr>
      <w:kern w:val="0"/>
      <w:sz w:val="18"/>
      <w:szCs w:val="18"/>
    </w:rPr>
  </w:style>
  <w:style w:type="paragraph" w:styleId="10">
    <w:name w:val="header"/>
    <w:basedOn w:val="1"/>
    <w:link w:val="4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47"/>
    <w:semiHidden/>
    <w:unhideWhenUsed/>
    <w:qFormat/>
    <w:uiPriority w:val="99"/>
    <w:pPr>
      <w:snapToGrid w:val="0"/>
      <w:jc w:val="left"/>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6"/>
    <w:next w:val="6"/>
    <w:link w:val="48"/>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rFonts w:ascii="Times New Roman" w:hAnsi="Times New Roman" w:eastAsia="宋体" w:cs="Times New Roman"/>
      <w:b/>
      <w:bCs/>
    </w:rPr>
  </w:style>
  <w:style w:type="character" w:styleId="19">
    <w:name w:val="Hyperlink"/>
    <w:unhideWhenUsed/>
    <w:qFormat/>
    <w:uiPriority w:val="99"/>
    <w:rPr>
      <w:rFonts w:ascii="Times New Roman" w:hAnsi="Times New Roman" w:eastAsia="宋体" w:cs="Times New Roman"/>
      <w:color w:val="0000FF"/>
      <w:u w:val="single"/>
    </w:rPr>
  </w:style>
  <w:style w:type="character" w:styleId="20">
    <w:name w:val="annotation reference"/>
    <w:unhideWhenUsed/>
    <w:qFormat/>
    <w:uiPriority w:val="99"/>
    <w:rPr>
      <w:rFonts w:ascii="Times New Roman" w:hAnsi="Times New Roman" w:eastAsia="宋体" w:cs="Times New Roman"/>
      <w:sz w:val="21"/>
      <w:szCs w:val="21"/>
    </w:rPr>
  </w:style>
  <w:style w:type="character" w:styleId="21">
    <w:name w:val="footnote reference"/>
    <w:semiHidden/>
    <w:unhideWhenUsed/>
    <w:qFormat/>
    <w:uiPriority w:val="99"/>
    <w:rPr>
      <w:rFonts w:ascii="Times New Roman" w:hAnsi="Times New Roman" w:eastAsia="宋体" w:cs="Times New Roman"/>
      <w:vertAlign w:val="superscript"/>
    </w:rPr>
  </w:style>
  <w:style w:type="character" w:customStyle="1" w:styleId="22">
    <w:name w:val="批注文字 字符"/>
    <w:qFormat/>
    <w:uiPriority w:val="99"/>
    <w:rPr>
      <w:rFonts w:ascii="Times New Roman" w:hAnsi="Times New Roman" w:eastAsia="宋体" w:cs="Times New Roman"/>
    </w:rPr>
  </w:style>
  <w:style w:type="character" w:customStyle="1" w:styleId="23">
    <w:name w:val="标题 3 字符"/>
    <w:qFormat/>
    <w:uiPriority w:val="1"/>
    <w:rPr>
      <w:rFonts w:ascii="宋体" w:hAnsi="Times New Roman" w:eastAsia="宋体" w:cs="Times New Roman"/>
      <w:b/>
      <w:bCs/>
      <w:kern w:val="0"/>
      <w:sz w:val="20"/>
      <w:szCs w:val="21"/>
    </w:rPr>
  </w:style>
  <w:style w:type="character" w:customStyle="1" w:styleId="24">
    <w:name w:val="脚注文本 字符1"/>
    <w:semiHidden/>
    <w:qFormat/>
    <w:uiPriority w:val="99"/>
    <w:rPr>
      <w:rFonts w:ascii="Times New Roman" w:hAnsi="Times New Roman" w:eastAsia="宋体" w:cs="Times New Roman"/>
      <w:sz w:val="18"/>
      <w:szCs w:val="18"/>
    </w:rPr>
  </w:style>
  <w:style w:type="character" w:customStyle="1" w:styleId="25">
    <w:name w:val="标题 2 字符"/>
    <w:qFormat/>
    <w:uiPriority w:val="9"/>
    <w:rPr>
      <w:rFonts w:ascii="Cambria" w:hAnsi="Cambria" w:eastAsia="宋体" w:cs="Times New Roman"/>
      <w:b/>
      <w:bCs/>
      <w:kern w:val="0"/>
      <w:sz w:val="32"/>
      <w:szCs w:val="32"/>
    </w:rPr>
  </w:style>
  <w:style w:type="character" w:customStyle="1" w:styleId="26">
    <w:name w:val="正文文本 字符"/>
    <w:qFormat/>
    <w:uiPriority w:val="1"/>
    <w:rPr>
      <w:rFonts w:ascii="宋体" w:hAnsi="Times New Roman" w:eastAsia="宋体" w:cs="Times New Roman"/>
      <w:kern w:val="0"/>
      <w:sz w:val="20"/>
      <w:szCs w:val="21"/>
    </w:rPr>
  </w:style>
  <w:style w:type="character" w:customStyle="1" w:styleId="27">
    <w:name w:val="脚注文本 字符"/>
    <w:semiHidden/>
    <w:qFormat/>
    <w:uiPriority w:val="99"/>
    <w:rPr>
      <w:rFonts w:ascii="Times New Roman" w:hAnsi="Times New Roman" w:eastAsia="宋体" w:cs="Times New Roman"/>
      <w:kern w:val="2"/>
      <w:sz w:val="18"/>
      <w:szCs w:val="18"/>
    </w:rPr>
  </w:style>
  <w:style w:type="character" w:customStyle="1" w:styleId="28">
    <w:name w:val="批注主题 字符"/>
    <w:semiHidden/>
    <w:qFormat/>
    <w:uiPriority w:val="99"/>
    <w:rPr>
      <w:rFonts w:ascii="Times New Roman" w:hAnsi="Times New Roman" w:eastAsia="宋体" w:cs="Times New Roman"/>
      <w:b/>
      <w:bCs/>
    </w:rPr>
  </w:style>
  <w:style w:type="character" w:customStyle="1" w:styleId="29">
    <w:name w:val="日期 字符"/>
    <w:basedOn w:val="17"/>
    <w:semiHidden/>
    <w:qFormat/>
    <w:uiPriority w:val="99"/>
    <w:rPr>
      <w:rFonts w:ascii="Times New Roman" w:hAnsi="Times New Roman" w:eastAsia="宋体" w:cs="Times New Roman"/>
    </w:rPr>
  </w:style>
  <w:style w:type="character" w:customStyle="1" w:styleId="30">
    <w:name w:val="标题 1 字符"/>
    <w:qFormat/>
    <w:uiPriority w:val="1"/>
    <w:rPr>
      <w:rFonts w:ascii="黑体" w:hAnsi="Times New Roman" w:eastAsia="黑体" w:cs="Times New Roman"/>
      <w:b/>
      <w:bCs/>
      <w:kern w:val="0"/>
      <w:sz w:val="36"/>
      <w:szCs w:val="36"/>
    </w:rPr>
  </w:style>
  <w:style w:type="character" w:customStyle="1" w:styleId="31">
    <w:name w:val="页脚 字符"/>
    <w:qFormat/>
    <w:uiPriority w:val="99"/>
    <w:rPr>
      <w:rFonts w:ascii="Times New Roman" w:hAnsi="Times New Roman" w:eastAsia="宋体" w:cs="Times New Roman"/>
      <w:kern w:val="0"/>
      <w:sz w:val="18"/>
      <w:szCs w:val="18"/>
    </w:rPr>
  </w:style>
  <w:style w:type="character" w:customStyle="1" w:styleId="32">
    <w:name w:val="页眉 字符"/>
    <w:qFormat/>
    <w:uiPriority w:val="99"/>
    <w:rPr>
      <w:rFonts w:ascii="Times New Roman" w:hAnsi="Times New Roman" w:eastAsia="宋体" w:cs="Times New Roman"/>
      <w:kern w:val="0"/>
      <w:sz w:val="18"/>
      <w:szCs w:val="18"/>
    </w:rPr>
  </w:style>
  <w:style w:type="character" w:customStyle="1" w:styleId="33">
    <w:name w:val="批注框文本 字符"/>
    <w:semiHidden/>
    <w:qFormat/>
    <w:uiPriority w:val="99"/>
    <w:rPr>
      <w:rFonts w:ascii="Times New Roman" w:hAnsi="Times New Roman" w:eastAsia="宋体" w:cs="Times New Roman"/>
      <w:kern w:val="0"/>
      <w:sz w:val="18"/>
      <w:szCs w:val="18"/>
    </w:rPr>
  </w:style>
  <w:style w:type="paragraph" w:customStyle="1" w:styleId="34">
    <w:name w:val="Table Paragraph"/>
    <w:basedOn w:val="1"/>
    <w:qFormat/>
    <w:uiPriority w:val="1"/>
    <w:pPr>
      <w:autoSpaceDE w:val="0"/>
      <w:autoSpaceDN w:val="0"/>
      <w:adjustRightInd w:val="0"/>
      <w:jc w:val="left"/>
    </w:pPr>
    <w:rPr>
      <w:kern w:val="0"/>
      <w:sz w:val="24"/>
      <w:szCs w:val="24"/>
    </w:rPr>
  </w:style>
  <w:style w:type="paragraph" w:customStyle="1" w:styleId="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6">
    <w:name w:val="List Paragraph"/>
    <w:basedOn w:val="1"/>
    <w:qFormat/>
    <w:uiPriority w:val="72"/>
    <w:pPr>
      <w:ind w:firstLine="420" w:firstLineChars="200"/>
    </w:pPr>
  </w:style>
  <w:style w:type="paragraph" w:customStyle="1" w:styleId="37">
    <w:name w:val="_Style 36"/>
    <w:semiHidden/>
    <w:qFormat/>
    <w:uiPriority w:val="99"/>
    <w:rPr>
      <w:rFonts w:ascii="Times New Roman" w:hAnsi="Times New Roman" w:eastAsia="宋体" w:cs="Times New Roman"/>
      <w:kern w:val="2"/>
      <w:sz w:val="21"/>
      <w:szCs w:val="22"/>
      <w:lang w:val="en-US" w:eastAsia="zh-CN" w:bidi="ar-SA"/>
    </w:rPr>
  </w:style>
  <w:style w:type="character" w:customStyle="1" w:styleId="38">
    <w:name w:val="标题 1 字符1"/>
    <w:link w:val="3"/>
    <w:qFormat/>
    <w:uiPriority w:val="1"/>
    <w:rPr>
      <w:rFonts w:ascii="黑体" w:hAnsi="Times New Roman" w:eastAsia="黑体" w:cs="黑体"/>
      <w:b/>
      <w:bCs/>
      <w:kern w:val="0"/>
      <w:sz w:val="36"/>
      <w:szCs w:val="36"/>
    </w:rPr>
  </w:style>
  <w:style w:type="character" w:customStyle="1" w:styleId="39">
    <w:name w:val="标题 2 字符1"/>
    <w:link w:val="4"/>
    <w:qFormat/>
    <w:uiPriority w:val="9"/>
    <w:rPr>
      <w:rFonts w:ascii="Cambria" w:hAnsi="Cambria" w:eastAsia="宋体" w:cs="Times New Roman"/>
      <w:b/>
      <w:bCs/>
      <w:sz w:val="32"/>
      <w:szCs w:val="32"/>
    </w:rPr>
  </w:style>
  <w:style w:type="character" w:customStyle="1" w:styleId="40">
    <w:name w:val="标题 3 字符1"/>
    <w:link w:val="5"/>
    <w:qFormat/>
    <w:uiPriority w:val="1"/>
    <w:rPr>
      <w:rFonts w:ascii="宋体" w:hAnsi="Times New Roman" w:eastAsia="宋体" w:cs="宋体"/>
      <w:b/>
      <w:bCs/>
      <w:kern w:val="0"/>
      <w:szCs w:val="21"/>
    </w:rPr>
  </w:style>
  <w:style w:type="character" w:customStyle="1" w:styleId="41">
    <w:name w:val="批注文字 字符1"/>
    <w:link w:val="6"/>
    <w:qFormat/>
    <w:uiPriority w:val="99"/>
    <w:rPr>
      <w:rFonts w:ascii="Times New Roman" w:hAnsi="Times New Roman" w:eastAsia="宋体" w:cs="Times New Roman"/>
      <w:kern w:val="2"/>
      <w:sz w:val="21"/>
      <w:szCs w:val="22"/>
    </w:rPr>
  </w:style>
  <w:style w:type="character" w:customStyle="1" w:styleId="42">
    <w:name w:val="正文文本 字符1"/>
    <w:link w:val="2"/>
    <w:qFormat/>
    <w:uiPriority w:val="1"/>
    <w:rPr>
      <w:rFonts w:ascii="宋体" w:hAnsi="Times New Roman" w:eastAsia="宋体" w:cs="宋体"/>
      <w:kern w:val="0"/>
      <w:szCs w:val="21"/>
    </w:rPr>
  </w:style>
  <w:style w:type="character" w:customStyle="1" w:styleId="43">
    <w:name w:val="日期 字符1"/>
    <w:basedOn w:val="17"/>
    <w:link w:val="7"/>
    <w:semiHidden/>
    <w:qFormat/>
    <w:uiPriority w:val="99"/>
    <w:rPr>
      <w:rFonts w:ascii="Times New Roman" w:hAnsi="Times New Roman" w:eastAsia="宋体" w:cs="Times New Roman"/>
    </w:rPr>
  </w:style>
  <w:style w:type="character" w:customStyle="1" w:styleId="44">
    <w:name w:val="批注框文本 字符1"/>
    <w:link w:val="8"/>
    <w:semiHidden/>
    <w:qFormat/>
    <w:uiPriority w:val="99"/>
    <w:rPr>
      <w:rFonts w:ascii="Times New Roman" w:hAnsi="Times New Roman" w:eastAsia="宋体" w:cs="Times New Roman"/>
      <w:sz w:val="18"/>
      <w:szCs w:val="18"/>
    </w:rPr>
  </w:style>
  <w:style w:type="character" w:customStyle="1" w:styleId="45">
    <w:name w:val="页脚 字符1"/>
    <w:link w:val="9"/>
    <w:qFormat/>
    <w:uiPriority w:val="99"/>
    <w:rPr>
      <w:rFonts w:ascii="Times New Roman" w:hAnsi="Times New Roman" w:eastAsia="宋体" w:cs="Times New Roman"/>
      <w:sz w:val="18"/>
      <w:szCs w:val="18"/>
    </w:rPr>
  </w:style>
  <w:style w:type="character" w:customStyle="1" w:styleId="46">
    <w:name w:val="页眉 字符1"/>
    <w:link w:val="10"/>
    <w:qFormat/>
    <w:uiPriority w:val="99"/>
    <w:rPr>
      <w:rFonts w:ascii="Times New Roman" w:hAnsi="Times New Roman" w:eastAsia="宋体" w:cs="Times New Roman"/>
      <w:sz w:val="18"/>
      <w:szCs w:val="18"/>
    </w:rPr>
  </w:style>
  <w:style w:type="character" w:customStyle="1" w:styleId="47">
    <w:name w:val="脚注文本 字符2"/>
    <w:link w:val="11"/>
    <w:semiHidden/>
    <w:qFormat/>
    <w:uiPriority w:val="99"/>
    <w:rPr>
      <w:rFonts w:ascii="Times New Roman" w:hAnsi="Times New Roman" w:eastAsia="宋体" w:cs="Times New Roman"/>
      <w:kern w:val="2"/>
      <w:sz w:val="18"/>
      <w:szCs w:val="18"/>
    </w:rPr>
  </w:style>
  <w:style w:type="character" w:customStyle="1" w:styleId="48">
    <w:name w:val="批注主题 字符1"/>
    <w:link w:val="14"/>
    <w:semiHidden/>
    <w:qFormat/>
    <w:uiPriority w:val="99"/>
    <w:rPr>
      <w:rFonts w:ascii="Times New Roman" w:hAnsi="Times New Roman" w:eastAsia="宋体" w:cs="Times New Roman"/>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_rels/header3.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1"/>
    <customShpInfo spid="_x0000_s1029"/>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21814</Words>
  <Characters>22616</Characters>
  <Lines>243</Lines>
  <Paragraphs>68</Paragraphs>
  <TotalTime>3</TotalTime>
  <ScaleCrop>false</ScaleCrop>
  <LinksUpToDate>false</LinksUpToDate>
  <CharactersWithSpaces>22805</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2024-05-11T09:26:00Z</dcterms:created>
  <dc:creator>孙伯略</dc:creator>
  <cp:lastModifiedBy>sylc</cp:lastModifiedBy>
  <cp:lastPrinted>2024-07-15T08:58:00Z</cp:lastPrinted>
  <dcterms:modified xsi:type="dcterms:W3CDTF">2025-06-27T06:41:57Z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FE0C50D9B6F14793BB167459BCCDFBE6</vt:lpwstr>
  </property>
</Properties>
</file>