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highlight w:val="none"/>
          <w:shd w:val="clear"/>
        </w:rPr>
        <w:t>“苏银理财</w:t>
      </w:r>
      <w:r>
        <w:rPr>
          <w:rFonts w:hint="eastAsia" w:ascii="楷体" w:hAnsi="楷体" w:eastAsia="楷体"/>
          <w:b/>
          <w:color w:val="auto"/>
          <w:sz w:val="28"/>
          <w:szCs w:val="28"/>
          <w:highlight w:val="none"/>
          <w:shd w:val="clear"/>
          <w:lang w:val="en-US" w:eastAsia="zh-CN"/>
        </w:rPr>
        <w:t>恒源封闭债权181</w:t>
      </w:r>
      <w:r>
        <w:rPr>
          <w:rFonts w:hint="eastAsia" w:ascii="楷体" w:hAnsi="楷体" w:eastAsia="楷体"/>
          <w:b/>
          <w:color w:val="auto"/>
          <w:sz w:val="28"/>
          <w:szCs w:val="28"/>
          <w:highlight w:val="none"/>
          <w:shd w:val="clear"/>
        </w:rPr>
        <w:t>期”理财产</w:t>
      </w:r>
      <w:r>
        <w:rPr>
          <w:rFonts w:hint="eastAsia" w:ascii="楷体" w:hAnsi="楷体" w:eastAsia="楷体"/>
          <w:b/>
          <w:color w:val="auto"/>
          <w:sz w:val="28"/>
          <w:szCs w:val="28"/>
        </w:rPr>
        <w:t>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8"/>
          <w:szCs w:val="28"/>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both"/>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pPr>
        <w:jc w:val="center"/>
        <w:rPr>
          <w:rFonts w:hint="eastAsia" w:ascii="楷体" w:hAnsi="楷体" w:eastAsia="楷体"/>
          <w:b/>
          <w:color w:val="auto"/>
          <w:sz w:val="28"/>
          <w:szCs w:val="28"/>
          <w:lang w:eastAsia="zh-CN"/>
        </w:rPr>
      </w:pPr>
      <w:r>
        <w:rPr>
          <w:rFonts w:hint="eastAsia" w:ascii="楷体" w:hAnsi="楷体" w:eastAsia="楷体"/>
          <w:b/>
          <w:sz w:val="36"/>
          <w:szCs w:val="36"/>
        </w:rPr>
        <w:br w:type="page"/>
      </w:r>
      <w:bookmarkStart w:id="0" w:name="_Hlk168577216"/>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苏银理财恒源封闭债权181期</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在购买本理财产品前，投资者应确保自己完全理解该项投资的性质和所涉及的风险，详细了解和审慎评估该理财产品的</w:t>
      </w:r>
      <w:r>
        <w:rPr>
          <w:rFonts w:hint="eastAsia" w:ascii="楷体" w:hAnsi="楷体" w:eastAsia="楷体"/>
          <w:color w:val="auto"/>
          <w:sz w:val="21"/>
          <w:szCs w:val="21"/>
          <w:lang w:val="en-US" w:eastAsia="zh-CN"/>
        </w:rPr>
        <w:t>资金投向</w:t>
      </w:r>
      <w:r>
        <w:rPr>
          <w:rFonts w:hint="eastAsia" w:ascii="楷体" w:hAnsi="楷体" w:eastAsia="楷体"/>
          <w:color w:val="auto"/>
          <w:sz w:val="21"/>
          <w:szCs w:val="21"/>
        </w:rPr>
        <w:t>、风险类型等基本情况，在慎重考虑后自行决定购买与自身风险承受能力和资产管理需求匹配的理财产品。</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5"/>
        </w:numPr>
        <w:ind w:left="420" w:leftChars="0" w:hanging="420" w:firstLineChars="0"/>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w:t>
      </w:r>
      <w:r>
        <w:rPr>
          <w:rFonts w:hint="eastAsia" w:ascii="楷体" w:hAnsi="楷体" w:eastAsia="楷体"/>
          <w:sz w:val="21"/>
          <w:szCs w:val="21"/>
          <w:lang w:val="en-US" w:eastAsia="zh-CN"/>
        </w:rPr>
        <w:t>且</w:t>
      </w:r>
      <w:r>
        <w:rPr>
          <w:rFonts w:hint="eastAsia" w:ascii="楷体" w:hAnsi="楷体" w:eastAsia="楷体"/>
          <w:sz w:val="21"/>
          <w:szCs w:val="21"/>
        </w:rPr>
        <w:t>不可分割的</w:t>
      </w:r>
      <w:r>
        <w:rPr>
          <w:rFonts w:hint="eastAsia" w:ascii="楷体" w:hAnsi="楷体" w:eastAsia="楷体"/>
          <w:sz w:val="21"/>
          <w:szCs w:val="21"/>
          <w:lang w:val="en-US" w:eastAsia="zh-CN"/>
        </w:rPr>
        <w:t>销售文件</w:t>
      </w:r>
      <w:r>
        <w:rPr>
          <w:rFonts w:hint="eastAsia" w:ascii="楷体" w:hAnsi="楷体" w:eastAsia="楷体"/>
          <w:sz w:val="21"/>
          <w:szCs w:val="21"/>
        </w:rPr>
        <w:t>。</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如有）</w:t>
      </w:r>
      <w:r>
        <w:rPr>
          <w:rFonts w:hint="eastAsia" w:ascii="楷体" w:hAnsi="楷体" w:eastAsia="楷体"/>
          <w:color w:val="auto"/>
          <w:sz w:val="21"/>
          <w:szCs w:val="21"/>
        </w:rPr>
        <w:t>、其他风险等。请仔细阅读《“</w:t>
      </w:r>
      <w:r>
        <w:rPr>
          <w:rFonts w:hint="eastAsia" w:ascii="楷体" w:hAnsi="楷体" w:eastAsia="楷体"/>
          <w:color w:val="auto"/>
          <w:sz w:val="21"/>
          <w:szCs w:val="21"/>
          <w:lang w:eastAsia="zh-CN"/>
        </w:rPr>
        <w:t>苏银理财恒源封闭债权181期</w:t>
      </w:r>
      <w:r>
        <w:rPr>
          <w:rFonts w:hint="eastAsia" w:ascii="楷体" w:hAnsi="楷体" w:eastAsia="楷体"/>
          <w:color w:val="auto"/>
          <w:sz w:val="21"/>
          <w:szCs w:val="21"/>
        </w:rPr>
        <w:t>”理财产品风险揭示书》的“风险揭示”部分。</w:t>
      </w:r>
    </w:p>
    <w:p>
      <w:pPr>
        <w:widowControl/>
        <w:numPr>
          <w:ilvl w:val="0"/>
          <w:numId w:val="5"/>
        </w:numPr>
        <w:ind w:left="420" w:leftChars="0" w:hanging="420" w:firstLineChars="0"/>
        <w:rPr>
          <w:rFonts w:ascii="楷体" w:hAnsi="楷体" w:eastAsia="楷体"/>
          <w:b/>
          <w:bCs/>
          <w:color w:val="auto"/>
          <w:sz w:val="21"/>
          <w:szCs w:val="21"/>
          <w:u w:val="single"/>
        </w:rPr>
      </w:pPr>
      <w:r>
        <w:rPr>
          <w:rFonts w:hint="eastAsia" w:ascii="楷体" w:hAnsi="楷体" w:eastAsia="楷体" w:cs="Times New Roman"/>
          <w:b/>
          <w:bCs/>
          <w:color w:val="auto"/>
          <w:spacing w:val="0"/>
          <w:szCs w:val="21"/>
          <w:highlight w:val="none"/>
          <w:u w:val="single"/>
        </w:rPr>
        <w:t>本产品</w:t>
      </w:r>
      <w:r>
        <w:rPr>
          <w:rFonts w:hint="eastAsia" w:ascii="楷体" w:hAnsi="楷体" w:eastAsia="楷体" w:cs="Times New Roman"/>
          <w:b/>
          <w:bCs/>
          <w:color w:val="auto"/>
          <w:spacing w:val="0"/>
          <w:szCs w:val="21"/>
          <w:highlight w:val="none"/>
          <w:u w:val="single"/>
          <w:lang w:val="en-US" w:eastAsia="zh-CN"/>
        </w:rPr>
        <w:t>可</w:t>
      </w:r>
      <w:r>
        <w:rPr>
          <w:rFonts w:hint="eastAsia" w:ascii="楷体" w:hAnsi="楷体" w:eastAsia="楷体" w:cs="Times New Roman"/>
          <w:b/>
          <w:bCs/>
          <w:color w:val="auto"/>
          <w:spacing w:val="0"/>
          <w:szCs w:val="21"/>
          <w:highlight w:val="none"/>
          <w:u w:val="single"/>
        </w:rPr>
        <w:t>设置多个份额，</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 w:val="21"/>
          <w:szCs w:val="21"/>
          <w:u w:val="single"/>
          <w:lang w:val="en-US" w:eastAsia="zh-CN"/>
        </w:rPr>
        <w:t>可能</w:t>
      </w:r>
      <w:r>
        <w:rPr>
          <w:rFonts w:hint="eastAsia" w:ascii="楷体" w:hAnsi="楷体" w:eastAsia="楷体" w:cs="Times New Roman"/>
          <w:b/>
          <w:bCs/>
          <w:color w:val="auto"/>
          <w:spacing w:val="0"/>
          <w:szCs w:val="21"/>
          <w:highlight w:val="none"/>
          <w:u w:val="single"/>
        </w:rPr>
        <w:t>设置</w:t>
      </w:r>
      <w:r>
        <w:rPr>
          <w:rFonts w:hint="eastAsia" w:ascii="楷体" w:hAnsi="楷体" w:eastAsia="楷体" w:cs="Times New Roman"/>
          <w:b/>
          <w:bCs/>
          <w:color w:val="auto"/>
          <w:spacing w:val="0"/>
          <w:sz w:val="21"/>
          <w:szCs w:val="21"/>
          <w:u w:val="single"/>
          <w:lang w:val="en-US" w:eastAsia="zh-CN"/>
        </w:rPr>
        <w:t>不同的</w:t>
      </w:r>
      <w:r>
        <w:rPr>
          <w:rFonts w:hint="eastAsia" w:ascii="楷体" w:hAnsi="楷体" w:eastAsia="楷体" w:cs="Times New Roman"/>
          <w:b/>
          <w:bCs/>
          <w:color w:val="auto"/>
          <w:spacing w:val="0"/>
          <w:szCs w:val="21"/>
          <w:highlight w:val="none"/>
          <w:u w:val="single"/>
        </w:rPr>
        <w:t>销售对象</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Cs w:val="21"/>
          <w:highlight w:val="none"/>
          <w:u w:val="single"/>
        </w:rPr>
        <w:t>销售起点</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 w:val="21"/>
          <w:szCs w:val="21"/>
          <w:u w:val="single"/>
          <w:lang w:val="en-US" w:eastAsia="zh-CN"/>
        </w:rPr>
        <w:t>业绩比较基准等</w:t>
      </w:r>
      <w:r>
        <w:rPr>
          <w:rFonts w:hint="eastAsia" w:ascii="楷体" w:hAnsi="楷体" w:eastAsia="楷体" w:cs="Times New Roman"/>
          <w:b/>
          <w:bCs/>
          <w:color w:val="auto"/>
          <w:spacing w:val="0"/>
          <w:szCs w:val="21"/>
          <w:highlight w:val="none"/>
          <w:u w:val="single"/>
        </w:rPr>
        <w:t>，</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Cs w:val="21"/>
          <w:highlight w:val="none"/>
          <w:u w:val="single"/>
        </w:rPr>
        <w:t>实际收取的销售服务费率、投资管理费率</w:t>
      </w:r>
      <w:r>
        <w:rPr>
          <w:rFonts w:hint="eastAsia" w:ascii="楷体" w:hAnsi="楷体" w:eastAsia="楷体" w:cs="Times New Roman"/>
          <w:b/>
          <w:bCs/>
          <w:color w:val="auto"/>
          <w:spacing w:val="0"/>
          <w:szCs w:val="21"/>
          <w:highlight w:val="none"/>
          <w:u w:val="single"/>
          <w:lang w:eastAsia="zh-CN"/>
        </w:rPr>
        <w:t>、</w:t>
      </w:r>
      <w:r>
        <w:rPr>
          <w:rFonts w:hint="eastAsia" w:ascii="楷体" w:hAnsi="楷体" w:eastAsia="楷体" w:cs="Times New Roman"/>
          <w:b/>
          <w:bCs/>
          <w:color w:val="auto"/>
          <w:spacing w:val="0"/>
          <w:szCs w:val="21"/>
          <w:highlight w:val="none"/>
          <w:u w:val="single"/>
          <w:lang w:val="en-US" w:eastAsia="zh-CN"/>
        </w:rPr>
        <w:t>超额业绩报酬</w:t>
      </w:r>
      <w:r>
        <w:rPr>
          <w:rFonts w:hint="eastAsia" w:ascii="楷体" w:hAnsi="楷体" w:eastAsia="楷体" w:cs="Times New Roman"/>
          <w:b/>
          <w:bCs/>
          <w:color w:val="auto"/>
          <w:spacing w:val="0"/>
          <w:sz w:val="21"/>
          <w:szCs w:val="21"/>
          <w:u w:val="single"/>
          <w:lang w:val="en-US" w:eastAsia="zh-CN"/>
        </w:rPr>
        <w:t>等可能</w:t>
      </w:r>
      <w:r>
        <w:rPr>
          <w:rFonts w:hint="eastAsia" w:ascii="楷体" w:hAnsi="楷体" w:eastAsia="楷体" w:cs="Times New Roman"/>
          <w:b/>
          <w:bCs/>
          <w:color w:val="auto"/>
          <w:spacing w:val="0"/>
          <w:szCs w:val="21"/>
          <w:highlight w:val="none"/>
          <w:u w:val="single"/>
        </w:rPr>
        <w:t>存在差异，</w:t>
      </w:r>
      <w:r>
        <w:rPr>
          <w:rFonts w:hint="eastAsia" w:ascii="楷体" w:hAnsi="楷体" w:eastAsia="楷体"/>
          <w:b/>
          <w:bCs/>
          <w:color w:val="auto"/>
          <w:szCs w:val="21"/>
          <w:u w:val="single"/>
        </w:rPr>
        <w:t>投资者应</w:t>
      </w:r>
      <w:r>
        <w:rPr>
          <w:rFonts w:hint="eastAsia" w:ascii="楷体" w:hAnsi="楷体" w:eastAsia="楷体"/>
          <w:b/>
          <w:bCs/>
          <w:color w:val="auto"/>
          <w:szCs w:val="21"/>
          <w:u w:val="single"/>
          <w:lang w:val="en-US" w:eastAsia="zh-CN"/>
        </w:rPr>
        <w:t>根据实际情况</w:t>
      </w:r>
      <w:r>
        <w:rPr>
          <w:rFonts w:hint="eastAsia" w:ascii="楷体" w:hAnsi="楷体" w:eastAsia="楷体"/>
          <w:b/>
          <w:bCs/>
          <w:color w:val="auto"/>
          <w:szCs w:val="21"/>
          <w:u w:val="single"/>
        </w:rPr>
        <w:t>自主选择购买</w:t>
      </w:r>
      <w:r>
        <w:rPr>
          <w:rFonts w:hint="eastAsia" w:ascii="楷体" w:hAnsi="楷体" w:eastAsia="楷体" w:cs="Times New Roman"/>
          <w:b/>
          <w:bCs/>
          <w:color w:val="auto"/>
          <w:spacing w:val="0"/>
          <w:szCs w:val="21"/>
          <w:highlight w:val="none"/>
          <w:u w:val="single"/>
        </w:rPr>
        <w:t>。</w:t>
      </w:r>
    </w:p>
    <w:p>
      <w:pPr>
        <w:numPr>
          <w:ilvl w:val="0"/>
          <w:numId w:val="5"/>
        </w:numPr>
        <w:ind w:left="420" w:leftChars="0" w:hanging="420" w:firstLineChars="0"/>
        <w:rPr>
          <w:rFonts w:hint="eastAsia" w:ascii="楷体" w:hAnsi="楷体" w:eastAsia="楷体"/>
          <w:color w:val="auto"/>
          <w:sz w:val="21"/>
          <w:szCs w:val="21"/>
        </w:rPr>
      </w:pPr>
      <w:r>
        <w:rPr>
          <w:rFonts w:hint="eastAsia" w:ascii="楷体" w:hAnsi="楷体" w:eastAsia="楷体"/>
          <w:b/>
          <w:color w:val="auto"/>
          <w:sz w:val="21"/>
          <w:szCs w:val="21"/>
          <w:u w:val="single"/>
        </w:rPr>
        <w:t>投资者不得使用贷款、发行债券等筹集的非自有资金投资本理财产品。</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在本产品存续期内，如因监管政策或法律法规发生变化，在不损害投资者利益的前提下，苏银理财有权单方对本产品条款进行修订，</w:t>
      </w:r>
      <w:r>
        <w:rPr>
          <w:rFonts w:hint="eastAsia" w:ascii="楷体" w:hAnsi="楷体" w:eastAsia="楷体"/>
          <w:color w:val="auto"/>
          <w:sz w:val="21"/>
          <w:szCs w:val="21"/>
          <w:highlight w:val="none"/>
        </w:rPr>
        <w:t>并按本理财产品说</w:t>
      </w:r>
      <w:r>
        <w:rPr>
          <w:rFonts w:hint="eastAsia" w:ascii="楷体" w:hAnsi="楷体" w:eastAsia="楷体"/>
          <w:color w:val="auto"/>
          <w:sz w:val="21"/>
          <w:szCs w:val="21"/>
        </w:rPr>
        <w:t>明书约定的信息披露方式予以披露。</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苏银理财恒源封闭债权181期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Z7003125000112，</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5"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A份额：苏银理财恒源封闭债权181期13月A/J04882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B份额：苏银理财恒源封闭债权181期13月B/J04883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C份额：苏银理财恒源封闭债权181期13月C/J04884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D份额：苏银理财恒源封闭债权181期13月D/J04885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E份额：苏银理财恒源封闭债权181期13月E/J04886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F份额：苏银理财恒源封闭债权181期13月F/J04887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G份额：苏银理财恒源封闭债权181期13月G/J04888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H份额：苏银理财恒源封闭债权181期13月H/J04889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I份额：苏银理财恒源封闭债权181期13月I/J04890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J份额：苏银理财恒源封闭债权181期13月J/J04891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K份额：苏银理财恒源封闭债权181期13月K/J04892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L份额：苏银理财恒源封闭债权181期13月L/J04897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S份额：苏银理财恒源封闭债权181期13月S（私行专属）/J04893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Z份额：苏银理财恒源封闭债权181期13月Z/J04894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NB份额：苏银理财恒源封闭债权181期13月NB（宁波分行）/J04895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AJS份额：苏银理财恒源封闭债权181期13月AJS鑫福款/J04896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86"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498"/>
              <w:gridCol w:w="204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86"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本产品计划发行规模为10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A/B/D/F/G/H/I/J/K/L/Z/NB/AJS份额购买起点金额为1元，追加金额为1元的整数倍；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S份额购买起点金额为200,000元，追加金额为10,000元的整数倍；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各份额具体认购起点和追加金额以销售机构设置为准。</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b/>
                <w:bCs/>
                <w:color w:val="auto"/>
                <w:spacing w:val="-2"/>
                <w:sz w:val="18"/>
                <w:szCs w:val="18"/>
                <w:lang w:val="en-US" w:eastAsia="zh-CN"/>
              </w:rPr>
              <w:t>销售机构实际受理情况可能与产品说明书不一致，具体以销售机构设置为准。</w:t>
            </w:r>
            <w:r>
              <w:rPr>
                <w:rFonts w:hint="eastAsia" w:ascii="楷体" w:hAnsi="楷体" w:eastAsia="楷体"/>
                <w:color w:val="auto"/>
                <w:sz w:val="18"/>
                <w:szCs w:val="18"/>
              </w:rPr>
              <w:t>认购方式及确认和认购份额的计算详见下文“</w:t>
            </w:r>
            <w:r>
              <w:rPr>
                <w:rFonts w:hint="eastAsia" w:ascii="楷体" w:hAnsi="楷体" w:eastAsia="楷体"/>
                <w:color w:val="auto"/>
                <w:sz w:val="18"/>
                <w:szCs w:val="18"/>
                <w:lang w:val="en-US" w:eastAsia="zh-CN"/>
              </w:rPr>
              <w:t>七</w:t>
            </w:r>
            <w:r>
              <w:rPr>
                <w:rFonts w:hint="eastAsia" w:ascii="楷体" w:hAnsi="楷体" w:eastAsia="楷体"/>
                <w:color w:val="auto"/>
                <w:sz w:val="18"/>
                <w:szCs w:val="18"/>
              </w:rPr>
              <w:t>、产品认购”。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6</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26</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lang w:val="en-US" w:eastAsia="zh-CN"/>
              </w:rPr>
              <w:t>募集期内</w:t>
            </w:r>
            <w:r>
              <w:rPr>
                <w:rFonts w:hint="eastAsia" w:ascii="楷体" w:hAnsi="楷体" w:eastAsia="楷体" w:cs="宋体"/>
                <w:color w:val="auto"/>
                <w:spacing w:val="-2"/>
                <w:sz w:val="18"/>
                <w:szCs w:val="18"/>
              </w:rPr>
              <w:t>，投资者可于</w:t>
            </w:r>
            <w:r>
              <w:rPr>
                <w:rFonts w:hint="eastAsia" w:ascii="楷体" w:hAnsi="楷体" w:eastAsia="楷体" w:cs="宋体"/>
                <w:color w:val="auto"/>
                <w:spacing w:val="-2"/>
                <w:sz w:val="18"/>
                <w:szCs w:val="18"/>
                <w:lang w:val="en-US" w:eastAsia="zh-CN"/>
              </w:rPr>
              <w:t>募集期结束日交易闭市</w:t>
            </w:r>
            <w:r>
              <w:rPr>
                <w:rFonts w:hint="eastAsia" w:ascii="楷体" w:hAnsi="楷体" w:eastAsia="楷体" w:cs="宋体"/>
                <w:color w:val="auto"/>
                <w:spacing w:val="-2"/>
                <w:sz w:val="18"/>
                <w:szCs w:val="18"/>
              </w:rPr>
              <w:t>前撤销认购申请，该时点后不得撤销</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交易闭市具体以销售机构设置为准。</w:t>
            </w:r>
            <w:r>
              <w:rPr>
                <w:rFonts w:hint="eastAsia" w:ascii="楷体" w:hAnsi="楷体" w:eastAsia="楷体" w:cs="宋体"/>
                <w:color w:val="auto"/>
                <w:spacing w:val="-2"/>
                <w:sz w:val="18"/>
                <w:szCs w:val="18"/>
              </w:rPr>
              <w:t>管理人在法律允许的范围内保留延长</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或</w:t>
            </w:r>
            <w:r>
              <w:rPr>
                <w:rFonts w:hint="eastAsia" w:ascii="楷体" w:hAnsi="楷体" w:eastAsia="楷体" w:cs="宋体"/>
                <w:color w:val="auto"/>
                <w:spacing w:val="-2"/>
                <w:sz w:val="18"/>
                <w:szCs w:val="18"/>
                <w:lang w:val="en-US" w:eastAsia="zh-CN"/>
              </w:rPr>
              <w:t>缩短募集期的</w:t>
            </w:r>
            <w:r>
              <w:rPr>
                <w:rFonts w:hint="eastAsia" w:ascii="楷体" w:hAnsi="楷体" w:eastAsia="楷体" w:cs="宋体"/>
                <w:color w:val="auto"/>
                <w:spacing w:val="-2"/>
                <w:sz w:val="18"/>
                <w:szCs w:val="18"/>
              </w:rPr>
              <w:t>权利。如有变动，实际产品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2025年7月3日，如管理人调整募集期，则产品成立日/份额登记日将相应调整，以管理人公告为准。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2026年7月</w:t>
            </w:r>
            <w:r>
              <w:rPr>
                <w:rFonts w:hint="eastAsia" w:ascii="楷体" w:hAnsi="楷体" w:eastAsia="楷体" w:cs="宋体"/>
                <w:color w:val="auto"/>
                <w:spacing w:val="-2"/>
                <w:sz w:val="18"/>
                <w:szCs w:val="18"/>
                <w:lang w:val="en-US" w:eastAsia="zh-CN"/>
              </w:rPr>
              <w:t>22</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38</w:t>
            </w:r>
            <w:r>
              <w:rPr>
                <w:rFonts w:hint="eastAsia" w:ascii="楷体" w:hAnsi="楷体" w:eastAsia="楷体" w:cs="宋体"/>
                <w:color w:val="auto"/>
                <w:spacing w:val="-2"/>
                <w:sz w:val="18"/>
                <w:szCs w:val="18"/>
                <w:lang w:val="en-US" w:eastAsia="zh-CN"/>
              </w:rPr>
              <w:t>4</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8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bCs/>
                <w:spacing w:val="-2"/>
                <w:sz w:val="18"/>
                <w:szCs w:val="18"/>
                <w:u w:val="single"/>
              </w:rPr>
              <w:t>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2.85%，B份额：2.85%，C份额：2.90%，D份额：2.85%，E份额：2.95%，F份额：2.75%，G份额：2.75%，H份额：2.65%，I份额：2.75%，J份额：2.80%，K份额：2.95%，L份额：2.80%，S份额：2.90%，Z份额：2.95%，NB份额：2.95%，AJS份额：2.85%。</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w:t>
            </w:r>
            <w:r>
              <w:rPr>
                <w:rFonts w:hint="eastAsia" w:ascii="楷体" w:hAnsi="楷体" w:eastAsia="楷体" w:cs="宋体"/>
                <w:b/>
                <w:spacing w:val="-2"/>
                <w:sz w:val="18"/>
                <w:szCs w:val="18"/>
                <w:u w:val="single"/>
              </w:rPr>
              <w:t>本产品为净值型产品，业绩表现将随市场波动，具有不确定性。业绩比较</w:t>
            </w:r>
            <w:r>
              <w:rPr>
                <w:rFonts w:hint="eastAsia" w:ascii="楷体" w:hAnsi="楷体" w:eastAsia="楷体" w:cs="宋体"/>
                <w:b/>
                <w:spacing w:val="-2"/>
                <w:sz w:val="18"/>
                <w:szCs w:val="18"/>
                <w:u w:val="single"/>
                <w:lang w:val="en-US" w:eastAsia="zh-CN"/>
              </w:rPr>
              <w:t>基准是</w:t>
            </w:r>
            <w:r>
              <w:rPr>
                <w:rFonts w:hint="eastAsia" w:ascii="楷体" w:hAnsi="楷体" w:eastAsia="楷体" w:cs="宋体"/>
                <w:b/>
                <w:spacing w:val="-2"/>
                <w:sz w:val="18"/>
                <w:szCs w:val="18"/>
                <w:u w:val="single"/>
              </w:rPr>
              <w:t>管理人基于产品性质、投资策略、过往经验等因素对产品设定的投资目标。业绩比较基准不是预期收益率，不代表产品的未来表现和实际收益，不构成对产品收益的承诺。投资者的实际收益由产品净值表现决定。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H份额：0.40%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K份额：0.05%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L份额：0.20%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NB份额：0.10%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AJS份额：0.20%</w:t>
            </w:r>
            <w:r>
              <w:rPr>
                <w:rFonts w:hint="eastAsia" w:ascii="楷体" w:hAnsi="楷体" w:eastAsia="楷体" w:cs="宋体"/>
                <w:color w:val="auto"/>
                <w:spacing w:val="-2"/>
                <w:sz w:val="18"/>
                <w:szCs w:val="18"/>
                <w:lang w:val="en-US" w:eastAsia="zh-CN"/>
              </w:rPr>
              <w:t>。其中D/F份额采用一次性提取模式，其他份额采用每日计提模式。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A份额：0.11%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L份额：0.06%</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S份额：0.01%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NB份额：0.01%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AJS份额：0.01%</w:t>
            </w:r>
            <w:r>
              <w:rPr>
                <w:rFonts w:hint="eastAsia" w:ascii="楷体" w:hAnsi="楷体" w:eastAsia="楷体" w:cs="宋体"/>
                <w:color w:val="auto"/>
                <w:spacing w:val="-2"/>
                <w:sz w:val="18"/>
                <w:szCs w:val="18"/>
                <w:lang w:val="en-US" w:eastAsia="zh-CN"/>
              </w:rPr>
              <w:t>。</w:t>
            </w:r>
          </w:p>
          <w:p>
            <w:pPr>
              <w:keepNext w:val="0"/>
              <w:keepLines w:val="0"/>
              <w:pageBreakBefore w:val="0"/>
              <w:numPr>
                <w:ilvl w:val="0"/>
                <w:numId w:val="0"/>
              </w:numPr>
              <w:wordWrap/>
              <w:topLinePunct w:val="0"/>
              <w:bidi w:val="0"/>
              <w:snapToGrid w:val="0"/>
              <w:spacing w:line="240" w:lineRule="auto"/>
              <w:ind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若产品各份额实际投资收益在扣除托管费、销售服务费、投资管理费等费用后超过各份额业绩比较基准，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86"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A份额：江苏高淳农村商业银行股份有限公司/江苏姜堰农村商业银行股份有限公司/江苏常熟农村商业银行股份有限公司/苏银理财有限责任公司/江苏银行股份有限公司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浙江乐清农村商业银行股份有限公司/徽商银行股份有限公司/杭州联合农村商业银行股份有限公司/浙江桐庐农村商业银行股份有限公司/上海银行股份有限公司/齐鲁银行股份有限公司/浙江萧山农村商业银行股份有限公司/浙江永嘉农村商业银行股份有限公司/浙江嘉善农村商业银行股份有限公司/湖州吴兴农村商业银行股份有限公司/浙江淳安农村商业银行股份有限公司/浙江舟山定海海洋农村商业银行股份有限公司/浙江武义农村商业银行股份有限公司/浙江岱山农村商业银行股份有限公司/浙江绍兴瑞丰农村商业银行股份有限公司/浙江温州龙湾农村商业银行股份有限公司/浙江德清农村商业银行股份有限公司/浙江新昌农村商业银行股份有限公司/浙江平湖农村商业银行股份有限公司/浙江桐乡农村商业银行股份有限公司/浙江上虞农村商业银行股份有限公司/浙江温州瓯海农村商业银行股份有限公司/浙江兰溪农村商业银行股份有限公司/浙江青田农村商业银行股份有限公司/浙江文成农村商业银行股份有限公司/浙江杭州余杭农村商业银行股份有限公司/甘肃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D份额：宁波通商银行股份有限公司/宁波东海银行股份有限公司/武汉农村商业银行股份有限公司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F份额：广州农村商业银行股份有限公司/山西银行股份有限公司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G份额：江苏苏州农村商业银行股份有限公司/交通银行股份有限公司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H份额：上海农村商业银行股份有限公司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I份额：浙江武义农村商业银行股份有限公司/浙江平湖农村商业银行股份有限公司/苏银理财有限责任公司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上海浦东发展银行股份有限公司/莱商银行股份有限公司/威海银行股份有限公司/潍坊银行股份有限公司/齐鲁银行股份有限公司/东营银行股份有限公司/嘉兴银行股份有限公司/浙江武义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K份额：浙江海宁农村商业银行股份有限公司/齐鲁银行股份有限公司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L份额：上海浦东发展银行股份有限公司</w:t>
      </w:r>
    </w:p>
    <w:p>
      <w:pPr>
        <w:numPr>
          <w:ilvl w:val="-1"/>
          <w:numId w:val="0"/>
        </w:numPr>
        <w:tabs>
          <w:tab w:val="left" w:pos="993"/>
        </w:tabs>
        <w:ind w:left="0" w:leftChars="0" w:firstLine="420" w:firstLineChars="200"/>
        <w:rPr>
          <w:rFonts w:hint="default"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S份额：苏州银行股份有限公司/上海浦东发展银行股份有限公司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NB份额：江苏银行股份有限公司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JS份额：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洪泽农村商业银行股份有限公司/江苏镇江农村商业银行股份有限公司/江苏海安农村商业银行股份有限公司/江苏苏州农村商业银行股份有限公司/江苏建湖农村商业银行股份有限公司/江苏淮安农村商业银行股份有限公司/江苏泗洪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紫金农村商业银行股份有限公司/江苏溧水农村商业银行股份有限公司/江苏大丰农村商业银行股份有限公司/江苏扬州农村商业银行股份有限公司/江苏张家港农村商业银行股份有限公司/北京农村商业银行股份有限公司/江苏如东农村商业银行股份有限公司</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设置一个或多个</w:t>
      </w:r>
      <w:r>
        <w:rPr>
          <w:rFonts w:hint="eastAsia" w:ascii="楷体" w:hAnsi="楷体" w:eastAsia="楷体" w:cs="Calibri"/>
          <w:color w:val="auto"/>
          <w:sz w:val="21"/>
          <w:szCs w:val="21"/>
        </w:rPr>
        <w:t>产品份额，管理人在理财产品销售管理过程中为区分不同产品份额，</w:t>
      </w:r>
      <w:r>
        <w:rPr>
          <w:rFonts w:hint="eastAsia" w:ascii="楷体" w:hAnsi="楷体" w:eastAsia="楷体" w:cs="Calibri"/>
          <w:color w:val="auto"/>
          <w:sz w:val="21"/>
          <w:szCs w:val="21"/>
          <w:lang w:val="en-US" w:eastAsia="zh-CN"/>
        </w:rPr>
        <w:t>对各份额</w:t>
      </w:r>
      <w:r>
        <w:rPr>
          <w:rFonts w:hint="eastAsia" w:ascii="楷体" w:hAnsi="楷体" w:eastAsia="楷体" w:cs="Calibri"/>
          <w:color w:val="auto"/>
          <w:sz w:val="21"/>
          <w:szCs w:val="21"/>
        </w:rPr>
        <w:t>设置的内部识别码。</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理财产品份额：指投资者持有本理财产品的单位数额。投资者基于其所持有的理财产品单位数额享有理财产品利益、承担理财产品风险。</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理财产品资产净值/</w:t>
      </w:r>
      <w:r>
        <w:rPr>
          <w:rFonts w:hint="eastAsia" w:ascii="楷体" w:hAnsi="楷体" w:eastAsia="楷体" w:cs="Calibri"/>
          <w:color w:val="auto"/>
          <w:sz w:val="21"/>
          <w:szCs w:val="21"/>
          <w:highlight w:val="none"/>
          <w:lang w:val="en-US" w:eastAsia="zh-CN"/>
        </w:rPr>
        <w:t>净资产</w:t>
      </w:r>
      <w:r>
        <w:rPr>
          <w:rFonts w:hint="eastAsia" w:ascii="楷体" w:hAnsi="楷体" w:eastAsia="楷体" w:cs="Calibri"/>
          <w:color w:val="auto"/>
          <w:sz w:val="21"/>
          <w:szCs w:val="21"/>
          <w:highlight w:val="none"/>
        </w:rPr>
        <w:t>：</w:t>
      </w:r>
      <w:r>
        <w:rPr>
          <w:rFonts w:hint="eastAsia" w:ascii="楷体" w:hAnsi="楷体" w:eastAsia="楷体" w:cs="Calibri"/>
          <w:color w:val="auto"/>
          <w:sz w:val="21"/>
          <w:szCs w:val="21"/>
          <w:highlight w:val="none"/>
          <w:lang w:val="en-US" w:eastAsia="zh-CN"/>
        </w:rPr>
        <w:t>指产品</w:t>
      </w:r>
      <w:r>
        <w:rPr>
          <w:rFonts w:hint="eastAsia" w:ascii="楷体" w:hAnsi="楷体" w:eastAsia="楷体" w:cs="Calibri"/>
          <w:color w:val="auto"/>
          <w:sz w:val="21"/>
          <w:szCs w:val="21"/>
          <w:highlight w:val="none"/>
        </w:rPr>
        <w:t>资产总值</w:t>
      </w:r>
      <w:r>
        <w:rPr>
          <w:rFonts w:hint="eastAsia" w:ascii="楷体" w:hAnsi="楷体" w:eastAsia="楷体" w:cs="Calibri"/>
          <w:color w:val="auto"/>
          <w:sz w:val="21"/>
          <w:szCs w:val="21"/>
          <w:highlight w:val="none"/>
          <w:lang w:val="en-US" w:eastAsia="zh-CN"/>
        </w:rPr>
        <w:t>减去</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val="en-US" w:eastAsia="zh-CN"/>
        </w:rPr>
        <w:t>后的价值</w:t>
      </w:r>
      <w:r>
        <w:rPr>
          <w:rFonts w:hint="eastAsia" w:ascii="楷体" w:hAnsi="楷体" w:eastAsia="楷体" w:cs="Calibri"/>
          <w:color w:val="auto"/>
          <w:sz w:val="21"/>
          <w:szCs w:val="21"/>
          <w:highlight w:val="none"/>
        </w:rPr>
        <w:t>。</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numPr>
          <w:ilvl w:val="0"/>
          <w:numId w:val="8"/>
        </w:numPr>
        <w:tabs>
          <w:tab w:val="left" w:pos="851"/>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资产净值/产品总份额。投资者按该份额</w:t>
      </w:r>
      <w:r>
        <w:rPr>
          <w:rFonts w:hint="eastAsia" w:ascii="楷体" w:hAnsi="楷体" w:eastAsia="楷体" w:cs="Calibri"/>
          <w:color w:val="auto"/>
          <w:sz w:val="21"/>
          <w:szCs w:val="21"/>
          <w:highlight w:val="none"/>
          <w:lang w:val="en-US" w:eastAsia="zh-CN"/>
        </w:rPr>
        <w:t>单位</w:t>
      </w:r>
      <w:r>
        <w:rPr>
          <w:rFonts w:hint="eastAsia" w:ascii="楷体" w:hAnsi="楷体" w:eastAsia="楷体" w:cs="Calibri"/>
          <w:color w:val="auto"/>
          <w:sz w:val="21"/>
          <w:szCs w:val="21"/>
          <w:highlight w:val="none"/>
        </w:rPr>
        <w:t>净值进行理财产品申购、赎回和终止时分配。</w:t>
      </w:r>
    </w:p>
    <w:p>
      <w:pPr>
        <w:numPr>
          <w:ilvl w:val="0"/>
          <w:numId w:val="8"/>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lang w:val="en-US" w:eastAsia="zh-CN"/>
        </w:rPr>
        <w:t>法律法规或监管机构另有规定的，从其规定。</w:t>
      </w:r>
    </w:p>
    <w:p>
      <w:pPr>
        <w:numPr>
          <w:ilvl w:val="0"/>
          <w:numId w:val="8"/>
        </w:numPr>
        <w:tabs>
          <w:tab w:val="left" w:pos="851"/>
        </w:tabs>
        <w:ind w:left="0" w:firstLine="420" w:firstLineChars="200"/>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工作日：指国家法定工作日。</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份额登记日/份额确认日：指管理人对投资者提交的认购</w:t>
      </w:r>
      <w:r>
        <w:rPr>
          <w:rFonts w:hint="eastAsia" w:ascii="楷体" w:hAnsi="楷体" w:eastAsia="楷体" w:cs="Calibri"/>
          <w:color w:val="auto"/>
          <w:sz w:val="21"/>
          <w:szCs w:val="21"/>
          <w:lang w:val="en-US" w:eastAsia="zh-CN"/>
        </w:rPr>
        <w:t>/申购</w:t>
      </w:r>
      <w:r>
        <w:rPr>
          <w:rFonts w:hint="eastAsia" w:ascii="楷体" w:hAnsi="楷体" w:eastAsia="楷体" w:cs="Calibri"/>
          <w:color w:val="auto"/>
          <w:sz w:val="21"/>
          <w:szCs w:val="21"/>
        </w:rPr>
        <w:t>申请进行份额登记的日期。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终止日/到期日：指本产品终止的日期。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估值日：指产品管理人对理财产品项下资产进行估值的日期。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10"/>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债权投资计划和资产支持计划：资产类型为保险资产管理公司设立的资产支持计划受益凭证，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投资集中度限制</w:t>
      </w:r>
    </w:p>
    <w:p>
      <w:pPr>
        <w:numPr>
          <w:ilvl w:val="0"/>
          <w:numId w:val="11"/>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w:t>
      </w:r>
      <w:r>
        <w:rPr>
          <w:rFonts w:hint="eastAsia" w:ascii="楷体" w:hAnsi="楷体" w:eastAsia="楷体" w:cs="Calibri"/>
          <w:color w:val="auto"/>
          <w:sz w:val="21"/>
          <w:szCs w:val="21"/>
          <w:lang w:val="en-US" w:eastAsia="zh-CN"/>
        </w:rPr>
        <w:t>投资</w:t>
      </w:r>
      <w:r>
        <w:rPr>
          <w:rFonts w:hint="eastAsia" w:ascii="楷体" w:hAnsi="楷体" w:eastAsia="楷体" w:cs="Calibri"/>
          <w:color w:val="auto"/>
          <w:sz w:val="21"/>
          <w:szCs w:val="21"/>
        </w:rPr>
        <w:t>单只证券或者单只证券投资基金的市值不得超过</w:t>
      </w:r>
      <w:r>
        <w:rPr>
          <w:rFonts w:hint="eastAsia" w:ascii="楷体" w:hAnsi="楷体" w:eastAsia="楷体" w:cs="Calibri"/>
          <w:color w:val="auto"/>
          <w:sz w:val="21"/>
          <w:szCs w:val="21"/>
          <w:lang w:val="en-US" w:eastAsia="zh-CN"/>
        </w:rPr>
        <w:t>本</w:t>
      </w:r>
      <w:r>
        <w:rPr>
          <w:rFonts w:hint="eastAsia" w:ascii="楷体" w:hAnsi="楷体" w:eastAsia="楷体" w:cs="Calibri"/>
          <w:color w:val="auto"/>
          <w:sz w:val="21"/>
          <w:szCs w:val="21"/>
        </w:rPr>
        <w:t>产品净资产的</w:t>
      </w:r>
      <w:r>
        <w:rPr>
          <w:rFonts w:ascii="楷体" w:hAnsi="楷体" w:eastAsia="楷体" w:cs="Calibri"/>
          <w:color w:val="auto"/>
          <w:sz w:val="21"/>
          <w:szCs w:val="21"/>
        </w:rPr>
        <w:t>10%</w:t>
      </w:r>
      <w:r>
        <w:rPr>
          <w:rFonts w:hint="eastAsia" w:ascii="楷体" w:hAnsi="楷体" w:eastAsia="楷体" w:cs="Calibri"/>
          <w:color w:val="auto"/>
          <w:sz w:val="21"/>
          <w:szCs w:val="21"/>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管理人</w:t>
      </w:r>
      <w:r>
        <w:rPr>
          <w:rFonts w:hint="eastAsia" w:ascii="楷体" w:hAnsi="楷体" w:eastAsia="楷体" w:cs="Calibri"/>
          <w:color w:val="auto"/>
          <w:sz w:val="21"/>
          <w:szCs w:val="21"/>
          <w:highlight w:val="none"/>
          <w:lang w:val="en-US" w:eastAsia="zh-CN"/>
        </w:rPr>
        <w:t>发行的</w:t>
      </w:r>
      <w:r>
        <w:rPr>
          <w:rFonts w:hint="eastAsia" w:ascii="楷体" w:hAnsi="楷体" w:eastAsia="楷体" w:cs="Calibri"/>
          <w:color w:val="auto"/>
          <w:sz w:val="21"/>
          <w:szCs w:val="21"/>
          <w:highlight w:val="none"/>
        </w:rPr>
        <w:t>全部公募产品</w:t>
      </w:r>
      <w:r>
        <w:rPr>
          <w:rFonts w:hint="eastAsia" w:ascii="楷体" w:hAnsi="楷体" w:eastAsia="楷体" w:cs="Calibri"/>
          <w:color w:val="auto"/>
          <w:sz w:val="21"/>
          <w:szCs w:val="21"/>
          <w:highlight w:val="none"/>
          <w:lang w:val="en-US" w:eastAsia="zh-CN"/>
        </w:rPr>
        <w:t>投资</w:t>
      </w:r>
      <w:r>
        <w:rPr>
          <w:rFonts w:hint="eastAsia" w:ascii="楷体" w:hAnsi="楷体" w:eastAsia="楷体" w:cs="Calibri"/>
          <w:color w:val="auto"/>
          <w:sz w:val="21"/>
          <w:szCs w:val="21"/>
          <w:highlight w:val="none"/>
        </w:rPr>
        <w:t>单只证券或单只证券投资基金的市值，不得超过该证券市值或该证券投资基金市值的</w:t>
      </w:r>
      <w:r>
        <w:rPr>
          <w:rFonts w:ascii="楷体" w:hAnsi="楷体" w:eastAsia="楷体" w:cs="Calibri"/>
          <w:color w:val="auto"/>
          <w:sz w:val="21"/>
          <w:szCs w:val="21"/>
          <w:highlight w:val="none"/>
        </w:rPr>
        <w:t>30%</w:t>
      </w:r>
      <w:r>
        <w:rPr>
          <w:rFonts w:hint="eastAsia" w:ascii="楷体" w:hAnsi="楷体" w:eastAsia="楷体" w:cs="Calibri"/>
          <w:color w:val="auto"/>
          <w:sz w:val="21"/>
          <w:szCs w:val="21"/>
          <w:highlight w:val="none"/>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sz w:val="21"/>
          <w:szCs w:val="21"/>
          <w:highlight w:val="none"/>
        </w:rPr>
        <w:t>管理人全部产品</w:t>
      </w:r>
      <w:r>
        <w:rPr>
          <w:rFonts w:hint="eastAsia" w:ascii="楷体" w:hAnsi="楷体" w:eastAsia="楷体" w:cs="Calibri"/>
          <w:sz w:val="21"/>
          <w:szCs w:val="21"/>
          <w:highlight w:val="none"/>
          <w:lang w:val="en-US" w:eastAsia="zh-CN"/>
        </w:rPr>
        <w:t>投资</w:t>
      </w:r>
      <w:r>
        <w:rPr>
          <w:rFonts w:hint="eastAsia" w:ascii="楷体" w:hAnsi="楷体" w:eastAsia="楷体" w:cs="Calibri"/>
          <w:sz w:val="21"/>
          <w:szCs w:val="21"/>
          <w:highlight w:val="none"/>
        </w:rPr>
        <w:t>单一上市公司发行的股票，不得超过该上市公司可流通股票的30%。</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金融监督管理部门另有规定的除外。非因管理人主观因素导致突破上述比例限制的，管理人在流动性受限资产可出售、可转让或者恢复交易的</w:t>
      </w:r>
      <w:r>
        <w:rPr>
          <w:rFonts w:ascii="楷体" w:hAnsi="楷体" w:eastAsia="楷体"/>
          <w:color w:val="auto"/>
          <w:sz w:val="21"/>
          <w:szCs w:val="21"/>
        </w:rPr>
        <w:t>1</w:t>
      </w:r>
      <w:r>
        <w:rPr>
          <w:rFonts w:hint="eastAsia" w:ascii="楷体" w:hAnsi="楷体" w:eastAsia="楷体"/>
          <w:color w:val="auto"/>
          <w:sz w:val="21"/>
          <w:szCs w:val="21"/>
        </w:rPr>
        <w:t>0个交易日内调整至符合要求。</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杠杆水平限制</w:t>
      </w:r>
    </w:p>
    <w:p>
      <w:pPr>
        <w:ind w:firstLine="420" w:firstLineChars="200"/>
        <w:rPr>
          <w:rFonts w:hint="eastAsia" w:ascii="楷体" w:hAnsi="楷体" w:eastAsia="楷体"/>
          <w:color w:val="auto"/>
          <w:sz w:val="21"/>
          <w:szCs w:val="21"/>
        </w:rPr>
      </w:pPr>
      <w:r>
        <w:rPr>
          <w:rFonts w:hint="eastAsia" w:ascii="楷体" w:hAnsi="楷体" w:eastAsia="楷体"/>
          <w:sz w:val="21"/>
          <w:szCs w:val="21"/>
        </w:rPr>
        <w:t>本产品资产总值</w:t>
      </w:r>
      <w:r>
        <w:rPr>
          <w:rFonts w:hint="eastAsia" w:ascii="楷体" w:hAnsi="楷体" w:eastAsia="楷体"/>
          <w:color w:val="auto"/>
          <w:sz w:val="21"/>
          <w:szCs w:val="21"/>
        </w:rPr>
        <w:t>/</w:t>
      </w:r>
      <w:r>
        <w:rPr>
          <w:rFonts w:hint="eastAsia" w:ascii="楷体" w:hAnsi="楷体" w:eastAsia="楷体"/>
          <w:color w:val="auto"/>
          <w:sz w:val="21"/>
          <w:szCs w:val="21"/>
          <w:lang w:val="en-US" w:eastAsia="zh-CN"/>
        </w:rPr>
        <w:t>净资产</w:t>
      </w:r>
      <w:r>
        <w:rPr>
          <w:rFonts w:hint="eastAsia" w:ascii="楷体" w:hAnsi="楷体" w:eastAsia="楷体"/>
          <w:color w:val="auto"/>
          <w:sz w:val="21"/>
          <w:szCs w:val="21"/>
        </w:rPr>
        <w:t>不超过</w:t>
      </w:r>
      <w:r>
        <w:rPr>
          <w:rFonts w:ascii="楷体" w:hAnsi="楷体" w:eastAsia="楷体"/>
          <w:color w:val="auto"/>
          <w:sz w:val="21"/>
          <w:szCs w:val="21"/>
        </w:rPr>
        <w:t>15</w:t>
      </w:r>
      <w:r>
        <w:rPr>
          <w:rFonts w:hint="eastAsia" w:ascii="楷体" w:hAnsi="楷体" w:eastAsia="楷体"/>
          <w:color w:val="auto"/>
          <w:sz w:val="21"/>
          <w:szCs w:val="21"/>
        </w:rPr>
        <w:t>0%（如监管有最新规定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将</w:t>
      </w:r>
      <w:r>
        <w:rPr>
          <w:rFonts w:hint="eastAsia" w:ascii="楷体" w:hAnsi="楷体" w:eastAsia="楷体"/>
          <w:color w:val="auto"/>
          <w:sz w:val="21"/>
          <w:szCs w:val="21"/>
        </w:rPr>
        <w:t>参照监管规定调整）。</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投资范围调整</w:t>
      </w:r>
      <w:bookmarkStart w:id="1" w:name="_GoBack"/>
      <w:bookmarkEnd w:id="1"/>
    </w:p>
    <w:p>
      <w:pPr>
        <w:numPr>
          <w:ilvl w:val="-1"/>
          <w:numId w:val="0"/>
        </w:numPr>
        <w:tabs>
          <w:tab w:val="left" w:pos="1134"/>
        </w:tabs>
        <w:ind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0"/>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弘业期货股份有限公司是经中国证监会批准设立的大型期货公司，总部位于江苏南京，公司在北京、上海、深圳等国内主要金融中心和重点城市设立40多家营业部和分公司</w:t>
      </w:r>
      <w:r>
        <w:rPr>
          <w:rFonts w:hint="eastAsia" w:ascii="楷体" w:hAnsi="楷体" w:eastAsia="楷体"/>
          <w:sz w:val="21"/>
          <w:szCs w:val="21"/>
          <w:lang w:eastAsia="zh-CN"/>
        </w:rPr>
        <w:t>。</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1"/>
          <w:numId w:val="0"/>
        </w:numPr>
        <w:ind w:left="0" w:firstLine="420" w:firstLineChars="200"/>
        <w:rPr>
          <w:rFonts w:hint="eastAsia" w:ascii="楷体" w:hAnsi="楷体" w:eastAsia="楷体"/>
          <w:color w:val="auto"/>
          <w:sz w:val="21"/>
          <w:szCs w:val="21"/>
        </w:rPr>
      </w:pPr>
      <w:r>
        <w:rPr>
          <w:rFonts w:hint="eastAsia" w:ascii="楷体" w:hAnsi="楷体" w:eastAsia="楷体" w:cs="Calibri"/>
          <w:color w:val="auto"/>
          <w:sz w:val="21"/>
          <w:szCs w:val="21"/>
        </w:rPr>
        <w:t>在理财产品投资运作期间内，投资者无权要求提前终止该理财产品。在理财产品投资运作期间内，当出现下列情形之一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color w:val="auto"/>
          <w:sz w:val="21"/>
          <w:szCs w:val="21"/>
        </w:rPr>
        <w:t>如理财产品管理人提前终止本理财产品，将至少提前2个工作日（含）按说明书约定的信息披露方式予以披露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olor w:val="auto"/>
          <w:sz w:val="21"/>
          <w:szCs w:val="21"/>
        </w:rPr>
        <w:t>。</w:t>
      </w:r>
    </w:p>
    <w:p>
      <w:pPr>
        <w:numPr>
          <w:ilvl w:val="0"/>
          <w:numId w:val="13"/>
        </w:numPr>
        <w:tabs>
          <w:tab w:val="left" w:pos="993"/>
        </w:tabs>
        <w:ind w:left="0" w:firstLine="420" w:firstLine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正常终止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投资者持有本理财产品至产品到期日，投资者的投资本金和收益（如有）将在产品到期后一次性支付。</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s="Calibri"/>
          <w:color w:val="auto"/>
          <w:sz w:val="21"/>
          <w:szCs w:val="21"/>
        </w:rPr>
        <w:t>。</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终止）</w:t>
      </w:r>
      <w:r>
        <w:rPr>
          <w:rFonts w:hint="eastAsia" w:ascii="楷体" w:hAnsi="楷体" w:eastAsia="楷体"/>
          <w:color w:val="auto"/>
          <w:sz w:val="21"/>
          <w:szCs w:val="21"/>
        </w:rPr>
        <w:t>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后5个工作日以内划至投资者指定账户，如遇法定节假日或公休日则相应顺延。产品到期日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6"/>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6"/>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计提方法、计提标准和支付方式</w:t>
      </w:r>
      <w:r>
        <w:rPr>
          <w:rFonts w:hint="eastAsia" w:ascii="楷体" w:hAnsi="楷体" w:eastAsia="楷体" w:cs="Calibri"/>
          <w:color w:val="auto"/>
          <w:sz w:val="21"/>
          <w:szCs w:val="21"/>
          <w:lang w:val="en-US" w:eastAsia="zh-CN"/>
        </w:rPr>
        <w:t>如下:</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w:t>
      </w:r>
      <w:r>
        <w:rPr>
          <w:rFonts w:hint="eastAsia" w:ascii="楷体" w:hAnsi="楷体" w:eastAsia="楷体" w:cs="Calibri"/>
          <w:color w:val="auto"/>
          <w:sz w:val="21"/>
          <w:szCs w:val="21"/>
          <w:lang w:val="en-US" w:eastAsia="zh-CN"/>
        </w:rPr>
        <w:t>托管人</w:t>
      </w:r>
      <w:r>
        <w:rPr>
          <w:rFonts w:hint="eastAsia" w:ascii="楷体" w:hAnsi="楷体" w:eastAsia="楷体" w:cs="Calibri"/>
          <w:color w:val="auto"/>
          <w:sz w:val="21"/>
          <w:szCs w:val="21"/>
        </w:rPr>
        <w:t>收取。</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，由销售机构收取。</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成立日一次性提取，每日摊销，由销售机构收取。销售服务费＝产品成立日的产品份额×销售服务费率×产品投资期限天数÷365</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，由管理人收取。</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5"/>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bookmarkEnd w:id="0"/>
    <w:p>
      <w:pPr>
        <w:rPr>
          <w:rFonts w:ascii="楷体" w:hAnsi="楷体" w:eastAsia="楷体"/>
          <w:b/>
          <w:sz w:val="36"/>
          <w:szCs w:val="36"/>
        </w:rPr>
      </w:pPr>
      <w:r>
        <w:rPr>
          <w:rFonts w:hint="eastAsia" w:ascii="楷体" w:hAnsi="楷体" w:eastAsia="楷体"/>
          <w:b/>
          <w:sz w:val="36"/>
          <w:szCs w:val="36"/>
        </w:rPr>
        <w:br w:type="page"/>
      </w:r>
    </w:p>
    <w:p>
      <w:pPr>
        <w:jc w:val="center"/>
        <w:rPr>
          <w:rFonts w:hint="eastAsia" w:ascii="楷体" w:hAnsi="楷体" w:eastAsia="楷体"/>
          <w:b/>
          <w:sz w:val="36"/>
          <w:szCs w:val="36"/>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2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jc w:val="right"/>
        <w:rPr>
          <w:rFonts w:ascii="楷体" w:hAnsi="楷体" w:eastAsia="楷体"/>
          <w:sz w:val="24"/>
          <w:szCs w:val="24"/>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42F757"/>
    <w:multiLevelType w:val="singleLevel"/>
    <w:tmpl w:val="2D42F757"/>
    <w:lvl w:ilvl="0" w:tentative="0">
      <w:start w:val="2"/>
      <w:numFmt w:val="chineseCounting"/>
      <w:suff w:val="nothing"/>
      <w:lvlText w:val="（%1）"/>
      <w:lvlJc w:val="left"/>
      <w:rPr>
        <w:rFonts w:hint="eastAsia"/>
      </w:rPr>
    </w:lvl>
  </w:abstractNum>
  <w:abstractNum w:abstractNumId="9">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C5ACE5"/>
    <w:multiLevelType w:val="singleLevel"/>
    <w:tmpl w:val="3FC5ACE5"/>
    <w:lvl w:ilvl="0" w:tentative="0">
      <w:start w:val="1"/>
      <w:numFmt w:val="decimalEnclosedCircleChinese"/>
      <w:suff w:val="nothing"/>
      <w:lvlText w:val="%1　"/>
      <w:lvlJc w:val="left"/>
      <w:pPr>
        <w:ind w:left="0" w:firstLine="400"/>
      </w:pPr>
      <w:rPr>
        <w:rFonts w:hint="eastAsia"/>
      </w:rPr>
    </w:lvl>
  </w:abstractNum>
  <w:abstractNum w:abstractNumId="12">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6"/>
  </w:num>
  <w:num w:numId="8">
    <w:abstractNumId w:val="16"/>
  </w:num>
  <w:num w:numId="9">
    <w:abstractNumId w:val="5"/>
  </w:num>
  <w:num w:numId="10">
    <w:abstractNumId w:val="19"/>
  </w:num>
  <w:num w:numId="11">
    <w:abstractNumId w:val="15"/>
  </w:num>
  <w:num w:numId="12">
    <w:abstractNumId w:val="12"/>
  </w:num>
  <w:num w:numId="13">
    <w:abstractNumId w:val="14"/>
  </w:num>
  <w:num w:numId="14">
    <w:abstractNumId w:val="20"/>
  </w:num>
  <w:num w:numId="15">
    <w:abstractNumId w:val="7"/>
  </w:num>
  <w:num w:numId="16">
    <w:abstractNumId w:val="2"/>
  </w:num>
  <w:num w:numId="17">
    <w:abstractNumId w:val="13"/>
  </w:num>
  <w:num w:numId="18">
    <w:abstractNumId w:val="1"/>
  </w:num>
  <w:num w:numId="19">
    <w:abstractNumId w:val="17"/>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5</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2025-06-20T03:02:33Z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