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“苏银理财恒源</w:t>
      </w:r>
      <w:r>
        <w:rPr>
          <w:rFonts w:hint="eastAsia" w:ascii="楷体" w:hAnsi="楷体" w:eastAsia="楷体"/>
          <w:b/>
          <w:color w:val="auto"/>
          <w:sz w:val="28"/>
          <w:szCs w:val="28"/>
          <w:lang w:eastAsia="zh-CN"/>
        </w:rPr>
        <w:t>封闭债权213期优选2年</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8"/>
          <w:szCs w:val="28"/>
        </w:rPr>
      </w:pPr>
      <w:r>
        <w:rPr>
          <w:rFonts w:hint="eastAsia" w:ascii="楷体" w:hAnsi="楷体" w:eastAsia="楷体" w:cs="宋体"/>
          <w:b/>
          <w:color w:val="auto"/>
          <w:kern w:val="0"/>
          <w:sz w:val="24"/>
          <w:szCs w:val="24"/>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default" w:ascii="Calibri" w:hAnsi="Calibri" w:eastAsia="楷体" w:cs="Calibri"/>
          <w:color w:val="auto"/>
          <w:sz w:val="21"/>
          <w:szCs w:val="21"/>
        </w:rPr>
        <w:t>①</w:t>
      </w:r>
      <w:r>
        <w:rPr>
          <w:rFonts w:hint="eastAsia" w:ascii="楷体" w:hAnsi="楷体" w:eastAsia="楷体"/>
          <w:color w:val="auto"/>
          <w:sz w:val="21"/>
          <w:szCs w:val="21"/>
        </w:rPr>
        <w:t>市场平均利率水平变化导致债券价格变化的风险。</w:t>
      </w:r>
      <w:r>
        <w:rPr>
          <w:rFonts w:hint="default" w:ascii="Calibri" w:hAnsi="Calibri" w:eastAsia="楷体" w:cs="Calibri"/>
          <w:color w:val="auto"/>
          <w:sz w:val="21"/>
          <w:szCs w:val="21"/>
        </w:rPr>
        <w:t>②</w:t>
      </w:r>
      <w:r>
        <w:rPr>
          <w:rFonts w:hint="eastAsia" w:ascii="楷体" w:hAnsi="楷体" w:eastAsia="楷体"/>
          <w:color w:val="auto"/>
          <w:sz w:val="21"/>
          <w:szCs w:val="21"/>
        </w:rPr>
        <w:t>债券市场不同期限、不同类别债券之间的利差变动导致相应期限和类别债券价格变化的风险。</w:t>
      </w:r>
      <w:r>
        <w:rPr>
          <w:rFonts w:hint="default" w:ascii="Calibri" w:hAnsi="Calibri" w:eastAsia="楷体" w:cs="Calibri"/>
          <w:color w:val="auto"/>
          <w:sz w:val="21"/>
          <w:szCs w:val="21"/>
        </w:rPr>
        <w:t>③</w:t>
      </w:r>
      <w:r>
        <w:rPr>
          <w:rFonts w:hint="eastAsia" w:ascii="楷体" w:hAnsi="楷体" w:eastAsia="楷体"/>
          <w:color w:val="auto"/>
          <w:sz w:val="21"/>
          <w:szCs w:val="21"/>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r>
        <w:rPr>
          <w:rFonts w:hint="eastAsia" w:ascii="楷体" w:hAnsi="楷体" w:eastAsia="楷体" w:cs="楷体"/>
          <w:color w:val="auto"/>
          <w:sz w:val="21"/>
          <w:szCs w:val="21"/>
        </w:rPr>
        <w:t>④</w:t>
      </w:r>
      <w:r>
        <w:rPr>
          <w:rFonts w:hint="eastAsia" w:ascii="楷体" w:hAnsi="楷体" w:eastAsia="楷体"/>
          <w:color w:val="auto"/>
          <w:sz w:val="21"/>
          <w:szCs w:val="21"/>
        </w:rPr>
        <w:t>债券发行人、担保人出现违约拒绝支付到期本息，或由于债券发行人、担保人信用质量降低导致债券价格下降及无法收回投资收益的风险。</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Calibri" w:hAnsi="Calibri" w:eastAsia="楷体" w:cs="Calibri"/>
          <w:b/>
          <w:bCs w:val="0"/>
          <w:color w:val="auto"/>
          <w:sz w:val="21"/>
          <w:szCs w:val="21"/>
        </w:rPr>
        <w:t>①</w:t>
      </w:r>
      <w:r>
        <w:rPr>
          <w:rFonts w:hint="eastAsia" w:ascii="楷体" w:hAnsi="楷体" w:eastAsia="楷体"/>
          <w:b/>
          <w:bCs w:val="0"/>
          <w:color w:val="auto"/>
          <w:sz w:val="21"/>
          <w:szCs w:val="21"/>
        </w:rPr>
        <w:t>融资方还款履约能力可能的变化导致的信用风险。</w:t>
      </w:r>
      <w:r>
        <w:rPr>
          <w:rFonts w:hint="default" w:ascii="Calibri" w:hAnsi="Calibri" w:eastAsia="楷体" w:cs="Calibri"/>
          <w:b/>
          <w:bCs w:val="0"/>
          <w:color w:val="auto"/>
          <w:sz w:val="21"/>
          <w:szCs w:val="21"/>
        </w:rPr>
        <w:t>②</w:t>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val="0"/>
          <w:color w:val="auto"/>
          <w:sz w:val="21"/>
          <w:szCs w:val="21"/>
        </w:rPr>
        <w:t>③</w:t>
      </w:r>
      <w:r>
        <w:rPr>
          <w:rFonts w:hint="eastAsia" w:ascii="楷体" w:hAnsi="楷体" w:eastAsia="楷体"/>
          <w:b/>
          <w:bCs w:val="0"/>
          <w:color w:val="auto"/>
          <w:sz w:val="21"/>
          <w:szCs w:val="21"/>
        </w:rPr>
        <w:t>保证人未履行保证义务的风险等。</w:t>
      </w:r>
    </w:p>
    <w:p>
      <w:pPr>
        <w:numPr>
          <w:ilvl w:val="0"/>
          <w:numId w:val="3"/>
        </w:numPr>
        <w:tabs>
          <w:tab w:val="left" w:pos="742"/>
        </w:tabs>
        <w:rPr>
          <w:rFonts w:hint="eastAsia" w:ascii="楷体" w:hAnsi="楷体" w:eastAsia="楷体"/>
          <w:color w:val="auto"/>
          <w:sz w:val="21"/>
          <w:szCs w:val="21"/>
        </w:rPr>
      </w:pPr>
      <w:r>
        <w:rPr>
          <w:rFonts w:hint="eastAsia" w:ascii="楷体" w:hAnsi="楷体" w:eastAsia="楷体"/>
          <w:color w:val="auto"/>
          <w:sz w:val="21"/>
          <w:szCs w:val="21"/>
        </w:rPr>
        <w:t>股票投资的特殊风险</w:t>
      </w:r>
    </w:p>
    <w:p>
      <w:pPr>
        <w:numPr>
          <w:ilvl w:val="0"/>
          <w:numId w:val="0"/>
        </w:numPr>
        <w:tabs>
          <w:tab w:val="left" w:pos="742"/>
        </w:tabs>
        <w:ind w:left="0" w:leftChars="0" w:firstLine="422" w:firstLineChars="200"/>
        <w:rPr>
          <w:rFonts w:hint="eastAsia" w:ascii="楷体" w:hAnsi="楷体" w:eastAsia="楷体"/>
          <w:b/>
          <w:bCs w:val="0"/>
          <w:color w:val="auto"/>
          <w:sz w:val="21"/>
          <w:szCs w:val="21"/>
        </w:rPr>
      </w:pPr>
      <w:r>
        <w:rPr>
          <w:rFonts w:hint="default" w:ascii="楷体" w:hAnsi="楷体" w:eastAsia="楷体"/>
          <w:b/>
          <w:bCs w:val="0"/>
          <w:color w:val="auto"/>
          <w:sz w:val="21"/>
          <w:szCs w:val="21"/>
        </w:rPr>
        <w:t>①</w:t>
      </w:r>
      <w:r>
        <w:rPr>
          <w:rFonts w:hint="eastAsia" w:ascii="楷体" w:hAnsi="楷体" w:eastAsia="楷体"/>
          <w:b/>
          <w:bCs w:val="0"/>
          <w:color w:val="auto"/>
          <w:sz w:val="21"/>
          <w:szCs w:val="21"/>
        </w:rPr>
        <w:t>国家货币政策、财政政策、产业政策等的变化对证券市场产生一定的影响，导致市场价格水平波动的风险。</w:t>
      </w:r>
      <w:r>
        <w:rPr>
          <w:rFonts w:hint="default" w:ascii="楷体" w:hAnsi="楷体" w:eastAsia="楷体"/>
          <w:b/>
          <w:bCs w:val="0"/>
          <w:color w:val="auto"/>
          <w:sz w:val="21"/>
          <w:szCs w:val="21"/>
        </w:rPr>
        <w:t>②</w:t>
      </w:r>
      <w:r>
        <w:rPr>
          <w:rFonts w:hint="eastAsia" w:ascii="楷体" w:hAnsi="楷体" w:eastAsia="楷体"/>
          <w:b/>
          <w:bCs w:val="0"/>
          <w:color w:val="auto"/>
          <w:sz w:val="21"/>
          <w:szCs w:val="21"/>
        </w:rPr>
        <w:t>宏观经济运行周期性波动，对股票市场的收益水平产生影响的风险。</w:t>
      </w:r>
      <w:r>
        <w:rPr>
          <w:rFonts w:hint="default" w:ascii="楷体" w:hAnsi="楷体" w:eastAsia="楷体"/>
          <w:b/>
          <w:bCs w:val="0"/>
          <w:color w:val="auto"/>
          <w:sz w:val="21"/>
          <w:szCs w:val="21"/>
        </w:rPr>
        <w:t>③</w:t>
      </w:r>
      <w:r>
        <w:rPr>
          <w:rFonts w:hint="eastAsia" w:ascii="楷体" w:hAnsi="楷体" w:eastAsia="楷体"/>
          <w:b/>
          <w:bCs w:val="0"/>
          <w:color w:val="auto"/>
          <w:sz w:val="21"/>
          <w:szCs w:val="21"/>
        </w:rPr>
        <w:t>上市公司的经营状况受多种因素影响，如市场、技术、竞争、管理、财务等都会导致公司盈利发生变化，从而导致股票价格变动的风险。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highlight w:val="none"/>
        </w:rPr>
      </w:pPr>
      <w:r>
        <w:rPr>
          <w:rFonts w:hint="eastAsia" w:ascii="楷体" w:hAnsi="楷体" w:eastAsia="楷体"/>
          <w:color w:val="auto"/>
          <w:sz w:val="21"/>
          <w:szCs w:val="21"/>
          <w:highlight w:val="none"/>
        </w:rPr>
        <w:t>本理财产品类型为</w:t>
      </w:r>
      <w:r>
        <w:rPr>
          <w:rFonts w:hint="eastAsia" w:ascii="楷体" w:hAnsi="楷体" w:eastAsia="楷体" w:cs="Calibri"/>
          <w:b/>
          <w:color w:val="auto"/>
          <w:sz w:val="21"/>
          <w:szCs w:val="21"/>
          <w:highlight w:val="none"/>
          <w:u w:val="single"/>
        </w:rPr>
        <w:t>固定收益类、公募、封闭式</w:t>
      </w:r>
      <w:r>
        <w:rPr>
          <w:rFonts w:hint="eastAsia" w:ascii="楷体" w:hAnsi="楷体" w:eastAsia="楷体"/>
          <w:color w:val="auto"/>
          <w:sz w:val="21"/>
          <w:szCs w:val="21"/>
          <w:highlight w:val="none"/>
        </w:rPr>
        <w:t>，产品管理人对本理财产品的内部风险评级为</w:t>
      </w:r>
      <w:r>
        <w:rPr>
          <w:rFonts w:hint="eastAsia" w:ascii="楷体" w:hAnsi="楷体" w:eastAsia="楷体"/>
          <w:b/>
          <w:color w:val="auto"/>
          <w:sz w:val="21"/>
          <w:szCs w:val="21"/>
          <w:highlight w:val="none"/>
          <w:u w:val="single"/>
        </w:rPr>
        <w:t>★★二级，适合</w:t>
      </w:r>
      <w:r>
        <w:rPr>
          <w:rFonts w:hint="eastAsia" w:ascii="楷体" w:hAnsi="楷体" w:eastAsia="楷体" w:cs="Calibri"/>
          <w:b/>
          <w:color w:val="auto"/>
          <w:sz w:val="21"/>
          <w:szCs w:val="21"/>
          <w:highlight w:val="none"/>
          <w:u w:val="single"/>
        </w:rPr>
        <w:t>中低风险型</w:t>
      </w:r>
      <w:r>
        <w:rPr>
          <w:rFonts w:hint="eastAsia" w:ascii="楷体" w:hAnsi="楷体" w:eastAsia="楷体"/>
          <w:b/>
          <w:color w:val="auto"/>
          <w:sz w:val="21"/>
          <w:szCs w:val="21"/>
          <w:highlight w:val="none"/>
          <w:u w:val="single"/>
        </w:rPr>
        <w:t>投资者</w:t>
      </w:r>
      <w:r>
        <w:rPr>
          <w:rFonts w:hint="eastAsia" w:ascii="楷体" w:hAnsi="楷体" w:eastAsia="楷体"/>
          <w:color w:val="auto"/>
          <w:sz w:val="21"/>
          <w:szCs w:val="21"/>
          <w:highlight w:val="none"/>
          <w:u w:val="single"/>
        </w:rPr>
        <w:t>。</w:t>
      </w:r>
      <w:r>
        <w:rPr>
          <w:rFonts w:hint="eastAsia" w:ascii="楷体" w:hAnsi="楷体" w:eastAsia="楷体" w:cs="Calibri"/>
          <w:b/>
          <w:color w:val="auto"/>
          <w:sz w:val="21"/>
          <w:szCs w:val="21"/>
          <w:highlight w:val="none"/>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hint="eastAsia" w:ascii="楷体" w:hAnsi="楷体" w:eastAsia="楷体"/>
          <w:b/>
          <w:color w:val="auto"/>
          <w:sz w:val="21"/>
          <w:szCs w:val="21"/>
        </w:rPr>
      </w:pPr>
      <w:r>
        <w:rPr>
          <w:rFonts w:hint="eastAsia" w:ascii="楷体" w:hAnsi="楷体" w:eastAsia="楷体"/>
          <w:b/>
          <w:color w:val="auto"/>
          <w:sz w:val="21"/>
          <w:szCs w:val="21"/>
        </w:rPr>
        <w:t>风险揭示方：苏银理财有限责任公司</w:t>
      </w:r>
    </w:p>
    <w:p>
      <w:pPr>
        <w:pStyle w:val="13"/>
        <w:numPr>
          <w:ilvl w:val="-1"/>
          <w:numId w:val="0"/>
        </w:numPr>
        <w:spacing w:before="0" w:beforeAutospacing="0" w:after="0" w:afterAutospacing="0" w:line="360" w:lineRule="auto"/>
        <w:ind w:left="0" w:firstLine="0"/>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ind w:firstLine="315" w:firstLineChars="150"/>
        <w:jc w:val="both"/>
        <w:rPr>
          <w:rFonts w:hint="eastAsia" w:ascii="楷体" w:hAnsi="楷体" w:eastAsia="楷体"/>
          <w:color w:val="auto"/>
          <w:sz w:val="21"/>
          <w:szCs w:val="21"/>
        </w:rPr>
      </w:pPr>
    </w:p>
    <w:p>
      <w:pPr>
        <w:ind w:firstLine="315" w:firstLineChars="150"/>
        <w:jc w:val="both"/>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pPr>
        <w:pStyle w:val="13"/>
        <w:spacing w:before="0" w:beforeAutospacing="0" w:after="0" w:afterAutospacing="0" w:line="360" w:lineRule="auto"/>
        <w:jc w:val="right"/>
        <w:rPr>
          <w:rFonts w:ascii="楷体" w:hAnsi="楷体" w:eastAsia="楷体"/>
        </w:rPr>
      </w:pPr>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r>
        <w:rPr>
          <w:rFonts w:hint="eastAsia" w:ascii="楷体" w:hAnsi="楷体" w:eastAsia="楷体"/>
          <w:b/>
          <w:sz w:val="36"/>
          <w:szCs w:val="36"/>
        </w:rPr>
        <w:t xml:space="preserve"> </w:t>
      </w:r>
    </w:p>
    <w:p>
      <w:pPr>
        <w:jc w:val="center"/>
        <w:rPr>
          <w:rFonts w:hint="eastAsia" w:ascii="楷体" w:hAnsi="楷体" w:eastAsia="楷体"/>
          <w:b/>
          <w:color w:val="auto"/>
          <w:sz w:val="28"/>
          <w:szCs w:val="28"/>
          <w:lang w:eastAsia="zh-CN"/>
        </w:rPr>
      </w:pPr>
      <w:r>
        <w:rPr>
          <w:rFonts w:hint="eastAsia" w:ascii="楷体" w:hAnsi="楷体" w:eastAsia="楷体"/>
          <w:b/>
          <w:sz w:val="36"/>
          <w:szCs w:val="36"/>
        </w:rPr>
        <w:br w:type="page"/>
      </w:r>
      <w:bookmarkStart w:id="0" w:name="_Hlk168577216"/>
      <w:r>
        <w:rPr>
          <w:rFonts w:hint="eastAsia" w:ascii="楷体" w:hAnsi="楷体" w:eastAsia="楷体"/>
          <w:b/>
          <w:color w:val="auto"/>
          <w:sz w:val="28"/>
          <w:szCs w:val="28"/>
        </w:rPr>
        <w:t>“</w:t>
      </w:r>
      <w:r>
        <w:rPr>
          <w:rFonts w:hint="eastAsia" w:ascii="楷体" w:hAnsi="楷体" w:eastAsia="楷体"/>
          <w:b/>
          <w:color w:val="auto"/>
          <w:sz w:val="28"/>
          <w:szCs w:val="28"/>
          <w:lang w:eastAsia="zh-CN"/>
        </w:rPr>
        <w:t>苏银理财恒源封闭债权213期优选2年</w:t>
      </w:r>
      <w:r>
        <w:rPr>
          <w:rFonts w:hint="eastAsia" w:ascii="楷体" w:hAnsi="楷体" w:eastAsia="楷体"/>
          <w:b/>
          <w:color w:val="auto"/>
          <w:sz w:val="28"/>
          <w:szCs w:val="28"/>
        </w:rPr>
        <w:t>”理财产品</w:t>
      </w:r>
      <w:r>
        <w:rPr>
          <w:rFonts w:hint="eastAsia" w:ascii="楷体" w:hAnsi="楷体" w:eastAsia="楷体"/>
          <w:b/>
          <w:color w:val="auto"/>
          <w:sz w:val="28"/>
          <w:szCs w:val="28"/>
          <w:lang w:val="en-US" w:eastAsia="zh-CN"/>
        </w:rPr>
        <w:t>说明书</w:t>
      </w:r>
    </w:p>
    <w:p>
      <w:pPr>
        <w:jc w:val="center"/>
        <w:rPr>
          <w:rFonts w:hint="eastAsia" w:ascii="楷体" w:hAnsi="楷体" w:eastAsia="楷体"/>
          <w:b/>
          <w:color w:val="auto"/>
          <w:sz w:val="24"/>
          <w:szCs w:val="24"/>
        </w:rPr>
      </w:pPr>
      <w:r>
        <w:rPr>
          <w:rFonts w:hint="eastAsia" w:ascii="楷体" w:hAnsi="楷体" w:eastAsia="楷体" w:cs="宋体"/>
          <w:b/>
          <w:color w:val="auto"/>
          <w:kern w:val="0"/>
          <w:sz w:val="24"/>
          <w:szCs w:val="24"/>
        </w:rPr>
        <w:t>理财非存款、产品有风险、投资须谨慎</w:t>
      </w:r>
    </w:p>
    <w:p>
      <w:pPr>
        <w:rPr>
          <w:rFonts w:hint="eastAsia" w:ascii="楷体" w:hAnsi="楷体" w:eastAsia="楷体"/>
          <w:b/>
          <w:color w:val="auto"/>
          <w:sz w:val="21"/>
          <w:szCs w:val="21"/>
        </w:rPr>
      </w:pPr>
      <w:r>
        <w:rPr>
          <w:rFonts w:hint="eastAsia" w:ascii="楷体" w:hAnsi="楷体" w:eastAsia="楷体"/>
          <w:b/>
          <w:color w:val="auto"/>
          <w:sz w:val="21"/>
          <w:szCs w:val="21"/>
        </w:rPr>
        <w:t>重要须知</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在购买本理财产品前，投资者应确保自己完全理解该项投资的性质和所涉及的风险，详细了解和审慎评估该理财产品的</w:t>
      </w:r>
      <w:r>
        <w:rPr>
          <w:rFonts w:hint="eastAsia" w:ascii="楷体" w:hAnsi="楷体" w:eastAsia="楷体"/>
          <w:color w:val="auto"/>
          <w:sz w:val="21"/>
          <w:szCs w:val="21"/>
          <w:lang w:val="en-US" w:eastAsia="zh-CN"/>
        </w:rPr>
        <w:t>资金投向</w:t>
      </w:r>
      <w:r>
        <w:rPr>
          <w:rFonts w:hint="eastAsia" w:ascii="楷体" w:hAnsi="楷体" w:eastAsia="楷体"/>
          <w:color w:val="auto"/>
          <w:sz w:val="21"/>
          <w:szCs w:val="21"/>
        </w:rPr>
        <w:t>、风险类型等基本情况，在慎重考虑后自行决定购买与自身风险承受能力和资产管理需求匹配的理财产品。</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w:t>
      </w:r>
      <w:r>
        <w:rPr>
          <w:rFonts w:hint="eastAsia" w:ascii="楷体" w:hAnsi="楷体" w:eastAsia="楷体"/>
          <w:b/>
          <w:color w:val="auto"/>
          <w:sz w:val="21"/>
          <w:szCs w:val="21"/>
          <w:u w:val="single"/>
          <w:lang w:val="en-US" w:eastAsia="zh-CN"/>
        </w:rPr>
        <w:t>不等同于银行存款，</w:t>
      </w:r>
      <w:r>
        <w:rPr>
          <w:rFonts w:hint="eastAsia" w:ascii="楷体" w:hAnsi="楷体" w:eastAsia="楷体"/>
          <w:b/>
          <w:color w:val="auto"/>
          <w:sz w:val="21"/>
          <w:szCs w:val="21"/>
          <w:u w:val="single"/>
        </w:rPr>
        <w:t>不保证本金及收益，您的本金可能因市场变动或者交易违约等事项而蒙受相应损失，投资者应充分认识投资风险，谨慎投资</w:t>
      </w:r>
      <w:r>
        <w:rPr>
          <w:rFonts w:hint="eastAsia" w:ascii="楷体" w:hAnsi="楷体" w:eastAsia="楷体"/>
          <w:b/>
          <w:color w:val="auto"/>
          <w:sz w:val="21"/>
          <w:szCs w:val="21"/>
          <w:u w:val="single"/>
          <w:lang w:eastAsia="zh-CN"/>
        </w:rPr>
        <w:t>。</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本理财产品过往业绩不代表其未来表现，不等于理财产品实际收益，投资须谨慎。</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本理财产品的任何业绩比较区间、业绩比较基准</w:t>
      </w:r>
      <w:r>
        <w:rPr>
          <w:rFonts w:hint="eastAsia" w:ascii="楷体" w:hAnsi="楷体" w:eastAsia="楷体"/>
          <w:b/>
          <w:color w:val="auto"/>
          <w:sz w:val="21"/>
          <w:szCs w:val="21"/>
          <w:u w:val="single"/>
          <w:lang w:val="en-US" w:eastAsia="zh-CN"/>
        </w:rPr>
        <w:t>等</w:t>
      </w:r>
      <w:r>
        <w:rPr>
          <w:rFonts w:hint="eastAsia" w:ascii="楷体" w:hAnsi="楷体" w:eastAsia="楷体"/>
          <w:b/>
          <w:color w:val="auto"/>
          <w:sz w:val="21"/>
          <w:szCs w:val="21"/>
          <w:u w:val="single"/>
        </w:rPr>
        <w:t>类似表述均属不具有法律约束力的用语</w:t>
      </w:r>
      <w:r>
        <w:rPr>
          <w:rFonts w:hint="eastAsia" w:ascii="楷体" w:hAnsi="楷体" w:eastAsia="楷体"/>
          <w:b/>
          <w:color w:val="auto"/>
          <w:sz w:val="21"/>
          <w:szCs w:val="21"/>
          <w:u w:val="single"/>
          <w:lang w:eastAsia="zh-CN"/>
        </w:rPr>
        <w:t>。</w:t>
      </w:r>
      <w:r>
        <w:rPr>
          <w:rFonts w:hint="eastAsia" w:ascii="楷体" w:hAnsi="楷体" w:eastAsia="楷体"/>
          <w:b/>
          <w:color w:val="auto"/>
          <w:szCs w:val="21"/>
          <w:highlight w:val="none"/>
          <w:u w:val="single"/>
        </w:rPr>
        <w:t>业绩比较基准</w:t>
      </w:r>
      <w:r>
        <w:rPr>
          <w:rFonts w:hint="eastAsia" w:ascii="楷体" w:hAnsi="楷体" w:eastAsia="楷体"/>
          <w:b/>
          <w:color w:val="auto"/>
          <w:sz w:val="21"/>
          <w:szCs w:val="21"/>
          <w:highlight w:val="none"/>
          <w:u w:val="single"/>
          <w:lang w:val="en-US" w:eastAsia="zh-CN"/>
        </w:rPr>
        <w:t>为</w:t>
      </w:r>
      <w:r>
        <w:rPr>
          <w:rFonts w:hint="eastAsia" w:ascii="楷体" w:hAnsi="楷体" w:eastAsia="楷体"/>
          <w:b/>
          <w:color w:val="auto"/>
          <w:szCs w:val="21"/>
          <w:highlight w:val="none"/>
          <w:u w:val="single"/>
        </w:rPr>
        <w:t>管理人基于产品性质、投资策略、过往经验等因素对产品设定的投资目标。业绩比较基准不是预期收益率，不代表产品的未来表现和实际收益，不构成对产品收益的承诺。</w:t>
      </w:r>
    </w:p>
    <w:p>
      <w:pPr>
        <w:numPr>
          <w:ilvl w:val="0"/>
          <w:numId w:val="5"/>
        </w:numPr>
        <w:ind w:left="420" w:leftChars="0" w:hanging="420" w:firstLineChars="0"/>
        <w:rPr>
          <w:rFonts w:ascii="楷体" w:hAnsi="楷体" w:eastAsia="楷体"/>
          <w:sz w:val="21"/>
          <w:szCs w:val="21"/>
        </w:rPr>
      </w:pPr>
      <w:r>
        <w:rPr>
          <w:rFonts w:hint="eastAsia" w:ascii="楷体" w:hAnsi="楷体" w:eastAsia="楷体"/>
          <w:sz w:val="21"/>
          <w:szCs w:val="21"/>
        </w:rPr>
        <w:t>《风险揭示书》、《理财产品说明书》、《理财产品投资协议书》</w:t>
      </w:r>
      <w:r>
        <w:rPr>
          <w:rFonts w:hint="eastAsia" w:ascii="楷体" w:hAnsi="楷体" w:eastAsia="楷体"/>
          <w:sz w:val="21"/>
          <w:szCs w:val="21"/>
          <w:lang w:eastAsia="zh-CN"/>
        </w:rPr>
        <w:t>、</w:t>
      </w:r>
      <w:r>
        <w:rPr>
          <w:rFonts w:hint="eastAsia" w:ascii="楷体" w:hAnsi="楷体" w:eastAsia="楷体"/>
          <w:sz w:val="21"/>
          <w:szCs w:val="21"/>
        </w:rPr>
        <w:t>《投资者权益须知》、《理财产品（代理）销售协议书》共同构成本理财产品完整</w:t>
      </w:r>
      <w:r>
        <w:rPr>
          <w:rFonts w:hint="eastAsia" w:ascii="楷体" w:hAnsi="楷体" w:eastAsia="楷体"/>
          <w:sz w:val="21"/>
          <w:szCs w:val="21"/>
          <w:lang w:val="en-US" w:eastAsia="zh-CN"/>
        </w:rPr>
        <w:t>且</w:t>
      </w:r>
      <w:r>
        <w:rPr>
          <w:rFonts w:hint="eastAsia" w:ascii="楷体" w:hAnsi="楷体" w:eastAsia="楷体"/>
          <w:sz w:val="21"/>
          <w:szCs w:val="21"/>
        </w:rPr>
        <w:t>不可分割的</w:t>
      </w:r>
      <w:r>
        <w:rPr>
          <w:rFonts w:hint="eastAsia" w:ascii="楷体" w:hAnsi="楷体" w:eastAsia="楷体"/>
          <w:sz w:val="21"/>
          <w:szCs w:val="21"/>
          <w:lang w:val="en-US" w:eastAsia="zh-CN"/>
        </w:rPr>
        <w:t>销售文件</w:t>
      </w:r>
      <w:r>
        <w:rPr>
          <w:rFonts w:hint="eastAsia" w:ascii="楷体" w:hAnsi="楷体" w:eastAsia="楷体"/>
          <w:sz w:val="21"/>
          <w:szCs w:val="21"/>
        </w:rPr>
        <w:t>。</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本理财产品涉及的主要风险包括政策风险、信用风险、市场风险、流动性风险、管理风险、操作风险、延期兑付风险、提前终止风险、信息传递风险、代销风险</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如有）</w:t>
      </w:r>
      <w:r>
        <w:rPr>
          <w:rFonts w:hint="eastAsia" w:ascii="楷体" w:hAnsi="楷体" w:eastAsia="楷体"/>
          <w:color w:val="auto"/>
          <w:sz w:val="21"/>
          <w:szCs w:val="21"/>
        </w:rPr>
        <w:t>、其他风险等。请仔细阅读《“</w:t>
      </w:r>
      <w:r>
        <w:rPr>
          <w:rFonts w:hint="eastAsia" w:ascii="楷体" w:hAnsi="楷体" w:eastAsia="楷体"/>
          <w:color w:val="auto"/>
          <w:sz w:val="21"/>
          <w:szCs w:val="21"/>
          <w:lang w:eastAsia="zh-CN"/>
        </w:rPr>
        <w:t>苏银理财恒源封闭债权213期优选2年</w:t>
      </w:r>
      <w:r>
        <w:rPr>
          <w:rFonts w:hint="eastAsia" w:ascii="楷体" w:hAnsi="楷体" w:eastAsia="楷体"/>
          <w:color w:val="auto"/>
          <w:sz w:val="21"/>
          <w:szCs w:val="21"/>
        </w:rPr>
        <w:t>”理财产品风险揭示书》的“风险揭示”部分。</w:t>
      </w:r>
    </w:p>
    <w:p>
      <w:pPr>
        <w:widowControl/>
        <w:numPr>
          <w:ilvl w:val="0"/>
          <w:numId w:val="5"/>
        </w:numPr>
        <w:ind w:left="420" w:leftChars="0" w:hanging="420" w:firstLineChars="0"/>
        <w:rPr>
          <w:rFonts w:ascii="楷体" w:hAnsi="楷体" w:eastAsia="楷体"/>
          <w:b/>
          <w:bCs/>
          <w:color w:val="auto"/>
          <w:sz w:val="21"/>
          <w:szCs w:val="21"/>
          <w:u w:val="single"/>
        </w:rPr>
      </w:pPr>
      <w:r>
        <w:rPr>
          <w:rFonts w:hint="eastAsia" w:ascii="楷体" w:hAnsi="楷体" w:eastAsia="楷体" w:cs="Times New Roman"/>
          <w:b/>
          <w:bCs/>
          <w:color w:val="auto"/>
          <w:spacing w:val="0"/>
          <w:szCs w:val="21"/>
          <w:highlight w:val="none"/>
          <w:u w:val="single"/>
        </w:rPr>
        <w:t>本产品</w:t>
      </w:r>
      <w:r>
        <w:rPr>
          <w:rFonts w:hint="eastAsia" w:ascii="楷体" w:hAnsi="楷体" w:eastAsia="楷体" w:cs="Times New Roman"/>
          <w:b/>
          <w:bCs/>
          <w:color w:val="auto"/>
          <w:spacing w:val="0"/>
          <w:szCs w:val="21"/>
          <w:highlight w:val="none"/>
          <w:u w:val="single"/>
          <w:lang w:val="en-US" w:eastAsia="zh-CN"/>
        </w:rPr>
        <w:t>可</w:t>
      </w:r>
      <w:r>
        <w:rPr>
          <w:rFonts w:hint="eastAsia" w:ascii="楷体" w:hAnsi="楷体" w:eastAsia="楷体" w:cs="Times New Roman"/>
          <w:b/>
          <w:bCs/>
          <w:color w:val="auto"/>
          <w:spacing w:val="0"/>
          <w:szCs w:val="21"/>
          <w:highlight w:val="none"/>
          <w:u w:val="single"/>
        </w:rPr>
        <w:t>设置多个份额，</w:t>
      </w:r>
      <w:r>
        <w:rPr>
          <w:rFonts w:hint="eastAsia" w:ascii="楷体" w:hAnsi="楷体" w:eastAsia="楷体" w:cs="Times New Roman"/>
          <w:b/>
          <w:bCs/>
          <w:color w:val="auto"/>
          <w:spacing w:val="0"/>
          <w:szCs w:val="21"/>
          <w:highlight w:val="none"/>
          <w:u w:val="single"/>
          <w:lang w:eastAsia="zh-CN"/>
        </w:rPr>
        <w:t>各份额</w:t>
      </w:r>
      <w:r>
        <w:rPr>
          <w:rFonts w:hint="eastAsia" w:ascii="楷体" w:hAnsi="楷体" w:eastAsia="楷体" w:cs="Times New Roman"/>
          <w:b/>
          <w:bCs/>
          <w:color w:val="auto"/>
          <w:spacing w:val="0"/>
          <w:sz w:val="21"/>
          <w:szCs w:val="21"/>
          <w:u w:val="single"/>
          <w:lang w:val="en-US" w:eastAsia="zh-CN"/>
        </w:rPr>
        <w:t>可能</w:t>
      </w:r>
      <w:r>
        <w:rPr>
          <w:rFonts w:hint="eastAsia" w:ascii="楷体" w:hAnsi="楷体" w:eastAsia="楷体" w:cs="Times New Roman"/>
          <w:b/>
          <w:bCs/>
          <w:color w:val="auto"/>
          <w:spacing w:val="0"/>
          <w:szCs w:val="21"/>
          <w:highlight w:val="none"/>
          <w:u w:val="single"/>
        </w:rPr>
        <w:t>设置</w:t>
      </w:r>
      <w:r>
        <w:rPr>
          <w:rFonts w:hint="eastAsia" w:ascii="楷体" w:hAnsi="楷体" w:eastAsia="楷体" w:cs="Times New Roman"/>
          <w:b/>
          <w:bCs/>
          <w:color w:val="auto"/>
          <w:spacing w:val="0"/>
          <w:sz w:val="21"/>
          <w:szCs w:val="21"/>
          <w:u w:val="single"/>
          <w:lang w:val="en-US" w:eastAsia="zh-CN"/>
        </w:rPr>
        <w:t>不同的</w:t>
      </w:r>
      <w:r>
        <w:rPr>
          <w:rFonts w:hint="eastAsia" w:ascii="楷体" w:hAnsi="楷体" w:eastAsia="楷体" w:cs="Times New Roman"/>
          <w:b/>
          <w:bCs/>
          <w:color w:val="auto"/>
          <w:spacing w:val="0"/>
          <w:szCs w:val="21"/>
          <w:highlight w:val="none"/>
          <w:u w:val="single"/>
        </w:rPr>
        <w:t>销售对象</w:t>
      </w:r>
      <w:r>
        <w:rPr>
          <w:rFonts w:hint="eastAsia" w:ascii="楷体" w:hAnsi="楷体" w:eastAsia="楷体" w:cs="Times New Roman"/>
          <w:b/>
          <w:bCs/>
          <w:color w:val="auto"/>
          <w:spacing w:val="0"/>
          <w:sz w:val="21"/>
          <w:szCs w:val="21"/>
          <w:u w:val="single"/>
          <w:lang w:eastAsia="zh-CN"/>
        </w:rPr>
        <w:t>、</w:t>
      </w:r>
      <w:r>
        <w:rPr>
          <w:rFonts w:hint="eastAsia" w:ascii="楷体" w:hAnsi="楷体" w:eastAsia="楷体" w:cs="Times New Roman"/>
          <w:b/>
          <w:bCs/>
          <w:color w:val="auto"/>
          <w:spacing w:val="0"/>
          <w:szCs w:val="21"/>
          <w:highlight w:val="none"/>
          <w:u w:val="single"/>
        </w:rPr>
        <w:t>销售起点</w:t>
      </w:r>
      <w:r>
        <w:rPr>
          <w:rFonts w:hint="eastAsia" w:ascii="楷体" w:hAnsi="楷体" w:eastAsia="楷体" w:cs="Times New Roman"/>
          <w:b/>
          <w:bCs/>
          <w:color w:val="auto"/>
          <w:spacing w:val="0"/>
          <w:sz w:val="21"/>
          <w:szCs w:val="21"/>
          <w:u w:val="single"/>
          <w:lang w:eastAsia="zh-CN"/>
        </w:rPr>
        <w:t>、</w:t>
      </w:r>
      <w:r>
        <w:rPr>
          <w:rFonts w:hint="eastAsia" w:ascii="楷体" w:hAnsi="楷体" w:eastAsia="楷体" w:cs="Times New Roman"/>
          <w:b/>
          <w:bCs/>
          <w:color w:val="auto"/>
          <w:spacing w:val="0"/>
          <w:sz w:val="21"/>
          <w:szCs w:val="21"/>
          <w:u w:val="single"/>
          <w:lang w:val="en-US" w:eastAsia="zh-CN"/>
        </w:rPr>
        <w:t>业绩比较基准等</w:t>
      </w:r>
      <w:r>
        <w:rPr>
          <w:rFonts w:hint="eastAsia" w:ascii="楷体" w:hAnsi="楷体" w:eastAsia="楷体" w:cs="Times New Roman"/>
          <w:b/>
          <w:bCs/>
          <w:color w:val="auto"/>
          <w:spacing w:val="0"/>
          <w:szCs w:val="21"/>
          <w:highlight w:val="none"/>
          <w:u w:val="single"/>
        </w:rPr>
        <w:t>，</w:t>
      </w:r>
      <w:r>
        <w:rPr>
          <w:rFonts w:hint="eastAsia" w:ascii="楷体" w:hAnsi="楷体" w:eastAsia="楷体" w:cs="Times New Roman"/>
          <w:b/>
          <w:bCs/>
          <w:color w:val="auto"/>
          <w:spacing w:val="0"/>
          <w:szCs w:val="21"/>
          <w:highlight w:val="none"/>
          <w:u w:val="single"/>
          <w:lang w:eastAsia="zh-CN"/>
        </w:rPr>
        <w:t>各份额</w:t>
      </w:r>
      <w:r>
        <w:rPr>
          <w:rFonts w:hint="eastAsia" w:ascii="楷体" w:hAnsi="楷体" w:eastAsia="楷体" w:cs="Times New Roman"/>
          <w:b/>
          <w:bCs/>
          <w:color w:val="auto"/>
          <w:spacing w:val="0"/>
          <w:szCs w:val="21"/>
          <w:highlight w:val="none"/>
          <w:u w:val="single"/>
        </w:rPr>
        <w:t>实际收取的销售服务费率、投资管理费率</w:t>
      </w:r>
      <w:r>
        <w:rPr>
          <w:rFonts w:hint="eastAsia" w:ascii="楷体" w:hAnsi="楷体" w:eastAsia="楷体" w:cs="Times New Roman"/>
          <w:b/>
          <w:bCs/>
          <w:color w:val="auto"/>
          <w:spacing w:val="0"/>
          <w:szCs w:val="21"/>
          <w:highlight w:val="none"/>
          <w:u w:val="single"/>
          <w:lang w:eastAsia="zh-CN"/>
        </w:rPr>
        <w:t>、</w:t>
      </w:r>
      <w:r>
        <w:rPr>
          <w:rFonts w:hint="eastAsia" w:ascii="楷体" w:hAnsi="楷体" w:eastAsia="楷体" w:cs="Times New Roman"/>
          <w:b/>
          <w:bCs/>
          <w:color w:val="auto"/>
          <w:spacing w:val="0"/>
          <w:szCs w:val="21"/>
          <w:highlight w:val="none"/>
          <w:u w:val="single"/>
          <w:lang w:val="en-US" w:eastAsia="zh-CN"/>
        </w:rPr>
        <w:t>超额业绩报酬</w:t>
      </w:r>
      <w:r>
        <w:rPr>
          <w:rFonts w:hint="eastAsia" w:ascii="楷体" w:hAnsi="楷体" w:eastAsia="楷体" w:cs="Times New Roman"/>
          <w:b/>
          <w:bCs/>
          <w:color w:val="auto"/>
          <w:spacing w:val="0"/>
          <w:sz w:val="21"/>
          <w:szCs w:val="21"/>
          <w:u w:val="single"/>
          <w:lang w:val="en-US" w:eastAsia="zh-CN"/>
        </w:rPr>
        <w:t>等可能</w:t>
      </w:r>
      <w:r>
        <w:rPr>
          <w:rFonts w:hint="eastAsia" w:ascii="楷体" w:hAnsi="楷体" w:eastAsia="楷体" w:cs="Times New Roman"/>
          <w:b/>
          <w:bCs/>
          <w:color w:val="auto"/>
          <w:spacing w:val="0"/>
          <w:szCs w:val="21"/>
          <w:highlight w:val="none"/>
          <w:u w:val="single"/>
        </w:rPr>
        <w:t>存在差异，</w:t>
      </w:r>
      <w:r>
        <w:rPr>
          <w:rFonts w:hint="eastAsia" w:ascii="楷体" w:hAnsi="楷体" w:eastAsia="楷体"/>
          <w:b/>
          <w:bCs/>
          <w:color w:val="auto"/>
          <w:szCs w:val="21"/>
          <w:u w:val="single"/>
        </w:rPr>
        <w:t>投资者应</w:t>
      </w:r>
      <w:r>
        <w:rPr>
          <w:rFonts w:hint="eastAsia" w:ascii="楷体" w:hAnsi="楷体" w:eastAsia="楷体"/>
          <w:b/>
          <w:bCs/>
          <w:color w:val="auto"/>
          <w:szCs w:val="21"/>
          <w:u w:val="single"/>
          <w:lang w:val="en-US" w:eastAsia="zh-CN"/>
        </w:rPr>
        <w:t>根据实际情况</w:t>
      </w:r>
      <w:r>
        <w:rPr>
          <w:rFonts w:hint="eastAsia" w:ascii="楷体" w:hAnsi="楷体" w:eastAsia="楷体"/>
          <w:b/>
          <w:bCs/>
          <w:color w:val="auto"/>
          <w:szCs w:val="21"/>
          <w:u w:val="single"/>
        </w:rPr>
        <w:t>自主选择购买</w:t>
      </w:r>
      <w:r>
        <w:rPr>
          <w:rFonts w:hint="eastAsia" w:ascii="楷体" w:hAnsi="楷体" w:eastAsia="楷体" w:cs="Times New Roman"/>
          <w:b/>
          <w:bCs/>
          <w:color w:val="auto"/>
          <w:spacing w:val="0"/>
          <w:szCs w:val="21"/>
          <w:highlight w:val="none"/>
          <w:u w:val="single"/>
        </w:rPr>
        <w:t>。</w:t>
      </w:r>
    </w:p>
    <w:p>
      <w:pPr>
        <w:numPr>
          <w:ilvl w:val="0"/>
          <w:numId w:val="5"/>
        </w:numPr>
        <w:ind w:left="420" w:leftChars="0" w:hanging="420" w:firstLineChars="0"/>
        <w:rPr>
          <w:rFonts w:hint="eastAsia" w:ascii="楷体" w:hAnsi="楷体" w:eastAsia="楷体"/>
          <w:color w:val="auto"/>
          <w:sz w:val="21"/>
          <w:szCs w:val="21"/>
        </w:rPr>
      </w:pPr>
      <w:r>
        <w:rPr>
          <w:rFonts w:hint="eastAsia" w:ascii="楷体" w:hAnsi="楷体" w:eastAsia="楷体"/>
          <w:b/>
          <w:color w:val="auto"/>
          <w:sz w:val="21"/>
          <w:szCs w:val="21"/>
          <w:u w:val="single"/>
        </w:rPr>
        <w:t>投资者不得使用贷款、发行债券等筹集的非自有资金投资本理财产品。</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在本产品存续期内，如因监管政策或法律法规发生变化，在不损害投资者利益的前提下，苏银理财有权单方对本产品条款进行修订，</w:t>
      </w:r>
      <w:r>
        <w:rPr>
          <w:rFonts w:hint="eastAsia" w:ascii="楷体" w:hAnsi="楷体" w:eastAsia="楷体"/>
          <w:color w:val="auto"/>
          <w:sz w:val="21"/>
          <w:szCs w:val="21"/>
          <w:highlight w:val="none"/>
        </w:rPr>
        <w:t>并按本理财产品说</w:t>
      </w:r>
      <w:r>
        <w:rPr>
          <w:rFonts w:hint="eastAsia" w:ascii="楷体" w:hAnsi="楷体" w:eastAsia="楷体"/>
          <w:color w:val="auto"/>
          <w:sz w:val="21"/>
          <w:szCs w:val="21"/>
        </w:rPr>
        <w:t>明书约定的信息披露方式予以披露。</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产品要素</w:t>
      </w:r>
    </w:p>
    <w:p>
      <w:pPr>
        <w:ind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为保护投资者合法权益，尊重投资者的知情权和自主选择权，现将本理财产品的基本要素说明如下：</w:t>
      </w:r>
    </w:p>
    <w:tbl>
      <w:tblPr>
        <w:tblStyle w:val="1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58"/>
        <w:gridCol w:w="7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1"/>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产品名称</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lang w:eastAsia="zh-CN"/>
              </w:rPr>
              <w:t>苏银理财恒源封闭债权213期优选2年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理财产品</w:t>
            </w:r>
          </w:p>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登记编码</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Z7003125000121，</w:t>
            </w:r>
            <w:r>
              <w:rPr>
                <w:rFonts w:hint="eastAsia" w:ascii="楷体" w:hAnsi="楷体" w:eastAsia="楷体" w:cs="宋体"/>
                <w:color w:val="auto"/>
                <w:spacing w:val="-2"/>
                <w:sz w:val="18"/>
                <w:szCs w:val="18"/>
              </w:rPr>
              <w:t>投资者可依据该编码在中国理财网</w:t>
            </w:r>
            <w:r>
              <w:rPr>
                <w:rFonts w:ascii="楷体" w:hAnsi="楷体" w:eastAsia="楷体" w:cs="宋体"/>
                <w:color w:val="auto"/>
                <w:spacing w:val="-2"/>
                <w:sz w:val="18"/>
                <w:szCs w:val="18"/>
              </w:rPr>
              <w:fldChar w:fldCharType="begin"/>
            </w:r>
            <w:r>
              <w:rPr>
                <w:rFonts w:ascii="楷体" w:hAnsi="楷体" w:eastAsia="楷体" w:cs="宋体"/>
                <w:color w:val="auto"/>
                <w:spacing w:val="-2"/>
                <w:sz w:val="18"/>
                <w:szCs w:val="18"/>
              </w:rPr>
              <w:instrText xml:space="preserve"> HYPERLINK "http://www.chinawealth.com.cn/" </w:instrText>
            </w:r>
            <w:r>
              <w:rPr>
                <w:rFonts w:ascii="楷体" w:hAnsi="楷体" w:eastAsia="楷体" w:cs="宋体"/>
                <w:color w:val="auto"/>
                <w:spacing w:val="-2"/>
                <w:sz w:val="18"/>
                <w:szCs w:val="18"/>
              </w:rPr>
              <w:fldChar w:fldCharType="separate"/>
            </w:r>
            <w:r>
              <w:rPr>
                <w:rFonts w:ascii="楷体" w:hAnsi="楷体" w:eastAsia="楷体" w:cs="宋体"/>
                <w:color w:val="auto"/>
                <w:spacing w:val="-2"/>
                <w:sz w:val="18"/>
                <w:szCs w:val="18"/>
              </w:rPr>
              <w:t>www.chinawealth.com.cn</w:t>
            </w:r>
            <w:r>
              <w:rPr>
                <w:rFonts w:ascii="楷体" w:hAnsi="楷体" w:eastAsia="楷体" w:cs="宋体"/>
                <w:color w:val="auto"/>
                <w:spacing w:val="-2"/>
                <w:sz w:val="18"/>
                <w:szCs w:val="18"/>
              </w:rPr>
              <w:fldChar w:fldCharType="end"/>
            </w:r>
            <w:r>
              <w:rPr>
                <w:rFonts w:hint="eastAsia" w:ascii="楷体" w:hAnsi="楷体" w:eastAsia="楷体" w:cs="宋体"/>
                <w:color w:val="auto"/>
                <w:spacing w:val="-2"/>
                <w:sz w:val="18"/>
                <w:szCs w:val="18"/>
              </w:rPr>
              <w:t>查询产品信息</w:t>
            </w:r>
            <w:r>
              <w:rPr>
                <w:rFonts w:hint="eastAsia" w:ascii="楷体" w:hAnsi="楷体" w:eastAsia="楷体" w:cs="宋体"/>
                <w:color w:val="auto"/>
                <w:spacing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6"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销售简称/</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销售代码</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A份额：苏银理财恒源封闭债权213期优选2年A/J04899</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B份额：苏银理财恒源封闭债权213期优选2年B/J04900</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C份额：苏银理财恒源封闭债权213期优选2年C/J04901</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D份额：苏银理财恒源封闭债权213期优选2年D/J04902</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E份额：苏银理财恒源封闭债权213期优选2年E/J04903</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F份额：苏银理财恒源封闭债权213期优选2年F/J04904</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G份额：苏银理财恒源封闭债权213期优选2年G/J04905</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H份额：苏银理财恒源封闭债权213期优选2年H/J04906</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I份额：苏银理财恒源封闭债权213期优选2年I/J04907</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J份额：苏银理财恒源封闭债权213期优选2年J/J04908</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Z份额：苏银理财恒源封闭债权213期优选2年Z/J04909</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NB份额：苏银理财恒源封闭债权213期优选2年NB（宁波分行）/J04910</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AJS份额：苏银理财恒源封闭债权213期优选2年AJS鑫福款/J04911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产品类型</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lang w:val="en-US" w:eastAsia="zh-CN"/>
              </w:rPr>
            </w:pPr>
            <w:r>
              <w:rPr>
                <w:rFonts w:hint="eastAsia" w:ascii="楷体" w:hAnsi="楷体" w:eastAsia="楷体" w:cs="宋体"/>
                <w:b/>
                <w:color w:val="auto"/>
                <w:spacing w:val="-2"/>
                <w:sz w:val="18"/>
                <w:szCs w:val="18"/>
                <w:u w:val="single"/>
              </w:rPr>
              <w:t>固定收益类、公募、封闭式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产品内部</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风险评级</w:t>
            </w:r>
          </w:p>
        </w:tc>
        <w:tc>
          <w:tcPr>
            <w:tcW w:w="7986" w:type="dxa"/>
            <w:vAlign w:val="center"/>
          </w:tcPr>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498"/>
              <w:gridCol w:w="204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keepNext w:val="0"/>
              <w:keepLines w:val="0"/>
              <w:pageBreakBefore w:val="0"/>
              <w:kinsoku/>
              <w:wordWrap/>
              <w:overflowPunct/>
              <w:topLinePunct w:val="0"/>
              <w:bidi w:val="0"/>
              <w:snapToGrid w:val="0"/>
              <w:spacing w:line="240" w:lineRule="auto"/>
              <w:ind w:left="57" w:leftChars="0" w:right="57" w:rightChars="0" w:firstLine="0" w:firstLineChars="0"/>
              <w:jc w:val="both"/>
              <w:textAlignment w:val="auto"/>
              <w:rPr>
                <w:rFonts w:hint="eastAsia" w:ascii="楷体" w:hAnsi="楷体" w:eastAsia="楷体" w:cs="宋体"/>
                <w:b/>
                <w:color w:val="auto"/>
                <w:spacing w:val="-2"/>
                <w:sz w:val="18"/>
                <w:szCs w:val="18"/>
                <w:u w:val="single"/>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销售对象</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面向个人和机构投资者销售。</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其中C份额销售机构江苏银行仅限新资金客户、新客户及代发工资客户，具体以销售机构系统设置为准。新资金的达标条件为“客户前一日资产时点余额”较“前一月末资产月日均余额”的新增额大于5万元；新客户是指首次购买苏银理财理财产品的客户；</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kern w:val="0"/>
                <w:sz w:val="18"/>
                <w:szCs w:val="18"/>
                <w:highlight w:val="none"/>
                <w:lang w:val="en-US" w:eastAsia="zh-CN" w:bidi="ar-SA"/>
              </w:rPr>
              <w:t>E份额销售机构江苏银行仅限财富客户、私行客户、企业高管客户，江苏银行财富客户指在江苏银行日均资产大于等于200万元的个人客户，江苏银行私行客户指在江苏银行日均资产大于等于600万元的个人客户，企业高管客户是指与江苏银行有业务来往的企业的高管客户；机构投资者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4"/>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募集币种</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份额面值</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highlight w:val="none"/>
              </w:rPr>
              <w:t>计划发行规模</w:t>
            </w:r>
          </w:p>
        </w:tc>
        <w:tc>
          <w:tcPr>
            <w:tcW w:w="7986" w:type="dxa"/>
            <w:vAlign w:val="center"/>
          </w:tcPr>
          <w:p>
            <w:pPr>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val="0"/>
                <w:color w:val="auto"/>
                <w:spacing w:val="-2"/>
                <w:kern w:val="0"/>
                <w:sz w:val="18"/>
                <w:szCs w:val="18"/>
                <w:u w:val="none"/>
              </w:rPr>
            </w:pPr>
            <w:r>
              <w:rPr>
                <w:rFonts w:hint="eastAsia" w:ascii="楷体" w:hAnsi="楷体" w:eastAsia="楷体" w:cs="宋体"/>
                <w:color w:val="auto"/>
                <w:spacing w:val="-2"/>
                <w:kern w:val="0"/>
                <w:sz w:val="18"/>
                <w:szCs w:val="18"/>
                <w:highlight w:val="none"/>
                <w:lang w:val="en-US" w:eastAsia="zh-CN"/>
              </w:rPr>
              <w:t>本产品计划发行规模为10</w:t>
            </w:r>
            <w:r>
              <w:rPr>
                <w:rFonts w:hint="eastAsia" w:ascii="楷体" w:hAnsi="楷体" w:eastAsia="楷体" w:cs="宋体"/>
                <w:color w:val="auto"/>
                <w:spacing w:val="-2"/>
                <w:kern w:val="0"/>
                <w:sz w:val="18"/>
                <w:szCs w:val="18"/>
                <w:highlight w:val="none"/>
              </w:rPr>
              <w:t>亿</w:t>
            </w:r>
            <w:r>
              <w:rPr>
                <w:rFonts w:hint="eastAsia" w:ascii="楷体" w:hAnsi="楷体" w:eastAsia="楷体" w:cs="宋体"/>
                <w:color w:val="auto"/>
                <w:spacing w:val="-2"/>
                <w:kern w:val="0"/>
                <w:sz w:val="18"/>
                <w:szCs w:val="18"/>
                <w:highlight w:val="none"/>
                <w:lang w:val="en-US" w:eastAsia="zh-CN"/>
              </w:rPr>
              <w:t>元，</w:t>
            </w:r>
            <w:r>
              <w:rPr>
                <w:rFonts w:hint="eastAsia" w:ascii="楷体" w:hAnsi="楷体" w:eastAsia="楷体" w:cs="宋体"/>
                <w:color w:val="auto"/>
                <w:spacing w:val="-2"/>
                <w:kern w:val="0"/>
                <w:sz w:val="18"/>
                <w:szCs w:val="18"/>
                <w:highlight w:val="none"/>
              </w:rPr>
              <w:t>管理人有权</w:t>
            </w:r>
            <w:r>
              <w:rPr>
                <w:rFonts w:hint="eastAsia" w:ascii="楷体" w:hAnsi="楷体" w:eastAsia="楷体" w:cs="宋体"/>
                <w:color w:val="auto"/>
                <w:spacing w:val="-2"/>
                <w:kern w:val="0"/>
                <w:sz w:val="18"/>
                <w:szCs w:val="18"/>
                <w:highlight w:val="none"/>
                <w:lang w:val="en-US" w:eastAsia="zh-CN"/>
              </w:rPr>
              <w:t>根据实际需要</w:t>
            </w:r>
            <w:r>
              <w:rPr>
                <w:rFonts w:hint="eastAsia" w:ascii="楷体" w:hAnsi="楷体" w:eastAsia="楷体" w:cs="宋体"/>
                <w:color w:val="auto"/>
                <w:spacing w:val="-2"/>
                <w:kern w:val="0"/>
                <w:sz w:val="18"/>
                <w:szCs w:val="18"/>
                <w:highlight w:val="none"/>
              </w:rPr>
              <w:t>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lang w:val="en-US" w:eastAsia="zh-CN"/>
              </w:rPr>
            </w:pPr>
            <w:r>
              <w:rPr>
                <w:rFonts w:hint="eastAsia" w:ascii="楷体" w:hAnsi="楷体" w:eastAsia="楷体" w:cs="宋体"/>
                <w:b/>
                <w:color w:val="auto"/>
                <w:spacing w:val="-2"/>
                <w:sz w:val="18"/>
                <w:szCs w:val="18"/>
                <w:highlight w:val="none"/>
                <w:lang w:val="en-US" w:eastAsia="zh-CN"/>
              </w:rPr>
              <w:t>最低发行规模</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highlight w:val="none"/>
                <w:lang w:val="en-US" w:eastAsia="zh-CN"/>
              </w:rPr>
              <w:t>本产品最低发行规模为</w:t>
            </w:r>
            <w:r>
              <w:rPr>
                <w:rFonts w:hint="eastAsia" w:ascii="楷体" w:hAnsi="楷体" w:eastAsia="楷体" w:cs="宋体"/>
                <w:color w:val="auto"/>
                <w:spacing w:val="-2"/>
                <w:sz w:val="18"/>
                <w:szCs w:val="18"/>
                <w:lang w:val="en-US" w:eastAsia="zh-CN"/>
              </w:rPr>
              <w:t>3000万元，</w:t>
            </w:r>
            <w:r>
              <w:rPr>
                <w:rFonts w:hint="eastAsia" w:ascii="楷体" w:hAnsi="楷体" w:eastAsia="楷体" w:cs="宋体"/>
                <w:color w:val="auto"/>
                <w:spacing w:val="-2"/>
                <w:sz w:val="18"/>
                <w:szCs w:val="18"/>
                <w:highlight w:val="none"/>
              </w:rPr>
              <w:t>管理人有权</w:t>
            </w:r>
            <w:r>
              <w:rPr>
                <w:rFonts w:hint="eastAsia" w:ascii="楷体" w:hAnsi="楷体" w:eastAsia="楷体" w:cs="宋体"/>
                <w:color w:val="auto"/>
                <w:spacing w:val="-2"/>
                <w:sz w:val="18"/>
                <w:szCs w:val="18"/>
                <w:highlight w:val="none"/>
                <w:lang w:val="en-US" w:eastAsia="zh-CN"/>
              </w:rPr>
              <w:t>根据实际需要</w:t>
            </w:r>
            <w:r>
              <w:rPr>
                <w:rFonts w:hint="eastAsia" w:ascii="楷体" w:hAnsi="楷体" w:eastAsia="楷体" w:cs="宋体"/>
                <w:color w:val="auto"/>
                <w:spacing w:val="-2"/>
                <w:sz w:val="18"/>
                <w:szCs w:val="18"/>
                <w:highlight w:val="none"/>
              </w:rPr>
              <w:t>调整</w:t>
            </w:r>
            <w:r>
              <w:rPr>
                <w:rFonts w:hint="eastAsia" w:ascii="楷体" w:hAnsi="楷体" w:eastAsia="楷体" w:cs="宋体"/>
                <w:color w:val="auto"/>
                <w:spacing w:val="-2"/>
                <w:sz w:val="18"/>
                <w:szCs w:val="18"/>
                <w:highlight w:val="none"/>
                <w:lang w:val="en-US" w:eastAsia="zh-CN"/>
              </w:rPr>
              <w:t>最低</w:t>
            </w:r>
            <w:r>
              <w:rPr>
                <w:rFonts w:hint="eastAsia" w:ascii="楷体" w:hAnsi="楷体" w:eastAsia="楷体" w:cs="宋体"/>
                <w:color w:val="auto"/>
                <w:spacing w:val="-2"/>
                <w:sz w:val="18"/>
                <w:szCs w:val="18"/>
                <w:highlight w:val="none"/>
              </w:rPr>
              <w:t>发行规模。</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rPr>
              <w:t>若产品认购</w:t>
            </w:r>
            <w:r>
              <w:rPr>
                <w:rFonts w:hint="eastAsia" w:ascii="楷体" w:hAnsi="楷体" w:eastAsia="楷体" w:cs="宋体"/>
                <w:color w:val="auto"/>
                <w:spacing w:val="-2"/>
                <w:sz w:val="18"/>
                <w:szCs w:val="18"/>
                <w:lang w:val="en-US" w:eastAsia="zh-CN"/>
              </w:rPr>
              <w:t>规模</w:t>
            </w:r>
            <w:r>
              <w:rPr>
                <w:rFonts w:hint="eastAsia" w:ascii="楷体" w:hAnsi="楷体" w:eastAsia="楷体" w:cs="宋体"/>
                <w:color w:val="auto"/>
                <w:spacing w:val="-2"/>
                <w:sz w:val="18"/>
                <w:szCs w:val="18"/>
              </w:rPr>
              <w:t>未达到最低发行规模，或新的法律、法规导致本产品无法合法合规运行，或出现其他导致影响产品成立不可抗力因素，产品管理人有权利但无义务宣布产品不成立，并于产品</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结束后5个工作日内将投资者认购资金返还至投资者资金账户。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lang w:val="en-US" w:eastAsia="zh-CN"/>
              </w:rPr>
              <w:t>购买</w:t>
            </w:r>
            <w:r>
              <w:rPr>
                <w:rFonts w:hint="eastAsia" w:ascii="楷体" w:hAnsi="楷体" w:eastAsia="楷体" w:cs="宋体"/>
                <w:b/>
                <w:color w:val="auto"/>
                <w:spacing w:val="-2"/>
                <w:sz w:val="18"/>
                <w:szCs w:val="18"/>
              </w:rPr>
              <w:t>起点</w:t>
            </w:r>
            <w:r>
              <w:rPr>
                <w:rFonts w:ascii="楷体" w:hAnsi="楷体" w:eastAsia="楷体" w:cs="宋体"/>
                <w:b/>
                <w:color w:val="auto"/>
                <w:spacing w:val="-2"/>
                <w:sz w:val="18"/>
                <w:szCs w:val="18"/>
              </w:rPr>
              <w:t>/</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追加金额</w:t>
            </w:r>
          </w:p>
        </w:tc>
        <w:tc>
          <w:tcPr>
            <w:tcW w:w="7986"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A/B/D/F/G/H/I/J/Z/NB/AJS份额购买起点金额为1元，追加金额为1元的整数倍；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C份额购买起点金额为10,000元，追加金额为10,000元的整数倍；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E份额购买起点金额为300,000元，追加金额为10,000元的整数倍；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各份额具体认购起点和追加金额以销售机构设置为准。</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highlight w:val="none"/>
              </w:rPr>
            </w:pPr>
            <w:r>
              <w:rPr>
                <w:rFonts w:hint="eastAsia" w:ascii="楷体" w:hAnsi="楷体" w:eastAsia="楷体" w:cs="宋体"/>
                <w:b/>
                <w:bCs/>
                <w:color w:val="auto"/>
                <w:spacing w:val="-2"/>
                <w:sz w:val="18"/>
                <w:szCs w:val="18"/>
                <w:lang w:val="en-US" w:eastAsia="zh-CN"/>
              </w:rPr>
              <w:t>销售机构实际受理情况可能与产品说明书不一致，具体以销售机构设置为准。</w:t>
            </w:r>
            <w:r>
              <w:rPr>
                <w:rFonts w:hint="eastAsia" w:ascii="楷体" w:hAnsi="楷体" w:eastAsia="楷体"/>
                <w:color w:val="auto"/>
                <w:sz w:val="18"/>
                <w:szCs w:val="18"/>
              </w:rPr>
              <w:t>认购方式及确认和认购份额的计算详见下文“</w:t>
            </w:r>
            <w:r>
              <w:rPr>
                <w:rFonts w:hint="eastAsia" w:ascii="楷体" w:hAnsi="楷体" w:eastAsia="楷体"/>
                <w:color w:val="auto"/>
                <w:sz w:val="18"/>
                <w:szCs w:val="18"/>
                <w:lang w:val="en-US" w:eastAsia="zh-CN"/>
              </w:rPr>
              <w:t>七</w:t>
            </w:r>
            <w:r>
              <w:rPr>
                <w:rFonts w:hint="eastAsia" w:ascii="楷体" w:hAnsi="楷体" w:eastAsia="楷体"/>
                <w:color w:val="auto"/>
                <w:sz w:val="18"/>
                <w:szCs w:val="18"/>
              </w:rPr>
              <w:t>、产品认购”。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lang w:val="en-US" w:eastAsia="zh-CN"/>
              </w:rPr>
              <w:t>募集期</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6</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26</w:t>
            </w:r>
            <w:r>
              <w:rPr>
                <w:rFonts w:hint="eastAsia" w:ascii="楷体" w:hAnsi="楷体" w:eastAsia="楷体" w:cs="宋体"/>
                <w:color w:val="auto"/>
                <w:spacing w:val="-2"/>
                <w:sz w:val="18"/>
                <w:szCs w:val="18"/>
              </w:rPr>
              <w:t>日至202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2</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lang w:val="en-US" w:eastAsia="zh-CN"/>
              </w:rPr>
              <w:t>募集期内</w:t>
            </w:r>
            <w:r>
              <w:rPr>
                <w:rFonts w:hint="eastAsia" w:ascii="楷体" w:hAnsi="楷体" w:eastAsia="楷体" w:cs="宋体"/>
                <w:color w:val="auto"/>
                <w:spacing w:val="-2"/>
                <w:sz w:val="18"/>
                <w:szCs w:val="18"/>
              </w:rPr>
              <w:t>，投资者可于</w:t>
            </w:r>
            <w:r>
              <w:rPr>
                <w:rFonts w:hint="eastAsia" w:ascii="楷体" w:hAnsi="楷体" w:eastAsia="楷体" w:cs="宋体"/>
                <w:color w:val="auto"/>
                <w:spacing w:val="-2"/>
                <w:sz w:val="18"/>
                <w:szCs w:val="18"/>
                <w:lang w:val="en-US" w:eastAsia="zh-CN"/>
              </w:rPr>
              <w:t>募集期结束日交易闭市</w:t>
            </w:r>
            <w:r>
              <w:rPr>
                <w:rFonts w:hint="eastAsia" w:ascii="楷体" w:hAnsi="楷体" w:eastAsia="楷体" w:cs="宋体"/>
                <w:color w:val="auto"/>
                <w:spacing w:val="-2"/>
                <w:sz w:val="18"/>
                <w:szCs w:val="18"/>
              </w:rPr>
              <w:t>前撤销认购申请，该时点后不得撤销</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交易闭市具体以销售机构设置为准。</w:t>
            </w:r>
            <w:r>
              <w:rPr>
                <w:rFonts w:hint="eastAsia" w:ascii="楷体" w:hAnsi="楷体" w:eastAsia="楷体" w:cs="宋体"/>
                <w:color w:val="auto"/>
                <w:spacing w:val="-2"/>
                <w:sz w:val="18"/>
                <w:szCs w:val="18"/>
              </w:rPr>
              <w:t>管理人在法律允许的范围内保留延长</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或</w:t>
            </w:r>
            <w:r>
              <w:rPr>
                <w:rFonts w:hint="eastAsia" w:ascii="楷体" w:hAnsi="楷体" w:eastAsia="楷体" w:cs="宋体"/>
                <w:color w:val="auto"/>
                <w:spacing w:val="-2"/>
                <w:sz w:val="18"/>
                <w:szCs w:val="18"/>
                <w:lang w:val="en-US" w:eastAsia="zh-CN"/>
              </w:rPr>
              <w:t>缩短募集期的</w:t>
            </w:r>
            <w:r>
              <w:rPr>
                <w:rFonts w:hint="eastAsia" w:ascii="楷体" w:hAnsi="楷体" w:eastAsia="楷体" w:cs="宋体"/>
                <w:color w:val="auto"/>
                <w:spacing w:val="-2"/>
                <w:sz w:val="18"/>
                <w:szCs w:val="18"/>
              </w:rPr>
              <w:t>权利。如有变动，实际产品</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产品成立日/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份额登记日</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2025年7月3日，如管理人调整募集期，则产品成立日/份额登记日将相应调整，以管理人公告为准。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w:t>
            </w:r>
            <w:r>
              <w:rPr>
                <w:rFonts w:hint="eastAsia" w:ascii="楷体" w:hAnsi="楷体" w:eastAsia="楷体" w:cs="宋体"/>
                <w:b/>
                <w:color w:val="auto"/>
                <w:spacing w:val="-2"/>
                <w:sz w:val="18"/>
                <w:szCs w:val="18"/>
                <w:lang w:val="en-US" w:eastAsia="zh-CN"/>
              </w:rPr>
              <w:t>终止日/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到期日</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8</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25</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如遇节假日，顺延至下一工作日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在符合产品说明书约定的条件下，管理人有权</w:t>
            </w:r>
            <w:r>
              <w:rPr>
                <w:rFonts w:hint="eastAsia" w:ascii="楷体" w:hAnsi="楷体" w:eastAsia="楷体" w:cs="宋体"/>
                <w:color w:val="auto"/>
                <w:spacing w:val="-2"/>
                <w:sz w:val="18"/>
                <w:szCs w:val="18"/>
                <w:lang w:val="en-US" w:eastAsia="zh-CN"/>
              </w:rPr>
              <w:t>调整产品到期日</w:t>
            </w:r>
            <w:r>
              <w:rPr>
                <w:rFonts w:hint="eastAsia" w:ascii="楷体" w:hAnsi="楷体" w:eastAsia="楷体" w:cs="宋体"/>
                <w:color w:val="auto"/>
                <w:spacing w:val="-2"/>
                <w:sz w:val="18"/>
                <w:szCs w:val="18"/>
              </w:rPr>
              <w:t>，产品到期日受制于提前终止</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延期终止</w:t>
            </w:r>
            <w:r>
              <w:rPr>
                <w:rFonts w:hint="eastAsia" w:ascii="楷体" w:hAnsi="楷体" w:eastAsia="楷体" w:cs="宋体"/>
                <w:color w:val="auto"/>
                <w:spacing w:val="-2"/>
                <w:sz w:val="18"/>
                <w:szCs w:val="18"/>
              </w:rPr>
              <w:t>条款。详见下文“</w:t>
            </w:r>
            <w:r>
              <w:rPr>
                <w:rFonts w:hint="eastAsia" w:ascii="楷体" w:hAnsi="楷体" w:eastAsia="楷体" w:cs="宋体"/>
                <w:color w:val="auto"/>
                <w:spacing w:val="-2"/>
                <w:sz w:val="18"/>
                <w:szCs w:val="18"/>
                <w:lang w:val="en-US" w:eastAsia="zh-CN"/>
              </w:rPr>
              <w:t>八</w:t>
            </w:r>
            <w:r>
              <w:rPr>
                <w:rFonts w:hint="eastAsia" w:ascii="楷体" w:hAnsi="楷体" w:eastAsia="楷体" w:cs="宋体"/>
                <w:color w:val="auto"/>
                <w:spacing w:val="-2"/>
                <w:sz w:val="18"/>
                <w:szCs w:val="18"/>
              </w:rPr>
              <w:t>、产品终止”。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产品存续期限</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783</w:t>
            </w:r>
            <w:r>
              <w:rPr>
                <w:rFonts w:hint="eastAsia" w:ascii="楷体" w:hAnsi="楷体" w:eastAsia="楷体" w:cs="宋体"/>
                <w:color w:val="auto"/>
                <w:spacing w:val="-2"/>
                <w:sz w:val="18"/>
                <w:szCs w:val="18"/>
              </w:rPr>
              <w:t>天（以理财产品实际存续天数为准）</w:t>
            </w:r>
            <w:r>
              <w:rPr>
                <w:rFonts w:hint="eastAsia" w:ascii="楷体" w:hAnsi="楷体" w:eastAsia="楷体" w:cs="宋体"/>
                <w:color w:val="auto"/>
                <w:spacing w:val="-2"/>
                <w:sz w:val="18"/>
                <w:szCs w:val="18"/>
                <w:lang w:eastAsia="zh-CN"/>
              </w:rPr>
              <w:t>。</w:t>
            </w:r>
            <w:r>
              <w:rPr>
                <w:rFonts w:hint="eastAsia" w:ascii="楷体" w:hAnsi="楷体" w:eastAsia="楷体" w:cs="宋体"/>
                <w:b/>
                <w:bCs/>
                <w:color w:val="auto"/>
                <w:spacing w:val="-2"/>
                <w:sz w:val="18"/>
                <w:szCs w:val="18"/>
                <w:u w:val="single"/>
                <w:lang w:eastAsia="zh-CN"/>
              </w:rPr>
              <w:t>本产品运行期间，不开放申购、赎回。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spacing w:val="-2"/>
                <w:sz w:val="18"/>
                <w:szCs w:val="18"/>
                <w:highlight w:val="none"/>
              </w:rPr>
              <w:t>单个</w:t>
            </w:r>
            <w:r>
              <w:rPr>
                <w:rFonts w:hint="eastAsia" w:ascii="楷体" w:hAnsi="楷体" w:eastAsia="楷体" w:cs="宋体"/>
                <w:b/>
                <w:spacing w:val="-2"/>
                <w:sz w:val="18"/>
                <w:szCs w:val="18"/>
                <w:highlight w:val="none"/>
                <w:lang w:val="en-US" w:eastAsia="zh-CN"/>
              </w:rPr>
              <w:t>投资者</w:t>
            </w:r>
            <w:r>
              <w:rPr>
                <w:rFonts w:hint="eastAsia" w:ascii="楷体" w:hAnsi="楷体" w:eastAsia="楷体" w:cs="宋体"/>
                <w:b/>
                <w:spacing w:val="-2"/>
                <w:sz w:val="18"/>
                <w:szCs w:val="18"/>
                <w:highlight w:val="none"/>
              </w:rPr>
              <w:t>持有份额上限</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spacing w:val="-2"/>
                <w:kern w:val="0"/>
                <w:sz w:val="18"/>
                <w:szCs w:val="18"/>
                <w:highlight w:val="none"/>
                <w:lang w:val="en-US" w:eastAsia="zh-CN" w:bidi="ar-SA"/>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业绩比较基准（年化）</w:t>
            </w:r>
          </w:p>
        </w:tc>
        <w:tc>
          <w:tcPr>
            <w:tcW w:w="7986"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b/>
                <w:bCs/>
                <w:spacing w:val="-2"/>
                <w:sz w:val="18"/>
                <w:szCs w:val="18"/>
                <w:u w:val="single"/>
              </w:rPr>
            </w:pPr>
            <w:r>
              <w:rPr>
                <w:rFonts w:hint="eastAsia" w:ascii="楷体" w:hAnsi="楷体" w:eastAsia="楷体" w:cs="宋体"/>
                <w:b/>
                <w:bCs/>
                <w:spacing w:val="-2"/>
                <w:sz w:val="18"/>
                <w:szCs w:val="18"/>
                <w:u w:val="single"/>
                <w:lang w:val="en-US" w:eastAsia="zh-CN"/>
              </w:rPr>
              <w:t>1.</w:t>
            </w:r>
            <w:r>
              <w:rPr>
                <w:rFonts w:hint="eastAsia" w:ascii="楷体" w:hAnsi="楷体" w:eastAsia="楷体" w:cs="宋体"/>
                <w:b/>
                <w:bCs/>
                <w:spacing w:val="-2"/>
                <w:sz w:val="18"/>
                <w:szCs w:val="18"/>
                <w:u w:val="single"/>
              </w:rPr>
              <w:t>苏银理财</w:t>
            </w:r>
            <w:r>
              <w:rPr>
                <w:rFonts w:ascii="楷体" w:hAnsi="楷体" w:eastAsia="楷体" w:cs="宋体"/>
                <w:b/>
                <w:bCs/>
                <w:spacing w:val="-2"/>
                <w:sz w:val="18"/>
                <w:szCs w:val="18"/>
                <w:u w:val="single"/>
              </w:rPr>
              <w:t>参考过往投资经验，依据近期货币市场工具、债券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收益水平，在产品说明书约定的投资范围和投资比例内</w:t>
            </w:r>
            <w:r>
              <w:rPr>
                <w:rFonts w:hint="eastAsia" w:ascii="楷体" w:hAnsi="楷体" w:eastAsia="楷体" w:cs="宋体"/>
                <w:b/>
                <w:bCs/>
                <w:spacing w:val="-2"/>
                <w:sz w:val="18"/>
                <w:szCs w:val="18"/>
                <w:u w:val="single"/>
              </w:rPr>
              <w:t>，综合考虑各份额收取的销售服务费和投资管理费的情况，</w:t>
            </w:r>
            <w:r>
              <w:rPr>
                <w:rFonts w:ascii="楷体" w:hAnsi="楷体" w:eastAsia="楷体" w:cs="宋体"/>
                <w:b/>
                <w:bCs/>
                <w:spacing w:val="-2"/>
                <w:sz w:val="18"/>
                <w:szCs w:val="18"/>
                <w:u w:val="single"/>
              </w:rPr>
              <w:t>模拟测算得出</w:t>
            </w:r>
            <w:r>
              <w:rPr>
                <w:rFonts w:hint="eastAsia" w:ascii="楷体" w:hAnsi="楷体" w:eastAsia="楷体" w:cs="宋体"/>
                <w:b/>
                <w:bCs/>
                <w:spacing w:val="-2"/>
                <w:sz w:val="18"/>
                <w:szCs w:val="18"/>
                <w:u w:val="single"/>
              </w:rPr>
              <w:t>业绩比较基准。</w:t>
            </w:r>
          </w:p>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spacing w:val="-2"/>
                <w:sz w:val="18"/>
                <w:szCs w:val="18"/>
              </w:rPr>
            </w:pPr>
            <w:r>
              <w:rPr>
                <w:rFonts w:hint="eastAsia" w:ascii="楷体" w:hAnsi="楷体" w:eastAsia="楷体" w:cs="宋体"/>
                <w:b/>
                <w:bCs/>
                <w:spacing w:val="-2"/>
                <w:sz w:val="18"/>
                <w:szCs w:val="18"/>
                <w:u w:val="single"/>
                <w:lang w:val="en-US" w:eastAsia="zh-CN"/>
              </w:rPr>
              <w:t>2.</w:t>
            </w:r>
            <w:r>
              <w:rPr>
                <w:rFonts w:hint="eastAsia" w:ascii="楷体" w:hAnsi="楷体" w:eastAsia="楷体" w:cs="宋体"/>
                <w:b/>
                <w:bCs/>
                <w:spacing w:val="-2"/>
                <w:sz w:val="18"/>
                <w:szCs w:val="18"/>
                <w:u w:val="single"/>
              </w:rPr>
              <w:t>本产品各份额因收取的销售服务费和投资管理费存在差异，业绩比较基准设置将有所不同。</w:t>
            </w:r>
            <w:r>
              <w:rPr>
                <w:rFonts w:hint="eastAsia" w:ascii="楷体" w:hAnsi="楷体" w:eastAsia="楷体" w:cs="宋体"/>
                <w:spacing w:val="-2"/>
                <w:sz w:val="18"/>
                <w:szCs w:val="18"/>
              </w:rPr>
              <w:t>各份额业绩比较基准如下：</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2"/>
                <w:sz w:val="18"/>
                <w:szCs w:val="18"/>
                <w:lang w:val="en-US" w:eastAsia="zh-CN" w:bidi="ar-SA"/>
              </w:rPr>
            </w:pPr>
            <w:r>
              <w:rPr>
                <w:rFonts w:hint="eastAsia" w:ascii="楷体" w:hAnsi="楷体" w:eastAsia="楷体" w:cs="宋体"/>
                <w:color w:val="auto"/>
                <w:spacing w:val="-2"/>
                <w:kern w:val="2"/>
                <w:sz w:val="18"/>
                <w:szCs w:val="18"/>
                <w:lang w:val="en-US" w:eastAsia="zh-CN" w:bidi="ar-SA"/>
              </w:rPr>
              <w:t>A份额：3.05%-3.35%，B份额：3.00%-3.30%，C份额：3.08%-3.38%，D份额：2.90%-3.20%，E份额：3.10%-3.40%，F份额：2.95%-3.25%，G份额：2.90%-3.20%，H份额：3.05%-3.35%，I份额：2.95%-3.25%，J份额：3.10%-3.40%，Z份额：3.10%-3.40%，NB份额：3.10%-3.40%，AJS份额：3.00%-3.30%。</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spacing w:val="-2"/>
                <w:sz w:val="18"/>
                <w:szCs w:val="18"/>
                <w:u w:val="single"/>
                <w:lang w:val="en-US" w:eastAsia="zh-CN"/>
              </w:rPr>
              <w:t>3.</w:t>
            </w:r>
            <w:r>
              <w:rPr>
                <w:rFonts w:hint="eastAsia" w:ascii="楷体" w:hAnsi="楷体" w:eastAsia="楷体" w:cs="宋体"/>
                <w:b/>
                <w:spacing w:val="-2"/>
                <w:sz w:val="18"/>
                <w:szCs w:val="18"/>
                <w:u w:val="single"/>
              </w:rPr>
              <w:t>本产品为净值型产品，业绩表现将随市场波动，具有不确定性。业绩比较</w:t>
            </w:r>
            <w:r>
              <w:rPr>
                <w:rFonts w:hint="eastAsia" w:ascii="楷体" w:hAnsi="楷体" w:eastAsia="楷体" w:cs="宋体"/>
                <w:b/>
                <w:spacing w:val="-2"/>
                <w:sz w:val="18"/>
                <w:szCs w:val="18"/>
                <w:u w:val="single"/>
                <w:lang w:val="en-US" w:eastAsia="zh-CN"/>
              </w:rPr>
              <w:t>基准是</w:t>
            </w:r>
            <w:r>
              <w:rPr>
                <w:rFonts w:hint="eastAsia" w:ascii="楷体" w:hAnsi="楷体" w:eastAsia="楷体" w:cs="宋体"/>
                <w:b/>
                <w:spacing w:val="-2"/>
                <w:sz w:val="18"/>
                <w:szCs w:val="18"/>
                <w:u w:val="single"/>
              </w:rPr>
              <w:t>管理人基于产品性质、投资策略、过往经验等因素对产品设定的投资目标。业绩比较基准不是预期收益率，不代表产品的未来表现和实际收益，不构成对产品收益的承诺。投资者的实际收益由产品净值表现决定。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4"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产品费用</w:t>
            </w:r>
          </w:p>
        </w:tc>
        <w:tc>
          <w:tcPr>
            <w:tcW w:w="7986"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lang w:val="en-US" w:eastAsia="zh-CN"/>
              </w:rPr>
              <w:t>本产品费用包括托管费、销售服务费、投资管理费、超额业绩报酬（如有）以及产品运作和清算中产生的其他费用等。</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1.托管费率：0.02%/年</w:t>
            </w:r>
            <w:r>
              <w:rPr>
                <w:rFonts w:hint="eastAsia" w:ascii="楷体" w:hAnsi="楷体" w:eastAsia="楷体" w:cs="宋体"/>
                <w:color w:val="auto"/>
                <w:spacing w:val="-2"/>
                <w:sz w:val="18"/>
                <w:szCs w:val="18"/>
                <w:lang w:eastAsia="zh-CN"/>
              </w:rPr>
              <w:t>。</w:t>
            </w:r>
          </w:p>
          <w:p>
            <w:pPr>
              <w:keepNext w:val="0"/>
              <w:keepLines w:val="0"/>
              <w:pageBreakBefore w:val="0"/>
              <w:wordWrap/>
              <w:topLinePunct w:val="0"/>
              <w:bidi w:val="0"/>
              <w:snapToGrid w:val="0"/>
              <w:spacing w:line="240" w:lineRule="auto"/>
              <w:ind w:left="57" w:right="57" w:rightChars="0"/>
              <w:textAlignment w:val="auto"/>
              <w:rPr>
                <w:rFonts w:hint="default" w:ascii="楷体" w:hAnsi="楷体" w:eastAsia="楷体" w:cs="宋体"/>
                <w:color w:val="auto"/>
                <w:spacing w:val="-2"/>
                <w:sz w:val="18"/>
                <w:szCs w:val="18"/>
                <w:lang w:val="en-US"/>
              </w:rPr>
            </w:pPr>
            <w:r>
              <w:rPr>
                <w:rFonts w:hint="eastAsia" w:ascii="楷体" w:hAnsi="楷体" w:eastAsia="楷体" w:cs="宋体"/>
                <w:color w:val="auto"/>
                <w:spacing w:val="-2"/>
                <w:sz w:val="18"/>
                <w:szCs w:val="18"/>
              </w:rPr>
              <w:t>2.销售服务费率：A份额：0.10%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J份额：0.05%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NB份额：0.10%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AJS份额：0.20%</w:t>
            </w:r>
            <w:r>
              <w:rPr>
                <w:rFonts w:hint="eastAsia" w:ascii="楷体" w:hAnsi="楷体" w:eastAsia="楷体" w:cs="宋体"/>
                <w:color w:val="auto"/>
                <w:spacing w:val="-2"/>
                <w:sz w:val="18"/>
                <w:szCs w:val="18"/>
                <w:lang w:val="en-US" w:eastAsia="zh-CN"/>
              </w:rPr>
              <w:t>。其中D份额采用一次性提取模式，其他份额采用每日计提模式。</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3.投资管理费率：A份额：0.06%</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B份额：0.06%</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C份额：0.03%</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F份额：0.06%</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J份额：0.06%</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NB份额：0.01%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AJS份额：0.01%</w:t>
            </w:r>
            <w:r>
              <w:rPr>
                <w:rFonts w:hint="eastAsia" w:ascii="楷体" w:hAnsi="楷体" w:eastAsia="楷体" w:cs="宋体"/>
                <w:color w:val="auto"/>
                <w:spacing w:val="-2"/>
                <w:sz w:val="18"/>
                <w:szCs w:val="18"/>
                <w:lang w:val="en-US" w:eastAsia="zh-CN"/>
              </w:rPr>
              <w:t>。</w:t>
            </w:r>
          </w:p>
          <w:p>
            <w:pPr>
              <w:keepNext w:val="0"/>
              <w:keepLines w:val="0"/>
              <w:pageBreakBefore w:val="0"/>
              <w:numPr>
                <w:ilvl w:val="0"/>
                <w:numId w:val="0"/>
              </w:numPr>
              <w:wordWrap/>
              <w:topLinePunct w:val="0"/>
              <w:bidi w:val="0"/>
              <w:snapToGrid w:val="0"/>
              <w:spacing w:line="240" w:lineRule="auto"/>
              <w:ind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4.超额业绩报酬：若产品各份额实际投资收益在扣除托管费、销售服务费、投资管理费等费用后超过各份额业绩比较基准</w:t>
            </w:r>
            <w:r>
              <w:rPr>
                <w:rFonts w:hint="eastAsia" w:ascii="楷体" w:hAnsi="楷体" w:eastAsia="楷体" w:cs="宋体"/>
                <w:color w:val="auto"/>
                <w:spacing w:val="-2"/>
                <w:sz w:val="18"/>
                <w:szCs w:val="18"/>
                <w:lang w:val="en-US" w:eastAsia="zh-CN"/>
              </w:rPr>
              <w:t>上限</w:t>
            </w:r>
            <w:r>
              <w:rPr>
                <w:rFonts w:hint="eastAsia" w:ascii="楷体" w:hAnsi="楷体" w:eastAsia="楷体" w:cs="宋体"/>
                <w:color w:val="auto"/>
                <w:spacing w:val="-2"/>
                <w:sz w:val="18"/>
                <w:szCs w:val="18"/>
              </w:rPr>
              <w:t>，产品管理人将按照超出部分的50%收取超额业绩报酬。产品存续期内理财产品将每日暂估超额业绩报酬，仅用于理财产品会计核算，并将扣除“暂估超额业绩报酬”后的理财产品份额净值按照说明书约定向投资者进行披露。理财产品实际收取的超额业绩报酬以到期日计提核算的数值为准。计算超额业绩报酬时，1年按365日计算。</w:t>
            </w:r>
          </w:p>
          <w:p>
            <w:pPr>
              <w:keepNext w:val="0"/>
              <w:keepLines w:val="0"/>
              <w:pageBreakBefore w:val="0"/>
              <w:wordWrap/>
              <w:topLinePunct w:val="0"/>
              <w:bidi w:val="0"/>
              <w:snapToGrid w:val="0"/>
              <w:spacing w:line="240" w:lineRule="auto"/>
              <w:ind w:left="57" w:right="57" w:rightChars="0"/>
              <w:textAlignment w:val="auto"/>
            </w:pPr>
            <w:r>
              <w:rPr>
                <w:rFonts w:hint="eastAsia" w:ascii="楷体" w:hAnsi="楷体" w:eastAsia="楷体" w:cs="宋体"/>
                <w:b/>
                <w:spacing w:val="-2"/>
                <w:sz w:val="18"/>
                <w:szCs w:val="18"/>
                <w:u w:val="single"/>
              </w:rPr>
              <w:t>本产品设置有多个份额，</w:t>
            </w:r>
            <w:r>
              <w:rPr>
                <w:rFonts w:hint="eastAsia" w:ascii="楷体" w:hAnsi="楷体" w:eastAsia="楷体" w:cs="宋体"/>
                <w:b/>
                <w:spacing w:val="-2"/>
                <w:sz w:val="18"/>
                <w:szCs w:val="18"/>
                <w:u w:val="single"/>
                <w:lang w:eastAsia="zh-CN"/>
              </w:rPr>
              <w:t>各份额</w:t>
            </w:r>
            <w:r>
              <w:rPr>
                <w:rFonts w:hint="eastAsia" w:ascii="楷体" w:hAnsi="楷体" w:eastAsia="楷体" w:cs="宋体"/>
                <w:b/>
                <w:spacing w:val="-2"/>
                <w:sz w:val="18"/>
                <w:szCs w:val="18"/>
                <w:u w:val="single"/>
              </w:rPr>
              <w:t>实际收取的销售服务费率</w:t>
            </w:r>
            <w:r>
              <w:rPr>
                <w:rFonts w:hint="eastAsia" w:ascii="楷体" w:hAnsi="楷体" w:eastAsia="楷体" w:cs="宋体"/>
                <w:b/>
                <w:spacing w:val="-2"/>
                <w:sz w:val="18"/>
                <w:szCs w:val="18"/>
                <w:u w:val="single"/>
                <w:lang w:eastAsia="zh-CN"/>
              </w:rPr>
              <w:t>、</w:t>
            </w:r>
            <w:r>
              <w:rPr>
                <w:rFonts w:hint="eastAsia" w:ascii="楷体" w:hAnsi="楷体" w:eastAsia="楷体" w:cs="宋体"/>
                <w:b/>
                <w:spacing w:val="-2"/>
                <w:sz w:val="18"/>
                <w:szCs w:val="18"/>
                <w:u w:val="single"/>
              </w:rPr>
              <w:t>投资管理费率</w:t>
            </w:r>
            <w:r>
              <w:rPr>
                <w:rFonts w:hint="eastAsia" w:ascii="楷体" w:hAnsi="楷体" w:eastAsia="楷体" w:cs="宋体"/>
                <w:b/>
                <w:spacing w:val="-2"/>
                <w:sz w:val="18"/>
                <w:szCs w:val="18"/>
                <w:u w:val="single"/>
                <w:lang w:val="en-US" w:eastAsia="zh-CN"/>
              </w:rPr>
              <w:t>和超额业绩报酬（如有）</w:t>
            </w:r>
            <w:r>
              <w:rPr>
                <w:rFonts w:hint="eastAsia" w:ascii="楷体" w:hAnsi="楷体" w:eastAsia="楷体" w:cs="宋体"/>
                <w:b/>
                <w:spacing w:val="-2"/>
                <w:sz w:val="18"/>
                <w:szCs w:val="18"/>
                <w:u w:val="single"/>
              </w:rPr>
              <w:t>可能存在差异，</w:t>
            </w:r>
            <w:r>
              <w:rPr>
                <w:rFonts w:hint="eastAsia" w:ascii="楷体" w:hAnsi="楷体" w:eastAsia="楷体" w:cs="宋体"/>
                <w:b/>
                <w:spacing w:val="-2"/>
                <w:sz w:val="18"/>
                <w:szCs w:val="18"/>
                <w:u w:val="single"/>
                <w:lang w:val="en-US" w:eastAsia="zh-CN"/>
              </w:rPr>
              <w:t>投资者应</w:t>
            </w:r>
            <w:r>
              <w:rPr>
                <w:rFonts w:hint="eastAsia" w:ascii="楷体" w:hAnsi="楷体" w:eastAsia="楷体" w:cs="宋体"/>
                <w:b/>
                <w:spacing w:val="-2"/>
                <w:sz w:val="18"/>
                <w:szCs w:val="18"/>
                <w:u w:val="single"/>
              </w:rPr>
              <w:t>根据</w:t>
            </w:r>
            <w:r>
              <w:rPr>
                <w:rFonts w:hint="eastAsia" w:ascii="楷体" w:hAnsi="楷体" w:eastAsia="楷体" w:cs="宋体"/>
                <w:b/>
                <w:spacing w:val="-2"/>
                <w:sz w:val="18"/>
                <w:szCs w:val="18"/>
                <w:u w:val="single"/>
                <w:lang w:val="en-US" w:eastAsia="zh-CN"/>
              </w:rPr>
              <w:t>各份额收费情况</w:t>
            </w:r>
            <w:r>
              <w:rPr>
                <w:rFonts w:hint="eastAsia" w:ascii="楷体" w:hAnsi="楷体" w:eastAsia="楷体" w:cs="宋体"/>
                <w:b/>
                <w:spacing w:val="-2"/>
                <w:sz w:val="18"/>
                <w:szCs w:val="18"/>
                <w:u w:val="single"/>
              </w:rPr>
              <w:t>自主选择购买。</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b/>
                <w:bCs w:val="0"/>
                <w:spacing w:val="-2"/>
                <w:sz w:val="18"/>
                <w:szCs w:val="18"/>
                <w:u w:val="single"/>
              </w:rPr>
            </w:pPr>
            <w:r>
              <w:rPr>
                <w:rFonts w:hint="eastAsia" w:ascii="楷体" w:hAnsi="楷体" w:eastAsia="楷体" w:cs="宋体"/>
                <w:b/>
                <w:spacing w:val="-2"/>
                <w:sz w:val="18"/>
                <w:szCs w:val="18"/>
                <w:u w:val="single"/>
              </w:rPr>
              <w:t>若法律法规、国家监管政策或市场情况发生变化，管理人有权对已约定的收费项目、条件、标准和方式进行调整。</w:t>
            </w:r>
          </w:p>
          <w:p>
            <w:pPr>
              <w:keepNext w:val="0"/>
              <w:keepLines w:val="0"/>
              <w:pageBreakBefore w:val="0"/>
              <w:widowControl w:val="0"/>
              <w:numPr>
                <w:ilvl w:val="0"/>
                <w:numId w:val="0"/>
              </w:numPr>
              <w:wordWrap/>
              <w:topLinePunct w:val="0"/>
              <w:bidi w:val="0"/>
              <w:snapToGrid w:val="0"/>
              <w:spacing w:line="240" w:lineRule="auto"/>
              <w:ind w:right="57" w:rightChars="0"/>
              <w:jc w:val="both"/>
              <w:textAlignment w:val="auto"/>
              <w:rPr>
                <w:rFonts w:hint="eastAsia" w:ascii="楷体" w:hAnsi="楷体" w:eastAsia="楷体" w:cs="宋体"/>
                <w:b/>
                <w:spacing w:val="-2"/>
                <w:sz w:val="18"/>
                <w:szCs w:val="18"/>
                <w:u w:val="single"/>
              </w:rPr>
            </w:pPr>
            <w:r>
              <w:rPr>
                <w:rFonts w:hint="eastAsia" w:ascii="楷体" w:hAnsi="楷体" w:eastAsia="楷体" w:cs="宋体"/>
                <w:b/>
                <w:bCs w:val="0"/>
                <w:spacing w:val="-2"/>
                <w:sz w:val="18"/>
                <w:szCs w:val="18"/>
                <w:highlight w:val="none"/>
                <w:u w:val="single"/>
              </w:rPr>
              <w:t>产品存续期内管理人有权根据产品运行情况制定费率优惠措施，优惠后实际执行的费率以管理人公告为准</w:t>
            </w:r>
            <w:r>
              <w:rPr>
                <w:rFonts w:hint="eastAsia" w:ascii="楷体" w:hAnsi="楷体" w:eastAsia="楷体" w:cs="宋体"/>
                <w:b/>
                <w:bCs w:val="0"/>
                <w:spacing w:val="-2"/>
                <w:sz w:val="18"/>
                <w:szCs w:val="18"/>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b/>
                <w:color w:val="auto"/>
                <w:spacing w:val="-2"/>
                <w:sz w:val="18"/>
                <w:szCs w:val="18"/>
                <w:lang w:val="en-US" w:eastAsia="zh-CN"/>
              </w:rPr>
              <w:t>收益分配</w:t>
            </w:r>
          </w:p>
        </w:tc>
        <w:tc>
          <w:tcPr>
            <w:tcW w:w="7986" w:type="dxa"/>
            <w:vAlign w:val="center"/>
          </w:tcPr>
          <w:p>
            <w:pPr>
              <w:keepNext w:val="0"/>
              <w:keepLines w:val="0"/>
              <w:pageBreakBefore w:val="0"/>
              <w:wordWrap/>
              <w:topLinePunct w:val="0"/>
              <w:bidi w:val="0"/>
              <w:snapToGrid w:val="0"/>
              <w:spacing w:line="240" w:lineRule="auto"/>
              <w:ind w:left="59" w:leftChars="0" w:right="73" w:rightChars="35"/>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color w:val="auto"/>
                <w:spacing w:val="-2"/>
                <w:sz w:val="18"/>
                <w:szCs w:val="18"/>
                <w:lang w:val="en-US" w:eastAsia="zh-CN"/>
              </w:rPr>
              <w:t>本产品无分红机制，投资运作情况体现为产品净值变化。产品投资运作到期，投资收益扣除相关费用后，全部分配给投资者。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lang w:val="en-US" w:eastAsia="zh-CN"/>
              </w:rPr>
              <w:t>税收规定</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根据中国增值税等税收相关法律法规、税收政策等要求，</w:t>
            </w:r>
            <w:r>
              <w:rPr>
                <w:rFonts w:hint="eastAsia" w:ascii="楷体" w:hAnsi="楷体" w:eastAsia="楷体" w:cs="宋体"/>
                <w:color w:val="auto"/>
                <w:spacing w:val="-2"/>
                <w:sz w:val="18"/>
                <w:szCs w:val="18"/>
                <w:shd w:val="clear" w:fill="auto"/>
                <w:lang w:val="en-US" w:eastAsia="zh-CN"/>
              </w:rPr>
              <w:t>产品</w:t>
            </w:r>
            <w:r>
              <w:rPr>
                <w:rFonts w:hint="eastAsia" w:ascii="楷体" w:hAnsi="楷体" w:eastAsia="楷体" w:cs="宋体"/>
                <w:color w:val="auto"/>
                <w:spacing w:val="-2"/>
                <w:sz w:val="18"/>
                <w:szCs w:val="18"/>
              </w:rPr>
              <w:t>应缴纳的增值税及附加税费（包括但不限于城市维护建设税、教育费附加及地方教育附加等）由管理人从理财产品财产中支付，由此可能会使理财产品净值或实际收益降低。</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产品管理人</w:t>
      </w:r>
    </w:p>
    <w:p>
      <w:pPr>
        <w:numPr>
          <w:ilvl w:val="-1"/>
          <w:numId w:val="0"/>
        </w:numPr>
        <w:ind w:left="0"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本产品管理人为</w:t>
      </w:r>
      <w:r>
        <w:rPr>
          <w:rFonts w:hint="eastAsia" w:ascii="楷体" w:hAnsi="楷体" w:eastAsia="楷体" w:cs="楷体"/>
          <w:b/>
          <w:bCs/>
          <w:color w:val="auto"/>
          <w:sz w:val="21"/>
          <w:szCs w:val="21"/>
          <w:highlight w:val="none"/>
          <w:u w:val="single"/>
        </w:rPr>
        <w:t>苏银理财有限责任公司</w:t>
      </w:r>
      <w:r>
        <w:rPr>
          <w:rFonts w:hint="eastAsia" w:ascii="楷体" w:hAnsi="楷体" w:eastAsia="楷体"/>
          <w:color w:val="auto"/>
          <w:sz w:val="21"/>
          <w:szCs w:val="21"/>
          <w:highlight w:val="none"/>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w:t>
      </w:r>
      <w:r>
        <w:rPr>
          <w:rFonts w:hint="eastAsia" w:ascii="楷体" w:hAnsi="楷体" w:eastAsia="楷体"/>
          <w:color w:val="auto"/>
          <w:sz w:val="21"/>
          <w:szCs w:val="21"/>
          <w:highlight w:val="none"/>
          <w:lang w:val="en-US" w:eastAsia="zh-CN"/>
        </w:rPr>
        <w:t>监管机构</w:t>
      </w:r>
      <w:r>
        <w:rPr>
          <w:rFonts w:hint="eastAsia" w:ascii="楷体" w:hAnsi="楷体" w:eastAsia="楷体"/>
          <w:color w:val="auto"/>
          <w:sz w:val="21"/>
          <w:szCs w:val="21"/>
          <w:highlight w:val="none"/>
        </w:rPr>
        <w:t>批准的其他业务等。</w:t>
      </w:r>
    </w:p>
    <w:p>
      <w:pPr>
        <w:numPr>
          <w:ilvl w:val="-1"/>
          <w:numId w:val="0"/>
        </w:numPr>
        <w:ind w:left="0" w:firstLine="420" w:firstLineChars="200"/>
        <w:rPr>
          <w:rFonts w:hint="eastAsia" w:ascii="楷体" w:hAnsi="楷体" w:eastAsia="楷体" w:cs="Times New Roman"/>
          <w:color w:val="auto"/>
          <w:sz w:val="21"/>
          <w:szCs w:val="21"/>
          <w:highlight w:val="none"/>
        </w:rPr>
      </w:pPr>
      <w:r>
        <w:rPr>
          <w:rFonts w:hint="eastAsia" w:ascii="楷体" w:hAnsi="楷体" w:eastAsia="楷体"/>
          <w:color w:val="auto"/>
          <w:sz w:val="21"/>
          <w:szCs w:val="21"/>
          <w:highlight w:val="none"/>
        </w:rPr>
        <w:t>投资者在此授权并同意苏银理财享有以下权利：</w:t>
      </w:r>
      <w:r>
        <w:rPr>
          <w:rFonts w:hint="eastAsia" w:ascii="楷体" w:hAnsi="楷体" w:eastAsia="楷体" w:cs="Times New Roman"/>
          <w:color w:val="auto"/>
          <w:sz w:val="21"/>
          <w:szCs w:val="21"/>
          <w:highlight w:val="none"/>
        </w:rPr>
        <w:t>按照本理财产品合同的约定，管理、运用和处分理财计划资金</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按照本理财产品合同的约定，及时、足额获得投资管理费</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管理人有权根据本理财产品合同的约定提前终止或延长本理财产品的期限</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管理人有权调整本理财产品的认购规模上限、认购起点、认购金额上限、认购资金的最</w:t>
      </w:r>
      <w:r>
        <w:rPr>
          <w:rFonts w:hint="eastAsia" w:ascii="楷体" w:hAnsi="楷体" w:eastAsia="楷体" w:cs="Times New Roman"/>
          <w:color w:val="auto"/>
          <w:sz w:val="21"/>
          <w:szCs w:val="21"/>
          <w:highlight w:val="none"/>
          <w:lang w:val="en-US" w:eastAsia="zh-CN"/>
        </w:rPr>
        <w:t>低</w:t>
      </w:r>
      <w:r>
        <w:rPr>
          <w:rFonts w:hint="eastAsia" w:ascii="楷体" w:hAnsi="楷体" w:eastAsia="楷体" w:cs="Times New Roman"/>
          <w:color w:val="auto"/>
          <w:sz w:val="21"/>
          <w:szCs w:val="21"/>
          <w:highlight w:val="none"/>
        </w:rPr>
        <w:t>金额等要素</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管理人有权依照法律规定和监管机构的要求将投资者的信息向有权部门或相关机构披露</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以理财产品投资管理人的名义，依照法律法规相关规定以及代表理财产品份额持有人的利益行使代为追索的权利（包括但不限于提起诉讼/仲裁、申请保全/执行的权利）或者实施其他法律行为</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法律法规、监管政策和本理财计划文件约定的其他权利。</w:t>
      </w:r>
    </w:p>
    <w:p>
      <w:pPr>
        <w:numPr>
          <w:ilvl w:val="0"/>
          <w:numId w:val="6"/>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b/>
          <w:color w:val="auto"/>
          <w:szCs w:val="21"/>
          <w:highlight w:val="none"/>
        </w:rPr>
        <w:t>产品托管人</w:t>
      </w:r>
    </w:p>
    <w:p>
      <w:pPr>
        <w:numPr>
          <w:ilvl w:val="0"/>
          <w:numId w:val="0"/>
        </w:numPr>
        <w:ind w:firstLine="420" w:firstLineChars="200"/>
        <w:rPr>
          <w:rFonts w:hint="default" w:ascii="楷体" w:hAnsi="楷体" w:eastAsia="楷体"/>
          <w:color w:val="auto"/>
          <w:sz w:val="21"/>
          <w:szCs w:val="21"/>
          <w:lang w:val="en-US" w:eastAsia="zh-CN"/>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6"/>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cs="Times New Roman"/>
          <w:b/>
          <w:color w:val="auto"/>
          <w:sz w:val="21"/>
          <w:szCs w:val="21"/>
          <w:highlight w:val="none"/>
        </w:rPr>
        <w:t>销售机构</w:t>
      </w:r>
    </w:p>
    <w:p>
      <w:pPr>
        <w:numPr>
          <w:ilvl w:val="-1"/>
          <w:numId w:val="0"/>
        </w:numPr>
        <w:tabs>
          <w:tab w:val="left" w:pos="1134"/>
        </w:tabs>
        <w:ind w:left="0"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val="0"/>
          <w:bCs w:val="0"/>
          <w:sz w:val="21"/>
          <w:szCs w:val="21"/>
          <w:highlight w:val="none"/>
          <w:u w:val="none"/>
        </w:rPr>
        <w:t>销售机构负责理财产品宣传推广、投资者风险承受能力评估和投资者适当性管理、理财产品</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身份识别及反洗钱、反恐怖融资及非居民金融账户涉税信息调查、理财产品份额认购/申购/赎回、协助管理人与投资者订立理财产品</w:t>
      </w:r>
      <w:r>
        <w:rPr>
          <w:rFonts w:hint="eastAsia" w:ascii="楷体" w:hAnsi="楷体" w:eastAsia="楷体"/>
          <w:color w:val="auto"/>
          <w:sz w:val="21"/>
          <w:szCs w:val="21"/>
          <w:lang w:val="en-US" w:eastAsia="zh-CN"/>
        </w:rPr>
        <w:t>销售文件</w:t>
      </w:r>
      <w:r>
        <w:rPr>
          <w:rFonts w:hint="eastAsia" w:ascii="楷体" w:hAnsi="楷体" w:eastAsia="楷体"/>
          <w:b w:val="0"/>
          <w:bCs w:val="0"/>
          <w:sz w:val="21"/>
          <w:szCs w:val="21"/>
          <w:highlight w:val="none"/>
          <w:u w:val="none"/>
        </w:rPr>
        <w:t>、协助投资者与管理人沟通、接受投资者咨询和</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维护等销售服务工作。销售机构不承担产品投资、兑付和风险管理责任，产品的投资、兑付和风险管理责任由管理人承担。</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本产品各份额销售机构如下：</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A份额：江苏姜堰农村商业银行股份有限公司/江苏高淳农村商业银行股份有限公司/江苏常熟农村商业银行股份有限公司/苏银理财有限责任公司/江苏银行股份有限公司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B份额：宁波通商银行股份有限公司/浙江岱山农村商业银行股份有限公司/杭州联合农村商业银行股份有限公司/齐鲁银行股份有限公司/浙江萧山农村商业银行股份有限公司/湖州吴兴农村商业银行股份有限公司/浙江淳安农村商业银行股份有限公司/浙江舟山定海海洋农村商业银行股份有限公司/浙江武义农村商业银行股份有限公司/浙江杭州余杭农村商业银行股份有限公司/浙江文成农村商业银行股份有限公司/浙江青田农村商业银行股份有限公司/浙江兰溪农村商业银行股份有限公司/浙江温州瓯海农村商业银行股份有限公司/浙江嘉善农村商业银行股份有限公司/浙江永嘉农村商业银行股份有限公司/浙江绍兴瑞丰农村商业银行股份有限公司/浙江温州龙湾农村商业银行股份有限公司/浙江乐清农村商业银行股份有限公司/浙江德清农村商业银行股份有限公司/浙江平湖农村商业银行股份有限公司/浙江桐乡农村商业银行股份有限公司/浙江上虞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C份额：江苏银行股份有限公司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D份额：山西银行股份有限公司/宁波通商银行股份有限公司/宁波东海银行股份有限公司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E份额：江苏银行股份有限公司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F份额：浙江武义农村商业银行股份有限公司/浙江新昌农村商业银行股份有限公司/莱商银行股份有限公司/威海银行股份有限公司/潍坊银行股份有限公司/齐鲁银行股份有限公司/东营银行股份有限公司/嘉兴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G份额：甘肃银行股份有限公司/广州农村商业银行股份有限公司/江苏苏州农村商业银行股份有限公司/重庆农村商业银行股份有限公司/江苏沛县农村商业银行股份有限公司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H份额：上海银行股份有限公司</w:t>
      </w:r>
    </w:p>
    <w:p>
      <w:pPr>
        <w:numPr>
          <w:ilvl w:val="-1"/>
          <w:numId w:val="0"/>
        </w:numPr>
        <w:tabs>
          <w:tab w:val="left" w:pos="993"/>
        </w:tabs>
        <w:ind w:left="0" w:leftChars="0" w:firstLine="420" w:firstLineChars="200"/>
        <w:rPr>
          <w:rFonts w:hint="default"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I份额：重庆农村商业银行股份有限公司/苏银理财有限责任公司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J份额：浙江海宁农村商业银行股份有限公司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Z份额：郑州银行股份有限公司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NB份额：江苏银行股份有限公司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AJS份额：江苏江都农村商业银行股份有限公司/江苏常熟农村商业银行股份有限公司/江苏新沂农村商业银行股份有限公司/江苏如皋农村商业银行股份有限公司/江苏启东农村商业银行股份有限公司/徐州农村商业银行股份有限公司/江苏高邮农村商业银行股份有限公司/江苏沭阳农村商业银行股份有限公司/江苏民丰农村商业银行股份有限公司/江苏洪泽农村商业银行股份有限公司/江苏镇江农村商业银行股份有限公司/江苏紫金农村商业银行股份有限公司/江苏建湖农村商业银行股份有限公司/江苏淮安农村商业银行股份有限公司/江苏姜堰农村商业银行股份有限公司/江苏句容农村商业银行股份有限公司/江苏睢宁农村商业银行股份有限公司/江苏扬中农村商业银行股份有限公司/江苏丰县农村商业银行股份有限公司/江苏邳州农村商业银行股份有限公司/江苏宝应农村商业银行股份有限公司/江苏东海农村商业银行股份有限公司/江苏赣榆农村商业银行股份有限公司/江苏射阳农村商业银行股份有限公司/江苏阜宁农村商业银行股份有限公司/江苏东台农村商业银行股份有限公司/江苏盐城农村商业银行股份有限公司/江苏高淳农村商业银行股份有限公司/江苏溧水农村商业银行股份有限公司/北京农村商业银行股份有限公司/江苏张家港农村商业银行股份有限公司/江苏扬州农村商业银行股份有限公司/江苏大丰农村商业银行股份有限公司/江苏泗阳农村商业银行股份有限公司/江苏沛县农村商业银行股份有限公司/江苏灌云农村商业银行股份有限公司/江苏灌南农村商业银行股份有限公司/江苏泰兴农村商业银行股份有限公司/江苏仪征农村商业银行股份有限公司/江苏靖江农村商业银行股份有限公司/江苏海门农村商业银行股份有限公司/连云港东方农村商业银行股份有限公司/江苏如东农村商业银行股份有限公司</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名词释义</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在本</w:t>
      </w:r>
      <w:r>
        <w:rPr>
          <w:rFonts w:hint="eastAsia" w:ascii="楷体" w:hAnsi="楷体" w:eastAsia="楷体"/>
          <w:color w:val="auto"/>
          <w:sz w:val="21"/>
          <w:szCs w:val="21"/>
          <w:highlight w:val="none"/>
          <w:lang w:val="en-US" w:eastAsia="zh-CN"/>
        </w:rPr>
        <w:t>理财</w:t>
      </w:r>
      <w:r>
        <w:rPr>
          <w:rFonts w:hint="eastAsia" w:ascii="楷体" w:hAnsi="楷体" w:eastAsia="楷体"/>
          <w:color w:val="auto"/>
          <w:sz w:val="21"/>
          <w:szCs w:val="21"/>
          <w:highlight w:val="none"/>
        </w:rPr>
        <w:t>产品说明书中，除非上下文另有明确约定，下列用词将具有如下含义：</w:t>
      </w:r>
    </w:p>
    <w:p>
      <w:pPr>
        <w:numPr>
          <w:ilvl w:val="0"/>
          <w:numId w:val="7"/>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理财产品用语</w:t>
      </w:r>
    </w:p>
    <w:p>
      <w:pPr>
        <w:numPr>
          <w:ilvl w:val="0"/>
          <w:numId w:val="8"/>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销售代码：指本理财产品可能</w:t>
      </w:r>
      <w:r>
        <w:rPr>
          <w:rFonts w:hint="eastAsia" w:ascii="楷体" w:hAnsi="楷体" w:eastAsia="楷体" w:cs="Calibri"/>
          <w:color w:val="auto"/>
          <w:sz w:val="21"/>
          <w:szCs w:val="21"/>
          <w:lang w:val="en-US" w:eastAsia="zh-CN"/>
        </w:rPr>
        <w:t>设置一个或多个</w:t>
      </w:r>
      <w:r>
        <w:rPr>
          <w:rFonts w:hint="eastAsia" w:ascii="楷体" w:hAnsi="楷体" w:eastAsia="楷体" w:cs="Calibri"/>
          <w:color w:val="auto"/>
          <w:sz w:val="21"/>
          <w:szCs w:val="21"/>
        </w:rPr>
        <w:t>产品份额，管理人在理财产品销售管理过程中为区分不同产品份额，</w:t>
      </w:r>
      <w:r>
        <w:rPr>
          <w:rFonts w:hint="eastAsia" w:ascii="楷体" w:hAnsi="楷体" w:eastAsia="楷体" w:cs="Calibri"/>
          <w:color w:val="auto"/>
          <w:sz w:val="21"/>
          <w:szCs w:val="21"/>
          <w:lang w:val="en-US" w:eastAsia="zh-CN"/>
        </w:rPr>
        <w:t>对各份额</w:t>
      </w:r>
      <w:r>
        <w:rPr>
          <w:rFonts w:hint="eastAsia" w:ascii="楷体" w:hAnsi="楷体" w:eastAsia="楷体" w:cs="Calibri"/>
          <w:color w:val="auto"/>
          <w:sz w:val="21"/>
          <w:szCs w:val="21"/>
        </w:rPr>
        <w:t>设置的内部识别码。</w:t>
      </w:r>
    </w:p>
    <w:p>
      <w:pPr>
        <w:numPr>
          <w:ilvl w:val="0"/>
          <w:numId w:val="8"/>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理财产品份额：指投资者持有本理财产品的单位数额。投资者基于其所持有的理财产品单位数额享有理财产品利益、承担理财产品风险。</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理财产品资产净值/</w:t>
      </w:r>
      <w:r>
        <w:rPr>
          <w:rFonts w:hint="eastAsia" w:ascii="楷体" w:hAnsi="楷体" w:eastAsia="楷体" w:cs="Calibri"/>
          <w:color w:val="auto"/>
          <w:sz w:val="21"/>
          <w:szCs w:val="21"/>
          <w:highlight w:val="none"/>
          <w:lang w:val="en-US" w:eastAsia="zh-CN"/>
        </w:rPr>
        <w:t>净资产</w:t>
      </w:r>
      <w:r>
        <w:rPr>
          <w:rFonts w:hint="eastAsia" w:ascii="楷体" w:hAnsi="楷体" w:eastAsia="楷体" w:cs="Calibri"/>
          <w:color w:val="auto"/>
          <w:sz w:val="21"/>
          <w:szCs w:val="21"/>
          <w:highlight w:val="none"/>
        </w:rPr>
        <w:t>：</w:t>
      </w:r>
      <w:r>
        <w:rPr>
          <w:rFonts w:hint="eastAsia" w:ascii="楷体" w:hAnsi="楷体" w:eastAsia="楷体" w:cs="Calibri"/>
          <w:color w:val="auto"/>
          <w:sz w:val="21"/>
          <w:szCs w:val="21"/>
          <w:highlight w:val="none"/>
          <w:lang w:val="en-US" w:eastAsia="zh-CN"/>
        </w:rPr>
        <w:t>指产品</w:t>
      </w:r>
      <w:r>
        <w:rPr>
          <w:rFonts w:hint="eastAsia" w:ascii="楷体" w:hAnsi="楷体" w:eastAsia="楷体" w:cs="Calibri"/>
          <w:color w:val="auto"/>
          <w:sz w:val="21"/>
          <w:szCs w:val="21"/>
          <w:highlight w:val="none"/>
        </w:rPr>
        <w:t>资产总值</w:t>
      </w:r>
      <w:r>
        <w:rPr>
          <w:rFonts w:hint="eastAsia" w:ascii="楷体" w:hAnsi="楷体" w:eastAsia="楷体" w:cs="Calibri"/>
          <w:color w:val="auto"/>
          <w:sz w:val="21"/>
          <w:szCs w:val="21"/>
          <w:highlight w:val="none"/>
          <w:lang w:val="en-US" w:eastAsia="zh-CN"/>
        </w:rPr>
        <w:t>减去</w:t>
      </w: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val="en-US" w:eastAsia="zh-CN"/>
        </w:rPr>
        <w:t>后的价值</w:t>
      </w:r>
      <w:r>
        <w:rPr>
          <w:rFonts w:hint="eastAsia" w:ascii="楷体" w:hAnsi="楷体" w:eastAsia="楷体" w:cs="Calibri"/>
          <w:color w:val="auto"/>
          <w:sz w:val="21"/>
          <w:szCs w:val="21"/>
          <w:highlight w:val="none"/>
        </w:rPr>
        <w:t>。</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产品资产总值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指产品拥有的各类有价证券、银行存款、应收款项及其他资产的价值总和。</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指产品运作及融资时形成的负债价值总和，包括融资资金本息、应付各项费用（包括托管费、销售</w:t>
      </w:r>
      <w:r>
        <w:rPr>
          <w:rFonts w:ascii="楷体" w:hAnsi="楷体" w:eastAsia="楷体" w:cs="Calibri"/>
          <w:color w:val="auto"/>
          <w:sz w:val="21"/>
          <w:szCs w:val="21"/>
          <w:highlight w:val="none"/>
        </w:rPr>
        <w:t>服务费、</w:t>
      </w:r>
      <w:r>
        <w:rPr>
          <w:rFonts w:hint="eastAsia" w:ascii="楷体" w:hAnsi="楷体" w:eastAsia="楷体" w:cs="Calibri"/>
          <w:color w:val="auto"/>
          <w:sz w:val="21"/>
          <w:szCs w:val="21"/>
          <w:highlight w:val="none"/>
        </w:rPr>
        <w:t>投资管理费、超额业绩报酬、其他费用等）、应付税金及其他应付款项等。</w:t>
      </w:r>
    </w:p>
    <w:p>
      <w:pPr>
        <w:numPr>
          <w:ilvl w:val="0"/>
          <w:numId w:val="8"/>
        </w:numPr>
        <w:tabs>
          <w:tab w:val="left" w:pos="851"/>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理财产品份额单位净值/理财产品单位净值/单位净值：指每1份理财产品份额以人民币计价的价格。理财产品单位净值=</w:t>
      </w:r>
      <w:r>
        <w:rPr>
          <w:rFonts w:hint="eastAsia" w:ascii="楷体" w:hAnsi="楷体" w:eastAsia="楷体" w:cs="Calibri"/>
          <w:color w:val="auto"/>
          <w:sz w:val="21"/>
          <w:szCs w:val="21"/>
          <w:highlight w:val="none"/>
          <w:lang w:val="en-US" w:eastAsia="zh-CN"/>
        </w:rPr>
        <w:t>理财产品</w:t>
      </w:r>
      <w:r>
        <w:rPr>
          <w:rFonts w:hint="eastAsia" w:ascii="楷体" w:hAnsi="楷体" w:eastAsia="楷体" w:cs="Calibri"/>
          <w:color w:val="auto"/>
          <w:sz w:val="21"/>
          <w:szCs w:val="21"/>
          <w:highlight w:val="none"/>
        </w:rPr>
        <w:t>资产净值/产品总份额。投资者按该份额</w:t>
      </w:r>
      <w:r>
        <w:rPr>
          <w:rFonts w:hint="eastAsia" w:ascii="楷体" w:hAnsi="楷体" w:eastAsia="楷体" w:cs="Calibri"/>
          <w:color w:val="auto"/>
          <w:sz w:val="21"/>
          <w:szCs w:val="21"/>
          <w:highlight w:val="none"/>
          <w:lang w:val="en-US" w:eastAsia="zh-CN"/>
        </w:rPr>
        <w:t>单位</w:t>
      </w:r>
      <w:r>
        <w:rPr>
          <w:rFonts w:hint="eastAsia" w:ascii="楷体" w:hAnsi="楷体" w:eastAsia="楷体" w:cs="Calibri"/>
          <w:color w:val="auto"/>
          <w:sz w:val="21"/>
          <w:szCs w:val="21"/>
          <w:highlight w:val="none"/>
        </w:rPr>
        <w:t>净值进行理财产品申购、赎回和终止时分配。</w:t>
      </w:r>
    </w:p>
    <w:p>
      <w:pPr>
        <w:numPr>
          <w:ilvl w:val="0"/>
          <w:numId w:val="8"/>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lang w:val="en-US" w:eastAsia="zh-CN"/>
        </w:rPr>
        <w:t>流动性受限资产：</w:t>
      </w:r>
      <w:r>
        <w:rPr>
          <w:rFonts w:hint="eastAsia" w:ascii="楷体" w:hAnsi="楷体" w:eastAsia="楷体" w:cs="Calibri"/>
          <w:kern w:val="2"/>
          <w:sz w:val="21"/>
          <w:szCs w:val="21"/>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r>
        <w:rPr>
          <w:rFonts w:hint="eastAsia" w:ascii="楷体" w:hAnsi="楷体" w:eastAsia="楷体" w:cs="Calibri"/>
          <w:kern w:val="2"/>
          <w:sz w:val="21"/>
          <w:szCs w:val="21"/>
          <w:lang w:val="en-US" w:eastAsia="zh-CN"/>
        </w:rPr>
        <w:t>法律法规或监管机构另有规定的，从其规定。</w:t>
      </w:r>
    </w:p>
    <w:p>
      <w:pPr>
        <w:numPr>
          <w:ilvl w:val="0"/>
          <w:numId w:val="8"/>
        </w:numPr>
        <w:tabs>
          <w:tab w:val="left" w:pos="851"/>
        </w:tabs>
        <w:ind w:left="0" w:firstLine="420" w:firstLineChars="200"/>
        <w:rPr>
          <w:rFonts w:hint="eastAsia" w:ascii="楷体" w:hAnsi="楷体" w:eastAsia="楷体" w:cs="Calibri"/>
          <w:color w:val="auto"/>
          <w:sz w:val="21"/>
          <w:szCs w:val="21"/>
        </w:rPr>
      </w:pPr>
      <w:r>
        <w:rPr>
          <w:rFonts w:hint="eastAsia" w:ascii="楷体" w:hAnsi="楷体" w:eastAsia="楷体" w:cs="Calibri"/>
          <w:kern w:val="2"/>
          <w:sz w:val="21"/>
          <w:szCs w:val="21"/>
        </w:rPr>
        <w:t>7个工作日可变现资产</w:t>
      </w:r>
      <w:r>
        <w:rPr>
          <w:rFonts w:hint="eastAsia" w:ascii="楷体" w:hAnsi="楷体" w:eastAsia="楷体" w:cs="Calibri"/>
          <w:kern w:val="2"/>
          <w:sz w:val="21"/>
          <w:szCs w:val="21"/>
          <w:lang w:eastAsia="zh-CN"/>
        </w:rPr>
        <w:t>：</w:t>
      </w:r>
      <w:r>
        <w:rPr>
          <w:rFonts w:hint="eastAsia" w:ascii="楷体" w:hAnsi="楷体" w:eastAsia="楷体" w:cs="Calibri"/>
          <w:kern w:val="2"/>
          <w:sz w:val="21"/>
          <w:szCs w:val="21"/>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7"/>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期间与日期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工作日：指国家法定工作日。</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交易日：</w:t>
      </w:r>
      <w:r>
        <w:rPr>
          <w:rFonts w:ascii="楷体" w:hAnsi="楷体" w:eastAsia="楷体" w:cs="Calibri"/>
          <w:color w:val="auto"/>
          <w:sz w:val="21"/>
          <w:szCs w:val="21"/>
        </w:rPr>
        <w:t>指上海证券交易所和深圳证券交易所的正常开盘交易日</w:t>
      </w:r>
      <w:r>
        <w:rPr>
          <w:rFonts w:hint="eastAsia" w:ascii="楷体" w:hAnsi="楷体" w:eastAsia="楷体" w:cs="Calibri"/>
          <w:color w:val="auto"/>
          <w:sz w:val="21"/>
          <w:szCs w:val="21"/>
        </w:rPr>
        <w:t>。</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份额登记日/份额确认日：指管理人对投资者提交的认购</w:t>
      </w:r>
      <w:r>
        <w:rPr>
          <w:rFonts w:hint="eastAsia" w:ascii="楷体" w:hAnsi="楷体" w:eastAsia="楷体" w:cs="Calibri"/>
          <w:color w:val="auto"/>
          <w:sz w:val="21"/>
          <w:szCs w:val="21"/>
          <w:lang w:val="en-US" w:eastAsia="zh-CN"/>
        </w:rPr>
        <w:t>/申购</w:t>
      </w:r>
      <w:r>
        <w:rPr>
          <w:rFonts w:hint="eastAsia" w:ascii="楷体" w:hAnsi="楷体" w:eastAsia="楷体" w:cs="Calibri"/>
          <w:color w:val="auto"/>
          <w:sz w:val="21"/>
          <w:szCs w:val="21"/>
        </w:rPr>
        <w:t>申请进行份额登记的日期。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终止日/到期日：指本产品终止的日期。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估值日：指产品管理人对理财产品项下资产进行估值的日期。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产品存续期：指自理财产品成立日起，至理财产品终止日的期间。</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投资管理</w:t>
      </w:r>
    </w:p>
    <w:p>
      <w:pPr>
        <w:numPr>
          <w:ilvl w:val="0"/>
          <w:numId w:val="10"/>
        </w:numPr>
        <w:tabs>
          <w:tab w:val="left" w:pos="993"/>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投资范围和比例</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本理财产品直接或间接投资于货币市场工具、债券、非标准化债权类资产和监管机构允许投资的其他资产（如纳入权益类资产核算的永续债等，不含金融衍生品）。具体资产投资比例为：货币市场工具、债券、非标准化债权类资产等固定收益类资产占产品资产总值比例80%-100%，其中非标准化债权类资产合计投资比例不高于产品净资产50%，非标准化债权类资产底层资产仅为消费类贷款债权资产；符合监管要求的其他资产占产品资产总值比例0%-20%。</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10"/>
        </w:numPr>
        <w:tabs>
          <w:tab w:val="left" w:pos="993"/>
        </w:tabs>
        <w:ind w:left="0" w:firstLine="420" w:firstLineChars="20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拟投资</w:t>
      </w:r>
      <w:r>
        <w:rPr>
          <w:rFonts w:hint="eastAsia" w:ascii="楷体" w:hAnsi="楷体" w:eastAsia="楷体" w:cs="Calibri"/>
          <w:b w:val="0"/>
          <w:bCs w:val="0"/>
          <w:color w:val="auto"/>
          <w:sz w:val="21"/>
          <w:szCs w:val="21"/>
          <w:highlight w:val="none"/>
          <w:u w:val="none"/>
        </w:rPr>
        <w:t>非标准化债权类资产</w:t>
      </w:r>
    </w:p>
    <w:p>
      <w:pPr>
        <w:ind w:firstLine="420" w:firstLineChars="200"/>
        <w:rPr>
          <w:rFonts w:hint="eastAsia" w:ascii="楷体" w:hAnsi="楷体" w:eastAsia="楷体"/>
          <w:b w:val="0"/>
          <w:bCs/>
          <w:color w:val="auto"/>
          <w:sz w:val="21"/>
          <w:szCs w:val="21"/>
          <w:highlight w:val="none"/>
          <w:u w:val="none"/>
        </w:rPr>
      </w:pPr>
      <w:r>
        <w:rPr>
          <w:rFonts w:hint="eastAsia" w:ascii="楷体" w:hAnsi="楷体" w:eastAsia="楷体"/>
          <w:b w:val="0"/>
          <w:bCs/>
          <w:color w:val="auto"/>
          <w:sz w:val="21"/>
          <w:szCs w:val="21"/>
          <w:highlight w:val="none"/>
          <w:u w:val="none"/>
        </w:rPr>
        <w:t>本产品计划配置以下</w:t>
      </w:r>
      <w:r>
        <w:rPr>
          <w:rFonts w:ascii="楷体" w:hAnsi="楷体" w:eastAsia="楷体"/>
          <w:b w:val="0"/>
          <w:bCs/>
          <w:color w:val="auto"/>
          <w:sz w:val="21"/>
          <w:szCs w:val="21"/>
          <w:highlight w:val="none"/>
          <w:u w:val="none"/>
        </w:rPr>
        <w:t>备选</w:t>
      </w:r>
      <w:r>
        <w:rPr>
          <w:rFonts w:hint="eastAsia" w:ascii="楷体" w:hAnsi="楷体" w:eastAsia="楷体"/>
          <w:b w:val="0"/>
          <w:bCs/>
          <w:color w:val="auto"/>
          <w:sz w:val="21"/>
          <w:szCs w:val="21"/>
          <w:highlight w:val="none"/>
          <w:u w:val="none"/>
        </w:rPr>
        <w:t>非标准化债权类资产：</w:t>
      </w:r>
    </w:p>
    <w:p>
      <w:pPr>
        <w:numPr>
          <w:ilvl w:val="0"/>
          <w:numId w:val="0"/>
        </w:numPr>
        <w:ind w:left="0" w:leftChars="0" w:firstLine="420" w:firstLineChars="200"/>
        <w:rPr>
          <w:rFonts w:hint="default" w:ascii="楷体" w:hAnsi="楷体" w:eastAsia="楷体" w:cs="Times New Roman"/>
          <w:bCs/>
          <w:color w:val="auto"/>
          <w:sz w:val="21"/>
          <w:szCs w:val="21"/>
          <w:highlight w:val="none"/>
          <w:u w:val="none"/>
          <w:lang w:val="en-US" w:eastAsia="zh-CN"/>
        </w:rPr>
      </w:pPr>
      <w:r>
        <w:rPr>
          <w:rFonts w:hint="default" w:ascii="楷体" w:hAnsi="楷体" w:eastAsia="楷体" w:cs="Times New Roman"/>
          <w:bCs/>
          <w:color w:val="auto"/>
          <w:sz w:val="21"/>
          <w:szCs w:val="21"/>
          <w:highlight w:val="none"/>
          <w:u w:val="none"/>
          <w:lang w:val="en-US" w:eastAsia="zh-CN"/>
        </w:rPr>
        <w:t>（1）信托贷款：资产类型为信托公司设立的信托计划，底层资产为个人贷款债权，该类资产由蚂蚁、微信、抖音、京东、度小满、网商银行等公司与信托公司双重审核、信托公司自主风控后发放，资产运行正常。（2）债权投资计划和资产支持计划：资产类型为保险资产管理公司设立的资产支持计划受益凭证，底层资产为个人贷款债权，该类资产由蚂蚁、微信、抖音、京东、度小满等公司与信托公司双重审核、信托公司自主风控后发放，资产运行正常。</w:t>
      </w:r>
    </w:p>
    <w:p>
      <w:pPr>
        <w:numPr>
          <w:ilvl w:val="0"/>
          <w:numId w:val="0"/>
        </w:numPr>
        <w:ind w:left="0" w:leftChars="0" w:firstLine="420" w:firstLineChars="200"/>
        <w:rPr>
          <w:rFonts w:hint="default" w:ascii="楷体" w:hAnsi="楷体" w:eastAsia="楷体" w:cs="楷体"/>
          <w:b/>
          <w:bCs/>
          <w:kern w:val="2"/>
          <w:sz w:val="21"/>
          <w:szCs w:val="21"/>
          <w:u w:val="single"/>
          <w:lang w:val="en-US" w:eastAsia="zh-CN" w:bidi="ar-SA"/>
        </w:rPr>
      </w:pPr>
      <w:r>
        <w:rPr>
          <w:rFonts w:hint="eastAsia" w:ascii="楷体" w:hAnsi="楷体" w:eastAsia="楷体" w:cs="Times New Roman"/>
          <w:bCs/>
          <w:color w:val="auto"/>
          <w:sz w:val="21"/>
          <w:szCs w:val="21"/>
          <w:highlight w:val="none"/>
          <w:u w:val="none"/>
          <w:lang w:eastAsia="zh-CN"/>
        </w:rPr>
        <w:t>（1）-（2）各资产到期日不超过理财产品</w:t>
      </w:r>
      <w:r>
        <w:rPr>
          <w:rFonts w:hint="eastAsia" w:ascii="楷体" w:hAnsi="楷体" w:eastAsia="楷体" w:cs="Times New Roman"/>
          <w:bCs/>
          <w:color w:val="auto"/>
          <w:sz w:val="21"/>
          <w:szCs w:val="21"/>
          <w:highlight w:val="none"/>
          <w:u w:val="none"/>
          <w:lang w:val="en-US" w:eastAsia="zh-CN"/>
        </w:rPr>
        <w:t>到期日</w:t>
      </w:r>
      <w:r>
        <w:rPr>
          <w:rFonts w:hint="eastAsia" w:ascii="楷体" w:hAnsi="楷体" w:eastAsia="楷体" w:cs="Times New Roman"/>
          <w:bCs/>
          <w:color w:val="auto"/>
          <w:sz w:val="21"/>
          <w:szCs w:val="21"/>
          <w:highlight w:val="none"/>
          <w:u w:val="none"/>
          <w:lang w:eastAsia="zh-CN"/>
        </w:rPr>
        <w:t>，循环期不还本、摊还期过手摊还本息</w:t>
      </w:r>
      <w:r>
        <w:rPr>
          <w:rFonts w:hint="eastAsia" w:ascii="楷体" w:hAnsi="楷体" w:eastAsia="楷体" w:cs="Times New Roman"/>
          <w:bCs/>
          <w:color w:val="auto"/>
          <w:sz w:val="21"/>
          <w:szCs w:val="21"/>
          <w:highlight w:val="none"/>
          <w:u w:val="none"/>
          <w:lang w:val="en-US" w:eastAsia="zh-CN"/>
        </w:rPr>
        <w:t xml:space="preserve">。  </w:t>
      </w:r>
      <w:r>
        <w:rPr>
          <w:rFonts w:hint="eastAsia" w:ascii="楷体" w:hAnsi="楷体" w:eastAsia="楷体" w:cs="楷体"/>
          <w:b w:val="0"/>
          <w:bCs w:val="0"/>
          <w:kern w:val="2"/>
          <w:sz w:val="21"/>
          <w:szCs w:val="21"/>
          <w:u w:val="none"/>
          <w:lang w:val="en-US" w:eastAsia="zh-CN" w:bidi="ar-SA"/>
        </w:rPr>
        <w:t xml:space="preserve"> </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产品存续期内若本理财产品投资的个人贷款债权资产有所调整，管理人将选择优质企业作为融资人，且融资项目已履行管理人内部审批流程，融资人业务经营正常，融资项目还款来源明确，并在本理财产品的定期报告中披露。</w:t>
      </w:r>
      <w:bookmarkStart w:id="1" w:name="_GoBack"/>
      <w:bookmarkEnd w:id="1"/>
    </w:p>
    <w:p>
      <w:pPr>
        <w:numPr>
          <w:ilvl w:val="0"/>
          <w:numId w:val="1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投资集中度限制</w:t>
      </w:r>
    </w:p>
    <w:p>
      <w:pPr>
        <w:numPr>
          <w:ilvl w:val="0"/>
          <w:numId w:val="11"/>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w:t>
      </w:r>
      <w:r>
        <w:rPr>
          <w:rFonts w:hint="eastAsia" w:ascii="楷体" w:hAnsi="楷体" w:eastAsia="楷体" w:cs="Calibri"/>
          <w:color w:val="auto"/>
          <w:sz w:val="21"/>
          <w:szCs w:val="21"/>
          <w:lang w:val="en-US" w:eastAsia="zh-CN"/>
        </w:rPr>
        <w:t>投资</w:t>
      </w:r>
      <w:r>
        <w:rPr>
          <w:rFonts w:hint="eastAsia" w:ascii="楷体" w:hAnsi="楷体" w:eastAsia="楷体" w:cs="Calibri"/>
          <w:color w:val="auto"/>
          <w:sz w:val="21"/>
          <w:szCs w:val="21"/>
        </w:rPr>
        <w:t>单只证券或者单只证券投资基金的市值不得超过</w:t>
      </w:r>
      <w:r>
        <w:rPr>
          <w:rFonts w:hint="eastAsia" w:ascii="楷体" w:hAnsi="楷体" w:eastAsia="楷体" w:cs="Calibri"/>
          <w:color w:val="auto"/>
          <w:sz w:val="21"/>
          <w:szCs w:val="21"/>
          <w:lang w:val="en-US" w:eastAsia="zh-CN"/>
        </w:rPr>
        <w:t>本</w:t>
      </w:r>
      <w:r>
        <w:rPr>
          <w:rFonts w:hint="eastAsia" w:ascii="楷体" w:hAnsi="楷体" w:eastAsia="楷体" w:cs="Calibri"/>
          <w:color w:val="auto"/>
          <w:sz w:val="21"/>
          <w:szCs w:val="21"/>
        </w:rPr>
        <w:t>产品净资产的</w:t>
      </w:r>
      <w:r>
        <w:rPr>
          <w:rFonts w:ascii="楷体" w:hAnsi="楷体" w:eastAsia="楷体" w:cs="Calibri"/>
          <w:color w:val="auto"/>
          <w:sz w:val="21"/>
          <w:szCs w:val="21"/>
        </w:rPr>
        <w:t>10%</w:t>
      </w:r>
      <w:r>
        <w:rPr>
          <w:rFonts w:hint="eastAsia" w:ascii="楷体" w:hAnsi="楷体" w:eastAsia="楷体" w:cs="Calibri"/>
          <w:color w:val="auto"/>
          <w:sz w:val="21"/>
          <w:szCs w:val="21"/>
        </w:rPr>
        <w:t>。</w:t>
      </w:r>
    </w:p>
    <w:p>
      <w:pPr>
        <w:numPr>
          <w:ilvl w:val="0"/>
          <w:numId w:val="11"/>
        </w:numPr>
        <w:tabs>
          <w:tab w:val="left" w:pos="728"/>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管理人</w:t>
      </w:r>
      <w:r>
        <w:rPr>
          <w:rFonts w:hint="eastAsia" w:ascii="楷体" w:hAnsi="楷体" w:eastAsia="楷体" w:cs="Calibri"/>
          <w:color w:val="auto"/>
          <w:sz w:val="21"/>
          <w:szCs w:val="21"/>
          <w:highlight w:val="none"/>
          <w:lang w:val="en-US" w:eastAsia="zh-CN"/>
        </w:rPr>
        <w:t>发行的</w:t>
      </w:r>
      <w:r>
        <w:rPr>
          <w:rFonts w:hint="eastAsia" w:ascii="楷体" w:hAnsi="楷体" w:eastAsia="楷体" w:cs="Calibri"/>
          <w:color w:val="auto"/>
          <w:sz w:val="21"/>
          <w:szCs w:val="21"/>
          <w:highlight w:val="none"/>
        </w:rPr>
        <w:t>全部公募产品</w:t>
      </w:r>
      <w:r>
        <w:rPr>
          <w:rFonts w:hint="eastAsia" w:ascii="楷体" w:hAnsi="楷体" w:eastAsia="楷体" w:cs="Calibri"/>
          <w:color w:val="auto"/>
          <w:sz w:val="21"/>
          <w:szCs w:val="21"/>
          <w:highlight w:val="none"/>
          <w:lang w:val="en-US" w:eastAsia="zh-CN"/>
        </w:rPr>
        <w:t>投资</w:t>
      </w:r>
      <w:r>
        <w:rPr>
          <w:rFonts w:hint="eastAsia" w:ascii="楷体" w:hAnsi="楷体" w:eastAsia="楷体" w:cs="Calibri"/>
          <w:color w:val="auto"/>
          <w:sz w:val="21"/>
          <w:szCs w:val="21"/>
          <w:highlight w:val="none"/>
        </w:rPr>
        <w:t>单只证券或单只证券投资基金的市值，不得超过该证券市值或该证券投资基金市值的</w:t>
      </w:r>
      <w:r>
        <w:rPr>
          <w:rFonts w:ascii="楷体" w:hAnsi="楷体" w:eastAsia="楷体" w:cs="Calibri"/>
          <w:color w:val="auto"/>
          <w:sz w:val="21"/>
          <w:szCs w:val="21"/>
          <w:highlight w:val="none"/>
        </w:rPr>
        <w:t>30%</w:t>
      </w:r>
      <w:r>
        <w:rPr>
          <w:rFonts w:hint="eastAsia" w:ascii="楷体" w:hAnsi="楷体" w:eastAsia="楷体" w:cs="Calibri"/>
          <w:color w:val="auto"/>
          <w:sz w:val="21"/>
          <w:szCs w:val="21"/>
          <w:highlight w:val="none"/>
        </w:rPr>
        <w:t>。</w:t>
      </w:r>
    </w:p>
    <w:p>
      <w:pPr>
        <w:numPr>
          <w:ilvl w:val="0"/>
          <w:numId w:val="11"/>
        </w:numPr>
        <w:tabs>
          <w:tab w:val="left" w:pos="728"/>
        </w:tabs>
        <w:ind w:left="0" w:firstLine="420" w:firstLineChars="200"/>
        <w:rPr>
          <w:rFonts w:ascii="楷体" w:hAnsi="楷体" w:eastAsia="楷体" w:cs="Calibri"/>
          <w:color w:val="auto"/>
          <w:sz w:val="21"/>
          <w:szCs w:val="21"/>
          <w:highlight w:val="none"/>
        </w:rPr>
      </w:pPr>
      <w:r>
        <w:rPr>
          <w:rFonts w:hint="eastAsia" w:ascii="楷体" w:hAnsi="楷体" w:eastAsia="楷体" w:cs="Calibri"/>
          <w:sz w:val="21"/>
          <w:szCs w:val="21"/>
          <w:highlight w:val="none"/>
        </w:rPr>
        <w:t>管理人全部产品</w:t>
      </w:r>
      <w:r>
        <w:rPr>
          <w:rFonts w:hint="eastAsia" w:ascii="楷体" w:hAnsi="楷体" w:eastAsia="楷体" w:cs="Calibri"/>
          <w:sz w:val="21"/>
          <w:szCs w:val="21"/>
          <w:highlight w:val="none"/>
          <w:lang w:val="en-US" w:eastAsia="zh-CN"/>
        </w:rPr>
        <w:t>投资</w:t>
      </w:r>
      <w:r>
        <w:rPr>
          <w:rFonts w:hint="eastAsia" w:ascii="楷体" w:hAnsi="楷体" w:eastAsia="楷体" w:cs="Calibri"/>
          <w:sz w:val="21"/>
          <w:szCs w:val="21"/>
          <w:highlight w:val="none"/>
        </w:rPr>
        <w:t>单一上市公司发行的股票，不得超过该上市公司可流通股票的30%。</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金融监督管理部门另有规定的除外。非因管理人主观因素导致突破上述比例限制的，管理人在流动性受限资产可出售、可转让或者恢复交易的</w:t>
      </w:r>
      <w:r>
        <w:rPr>
          <w:rFonts w:ascii="楷体" w:hAnsi="楷体" w:eastAsia="楷体"/>
          <w:color w:val="auto"/>
          <w:sz w:val="21"/>
          <w:szCs w:val="21"/>
        </w:rPr>
        <w:t>1</w:t>
      </w:r>
      <w:r>
        <w:rPr>
          <w:rFonts w:hint="eastAsia" w:ascii="楷体" w:hAnsi="楷体" w:eastAsia="楷体"/>
          <w:color w:val="auto"/>
          <w:sz w:val="21"/>
          <w:szCs w:val="21"/>
        </w:rPr>
        <w:t>0个交易日内调整至符合要求。</w:t>
      </w:r>
    </w:p>
    <w:p>
      <w:pPr>
        <w:numPr>
          <w:ilvl w:val="0"/>
          <w:numId w:val="10"/>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杠杆水平限制</w:t>
      </w:r>
    </w:p>
    <w:p>
      <w:pPr>
        <w:ind w:firstLine="420" w:firstLineChars="200"/>
        <w:rPr>
          <w:rFonts w:hint="eastAsia" w:ascii="楷体" w:hAnsi="楷体" w:eastAsia="楷体"/>
          <w:color w:val="auto"/>
          <w:sz w:val="21"/>
          <w:szCs w:val="21"/>
        </w:rPr>
      </w:pPr>
      <w:r>
        <w:rPr>
          <w:rFonts w:hint="eastAsia" w:ascii="楷体" w:hAnsi="楷体" w:eastAsia="楷体"/>
          <w:sz w:val="21"/>
          <w:szCs w:val="21"/>
        </w:rPr>
        <w:t>本产品资产总值</w:t>
      </w:r>
      <w:r>
        <w:rPr>
          <w:rFonts w:hint="eastAsia" w:ascii="楷体" w:hAnsi="楷体" w:eastAsia="楷体"/>
          <w:color w:val="auto"/>
          <w:sz w:val="21"/>
          <w:szCs w:val="21"/>
        </w:rPr>
        <w:t>/</w:t>
      </w:r>
      <w:r>
        <w:rPr>
          <w:rFonts w:hint="eastAsia" w:ascii="楷体" w:hAnsi="楷体" w:eastAsia="楷体"/>
          <w:color w:val="auto"/>
          <w:sz w:val="21"/>
          <w:szCs w:val="21"/>
          <w:lang w:val="en-US" w:eastAsia="zh-CN"/>
        </w:rPr>
        <w:t>净资产</w:t>
      </w:r>
      <w:r>
        <w:rPr>
          <w:rFonts w:hint="eastAsia" w:ascii="楷体" w:hAnsi="楷体" w:eastAsia="楷体"/>
          <w:color w:val="auto"/>
          <w:sz w:val="21"/>
          <w:szCs w:val="21"/>
        </w:rPr>
        <w:t>不超过</w:t>
      </w:r>
      <w:r>
        <w:rPr>
          <w:rFonts w:ascii="楷体" w:hAnsi="楷体" w:eastAsia="楷体"/>
          <w:color w:val="auto"/>
          <w:sz w:val="21"/>
          <w:szCs w:val="21"/>
        </w:rPr>
        <w:t>15</w:t>
      </w:r>
      <w:r>
        <w:rPr>
          <w:rFonts w:hint="eastAsia" w:ascii="楷体" w:hAnsi="楷体" w:eastAsia="楷体"/>
          <w:color w:val="auto"/>
          <w:sz w:val="21"/>
          <w:szCs w:val="21"/>
        </w:rPr>
        <w:t>0%（如监管有最新规定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将</w:t>
      </w:r>
      <w:r>
        <w:rPr>
          <w:rFonts w:hint="eastAsia" w:ascii="楷体" w:hAnsi="楷体" w:eastAsia="楷体"/>
          <w:color w:val="auto"/>
          <w:sz w:val="21"/>
          <w:szCs w:val="21"/>
        </w:rPr>
        <w:t>参照监管规定调整）。</w:t>
      </w:r>
    </w:p>
    <w:p>
      <w:pPr>
        <w:numPr>
          <w:ilvl w:val="0"/>
          <w:numId w:val="1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投资范围调整</w:t>
      </w:r>
    </w:p>
    <w:p>
      <w:pPr>
        <w:numPr>
          <w:ilvl w:val="-1"/>
          <w:numId w:val="0"/>
        </w:numPr>
        <w:tabs>
          <w:tab w:val="left" w:pos="1134"/>
        </w:tabs>
        <w:ind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10"/>
        </w:numPr>
        <w:tabs>
          <w:tab w:val="left" w:pos="993"/>
        </w:tabs>
        <w:ind w:firstLine="0" w:firstLineChars="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highlight w:val="none"/>
          <w:lang w:val="en-US" w:eastAsia="zh-CN"/>
        </w:rPr>
        <w:t>投资合作机构</w:t>
      </w:r>
    </w:p>
    <w:p>
      <w:pPr>
        <w:numPr>
          <w:ilvl w:val="-1"/>
          <w:numId w:val="0"/>
        </w:num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投资合作机构主要职责是对理财产品受托资金进行投资管理，</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已按投资决策流程对投资合作机构进行了准入，并持续开展投资合作机构的存续期管理。本产品投资合作机构包括：</w:t>
      </w:r>
    </w:p>
    <w:p>
      <w:pPr>
        <w:ind w:firstLine="420" w:firstLineChars="200"/>
        <w:rPr>
          <w:rFonts w:hint="eastAsia" w:ascii="楷体" w:hAnsi="楷体" w:eastAsia="楷体"/>
          <w:sz w:val="21"/>
          <w:szCs w:val="21"/>
        </w:rPr>
      </w:pPr>
      <w:r>
        <w:rPr>
          <w:rFonts w:hint="default" w:ascii="Calibri" w:hAnsi="Calibri" w:eastAsia="楷体" w:cs="Calibri"/>
          <w:sz w:val="21"/>
          <w:szCs w:val="21"/>
        </w:rPr>
        <w:t>①</w:t>
      </w:r>
      <w:r>
        <w:rPr>
          <w:rFonts w:hint="eastAsia" w:ascii="楷体" w:hAnsi="楷体" w:eastAsia="楷体"/>
          <w:sz w:val="21"/>
          <w:szCs w:val="21"/>
        </w:rPr>
        <w:t>弘业期货股份有限公司</w:t>
      </w:r>
      <w:r>
        <w:rPr>
          <w:rFonts w:hint="eastAsia" w:ascii="楷体" w:hAnsi="楷体" w:eastAsia="楷体"/>
          <w:sz w:val="21"/>
          <w:szCs w:val="21"/>
          <w:lang w:eastAsia="zh-CN"/>
        </w:rPr>
        <w:t>：</w:t>
      </w:r>
      <w:r>
        <w:rPr>
          <w:rFonts w:hint="eastAsia" w:ascii="楷体" w:hAnsi="楷体" w:eastAsia="楷体"/>
          <w:sz w:val="21"/>
          <w:szCs w:val="21"/>
        </w:rPr>
        <w:t>弘业期货股份有限公司是经中国证监会批准设立的大型期货公司，总部位于江苏南京，公司在北京、上海、深圳等国内主要金融中心和重点城市设立40多家营业部和分公司</w:t>
      </w:r>
      <w:r>
        <w:rPr>
          <w:rFonts w:hint="eastAsia" w:ascii="楷体" w:hAnsi="楷体" w:eastAsia="楷体"/>
          <w:sz w:val="21"/>
          <w:szCs w:val="21"/>
          <w:lang w:eastAsia="zh-CN"/>
        </w:rPr>
        <w:t>。</w:t>
      </w:r>
      <w:r>
        <w:rPr>
          <w:rFonts w:hint="default" w:ascii="Calibri" w:hAnsi="Calibri" w:eastAsia="楷体" w:cs="Calibri"/>
          <w:sz w:val="21"/>
          <w:szCs w:val="21"/>
          <w:lang w:eastAsia="zh-CN"/>
        </w:rPr>
        <w:t>②</w:t>
      </w:r>
      <w:r>
        <w:rPr>
          <w:rFonts w:hint="eastAsia" w:ascii="楷体" w:hAnsi="楷体" w:eastAsia="楷体"/>
          <w:sz w:val="21"/>
          <w:szCs w:val="21"/>
        </w:rPr>
        <w:t>江苏省国际信托有限责任公司</w:t>
      </w:r>
      <w:r>
        <w:rPr>
          <w:rFonts w:hint="eastAsia" w:ascii="楷体" w:hAnsi="楷体" w:eastAsia="楷体"/>
          <w:sz w:val="21"/>
          <w:szCs w:val="21"/>
          <w:lang w:eastAsia="zh-CN"/>
        </w:rPr>
        <w:t>：</w:t>
      </w:r>
      <w:r>
        <w:rPr>
          <w:rFonts w:hint="eastAsia" w:ascii="楷体" w:hAnsi="楷体" w:eastAsia="楷体"/>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sz w:val="21"/>
          <w:szCs w:val="21"/>
        </w:rPr>
        <w:t>③</w:t>
      </w:r>
      <w:r>
        <w:rPr>
          <w:rFonts w:hint="eastAsia" w:ascii="楷体" w:hAnsi="楷体" w:eastAsia="楷体"/>
          <w:sz w:val="21"/>
          <w:szCs w:val="21"/>
        </w:rPr>
        <w:t>创金合信基金管理有限公司</w:t>
      </w:r>
      <w:r>
        <w:rPr>
          <w:rFonts w:hint="eastAsia" w:ascii="楷体" w:hAnsi="楷体" w:eastAsia="楷体"/>
          <w:sz w:val="21"/>
          <w:szCs w:val="21"/>
          <w:lang w:eastAsia="zh-CN"/>
        </w:rPr>
        <w:t>：</w:t>
      </w:r>
      <w:r>
        <w:rPr>
          <w:rFonts w:hint="eastAsia" w:ascii="楷体" w:hAnsi="楷体" w:eastAsia="楷体"/>
          <w:sz w:val="21"/>
          <w:szCs w:val="21"/>
        </w:rPr>
        <w:t>创金合信基金管理有限公司成立于2014年7月9日，由第一创业证券股份有限公司、深圳市金合信投资合伙企业（有限合伙）共同发起设立，注册地为深圳。</w:t>
      </w:r>
      <w:r>
        <w:rPr>
          <w:rFonts w:hint="eastAsia" w:ascii="楷体" w:hAnsi="楷体" w:eastAsia="楷体" w:cs="楷体"/>
          <w:sz w:val="21"/>
          <w:szCs w:val="21"/>
        </w:rPr>
        <w:t>④</w:t>
      </w:r>
      <w:r>
        <w:rPr>
          <w:rFonts w:hint="eastAsia" w:ascii="楷体" w:hAnsi="楷体" w:eastAsia="楷体"/>
          <w:sz w:val="21"/>
          <w:szCs w:val="21"/>
        </w:rPr>
        <w:t>华鑫国际信托有限公司</w:t>
      </w:r>
      <w:r>
        <w:rPr>
          <w:rFonts w:hint="eastAsia" w:ascii="楷体" w:hAnsi="楷体" w:eastAsia="楷体"/>
          <w:sz w:val="21"/>
          <w:szCs w:val="21"/>
          <w:lang w:eastAsia="zh-CN"/>
        </w:rPr>
        <w:t>：</w:t>
      </w:r>
      <w:r>
        <w:rPr>
          <w:rFonts w:hint="eastAsia" w:ascii="楷体" w:hAnsi="楷体" w:eastAsia="楷体"/>
          <w:sz w:val="21"/>
          <w:szCs w:val="21"/>
        </w:rPr>
        <w:t>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cs="楷体"/>
          <w:sz w:val="21"/>
          <w:szCs w:val="21"/>
        </w:rPr>
        <w:t>⑤</w:t>
      </w:r>
      <w:r>
        <w:rPr>
          <w:rFonts w:hint="eastAsia" w:ascii="楷体" w:hAnsi="楷体" w:eastAsia="楷体"/>
          <w:sz w:val="21"/>
          <w:szCs w:val="21"/>
        </w:rPr>
        <w:t>中国国际金融股份有限公司</w:t>
      </w:r>
      <w:r>
        <w:rPr>
          <w:rFonts w:hint="eastAsia" w:ascii="楷体" w:hAnsi="楷体" w:eastAsia="楷体"/>
          <w:sz w:val="21"/>
          <w:szCs w:val="21"/>
          <w:lang w:eastAsia="zh-CN"/>
        </w:rPr>
        <w:t>：</w:t>
      </w:r>
      <w:r>
        <w:rPr>
          <w:rFonts w:hint="eastAsia" w:ascii="楷体" w:hAnsi="楷体" w:eastAsia="楷体"/>
          <w:sz w:val="21"/>
          <w:szCs w:val="21"/>
        </w:rPr>
        <w:t>中国国际金融股份有限公司于1995年7月31日成立，实际控制人为中央汇金投资有限责任公司，注册资本4,827,256,868元。</w:t>
      </w:r>
    </w:p>
    <w:p>
      <w:pPr>
        <w:ind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w:t>
      </w:r>
      <w:r>
        <w:rPr>
          <w:rFonts w:hint="eastAsia" w:ascii="楷体" w:hAnsi="楷体" w:eastAsia="楷体"/>
          <w:sz w:val="21"/>
          <w:szCs w:val="21"/>
          <w:highlight w:val="none"/>
          <w:lang w:val="en-US" w:eastAsia="zh-CN"/>
        </w:rPr>
        <w:t>披露</w:t>
      </w:r>
      <w:r>
        <w:rPr>
          <w:rFonts w:hint="eastAsia" w:ascii="楷体" w:hAnsi="楷体" w:eastAsia="楷体"/>
          <w:sz w:val="21"/>
          <w:szCs w:val="21"/>
          <w:highlight w:val="none"/>
        </w:rPr>
        <w:t>新增</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投资合作机构。</w:t>
      </w:r>
    </w:p>
    <w:p>
      <w:pPr>
        <w:numPr>
          <w:ilvl w:val="0"/>
          <w:numId w:val="6"/>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产品认购</w:t>
      </w:r>
    </w:p>
    <w:p>
      <w:pPr>
        <w:numPr>
          <w:ilvl w:val="0"/>
          <w:numId w:val="12"/>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1"/>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以及认购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12"/>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ind w:firstLine="420" w:firstLineChars="200"/>
        <w:rPr>
          <w:rFonts w:hint="eastAsia" w:ascii="楷体" w:hAnsi="楷体" w:eastAsia="楷体"/>
          <w:color w:val="auto"/>
          <w:sz w:val="21"/>
          <w:szCs w:val="21"/>
        </w:rPr>
      </w:pPr>
      <w:r>
        <w:rPr>
          <w:rFonts w:ascii="楷体" w:hAnsi="楷体" w:eastAsia="楷体"/>
          <w:color w:val="auto"/>
          <w:sz w:val="21"/>
          <w:szCs w:val="21"/>
        </w:rPr>
        <w:t>认购份额=</w:t>
      </w:r>
      <w:r>
        <w:rPr>
          <w:rFonts w:hint="eastAsia" w:ascii="楷体" w:hAnsi="楷体" w:eastAsia="楷体"/>
          <w:color w:val="auto"/>
          <w:sz w:val="21"/>
          <w:szCs w:val="21"/>
        </w:rPr>
        <w:t>认购金额</w:t>
      </w:r>
      <w:r>
        <w:rPr>
          <w:rFonts w:ascii="楷体" w:hAnsi="楷体" w:eastAsia="楷体"/>
          <w:color w:val="auto"/>
          <w:sz w:val="21"/>
          <w:szCs w:val="21"/>
        </w:rPr>
        <w:t>/</w:t>
      </w:r>
      <w:r>
        <w:rPr>
          <w:rFonts w:hint="eastAsia" w:ascii="楷体" w:hAnsi="楷体" w:eastAsia="楷体"/>
          <w:color w:val="auto"/>
          <w:sz w:val="21"/>
          <w:szCs w:val="21"/>
        </w:rPr>
        <w:t>产品</w:t>
      </w:r>
      <w:r>
        <w:rPr>
          <w:rFonts w:hint="eastAsia" w:ascii="楷体" w:hAnsi="楷体" w:eastAsia="楷体"/>
          <w:color w:val="auto"/>
          <w:sz w:val="21"/>
          <w:szCs w:val="21"/>
          <w:lang w:val="en-US" w:eastAsia="zh-CN"/>
        </w:rPr>
        <w:t>份额面值，</w:t>
      </w:r>
      <w:r>
        <w:rPr>
          <w:rFonts w:ascii="楷体" w:hAnsi="楷体" w:eastAsia="楷体"/>
          <w:color w:val="auto"/>
          <w:sz w:val="21"/>
          <w:szCs w:val="21"/>
        </w:rPr>
        <w:t>认购份额</w:t>
      </w:r>
      <w:r>
        <w:rPr>
          <w:rFonts w:hint="eastAsia" w:ascii="楷体" w:hAnsi="楷体" w:eastAsia="楷体"/>
          <w:color w:val="auto"/>
          <w:sz w:val="21"/>
          <w:szCs w:val="21"/>
        </w:rPr>
        <w:t>以四舍五入的方法保留到小数点后两位。</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产品终止</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提前终止</w:t>
      </w:r>
    </w:p>
    <w:p>
      <w:pPr>
        <w:numPr>
          <w:ilvl w:val="-1"/>
          <w:numId w:val="0"/>
        </w:numPr>
        <w:ind w:left="0" w:firstLine="420" w:firstLineChars="200"/>
        <w:rPr>
          <w:rFonts w:hint="eastAsia" w:ascii="楷体" w:hAnsi="楷体" w:eastAsia="楷体"/>
          <w:color w:val="auto"/>
          <w:sz w:val="21"/>
          <w:szCs w:val="21"/>
        </w:rPr>
      </w:pPr>
      <w:r>
        <w:rPr>
          <w:rFonts w:hint="eastAsia" w:ascii="楷体" w:hAnsi="楷体" w:eastAsia="楷体" w:cs="Calibri"/>
          <w:color w:val="auto"/>
          <w:sz w:val="21"/>
          <w:szCs w:val="21"/>
        </w:rPr>
        <w:t>在理财产品投资运作期间内，投资者无权要求提前终止该理财产品。在理财产品投资运作期间内，当出现下列情形之一时，产品管理人有权提前终止本产品：因不可抗力原因导致理财产品无法继续运作；因法律法规变化或国家金融政策调整、紧急措施出台影响产品继续正常运作；法律法规规定或监管部门认定的其他情形。</w:t>
      </w:r>
      <w:r>
        <w:rPr>
          <w:rFonts w:hint="eastAsia" w:ascii="楷体" w:hAnsi="楷体" w:eastAsia="楷体"/>
          <w:color w:val="auto"/>
          <w:sz w:val="21"/>
          <w:szCs w:val="21"/>
        </w:rPr>
        <w:t>如理财产品管理人提前终止本理财产品，将至少提前2个工作日（含）按说明书约定的信息披露方式予以披露</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明确产品终止日</w:t>
      </w:r>
      <w:r>
        <w:rPr>
          <w:rFonts w:hint="eastAsia" w:ascii="楷体" w:hAnsi="楷体" w:eastAsia="楷体"/>
          <w:color w:val="auto"/>
          <w:sz w:val="21"/>
          <w:szCs w:val="21"/>
        </w:rPr>
        <w:t>。</w:t>
      </w:r>
    </w:p>
    <w:p>
      <w:pPr>
        <w:numPr>
          <w:ilvl w:val="0"/>
          <w:numId w:val="13"/>
        </w:numPr>
        <w:tabs>
          <w:tab w:val="left" w:pos="993"/>
        </w:tabs>
        <w:ind w:left="0" w:firstLine="420" w:firstLineChars="200"/>
        <w:rPr>
          <w:rFonts w:hint="eastAsia" w:ascii="楷体" w:hAnsi="楷体" w:eastAsia="楷体" w:cs="Calibri"/>
          <w:b w:val="0"/>
          <w:color w:val="auto"/>
          <w:sz w:val="21"/>
          <w:szCs w:val="21"/>
        </w:rPr>
      </w:pPr>
      <w:r>
        <w:rPr>
          <w:rFonts w:hint="eastAsia" w:ascii="楷体" w:hAnsi="楷体" w:eastAsia="楷体" w:cs="Calibri"/>
          <w:b w:val="0"/>
          <w:color w:val="auto"/>
          <w:sz w:val="21"/>
          <w:szCs w:val="21"/>
          <w:lang w:val="en-US" w:eastAsia="zh-CN"/>
        </w:rPr>
        <w:t>正常终止</w:t>
      </w:r>
    </w:p>
    <w:p>
      <w:pPr>
        <w:ind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投资者持有本理财产品至产品到期日，投资者的投资本金和收益（如有）将在产品到期后一次性支付。</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ind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出现以下情况，产品管理人有权延长本理财产品的终止日：产品终止日遇非工作日则顺延至下一工作日，投资者清算资金到账日将相应调整；因不可抗力、市场发生重大变化等原因导致产品项下对应的投资标的无法及时变现、无法及时收回资金；法律法规规定或监管部门认定的其他情形。产品管理人决定延期兑付的，将至少提前2个工作日（含）按说明书约定的信息披露方式予以披露</w:t>
      </w:r>
      <w:r>
        <w:rPr>
          <w:rFonts w:hint="eastAsia" w:ascii="楷体" w:hAnsi="楷体" w:eastAsia="楷体" w:cs="Calibri"/>
          <w:color w:val="auto"/>
          <w:sz w:val="21"/>
          <w:szCs w:val="21"/>
          <w:lang w:eastAsia="zh-CN"/>
        </w:rPr>
        <w:t>，</w:t>
      </w:r>
      <w:r>
        <w:rPr>
          <w:rFonts w:hint="eastAsia" w:ascii="楷体" w:hAnsi="楷体" w:eastAsia="楷体"/>
          <w:color w:val="auto"/>
          <w:sz w:val="21"/>
          <w:szCs w:val="21"/>
          <w:lang w:val="en-US" w:eastAsia="zh-CN"/>
        </w:rPr>
        <w:t>明确产品终止日</w:t>
      </w:r>
      <w:r>
        <w:rPr>
          <w:rFonts w:hint="eastAsia" w:ascii="楷体" w:hAnsi="楷体" w:eastAsia="楷体" w:cs="Calibri"/>
          <w:color w:val="auto"/>
          <w:sz w:val="21"/>
          <w:szCs w:val="21"/>
        </w:rPr>
        <w:t>。</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投资者可得资金=投资者持有份额×产品到期</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终止）</w:t>
      </w:r>
      <w:r>
        <w:rPr>
          <w:rFonts w:hint="eastAsia" w:ascii="楷体" w:hAnsi="楷体" w:eastAsia="楷体"/>
          <w:color w:val="auto"/>
          <w:sz w:val="21"/>
          <w:szCs w:val="21"/>
        </w:rPr>
        <w:t>时单位净值</w:t>
      </w:r>
      <w:r>
        <w:rPr>
          <w:rFonts w:hint="eastAsia" w:ascii="楷体" w:hAnsi="楷体" w:eastAsia="楷体"/>
          <w:color w:val="auto"/>
          <w:sz w:val="21"/>
          <w:szCs w:val="21"/>
          <w:lang w:eastAsia="zh-CN"/>
        </w:rPr>
        <w:t>，</w:t>
      </w:r>
      <w:r>
        <w:rPr>
          <w:rFonts w:hint="eastAsia" w:ascii="楷体" w:hAnsi="楷体" w:eastAsia="楷体"/>
          <w:color w:val="auto"/>
          <w:sz w:val="21"/>
          <w:szCs w:val="21"/>
        </w:rPr>
        <w:t>投资者可得资金以四舍五入的方法保留到小数点后两位。</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lang w:val="en-US" w:eastAsia="zh-CN"/>
        </w:rPr>
        <w:t>终止</w:t>
      </w:r>
      <w:r>
        <w:rPr>
          <w:rFonts w:hint="eastAsia" w:ascii="楷体" w:hAnsi="楷体" w:eastAsia="楷体" w:cs="Calibri"/>
          <w:color w:val="auto"/>
          <w:sz w:val="21"/>
          <w:szCs w:val="21"/>
        </w:rPr>
        <w:t>清算</w:t>
      </w:r>
    </w:p>
    <w:p>
      <w:pPr>
        <w:ind w:firstLine="420" w:firstLineChars="200"/>
        <w:rPr>
          <w:rFonts w:hint="eastAsia"/>
        </w:rPr>
      </w:pPr>
      <w:r>
        <w:rPr>
          <w:rFonts w:hint="eastAsia" w:ascii="楷体" w:hAnsi="楷体" w:eastAsia="楷体" w:cs="Calibri"/>
          <w:color w:val="auto"/>
          <w:sz w:val="21"/>
          <w:szCs w:val="21"/>
        </w:rPr>
        <w:t>投资者的投资本金和收益（如有）将于产品到期日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后5个工作日以内划至投资者指定账户，如遇法定节假日或公休日则相应顺延。产品到期日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至资金实际到账日之间，投资者资金不计息。</w:t>
      </w:r>
    </w:p>
    <w:p>
      <w:pPr>
        <w:numPr>
          <w:ilvl w:val="0"/>
          <w:numId w:val="6"/>
        </w:numPr>
        <w:tabs>
          <w:tab w:val="left" w:pos="1134"/>
        </w:tabs>
        <w:ind w:left="420" w:leftChars="0" w:firstLine="0" w:firstLineChars="0"/>
        <w:rPr>
          <w:rFonts w:hint="eastAsia" w:ascii="楷体" w:hAnsi="楷体" w:eastAsia="楷体"/>
          <w:b/>
          <w:color w:val="auto"/>
          <w:sz w:val="21"/>
          <w:szCs w:val="21"/>
          <w:lang w:val="en-US" w:eastAsia="zh-CN"/>
        </w:rPr>
      </w:pPr>
      <w:r>
        <w:rPr>
          <w:rFonts w:hint="eastAsia" w:ascii="楷体" w:hAnsi="楷体" w:eastAsia="楷体"/>
          <w:b/>
          <w:color w:val="auto"/>
          <w:sz w:val="21"/>
          <w:szCs w:val="21"/>
          <w:lang w:val="en-US" w:eastAsia="zh-CN"/>
        </w:rPr>
        <w:t>情景示例</w:t>
      </w:r>
      <w:r>
        <w:rPr>
          <w:rFonts w:hint="eastAsia" w:ascii="楷体" w:hAnsi="楷体" w:eastAsia="楷体"/>
          <w:b/>
          <w:color w:val="auto"/>
          <w:sz w:val="21"/>
          <w:szCs w:val="21"/>
          <w:lang w:eastAsia="zh-CN"/>
        </w:rPr>
        <w:t>：</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1.04</w:t>
      </w:r>
      <w:r>
        <w:rPr>
          <w:rFonts w:hint="eastAsia" w:ascii="楷体" w:hAnsi="楷体" w:eastAsia="楷体"/>
          <w:color w:val="auto"/>
          <w:sz w:val="21"/>
          <w:szCs w:val="21"/>
          <w:lang w:val="en-US" w:eastAsia="zh-CN"/>
        </w:rPr>
        <w:t>5503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1.04</w:t>
      </w:r>
      <w:r>
        <w:rPr>
          <w:rFonts w:hint="eastAsia" w:ascii="楷体" w:hAnsi="楷体" w:eastAsia="楷体"/>
          <w:color w:val="auto"/>
          <w:sz w:val="21"/>
          <w:szCs w:val="21"/>
          <w:lang w:val="en-US" w:eastAsia="zh-CN"/>
        </w:rPr>
        <w:t>5503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ascii="楷体" w:hAnsi="楷体" w:eastAsia="楷体"/>
          <w:color w:val="auto"/>
          <w:sz w:val="21"/>
          <w:szCs w:val="21"/>
        </w:rPr>
        <w:t>4</w:t>
      </w:r>
      <w:r>
        <w:rPr>
          <w:rFonts w:hint="eastAsia" w:ascii="楷体" w:hAnsi="楷体" w:eastAsia="楷体"/>
          <w:color w:val="auto"/>
          <w:sz w:val="21"/>
          <w:szCs w:val="21"/>
          <w:lang w:val="en-US" w:eastAsia="zh-CN"/>
        </w:rPr>
        <w:t>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ascii="楷体" w:hAnsi="楷体" w:eastAsia="楷体"/>
          <w:color w:val="auto"/>
          <w:sz w:val="21"/>
          <w:szCs w:val="21"/>
        </w:rPr>
        <w:t>4</w:t>
      </w:r>
      <w:r>
        <w:rPr>
          <w:rFonts w:hint="eastAsia" w:ascii="楷体" w:hAnsi="楷体" w:eastAsia="楷体"/>
          <w:color w:val="auto"/>
          <w:sz w:val="21"/>
          <w:szCs w:val="21"/>
          <w:lang w:val="en-US" w:eastAsia="zh-CN"/>
        </w:rPr>
        <w:t>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ascii="楷体" w:hAnsi="楷体" w:eastAsia="楷体"/>
          <w:color w:val="auto"/>
          <w:sz w:val="21"/>
          <w:szCs w:val="21"/>
        </w:rPr>
        <w:t>4</w:t>
      </w:r>
      <w:r>
        <w:rPr>
          <w:rFonts w:hint="eastAsia" w:ascii="楷体" w:hAnsi="楷体" w:eastAsia="楷体"/>
          <w:color w:val="auto"/>
          <w:sz w:val="21"/>
          <w:szCs w:val="21"/>
          <w:lang w:val="en-US" w:eastAsia="zh-CN"/>
        </w:rPr>
        <w:t>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numPr>
          <w:ilvl w:val="-1"/>
          <w:numId w:val="0"/>
        </w:numPr>
        <w:ind w:firstLine="422" w:firstLineChars="200"/>
        <w:rPr>
          <w:rFonts w:hint="eastAsia" w:ascii="楷体" w:hAnsi="楷体" w:eastAsia="楷体"/>
          <w:b/>
          <w:color w:val="auto"/>
          <w:sz w:val="21"/>
          <w:szCs w:val="21"/>
        </w:rPr>
      </w:pPr>
      <w:r>
        <w:rPr>
          <w:rFonts w:hint="eastAsia" w:ascii="楷体" w:hAnsi="楷体" w:eastAsia="楷体"/>
          <w:b/>
          <w:color w:val="auto"/>
          <w:sz w:val="21"/>
          <w:szCs w:val="21"/>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6"/>
        </w:numPr>
        <w:tabs>
          <w:tab w:val="left" w:pos="1428"/>
        </w:tabs>
        <w:ind w:left="420" w:leftChars="0" w:firstLine="0" w:firstLineChars="0"/>
        <w:rPr>
          <w:rFonts w:hint="eastAsia" w:ascii="楷体" w:hAnsi="楷体" w:eastAsia="楷体"/>
          <w:b/>
          <w:bCs w:val="0"/>
          <w:sz w:val="21"/>
          <w:szCs w:val="21"/>
          <w:highlight w:val="none"/>
        </w:rPr>
      </w:pPr>
      <w:r>
        <w:rPr>
          <w:rFonts w:hint="eastAsia" w:ascii="楷体" w:hAnsi="楷体" w:eastAsia="楷体"/>
          <w:b/>
          <w:bCs w:val="0"/>
          <w:color w:val="auto"/>
          <w:sz w:val="21"/>
          <w:szCs w:val="21"/>
          <w:lang w:val="en-US" w:eastAsia="zh-CN"/>
        </w:rPr>
        <w:t>产品费用</w:t>
      </w:r>
    </w:p>
    <w:p>
      <w:pPr>
        <w:numPr>
          <w:ilvl w:val="-1"/>
          <w:numId w:val="0"/>
        </w:numPr>
        <w:ind w:left="0" w:firstLine="420" w:firstLineChars="200"/>
        <w:rPr>
          <w:rFonts w:hint="default" w:ascii="楷体" w:hAnsi="楷体" w:eastAsia="楷体" w:cs="Calibri"/>
          <w:color w:val="auto"/>
          <w:sz w:val="21"/>
          <w:szCs w:val="21"/>
        </w:rPr>
      </w:pPr>
      <w:r>
        <w:rPr>
          <w:rFonts w:hint="eastAsia" w:ascii="楷体" w:hAnsi="楷体" w:eastAsia="楷体"/>
          <w:color w:val="auto"/>
          <w:sz w:val="21"/>
          <w:szCs w:val="21"/>
        </w:rPr>
        <w:t>本产品费用包括托管费、销售服务费、投资管理费、超额业绩报酬（如有）以及产品运作和清算中产生的其他费用等。</w:t>
      </w:r>
      <w:r>
        <w:rPr>
          <w:rFonts w:hint="eastAsia" w:ascii="楷体" w:hAnsi="楷体" w:eastAsia="楷体" w:cs="Calibri"/>
          <w:color w:val="auto"/>
          <w:sz w:val="21"/>
          <w:szCs w:val="21"/>
        </w:rPr>
        <w:t>计提方法、计提标准和支付方式</w:t>
      </w:r>
      <w:r>
        <w:rPr>
          <w:rFonts w:hint="eastAsia" w:ascii="楷体" w:hAnsi="楷体" w:eastAsia="楷体" w:cs="Calibri"/>
          <w:color w:val="auto"/>
          <w:sz w:val="21"/>
          <w:szCs w:val="21"/>
          <w:lang w:val="en-US" w:eastAsia="zh-CN"/>
        </w:rPr>
        <w:t>如下:</w:t>
      </w:r>
    </w:p>
    <w:p>
      <w:pPr>
        <w:numPr>
          <w:ilvl w:val="0"/>
          <w:numId w:val="14"/>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托管费：每日计提，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w:t>
      </w:r>
      <w:r>
        <w:rPr>
          <w:rFonts w:hint="eastAsia" w:ascii="楷体" w:hAnsi="楷体" w:eastAsia="楷体" w:cs="Calibri"/>
          <w:color w:val="auto"/>
          <w:sz w:val="21"/>
          <w:szCs w:val="21"/>
          <w:lang w:val="en-US" w:eastAsia="zh-CN"/>
        </w:rPr>
        <w:t>托管人</w:t>
      </w:r>
      <w:r>
        <w:rPr>
          <w:rFonts w:hint="eastAsia" w:ascii="楷体" w:hAnsi="楷体" w:eastAsia="楷体" w:cs="Calibri"/>
          <w:color w:val="auto"/>
          <w:sz w:val="21"/>
          <w:szCs w:val="21"/>
        </w:rPr>
        <w:t>收取。</w:t>
      </w:r>
      <w:r>
        <w:rPr>
          <w:rFonts w:hint="eastAsia" w:ascii="楷体" w:hAnsi="楷体" w:eastAsia="楷体"/>
          <w:sz w:val="21"/>
          <w:szCs w:val="21"/>
        </w:rPr>
        <w:t>每日应计提的托管费＝前一日的产品资产净值×托管费率÷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销售服务费：</w:t>
      </w:r>
    </w:p>
    <w:p>
      <w:pPr>
        <w:numPr>
          <w:ilvl w:val="-1"/>
          <w:numId w:val="0"/>
        </w:numPr>
        <w:tabs>
          <w:tab w:val="left" w:pos="728"/>
        </w:tabs>
        <w:ind w:firstLine="420" w:firstLineChars="200"/>
        <w:rPr>
          <w:rFonts w:ascii="楷体" w:hAnsi="楷体" w:eastAsia="楷体"/>
          <w:sz w:val="21"/>
          <w:szCs w:val="21"/>
        </w:rPr>
      </w:pPr>
      <w:r>
        <w:rPr>
          <w:rFonts w:hint="default" w:ascii="Calibri" w:hAnsi="Calibri" w:eastAsia="楷体" w:cs="Calibri"/>
          <w:color w:val="auto"/>
          <w:sz w:val="21"/>
          <w:szCs w:val="21"/>
        </w:rPr>
        <w:t>①</w:t>
      </w:r>
      <w:r>
        <w:rPr>
          <w:rFonts w:hint="eastAsia" w:ascii="Calibri" w:hAnsi="Calibri" w:eastAsia="楷体" w:cs="Calibri"/>
          <w:color w:val="auto"/>
          <w:sz w:val="21"/>
          <w:szCs w:val="21"/>
          <w:lang w:val="en-US" w:eastAsia="zh-CN"/>
        </w:rPr>
        <w:t>每日计提模式：</w:t>
      </w:r>
      <w:r>
        <w:rPr>
          <w:rFonts w:hint="eastAsia" w:ascii="楷体" w:hAnsi="楷体" w:eastAsia="楷体" w:cs="Calibri"/>
          <w:color w:val="auto"/>
          <w:sz w:val="21"/>
          <w:szCs w:val="21"/>
        </w:rPr>
        <w:t>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，由销售机构收取。</w:t>
      </w: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p>
    <w:p>
      <w:pPr>
        <w:ind w:firstLine="420" w:firstLineChars="200"/>
        <w:rPr>
          <w:rFonts w:hint="eastAsia" w:ascii="楷体" w:hAnsi="楷体" w:eastAsia="楷体"/>
          <w:szCs w:val="21"/>
        </w:rPr>
      </w:pPr>
      <w:r>
        <w:rPr>
          <w:rFonts w:hint="default" w:ascii="Calibri" w:hAnsi="Calibri" w:eastAsia="楷体" w:cs="Calibri"/>
          <w:szCs w:val="21"/>
        </w:rPr>
        <w:t>②</w:t>
      </w:r>
      <w:r>
        <w:rPr>
          <w:rFonts w:hint="eastAsia" w:ascii="Calibri" w:hAnsi="Calibri" w:eastAsia="楷体" w:cs="Calibri"/>
          <w:szCs w:val="21"/>
          <w:lang w:val="en-US" w:eastAsia="zh-CN"/>
        </w:rPr>
        <w:t>一次性提取模式：</w:t>
      </w:r>
      <w:r>
        <w:rPr>
          <w:rFonts w:hint="eastAsia" w:ascii="楷体" w:hAnsi="楷体" w:eastAsia="楷体"/>
          <w:szCs w:val="21"/>
        </w:rPr>
        <w:t>成立日一次性提取，每日摊销，由销售机构收取。销售服务费＝产品成立日的产品份额×销售服务费率×产品投资期限天数÷365</w:t>
      </w:r>
    </w:p>
    <w:p>
      <w:pPr>
        <w:numPr>
          <w:ilvl w:val="0"/>
          <w:numId w:val="14"/>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投资管理费：每日计提，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，由管理人收取。</w:t>
      </w: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p>
    <w:p>
      <w:pPr>
        <w:numPr>
          <w:ilvl w:val="0"/>
          <w:numId w:val="14"/>
        </w:numPr>
        <w:tabs>
          <w:tab w:val="left" w:pos="728"/>
        </w:tabs>
        <w:ind w:left="0" w:firstLine="420" w:firstLineChars="200"/>
        <w:rPr>
          <w:rFonts w:ascii="楷体" w:hAnsi="楷体" w:eastAsia="楷体"/>
          <w:color w:val="auto"/>
          <w:sz w:val="21"/>
          <w:szCs w:val="21"/>
        </w:rPr>
      </w:pPr>
      <w:r>
        <w:rPr>
          <w:rFonts w:hint="eastAsia" w:ascii="楷体" w:hAnsi="楷体" w:eastAsia="楷体" w:cs="Calibri"/>
          <w:color w:val="auto"/>
          <w:sz w:val="21"/>
          <w:szCs w:val="21"/>
        </w:rPr>
        <w:t>超额业绩报酬</w:t>
      </w:r>
      <w:r>
        <w:rPr>
          <w:rFonts w:hint="eastAsia" w:ascii="楷体" w:hAnsi="楷体" w:eastAsia="楷体"/>
          <w:color w:val="auto"/>
          <w:sz w:val="21"/>
          <w:szCs w:val="21"/>
        </w:rPr>
        <w:t>：</w:t>
      </w:r>
      <w:r>
        <w:rPr>
          <w:rFonts w:hint="eastAsia" w:ascii="楷体" w:hAnsi="楷体" w:eastAsia="楷体" w:cs="Calibri"/>
          <w:sz w:val="21"/>
          <w:szCs w:val="21"/>
          <w:highlight w:val="none"/>
        </w:rPr>
        <w:t>管理人按</w:t>
      </w:r>
      <w:r>
        <w:rPr>
          <w:rFonts w:hint="eastAsia" w:ascii="楷体" w:hAnsi="楷体" w:eastAsia="楷体" w:cs="Calibri"/>
          <w:sz w:val="21"/>
          <w:szCs w:val="21"/>
          <w:highlight w:val="none"/>
          <w:lang w:val="en-US" w:eastAsia="zh-CN"/>
        </w:rPr>
        <w:t>产品存续期</w:t>
      </w:r>
      <w:r>
        <w:rPr>
          <w:rFonts w:hint="eastAsia" w:ascii="楷体" w:hAnsi="楷体" w:eastAsia="楷体" w:cs="Calibri"/>
          <w:sz w:val="21"/>
          <w:szCs w:val="21"/>
          <w:highlight w:val="none"/>
        </w:rPr>
        <w:t>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4"/>
        </w:numPr>
        <w:tabs>
          <w:tab w:val="left" w:pos="728"/>
        </w:tabs>
        <w:ind w:left="0" w:firstLine="420" w:firstLineChars="200"/>
        <w:rPr>
          <w:rFonts w:hint="eastAsia"/>
        </w:rPr>
      </w:pPr>
      <w:r>
        <w:rPr>
          <w:rFonts w:hint="eastAsia" w:ascii="楷体" w:hAnsi="楷体" w:eastAsia="楷体" w:cs="Calibri"/>
          <w:color w:val="auto"/>
          <w:sz w:val="21"/>
          <w:szCs w:val="21"/>
          <w:lang w:val="en-US" w:eastAsia="zh-CN"/>
        </w:rPr>
        <w:t>费用计算</w:t>
      </w:r>
      <w:r>
        <w:rPr>
          <w:rFonts w:hint="eastAsia" w:ascii="楷体" w:hAnsi="楷体" w:eastAsia="楷体" w:cs="Calibri"/>
          <w:color w:val="auto"/>
          <w:sz w:val="21"/>
          <w:szCs w:val="21"/>
        </w:rPr>
        <w:t>四舍五入保留至小数点后两位</w:t>
      </w:r>
      <w:r>
        <w:rPr>
          <w:rFonts w:hint="eastAsia" w:ascii="楷体" w:hAnsi="楷体" w:eastAsia="楷体" w:cs="Calibri"/>
          <w:color w:val="auto"/>
          <w:sz w:val="21"/>
          <w:szCs w:val="21"/>
          <w:lang w:eastAsia="zh-CN"/>
        </w:rPr>
        <w:t>。</w:t>
      </w:r>
    </w:p>
    <w:p>
      <w:pPr>
        <w:numPr>
          <w:ilvl w:val="0"/>
          <w:numId w:val="14"/>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w:t>
      </w:r>
    </w:p>
    <w:p>
      <w:pPr>
        <w:numPr>
          <w:ilvl w:val="0"/>
          <w:numId w:val="6"/>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产品估值</w:t>
      </w:r>
    </w:p>
    <w:p>
      <w:pPr>
        <w:numPr>
          <w:ilvl w:val="0"/>
          <w:numId w:val="15"/>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估值对象</w:t>
      </w:r>
    </w:p>
    <w:p>
      <w:pPr>
        <w:ind w:firstLine="420" w:firstLineChars="200"/>
        <w:rPr>
          <w:rFonts w:ascii="楷体" w:hAnsi="楷体" w:eastAsia="楷体"/>
          <w:color w:val="auto"/>
          <w:sz w:val="21"/>
          <w:szCs w:val="21"/>
        </w:rPr>
      </w:pPr>
      <w:r>
        <w:rPr>
          <w:rFonts w:hint="eastAsia" w:ascii="楷体" w:hAnsi="楷体" w:eastAsia="楷体"/>
          <w:color w:val="auto"/>
          <w:sz w:val="21"/>
          <w:szCs w:val="21"/>
        </w:rPr>
        <w:t>本产品所拥有的各类证券、银行存款、应收款项及其它资产及负债。</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估值要求</w:t>
      </w:r>
    </w:p>
    <w:p>
      <w:pPr>
        <w:numPr>
          <w:ilvl w:val="0"/>
          <w:numId w:val="16"/>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本产品资产估值的目的是客观、准确</w:t>
      </w:r>
      <w:r>
        <w:rPr>
          <w:rFonts w:hint="eastAsia" w:ascii="楷体" w:hAnsi="楷体" w:eastAsia="楷体" w:cs="Calibri"/>
          <w:color w:val="auto"/>
          <w:sz w:val="21"/>
          <w:szCs w:val="21"/>
          <w:lang w:val="en-US" w:eastAsia="zh-CN"/>
        </w:rPr>
        <w:t>地</w:t>
      </w:r>
      <w:r>
        <w:rPr>
          <w:rFonts w:hint="eastAsia" w:ascii="楷体" w:hAnsi="楷体" w:eastAsia="楷体" w:cs="Calibri"/>
          <w:color w:val="auto"/>
          <w:sz w:val="21"/>
          <w:szCs w:val="21"/>
        </w:rPr>
        <w:t>反映资产净值，确定理财产品资产净值，并为理财产品的兑付提供计价依据。</w:t>
      </w:r>
    </w:p>
    <w:p>
      <w:pPr>
        <w:numPr>
          <w:ilvl w:val="0"/>
          <w:numId w:val="16"/>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本产品单位净值精确到小数点后</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位，小数点</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位后截位。</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估值方法</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1.存款类资产、货币市场工具：以本金列示，逐日计提利息。</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2.货币市场基金：按公允价值进行估值，以估值截止时间点能够取得的最新每万份收益进行估值。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3.债券类资产：按公允价值进行估值，采用市价、监管认可的第三方估值机构提供的估值价格进行估值。对于以收取合同现金流量为目的并持有到期的债券，符合企业会计准则及监管规定，分类为“以摊余成本计量的金融资产”的，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4.债权类资产：按公允价值进行估值。对于以收取合同现金流量为目的并持有到期的债权类资产，金融资产暂不具备活跃交易市场，或者在活跃市场中没有报价，且符合会计准则及监管规定，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5.权益类资产：按公允价值进行估值，采用市价、监管认可的第三方估值机构提供的估值价格进行估值。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6.证券、基金、保险等资产管理计划和信托计划等资产（不含货币市场基金）：按公允价值进行估值，上述各类资管产品关于同一投资品种的估值原则、政策、技术和方法等应与理财产品管理人保持一致，理财产品管理人将按照会计准则要求定期进行评估。</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7.其他资产：按公允价值进行估值。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如有新增事项或变更事项，按国家法律法规及监管最新规定执行。</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估值错误的处理</w:t>
      </w:r>
    </w:p>
    <w:p>
      <w:pPr>
        <w:ind w:firstLine="420" w:firstLineChars="200"/>
        <w:rPr>
          <w:rFonts w:ascii="楷体" w:hAnsi="楷体" w:eastAsia="楷体"/>
          <w:color w:val="auto"/>
          <w:sz w:val="21"/>
          <w:szCs w:val="21"/>
        </w:rPr>
      </w:pPr>
      <w:r>
        <w:rPr>
          <w:rFonts w:hint="eastAsia" w:ascii="楷体" w:hAnsi="楷体" w:eastAsia="楷体"/>
          <w:color w:val="auto"/>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暂停估值</w:t>
      </w:r>
    </w:p>
    <w:p>
      <w:pPr>
        <w:ind w:firstLine="420" w:firstLineChars="200"/>
        <w:rPr>
          <w:rFonts w:ascii="楷体" w:hAnsi="楷体" w:eastAsia="楷体"/>
          <w:color w:val="auto"/>
          <w:sz w:val="21"/>
          <w:szCs w:val="21"/>
        </w:rPr>
      </w:pPr>
      <w:r>
        <w:rPr>
          <w:rFonts w:hint="eastAsia" w:ascii="楷体" w:hAnsi="楷体" w:eastAsia="楷体"/>
          <w:color w:val="auto"/>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6"/>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信息披露</w:t>
      </w:r>
    </w:p>
    <w:p>
      <w:pPr>
        <w:numPr>
          <w:ilvl w:val="0"/>
          <w:numId w:val="17"/>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8"/>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8"/>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7"/>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w:t>
      </w:r>
      <w:r>
        <w:rPr>
          <w:rFonts w:hint="eastAsia" w:ascii="楷体" w:hAnsi="楷体" w:eastAsia="楷体" w:cs="Calibri"/>
          <w:color w:val="auto"/>
          <w:sz w:val="21"/>
          <w:szCs w:val="21"/>
          <w:highlight w:val="none"/>
          <w:lang w:val="en-US" w:eastAsia="zh-CN"/>
        </w:rPr>
        <w:t>公募封闭式产品至少</w:t>
      </w:r>
      <w:r>
        <w:rPr>
          <w:rFonts w:hint="eastAsia" w:ascii="楷体" w:hAnsi="楷体" w:eastAsia="楷体" w:cs="Calibri"/>
          <w:color w:val="auto"/>
          <w:sz w:val="21"/>
          <w:szCs w:val="21"/>
          <w:highlight w:val="none"/>
        </w:rPr>
        <w:t>每周向投资者披露一次产品的份额净值、份额累计净值</w:t>
      </w:r>
      <w:r>
        <w:rPr>
          <w:rFonts w:hint="eastAsia" w:ascii="楷体" w:hAnsi="楷体" w:eastAsia="楷体" w:cs="Calibri"/>
          <w:color w:val="auto"/>
          <w:sz w:val="21"/>
          <w:szCs w:val="21"/>
          <w:highlight w:val="none"/>
          <w:lang w:val="en-US" w:eastAsia="zh-CN"/>
        </w:rPr>
        <w:t>；公募开放式产品</w:t>
      </w:r>
      <w:r>
        <w:rPr>
          <w:rFonts w:hint="eastAsia" w:ascii="楷体" w:hAnsi="楷体" w:eastAsia="楷体" w:cs="Calibri"/>
          <w:color w:val="auto"/>
          <w:sz w:val="21"/>
          <w:szCs w:val="21"/>
          <w:highlight w:val="none"/>
          <w:lang w:eastAsia="zh-CN"/>
        </w:rPr>
        <w:t>每个开放日结束后两个工作日内，披露开放式公募理财产品在开放日的份额净值、份额累计净值、认（申）购价格和赎回价格</w:t>
      </w:r>
      <w:r>
        <w:rPr>
          <w:rFonts w:hint="eastAsia" w:ascii="楷体" w:hAnsi="楷体" w:eastAsia="楷体" w:cs="Calibri"/>
          <w:color w:val="auto"/>
          <w:sz w:val="21"/>
          <w:szCs w:val="21"/>
          <w:highlight w:val="none"/>
          <w:lang w:val="en-US" w:eastAsia="zh-CN"/>
        </w:rPr>
        <w:t>；私募产品至少每季度向投资者披露一次产品的份额净值、份额累计净值，以管理人实际披露为准。</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19"/>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6"/>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其他</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pPr>
        <w:ind w:firstLine="420" w:firstLineChars="200"/>
        <w:jc w:val="left"/>
        <w:rPr>
          <w:rFonts w:ascii="楷体" w:hAnsi="楷体" w:eastAsia="楷体"/>
        </w:rPr>
      </w:pP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的订立、生效、履行、解释、修改和终止等事项均适用中华人民共和国（不包括香港特别行政区、澳门特别行政区和台湾地区）法律。</w:t>
      </w:r>
      <w:r>
        <w:rPr>
          <w:rFonts w:hint="eastAsia" w:ascii="楷体" w:hAnsi="楷体" w:eastAsia="楷体"/>
          <w:color w:val="auto"/>
          <w:sz w:val="21"/>
          <w:szCs w:val="21"/>
          <w:lang w:val="en-US" w:eastAsia="zh-CN"/>
        </w:rPr>
        <w:t>因本产品说明书</w:t>
      </w:r>
      <w:r>
        <w:rPr>
          <w:rFonts w:hint="eastAsia" w:ascii="楷体" w:hAnsi="楷体" w:eastAsia="楷体"/>
          <w:color w:val="auto"/>
          <w:sz w:val="21"/>
          <w:szCs w:val="21"/>
        </w:rPr>
        <w:t>引起的或与</w:t>
      </w: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有关的任何争议，应当首先通过双方之间的友好协商解决；协商不成的，双方均有权提交产品管理人所在地有管辖权的人民法院诉讼解决。</w:t>
      </w:r>
    </w:p>
    <w:bookmarkEnd w:id="0"/>
    <w:p>
      <w:pPr>
        <w:rPr>
          <w:rFonts w:ascii="楷体" w:hAnsi="楷体" w:eastAsia="楷体"/>
          <w:b/>
          <w:sz w:val="36"/>
          <w:szCs w:val="36"/>
        </w:rPr>
      </w:pPr>
      <w:r>
        <w:rPr>
          <w:rFonts w:hint="eastAsia" w:ascii="楷体" w:hAnsi="楷体" w:eastAsia="楷体"/>
          <w:b/>
          <w:sz w:val="36"/>
          <w:szCs w:val="36"/>
        </w:rPr>
        <w:br w:type="page"/>
      </w:r>
    </w:p>
    <w:p>
      <w:pPr>
        <w:jc w:val="center"/>
        <w:rPr>
          <w:rFonts w:hint="eastAsia" w:ascii="楷体" w:hAnsi="楷体" w:eastAsia="楷体"/>
          <w:b/>
          <w:sz w:val="36"/>
          <w:szCs w:val="36"/>
        </w:rPr>
      </w:pPr>
      <w:r>
        <w:rPr>
          <w:rFonts w:hint="eastAsia" w:ascii="楷体" w:hAnsi="楷体" w:eastAsia="楷体"/>
          <w:b/>
          <w:sz w:val="28"/>
          <w:szCs w:val="28"/>
        </w:rPr>
        <w:t>苏银理财有限责任公司理财产品投资协议书</w:t>
      </w:r>
    </w:p>
    <w:p>
      <w:pPr>
        <w:jc w:val="center"/>
        <w:rPr>
          <w:rFonts w:hint="eastAsia" w:ascii="楷体" w:hAnsi="楷体" w:eastAsia="楷体"/>
          <w:b/>
          <w:sz w:val="28"/>
          <w:szCs w:val="28"/>
        </w:rPr>
      </w:pPr>
      <w:r>
        <w:rPr>
          <w:rFonts w:hint="eastAsia" w:ascii="楷体" w:hAnsi="楷体" w:eastAsia="楷体"/>
          <w:b/>
          <w:sz w:val="24"/>
          <w:szCs w:val="24"/>
        </w:rPr>
        <w:t>理财非存款、产品有风险、投资须谨慎</w:t>
      </w:r>
    </w:p>
    <w:p>
      <w:pPr>
        <w:ind w:firstLine="420" w:firstLineChars="200"/>
        <w:rPr>
          <w:rFonts w:hint="eastAsia" w:ascii="楷体" w:hAnsi="楷体" w:eastAsia="楷体" w:cs="Times New Roman"/>
          <w:b w:val="0"/>
          <w:sz w:val="21"/>
          <w:szCs w:val="21"/>
        </w:rPr>
      </w:pPr>
      <w:r>
        <w:rPr>
          <w:rFonts w:hint="eastAsia" w:ascii="楷体" w:hAnsi="楷体" w:eastAsia="楷体" w:cs="Times New Roman"/>
          <w:sz w:val="21"/>
          <w:szCs w:val="21"/>
        </w:rPr>
        <w:t>经甲方（</w:t>
      </w:r>
      <w:r>
        <w:rPr>
          <w:rFonts w:hint="eastAsia" w:ascii="楷体" w:hAnsi="楷体" w:eastAsia="楷体" w:cs="Times New Roman"/>
          <w:sz w:val="21"/>
          <w:szCs w:val="21"/>
          <w:lang w:val="en-US" w:eastAsia="zh-CN"/>
        </w:rPr>
        <w:t>投资者</w:t>
      </w:r>
      <w:r>
        <w:rPr>
          <w:rFonts w:hint="eastAsia" w:ascii="楷体" w:hAnsi="楷体" w:eastAsia="楷体" w:cs="Times New Roman"/>
          <w:sz w:val="21"/>
          <w:szCs w:val="21"/>
        </w:rPr>
        <w:t>）与乙方（</w:t>
      </w:r>
      <w:r>
        <w:rPr>
          <w:rFonts w:hint="eastAsia" w:ascii="楷体" w:hAnsi="楷体" w:eastAsia="楷体" w:cs="Times New Roman"/>
          <w:sz w:val="21"/>
          <w:szCs w:val="21"/>
          <w:lang w:val="en-US" w:eastAsia="zh-CN"/>
        </w:rPr>
        <w:t>苏银</w:t>
      </w:r>
      <w:r>
        <w:rPr>
          <w:rFonts w:hint="eastAsia" w:ascii="楷体" w:hAnsi="楷体" w:eastAsia="楷体" w:cs="Times New Roman"/>
          <w:sz w:val="21"/>
          <w:szCs w:val="21"/>
        </w:rPr>
        <w:t>理财有限责任公司</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以下简称“苏银理财”</w:t>
      </w:r>
      <w:r>
        <w:rPr>
          <w:rFonts w:hint="eastAsia" w:ascii="楷体" w:hAnsi="楷体" w:eastAsia="楷体" w:cs="Times New Roman"/>
          <w:sz w:val="21"/>
          <w:szCs w:val="21"/>
        </w:rPr>
        <w:t>）协商一致，就甲方向乙方购买理财产品，达成协议如下：</w:t>
      </w:r>
    </w:p>
    <w:p>
      <w:pPr>
        <w:ind w:firstLine="422" w:firstLineChars="200"/>
        <w:rPr>
          <w:rFonts w:hint="eastAsia" w:ascii="楷体" w:hAnsi="楷体" w:eastAsia="楷体"/>
          <w:b/>
          <w:sz w:val="21"/>
          <w:szCs w:val="21"/>
        </w:rPr>
      </w:pPr>
      <w:r>
        <w:rPr>
          <w:rFonts w:hint="eastAsia" w:ascii="楷体" w:hAnsi="楷体" w:eastAsia="楷体"/>
          <w:b/>
          <w:sz w:val="21"/>
          <w:szCs w:val="21"/>
        </w:rPr>
        <w:t>一、重要声明</w:t>
      </w:r>
    </w:p>
    <w:p>
      <w:pPr>
        <w:ind w:firstLine="420" w:firstLineChars="200"/>
        <w:rPr>
          <w:rFonts w:hint="eastAsia" w:ascii="楷体" w:hAnsi="楷体" w:eastAsia="楷体"/>
          <w:b/>
          <w:sz w:val="21"/>
          <w:szCs w:val="21"/>
          <w:u w:val="single"/>
        </w:rPr>
      </w:pPr>
      <w:r>
        <w:rPr>
          <w:rFonts w:hint="eastAsia" w:ascii="楷体" w:hAnsi="楷体" w:eastAsia="楷体"/>
          <w:sz w:val="21"/>
          <w:szCs w:val="21"/>
        </w:rPr>
        <w:t>本投资协议书与</w:t>
      </w:r>
      <w:r>
        <w:rPr>
          <w:rFonts w:hint="eastAsia" w:ascii="楷体" w:hAnsi="楷体" w:eastAsia="楷体"/>
          <w:sz w:val="21"/>
          <w:szCs w:val="21"/>
          <w:lang w:val="en-US" w:eastAsia="zh-CN"/>
        </w:rPr>
        <w:t>理财产品（</w:t>
      </w:r>
      <w:r>
        <w:rPr>
          <w:rFonts w:hint="eastAsia" w:ascii="楷体" w:hAnsi="楷体" w:eastAsia="楷体"/>
          <w:sz w:val="21"/>
          <w:szCs w:val="21"/>
        </w:rPr>
        <w:t>代理</w:t>
      </w:r>
      <w:r>
        <w:rPr>
          <w:rFonts w:hint="eastAsia" w:ascii="楷体" w:hAnsi="楷体" w:eastAsia="楷体"/>
          <w:sz w:val="21"/>
          <w:szCs w:val="21"/>
          <w:lang w:eastAsia="zh-CN"/>
        </w:rPr>
        <w:t>）</w:t>
      </w:r>
      <w:r>
        <w:rPr>
          <w:rFonts w:hint="eastAsia" w:ascii="楷体" w:hAnsi="楷体" w:eastAsia="楷体"/>
          <w:sz w:val="21"/>
          <w:szCs w:val="21"/>
        </w:rPr>
        <w:t>销售协议书、理财产品说明书、风险揭示书、投资者权益须知等销售文件构成完整的不可分割的理财产品合同。</w:t>
      </w:r>
      <w:r>
        <w:rPr>
          <w:rFonts w:hint="eastAsia" w:ascii="楷体" w:hAnsi="楷体" w:eastAsia="楷体"/>
          <w:sz w:val="21"/>
          <w:szCs w:val="21"/>
          <w:lang w:val="en-US" w:eastAsia="zh-CN"/>
        </w:rPr>
        <w:t>乙方</w:t>
      </w:r>
      <w:r>
        <w:rPr>
          <w:rFonts w:hint="eastAsia" w:ascii="楷体" w:hAnsi="楷体" w:eastAsia="楷体"/>
          <w:sz w:val="21"/>
          <w:szCs w:val="21"/>
        </w:rPr>
        <w:t>作为理财产品管理人建议投资者在购买对应期次理财产品（以下简称“本理财产品”）前认真阅读相关理财产品合同或咨询专业理财经理。</w:t>
      </w:r>
      <w:r>
        <w:rPr>
          <w:rFonts w:hint="eastAsia" w:ascii="楷体" w:hAnsi="楷体" w:eastAsia="楷体"/>
          <w:sz w:val="21"/>
          <w:szCs w:val="21"/>
          <w:lang w:val="en-US" w:eastAsia="zh-CN"/>
        </w:rPr>
        <w:t>甲方</w:t>
      </w:r>
      <w:r>
        <w:rPr>
          <w:rFonts w:hint="eastAsia" w:ascii="楷体" w:hAnsi="楷体" w:eastAsia="楷体"/>
          <w:sz w:val="21"/>
          <w:szCs w:val="21"/>
        </w:rPr>
        <w:t>签署本投资协议（含电子渠道确认）则被视为已详细阅读过本投资协议及完整理财产品合同，并充分理解合同条款和潜在风险，自愿购买本理财产品，并遵守理财产品合同中的各项规定。</w:t>
      </w:r>
      <w:r>
        <w:rPr>
          <w:rFonts w:hint="eastAsia" w:ascii="楷体" w:hAnsi="楷体" w:eastAsia="楷体"/>
          <w:b/>
          <w:sz w:val="21"/>
          <w:szCs w:val="21"/>
          <w:u w:val="single"/>
        </w:rPr>
        <w:t>本理财产品不保证本金和收益。受各种市场波动因素影响，本理财产品可能存在包括但不限于政策风险、信用风险、市场风险、流动性风险、管理风险、操作风险、兑付延期风险、提前终止风险、信息传递风险、代销风险、</w:t>
      </w:r>
      <w:r>
        <w:rPr>
          <w:rFonts w:hint="eastAsia" w:ascii="楷体" w:hAnsi="楷体" w:eastAsia="楷体"/>
          <w:b/>
          <w:sz w:val="21"/>
          <w:szCs w:val="21"/>
          <w:u w:val="single"/>
          <w:lang w:val="en-US" w:eastAsia="zh-CN"/>
        </w:rPr>
        <w:t>关联交易风险、</w:t>
      </w:r>
      <w:r>
        <w:rPr>
          <w:rFonts w:hint="eastAsia" w:ascii="楷体" w:hAnsi="楷体" w:eastAsia="楷体"/>
          <w:b/>
          <w:sz w:val="21"/>
          <w:szCs w:val="21"/>
          <w:u w:val="single"/>
        </w:rPr>
        <w:t>标的资产的特别投资风险及其他风险，具体风险因素由</w:t>
      </w:r>
      <w:r>
        <w:rPr>
          <w:rFonts w:hint="eastAsia" w:ascii="楷体" w:hAnsi="楷体" w:eastAsia="楷体"/>
          <w:b/>
          <w:sz w:val="21"/>
          <w:szCs w:val="21"/>
          <w:u w:val="single"/>
          <w:lang w:val="en-US" w:eastAsia="zh-CN"/>
        </w:rPr>
        <w:t>乙方</w:t>
      </w:r>
      <w:r>
        <w:rPr>
          <w:rFonts w:hint="eastAsia" w:ascii="楷体" w:hAnsi="楷体" w:eastAsia="楷体"/>
          <w:b/>
          <w:sz w:val="21"/>
          <w:szCs w:val="21"/>
          <w:u w:val="single"/>
        </w:rPr>
        <w:t>在理财产品风险揭示书中揭示。请您</w:t>
      </w:r>
      <w:r>
        <w:rPr>
          <w:rFonts w:hint="eastAsia" w:ascii="楷体" w:hAnsi="楷体" w:eastAsia="楷体"/>
          <w:b/>
          <w:sz w:val="21"/>
          <w:szCs w:val="21"/>
          <w:u w:val="single"/>
          <w:lang w:val="en-US" w:eastAsia="zh-CN"/>
        </w:rPr>
        <w:t>仔细阅读并</w:t>
      </w:r>
      <w:r>
        <w:rPr>
          <w:rFonts w:hint="eastAsia" w:ascii="楷体" w:hAnsi="楷体" w:eastAsia="楷体"/>
          <w:b/>
          <w:sz w:val="21"/>
          <w:szCs w:val="21"/>
          <w:u w:val="single"/>
        </w:rPr>
        <w:t>充分认识投资风险，谨慎投资。</w:t>
      </w:r>
    </w:p>
    <w:p>
      <w:pPr>
        <w:ind w:firstLine="422" w:firstLineChars="200"/>
        <w:rPr>
          <w:rFonts w:hint="eastAsia" w:ascii="楷体" w:hAnsi="楷体" w:eastAsia="楷体"/>
          <w:b/>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甲方</w:t>
      </w:r>
      <w:r>
        <w:rPr>
          <w:rFonts w:hint="eastAsia" w:ascii="楷体" w:hAnsi="楷体" w:eastAsia="楷体"/>
          <w:b/>
          <w:sz w:val="21"/>
          <w:szCs w:val="21"/>
        </w:rPr>
        <w:t>的权利义务</w:t>
      </w:r>
    </w:p>
    <w:p>
      <w:pPr>
        <w:numPr>
          <w:ilvl w:val="0"/>
          <w:numId w:val="0"/>
        </w:numPr>
        <w:ind w:left="0" w:firstLine="422" w:firstLineChars="200"/>
        <w:rPr>
          <w:rFonts w:hint="eastAsia" w:ascii="楷体" w:hAnsi="楷体" w:eastAsia="楷体" w:cs="Times New Roman"/>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甲方</w:t>
      </w:r>
      <w:r>
        <w:rPr>
          <w:rFonts w:hint="eastAsia" w:ascii="楷体" w:hAnsi="楷体" w:eastAsia="楷体"/>
          <w:b/>
          <w:sz w:val="21"/>
          <w:szCs w:val="21"/>
        </w:rPr>
        <w:t>的权利：</w:t>
      </w:r>
      <w:r>
        <w:rPr>
          <w:rFonts w:hint="eastAsia" w:ascii="楷体" w:hAnsi="楷体" w:eastAsia="楷体" w:cs="Times New Roman"/>
          <w:sz w:val="21"/>
          <w:szCs w:val="21"/>
        </w:rPr>
        <w:t>按理财产品合同的约定取得理财收益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cs="Times New Roman"/>
          <w:sz w:val="21"/>
          <w:szCs w:val="21"/>
        </w:rPr>
        <w:t>；按理财产品合同的约定查询获得披露的理财产品信息资料；产品终止后对清算后的理财产品资产净值按理财产品持有份额比例参与分配；要求</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或理财产品托管人及时</w:t>
      </w:r>
      <w:r>
        <w:rPr>
          <w:rFonts w:hint="eastAsia" w:ascii="楷体" w:hAnsi="楷体" w:eastAsia="楷体" w:cs="Times New Roman"/>
          <w:sz w:val="21"/>
          <w:szCs w:val="21"/>
          <w:lang w:val="en-US" w:eastAsia="zh-CN"/>
        </w:rPr>
        <w:t>履行</w:t>
      </w:r>
      <w:r>
        <w:rPr>
          <w:rFonts w:hint="eastAsia" w:ascii="楷体" w:hAnsi="楷体" w:eastAsia="楷体" w:cs="Times New Roman"/>
          <w:sz w:val="21"/>
          <w:szCs w:val="21"/>
        </w:rPr>
        <w:t>法律法规、理财产品合同所规定的义务；对</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、理财产品托管人损害其合法权益</w:t>
      </w:r>
      <w:r>
        <w:rPr>
          <w:rFonts w:hint="eastAsia" w:ascii="楷体" w:hAnsi="楷体" w:eastAsia="楷体" w:cs="Times New Roman"/>
          <w:sz w:val="21"/>
          <w:szCs w:val="21"/>
          <w:lang w:val="en-US" w:eastAsia="zh-CN"/>
        </w:rPr>
        <w:t>的行为</w:t>
      </w:r>
      <w:r>
        <w:rPr>
          <w:rFonts w:hint="eastAsia" w:ascii="楷体" w:hAnsi="楷体" w:eastAsia="楷体" w:cs="Times New Roman"/>
          <w:sz w:val="21"/>
          <w:szCs w:val="21"/>
        </w:rPr>
        <w:t>而要求予以赔偿；法律法规、理财产品合同规定的其它权利。</w:t>
      </w:r>
    </w:p>
    <w:p>
      <w:pPr>
        <w:numPr>
          <w:ilvl w:val="0"/>
          <w:numId w:val="21"/>
        </w:numPr>
        <w:ind w:left="0" w:firstLine="422" w:firstLineChars="200"/>
        <w:rPr>
          <w:rFonts w:hint="eastAsia" w:ascii="楷体" w:hAnsi="楷体" w:eastAsia="楷体" w:cs="Times New Roman"/>
          <w:sz w:val="21"/>
          <w:szCs w:val="21"/>
        </w:rPr>
      </w:pPr>
      <w:r>
        <w:rPr>
          <w:rFonts w:hint="eastAsia" w:ascii="楷体" w:hAnsi="楷体" w:eastAsia="楷体"/>
          <w:b/>
          <w:sz w:val="21"/>
          <w:szCs w:val="21"/>
          <w:lang w:val="en-US" w:eastAsia="zh-CN"/>
        </w:rPr>
        <w:t>甲方</w:t>
      </w:r>
      <w:r>
        <w:rPr>
          <w:rFonts w:hint="eastAsia" w:ascii="楷体" w:hAnsi="楷体" w:eastAsia="楷体"/>
          <w:b/>
          <w:sz w:val="21"/>
          <w:szCs w:val="21"/>
        </w:rPr>
        <w:t>的义务：</w:t>
      </w:r>
      <w:r>
        <w:rPr>
          <w:rFonts w:hint="eastAsia" w:ascii="楷体" w:hAnsi="楷体" w:eastAsia="楷体" w:cs="Times New Roman"/>
          <w:sz w:val="21"/>
          <w:szCs w:val="21"/>
        </w:rPr>
        <w:t>遵守有关法律法规和理财产品合同的约定；以其对理财产品的投资额为限承担本理财产品亏损或者终止的有限责任；不从事任何有损本理财产品及本理财产品其他理财产品合同当事人合法权益的活动；返还其在理财投资过程中取得的不当得利；法律法规</w:t>
      </w:r>
      <w:r>
        <w:rPr>
          <w:rFonts w:hint="eastAsia" w:ascii="楷体" w:hAnsi="楷体" w:eastAsia="楷体" w:cs="Times New Roman"/>
          <w:sz w:val="21"/>
          <w:szCs w:val="21"/>
          <w:lang w:val="en-US" w:eastAsia="zh-CN"/>
        </w:rPr>
        <w:t>以及</w:t>
      </w:r>
      <w:r>
        <w:rPr>
          <w:rFonts w:hint="eastAsia" w:ascii="楷体" w:hAnsi="楷体" w:eastAsia="楷体" w:cs="Times New Roman"/>
          <w:sz w:val="21"/>
          <w:szCs w:val="21"/>
        </w:rPr>
        <w:t>理财产品合同所规定的其它义务。</w:t>
      </w:r>
    </w:p>
    <w:p>
      <w:pPr>
        <w:ind w:firstLine="422" w:firstLineChars="200"/>
        <w:rPr>
          <w:rFonts w:hint="eastAsia" w:ascii="楷体" w:hAnsi="楷体" w:eastAsia="楷体"/>
          <w:b/>
          <w:sz w:val="21"/>
          <w:szCs w:val="21"/>
        </w:rPr>
      </w:pPr>
      <w:r>
        <w:rPr>
          <w:rFonts w:hint="eastAsia" w:ascii="楷体" w:hAnsi="楷体" w:eastAsia="楷体"/>
          <w:b/>
          <w:sz w:val="21"/>
          <w:szCs w:val="21"/>
        </w:rPr>
        <w:t>三、</w:t>
      </w:r>
      <w:r>
        <w:rPr>
          <w:rFonts w:hint="eastAsia" w:ascii="楷体" w:hAnsi="楷体" w:eastAsia="楷体"/>
          <w:b/>
          <w:sz w:val="21"/>
          <w:szCs w:val="21"/>
          <w:lang w:val="en-US" w:eastAsia="zh-CN"/>
        </w:rPr>
        <w:t>乙方</w:t>
      </w:r>
      <w:r>
        <w:rPr>
          <w:rFonts w:hint="eastAsia" w:ascii="楷体" w:hAnsi="楷体" w:eastAsia="楷体"/>
          <w:b/>
          <w:sz w:val="21"/>
          <w:szCs w:val="21"/>
        </w:rPr>
        <w:t>的权利义务</w:t>
      </w:r>
    </w:p>
    <w:p>
      <w:pPr>
        <w:ind w:firstLine="422" w:firstLineChars="200"/>
        <w:rPr>
          <w:rFonts w:hint="eastAsia" w:ascii="楷体" w:hAnsi="楷体" w:eastAsia="楷体"/>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乙方</w:t>
      </w:r>
      <w:r>
        <w:rPr>
          <w:rFonts w:hint="eastAsia" w:ascii="楷体" w:hAnsi="楷体" w:eastAsia="楷体"/>
          <w:b/>
          <w:sz w:val="21"/>
          <w:szCs w:val="21"/>
        </w:rPr>
        <w:t>的权利：</w:t>
      </w:r>
      <w:r>
        <w:rPr>
          <w:rFonts w:hint="eastAsia" w:ascii="楷体" w:hAnsi="楷体" w:eastAsia="楷体"/>
          <w:sz w:val="21"/>
          <w:szCs w:val="21"/>
        </w:rPr>
        <w:t>乙方按照法律法规和理财产品</w:t>
      </w:r>
      <w:r>
        <w:rPr>
          <w:rFonts w:hint="eastAsia" w:ascii="楷体" w:hAnsi="楷体" w:eastAsia="楷体"/>
          <w:sz w:val="21"/>
          <w:szCs w:val="21"/>
          <w:lang w:val="en-US" w:eastAsia="zh-CN"/>
        </w:rPr>
        <w:t>合同</w:t>
      </w:r>
      <w:r>
        <w:rPr>
          <w:rFonts w:hint="eastAsia" w:ascii="楷体" w:hAnsi="楷体" w:eastAsia="楷体"/>
          <w:sz w:val="21"/>
          <w:szCs w:val="21"/>
        </w:rPr>
        <w:t>的约定，诚实信用、谨慎勤勉地实施投资管理行为，以专业技能管理理财产品资产，依法维护理财产品全体投资者的利益；</w:t>
      </w:r>
    </w:p>
    <w:p>
      <w:pPr>
        <w:numPr>
          <w:ilvl w:val="0"/>
          <w:numId w:val="0"/>
        </w:numPr>
        <w:ind w:left="0" w:firstLine="0"/>
        <w:rPr>
          <w:rFonts w:hint="eastAsia" w:ascii="楷体" w:hAnsi="楷体" w:eastAsia="楷体"/>
          <w:sz w:val="21"/>
          <w:szCs w:val="21"/>
        </w:rPr>
      </w:pPr>
      <w:r>
        <w:rPr>
          <w:rFonts w:hint="eastAsia" w:ascii="楷体" w:hAnsi="楷体" w:eastAsia="楷体"/>
          <w:sz w:val="21"/>
          <w:szCs w:val="21"/>
        </w:rPr>
        <w:t>为理财产品的利益依法为理财产品进行融资；按照法律法规，代表理财产品对被投资企业行使行使权利（如被投资企业股东权利等）；以</w:t>
      </w:r>
      <w:r>
        <w:rPr>
          <w:rFonts w:hint="eastAsia" w:ascii="楷体" w:hAnsi="楷体" w:eastAsia="楷体"/>
          <w:sz w:val="21"/>
          <w:szCs w:val="21"/>
          <w:lang w:val="en-US" w:eastAsia="zh-CN"/>
        </w:rPr>
        <w:t>乙方</w:t>
      </w:r>
      <w:r>
        <w:rPr>
          <w:rFonts w:hint="eastAsia" w:ascii="楷体" w:hAnsi="楷体" w:eastAsia="楷体"/>
          <w:sz w:val="21"/>
          <w:szCs w:val="21"/>
        </w:rPr>
        <w:t>名义，代表理财份额持有人利益行使诉讼权利或者实施其他法律行为；依据法律法规和理财产品合同的约定监督理财产品托管人，如认为理财产品托管人违反了法律法规或理财产品合同约定，对理财产品资产、其它理财产品合同当事人的利益造成重大损失的，应及时呈报监管机构，以及采取其它必要措施以保护本理财产品及相关理财产品合同当事人的利益；选择、更换律师、审计师、证券经纪商或其他为理财产品提供服务的外部机构并确定有关费率；法律法规、理财产品合同规定的其它权利。</w:t>
      </w:r>
    </w:p>
    <w:p>
      <w:pPr>
        <w:numPr>
          <w:ilvl w:val="0"/>
          <w:numId w:val="0"/>
        </w:numPr>
        <w:ind w:left="0" w:firstLine="527" w:firstLineChars="250"/>
        <w:jc w:val="left"/>
        <w:rPr>
          <w:rFonts w:ascii="楷体" w:hAnsi="楷体" w:eastAsia="楷体"/>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乙方</w:t>
      </w:r>
      <w:r>
        <w:rPr>
          <w:rFonts w:hint="eastAsia" w:ascii="楷体" w:hAnsi="楷体" w:eastAsia="楷体"/>
          <w:b/>
          <w:sz w:val="21"/>
          <w:szCs w:val="21"/>
        </w:rPr>
        <w:t>的义务：</w:t>
      </w:r>
      <w:r>
        <w:rPr>
          <w:rFonts w:hint="eastAsia" w:ascii="楷体" w:hAnsi="楷体" w:eastAsia="楷体"/>
          <w:sz w:val="21"/>
          <w:szCs w:val="21"/>
        </w:rPr>
        <w:t>遵守法律法规和理财产品合同的约定；</w:t>
      </w:r>
      <w:r>
        <w:rPr>
          <w:rFonts w:hint="eastAsia" w:ascii="楷体" w:hAnsi="楷体" w:eastAsia="楷体" w:cs="Times New Roman"/>
          <w:sz w:val="21"/>
          <w:szCs w:val="21"/>
        </w:rPr>
        <w:t>恪尽职守，依照诚实信用、勤勉尽责的原则，谨慎、有效管理和运用理</w:t>
      </w:r>
      <w:r>
        <w:rPr>
          <w:rFonts w:hint="eastAsia" w:ascii="楷体" w:hAnsi="楷体" w:eastAsia="楷体" w:cs="Times New Roman"/>
          <w:sz w:val="21"/>
          <w:szCs w:val="21"/>
          <w:lang w:val="en-US" w:eastAsia="zh-CN"/>
        </w:rPr>
        <w:t>财</w:t>
      </w:r>
      <w:r>
        <w:rPr>
          <w:rFonts w:hint="eastAsia" w:ascii="楷体" w:hAnsi="楷体" w:eastAsia="楷体" w:cs="Times New Roman"/>
          <w:sz w:val="21"/>
          <w:szCs w:val="21"/>
        </w:rPr>
        <w:t>资产；</w:t>
      </w:r>
      <w:r>
        <w:rPr>
          <w:rFonts w:hint="eastAsia" w:ascii="楷体" w:hAnsi="楷体" w:eastAsia="楷体"/>
          <w:sz w:val="21"/>
          <w:szCs w:val="21"/>
        </w:rPr>
        <w:t>设置相应的部门并配备足够的具有专业资格的人员进行理财投资分析、决策，以专业化的经营方式管理和运作理财资产，防范和减少风险；建立健全内部控制制度，保证</w:t>
      </w:r>
      <w:r>
        <w:rPr>
          <w:rFonts w:hint="eastAsia" w:ascii="楷体" w:hAnsi="楷体" w:eastAsia="楷体"/>
          <w:sz w:val="21"/>
          <w:szCs w:val="21"/>
          <w:lang w:val="en-US" w:eastAsia="zh-CN"/>
        </w:rPr>
        <w:t>乙方</w:t>
      </w:r>
      <w:r>
        <w:rPr>
          <w:rFonts w:hint="eastAsia" w:ascii="楷体" w:hAnsi="楷体" w:eastAsia="楷体"/>
          <w:sz w:val="21"/>
          <w:szCs w:val="21"/>
        </w:rPr>
        <w:t>的固有财产和理财财产相互独立，对所管理的不同理财财产分别管理、分别记账，进行投资；除依据法律法规和理财产品合同的约定外，不得利用理财资产为</w:t>
      </w:r>
      <w:r>
        <w:rPr>
          <w:rFonts w:hint="eastAsia" w:ascii="楷体" w:hAnsi="楷体" w:eastAsia="楷体"/>
          <w:sz w:val="21"/>
          <w:szCs w:val="21"/>
          <w:lang w:val="en-US" w:eastAsia="zh-CN"/>
        </w:rPr>
        <w:t>乙方</w:t>
      </w:r>
      <w:r>
        <w:rPr>
          <w:rFonts w:hint="eastAsia" w:ascii="楷体" w:hAnsi="楷体" w:eastAsia="楷体"/>
          <w:sz w:val="21"/>
          <w:szCs w:val="21"/>
        </w:rPr>
        <w:t>自身及任何第三方谋取利益；接受理财产品托管人对理财产品投资运作的监督；严格按照法律法规和理财产品合同的约定履行信息披露及报告义务；依据理财产品合同</w:t>
      </w:r>
      <w:r>
        <w:rPr>
          <w:rFonts w:hint="eastAsia" w:ascii="楷体" w:hAnsi="楷体" w:eastAsia="楷体" w:cs="Times New Roman"/>
          <w:sz w:val="21"/>
          <w:szCs w:val="21"/>
          <w:lang w:val="en-US" w:eastAsia="zh-CN"/>
        </w:rPr>
        <w:t>约定</w:t>
      </w:r>
      <w:r>
        <w:rPr>
          <w:rFonts w:hint="eastAsia" w:ascii="楷体" w:hAnsi="楷体" w:eastAsia="楷体"/>
          <w:sz w:val="21"/>
          <w:szCs w:val="21"/>
        </w:rPr>
        <w:t>制订理财收益分配方案并向本理财产品的理财份额持有人分配理财收益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sz w:val="21"/>
          <w:szCs w:val="21"/>
        </w:rPr>
        <w:t>；不从事任何有损本理财产品</w:t>
      </w:r>
      <w:r>
        <w:rPr>
          <w:rFonts w:hint="eastAsia" w:ascii="楷体" w:hAnsi="楷体" w:eastAsia="楷体"/>
          <w:sz w:val="21"/>
          <w:szCs w:val="21"/>
          <w:lang w:val="en-US" w:eastAsia="zh-CN"/>
        </w:rPr>
        <w:t>其他</w:t>
      </w:r>
      <w:r>
        <w:rPr>
          <w:rFonts w:hint="eastAsia" w:ascii="楷体" w:hAnsi="楷体" w:eastAsia="楷体"/>
          <w:sz w:val="21"/>
          <w:szCs w:val="21"/>
        </w:rPr>
        <w:t>当事人合法权益的活动。法律法规、理财产品合同规定的其它权利。</w:t>
      </w:r>
    </w:p>
    <w:p>
      <w:pPr>
        <w:ind w:firstLine="422" w:firstLineChars="200"/>
        <w:rPr>
          <w:rFonts w:ascii="楷体" w:hAnsi="楷体" w:eastAsia="楷体"/>
          <w:b/>
          <w:sz w:val="21"/>
          <w:szCs w:val="21"/>
        </w:rPr>
      </w:pPr>
      <w:r>
        <w:rPr>
          <w:rFonts w:hint="eastAsia" w:ascii="楷体" w:hAnsi="楷体" w:eastAsia="楷体"/>
          <w:b/>
          <w:sz w:val="21"/>
          <w:szCs w:val="21"/>
          <w:lang w:val="en-US" w:eastAsia="zh-CN"/>
        </w:rPr>
        <w:t>四</w:t>
      </w:r>
      <w:r>
        <w:rPr>
          <w:rFonts w:hint="eastAsia" w:ascii="楷体" w:hAnsi="楷体" w:eastAsia="楷体"/>
          <w:b/>
          <w:sz w:val="21"/>
          <w:szCs w:val="21"/>
        </w:rPr>
        <w:t>、</w:t>
      </w:r>
      <w:r>
        <w:rPr>
          <w:rFonts w:ascii="楷体" w:hAnsi="楷体" w:eastAsia="楷体"/>
          <w:b/>
          <w:sz w:val="21"/>
          <w:szCs w:val="21"/>
        </w:rPr>
        <w:t>违约责任</w:t>
      </w:r>
    </w:p>
    <w:p>
      <w:pPr>
        <w:ind w:firstLine="420" w:firstLineChars="20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由于本协议一方当事人的过错，造成本协议不能履行或不能完全履行的，由有过错的一方承担违约责任；如双方同时负有过错，则应由双方各自按照过错程度承担责任。</w:t>
      </w:r>
    </w:p>
    <w:p>
      <w:pPr>
        <w:ind w:firstLine="422" w:firstLineChars="200"/>
        <w:rPr>
          <w:rFonts w:hint="eastAsia" w:ascii="楷体" w:hAnsi="楷体" w:eastAsia="楷体"/>
          <w:sz w:val="21"/>
          <w:szCs w:val="21"/>
        </w:rPr>
      </w:pPr>
      <w:r>
        <w:rPr>
          <w:rFonts w:hint="eastAsia" w:ascii="楷体" w:hAnsi="楷体" w:eastAsia="楷体"/>
          <w:b/>
          <w:sz w:val="21"/>
          <w:szCs w:val="21"/>
          <w:lang w:val="en-US" w:eastAsia="zh-CN"/>
        </w:rPr>
        <w:t xml:space="preserve">2. </w:t>
      </w:r>
      <w:r>
        <w:rPr>
          <w:rFonts w:hint="eastAsia" w:ascii="楷体" w:hAnsi="楷体" w:eastAsia="楷体"/>
          <w:b/>
          <w:sz w:val="21"/>
          <w:szCs w:val="21"/>
        </w:rPr>
        <w:t>双方同意，发生下列情况造成损失时，按以下约定承担责任</w:t>
      </w:r>
      <w:r>
        <w:rPr>
          <w:rFonts w:hint="eastAsia" w:ascii="楷体" w:hAnsi="楷体" w:eastAsia="楷体"/>
          <w:sz w:val="21"/>
          <w:szCs w:val="21"/>
        </w:rPr>
        <w:t>：</w:t>
      </w:r>
    </w:p>
    <w:p>
      <w:pPr>
        <w:ind w:firstLine="420" w:firstLineChars="200"/>
        <w:rPr>
          <w:rFonts w:hint="eastAsia" w:ascii="楷体" w:hAnsi="楷体" w:eastAsia="楷体"/>
          <w:sz w:val="21"/>
          <w:szCs w:val="21"/>
        </w:rPr>
      </w:pPr>
      <w:r>
        <w:rPr>
          <w:rFonts w:hint="eastAsia" w:ascii="楷体" w:hAnsi="楷体" w:eastAsia="楷体"/>
          <w:sz w:val="21"/>
          <w:szCs w:val="21"/>
        </w:rPr>
        <w:t>（1）对由于国家有关法律、法规、规章、政策的变化，监管机构管理规则的修改、紧急措施的出台等原因而导致的相关风险及损失，双方当事人互不承担责任；</w:t>
      </w:r>
    </w:p>
    <w:p>
      <w:pPr>
        <w:ind w:firstLine="420" w:firstLineChars="200"/>
        <w:rPr>
          <w:rFonts w:ascii="楷体" w:hAnsi="楷体" w:eastAsia="楷体"/>
          <w:sz w:val="21"/>
          <w:szCs w:val="21"/>
        </w:rPr>
      </w:pPr>
      <w:r>
        <w:rPr>
          <w:rFonts w:hint="eastAsia" w:ascii="楷体" w:hAnsi="楷体" w:eastAsia="楷体"/>
          <w:sz w:val="21"/>
          <w:szCs w:val="21"/>
        </w:rPr>
        <w:t>（2）</w:t>
      </w:r>
      <w:r>
        <w:rPr>
          <w:rFonts w:hint="eastAsia" w:ascii="楷体" w:hAnsi="楷体" w:eastAsia="楷体"/>
          <w:b/>
          <w:sz w:val="21"/>
          <w:szCs w:val="21"/>
        </w:rPr>
        <w:t>如甲方违反本协议</w:t>
      </w:r>
      <w:r>
        <w:rPr>
          <w:rFonts w:hint="eastAsia" w:ascii="楷体" w:hAnsi="楷体" w:eastAsia="楷体"/>
          <w:b/>
          <w:sz w:val="21"/>
          <w:szCs w:val="21"/>
          <w:lang w:val="en-US" w:eastAsia="zh-CN"/>
        </w:rPr>
        <w:t>约定</w:t>
      </w:r>
      <w:r>
        <w:rPr>
          <w:rFonts w:hint="eastAsia" w:ascii="楷体" w:hAnsi="楷体" w:eastAsia="楷体"/>
          <w:b/>
          <w:sz w:val="21"/>
          <w:szCs w:val="21"/>
        </w:rPr>
        <w:t>，或本产品甲方所涉及的资金被有权机关全部或部分冻结或者扣划</w:t>
      </w:r>
      <w:r>
        <w:rPr>
          <w:rFonts w:hint="eastAsia" w:ascii="楷体" w:hAnsi="楷体" w:eastAsia="楷体" w:cs="Times New Roman"/>
          <w:b/>
          <w:sz w:val="21"/>
          <w:szCs w:val="21"/>
        </w:rPr>
        <w:t>，或乙方发现或有合理理由怀疑甲方或其资金存在洗钱、恐怖融资、逃税等嫌疑</w:t>
      </w:r>
      <w:r>
        <w:rPr>
          <w:rFonts w:hint="eastAsia" w:ascii="楷体" w:hAnsi="楷体" w:eastAsia="楷体" w:cs="Times New Roman"/>
          <w:b/>
          <w:sz w:val="21"/>
          <w:szCs w:val="21"/>
          <w:lang w:eastAsia="zh-CN"/>
        </w:rPr>
        <w:t>，</w:t>
      </w:r>
      <w:r>
        <w:rPr>
          <w:rFonts w:hint="eastAsia" w:ascii="楷体" w:hAnsi="楷体" w:eastAsia="楷体" w:cs="Times New Roman"/>
          <w:b/>
          <w:sz w:val="21"/>
          <w:szCs w:val="21"/>
        </w:rPr>
        <w:t>乙方有权</w:t>
      </w:r>
      <w:r>
        <w:rPr>
          <w:rFonts w:hint="eastAsia" w:ascii="楷体" w:hAnsi="楷体" w:eastAsia="楷体"/>
          <w:b/>
          <w:sz w:val="21"/>
          <w:szCs w:val="21"/>
        </w:rPr>
        <w:t>提前终止本合同，且乙方不承担相应责任，如因甲方的违约违法违规行为给乙方或产品其他投资者造成损失的，甲方应承担</w:t>
      </w:r>
      <w:r>
        <w:rPr>
          <w:rFonts w:hint="eastAsia" w:ascii="楷体" w:hAnsi="楷体" w:eastAsia="楷体"/>
          <w:b/>
          <w:sz w:val="21"/>
          <w:szCs w:val="21"/>
          <w:lang w:val="en-US" w:eastAsia="zh-CN"/>
        </w:rPr>
        <w:t>相应法律责任及违约责任</w:t>
      </w:r>
      <w:r>
        <w:rPr>
          <w:rFonts w:hint="eastAsia" w:ascii="楷体" w:hAnsi="楷体" w:eastAsia="楷体"/>
          <w:b/>
          <w:sz w:val="21"/>
          <w:szCs w:val="21"/>
        </w:rPr>
        <w:t>。</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五</w:t>
      </w:r>
      <w:r>
        <w:rPr>
          <w:rFonts w:hint="eastAsia" w:ascii="楷体" w:hAnsi="楷体" w:eastAsia="楷体"/>
          <w:b/>
          <w:sz w:val="21"/>
          <w:szCs w:val="21"/>
        </w:rPr>
        <w:t>、免责条款</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由于地震、火灾、战争等不可抗力导致的交易中断、延误等风险及损失，</w:t>
      </w:r>
      <w:r>
        <w:rPr>
          <w:rFonts w:hint="eastAsia" w:ascii="楷体" w:hAnsi="楷体" w:eastAsia="楷体"/>
          <w:sz w:val="21"/>
          <w:szCs w:val="21"/>
          <w:lang w:val="en-US" w:eastAsia="zh-CN"/>
        </w:rPr>
        <w:t>乙方</w:t>
      </w:r>
      <w:r>
        <w:rPr>
          <w:rFonts w:hint="eastAsia" w:ascii="楷体" w:hAnsi="楷体" w:eastAsia="楷体"/>
          <w:sz w:val="21"/>
          <w:szCs w:val="21"/>
        </w:rPr>
        <w:t>不承担责任，但应在条件允许的情况下通知</w:t>
      </w:r>
      <w:r>
        <w:rPr>
          <w:rFonts w:hint="eastAsia" w:ascii="楷体" w:hAnsi="楷体" w:eastAsia="楷体"/>
          <w:sz w:val="21"/>
          <w:szCs w:val="21"/>
          <w:lang w:val="en-US" w:eastAsia="zh-CN"/>
        </w:rPr>
        <w:t>甲方</w:t>
      </w:r>
      <w:r>
        <w:rPr>
          <w:rFonts w:hint="eastAsia" w:ascii="楷体" w:hAnsi="楷体" w:eastAsia="楷体"/>
          <w:sz w:val="21"/>
          <w:szCs w:val="21"/>
        </w:rPr>
        <w:t>，并采取一切必要的补救措施以减小不可抗力造成的损失。</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2. </w:t>
      </w:r>
      <w:r>
        <w:rPr>
          <w:rFonts w:hint="eastAsia" w:ascii="楷体" w:hAnsi="楷体" w:eastAsia="楷体"/>
          <w:sz w:val="21"/>
          <w:szCs w:val="21"/>
        </w:rPr>
        <w:t>由于国家的有关法律、法规、规章、政策的改变、紧急措施的出台而导致的风险，</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0"/>
        <w:rPr>
          <w:rFonts w:ascii="楷体" w:hAnsi="楷体" w:eastAsia="楷体"/>
          <w:sz w:val="21"/>
          <w:szCs w:val="21"/>
        </w:rPr>
      </w:pPr>
      <w:r>
        <w:rPr>
          <w:rFonts w:hint="eastAsia" w:ascii="楷体" w:hAnsi="楷体" w:eastAsia="楷体"/>
          <w:sz w:val="21"/>
          <w:szCs w:val="21"/>
          <w:lang w:val="en-US" w:eastAsia="zh-CN"/>
        </w:rPr>
        <w:t>3. 乙方</w:t>
      </w:r>
      <w:r>
        <w:rPr>
          <w:rFonts w:hint="eastAsia" w:ascii="楷体" w:hAnsi="楷体" w:eastAsia="楷体"/>
          <w:sz w:val="21"/>
          <w:szCs w:val="21"/>
        </w:rPr>
        <w:t>依照恪尽职守、诚实信用、谨慎勤勉的原则管理和运用理财产品财产，</w:t>
      </w:r>
      <w:r>
        <w:rPr>
          <w:rFonts w:hint="eastAsia" w:ascii="楷体" w:hAnsi="楷体" w:eastAsia="楷体"/>
          <w:b/>
          <w:bCs/>
          <w:sz w:val="21"/>
          <w:szCs w:val="21"/>
        </w:rPr>
        <w:t>但不保证理财产品财产中的认（申）购资金本金不受损失，也不保证一定盈利及最低收益。</w:t>
      </w:r>
      <w:r>
        <w:rPr>
          <w:rFonts w:hint="eastAsia" w:ascii="楷体" w:hAnsi="楷体" w:eastAsia="楷体"/>
          <w:sz w:val="21"/>
          <w:szCs w:val="21"/>
        </w:rPr>
        <w:t>本理财产品运作过程中，</w:t>
      </w:r>
      <w:r>
        <w:rPr>
          <w:rFonts w:hint="eastAsia" w:ascii="楷体" w:hAnsi="楷体" w:eastAsia="楷体"/>
          <w:sz w:val="21"/>
          <w:szCs w:val="21"/>
          <w:lang w:val="en-US" w:eastAsia="zh-CN"/>
        </w:rPr>
        <w:t>乙方</w:t>
      </w:r>
      <w:r>
        <w:rPr>
          <w:rFonts w:hint="eastAsia" w:ascii="楷体" w:hAnsi="楷体" w:eastAsia="楷体"/>
          <w:sz w:val="21"/>
          <w:szCs w:val="21"/>
        </w:rPr>
        <w:t>依据产品合同约定管理和运用理财产品财产所产生的风险，由理财产品财产及</w:t>
      </w:r>
      <w:r>
        <w:rPr>
          <w:rFonts w:hint="eastAsia" w:ascii="楷体" w:hAnsi="楷体" w:eastAsia="楷体"/>
          <w:sz w:val="21"/>
          <w:szCs w:val="21"/>
          <w:lang w:val="en-US" w:eastAsia="zh-CN"/>
        </w:rPr>
        <w:t>甲方</w:t>
      </w:r>
      <w:r>
        <w:rPr>
          <w:rFonts w:hint="eastAsia" w:ascii="楷体" w:hAnsi="楷体" w:eastAsia="楷体"/>
          <w:sz w:val="21"/>
          <w:szCs w:val="21"/>
        </w:rPr>
        <w:t>承担。</w:t>
      </w:r>
      <w:r>
        <w:rPr>
          <w:rFonts w:hint="eastAsia" w:ascii="楷体" w:hAnsi="楷体" w:eastAsia="楷体"/>
          <w:b/>
          <w:bCs/>
          <w:sz w:val="21"/>
          <w:szCs w:val="21"/>
          <w:lang w:val="en-US" w:eastAsia="zh-CN"/>
        </w:rPr>
        <w:t>甲方</w:t>
      </w:r>
      <w:r>
        <w:rPr>
          <w:rFonts w:hint="eastAsia" w:ascii="楷体" w:hAnsi="楷体" w:eastAsia="楷体"/>
          <w:b/>
          <w:bCs/>
          <w:sz w:val="21"/>
          <w:szCs w:val="21"/>
        </w:rPr>
        <w:t>应充分知晓投资运营的相关风险，具体风险详见风险揭示书及理财产品说明书的具体约定，其风险应由</w:t>
      </w:r>
      <w:r>
        <w:rPr>
          <w:rFonts w:hint="eastAsia" w:ascii="楷体" w:hAnsi="楷体" w:eastAsia="楷体"/>
          <w:b/>
          <w:bCs/>
          <w:sz w:val="21"/>
          <w:szCs w:val="21"/>
          <w:lang w:val="en-US" w:eastAsia="zh-CN"/>
        </w:rPr>
        <w:t>甲方</w:t>
      </w:r>
      <w:r>
        <w:rPr>
          <w:rFonts w:hint="eastAsia" w:ascii="楷体" w:hAnsi="楷体" w:eastAsia="楷体"/>
          <w:b/>
          <w:bCs/>
          <w:sz w:val="21"/>
          <w:szCs w:val="21"/>
        </w:rPr>
        <w:t>自担</w:t>
      </w:r>
      <w:r>
        <w:rPr>
          <w:rFonts w:hint="eastAsia" w:ascii="楷体" w:hAnsi="楷体" w:eastAsia="楷体"/>
          <w:sz w:val="21"/>
          <w:szCs w:val="21"/>
        </w:rPr>
        <w:t>。</w:t>
      </w:r>
    </w:p>
    <w:p>
      <w:pPr>
        <w:ind w:firstLine="420"/>
        <w:rPr>
          <w:rFonts w:ascii="楷体" w:hAnsi="楷体" w:eastAsia="楷体"/>
          <w:sz w:val="21"/>
          <w:szCs w:val="21"/>
        </w:rPr>
      </w:pPr>
      <w:r>
        <w:rPr>
          <w:rFonts w:hint="eastAsia" w:ascii="楷体" w:hAnsi="楷体" w:eastAsia="楷体"/>
          <w:sz w:val="21"/>
          <w:szCs w:val="21"/>
          <w:lang w:val="en-US" w:eastAsia="zh-CN"/>
        </w:rPr>
        <w:t xml:space="preserve">4. </w:t>
      </w:r>
      <w:r>
        <w:rPr>
          <w:rFonts w:hint="eastAsia" w:ascii="楷体" w:hAnsi="楷体" w:eastAsia="楷体"/>
          <w:sz w:val="21"/>
          <w:szCs w:val="21"/>
        </w:rPr>
        <w:t>非因</w:t>
      </w:r>
      <w:r>
        <w:rPr>
          <w:rFonts w:hint="eastAsia" w:ascii="楷体" w:hAnsi="楷体" w:eastAsia="楷体"/>
          <w:sz w:val="21"/>
          <w:szCs w:val="21"/>
          <w:lang w:val="en-US" w:eastAsia="zh-CN"/>
        </w:rPr>
        <w:t>乙方</w:t>
      </w:r>
      <w:r>
        <w:rPr>
          <w:rFonts w:hint="eastAsia" w:ascii="楷体" w:hAnsi="楷体" w:eastAsia="楷体"/>
          <w:sz w:val="21"/>
          <w:szCs w:val="21"/>
        </w:rPr>
        <w:t>原因（包括但不限于</w:t>
      </w:r>
      <w:r>
        <w:rPr>
          <w:rFonts w:hint="eastAsia" w:ascii="楷体" w:hAnsi="楷体" w:eastAsia="楷体"/>
          <w:sz w:val="21"/>
          <w:szCs w:val="21"/>
          <w:lang w:val="en-US" w:eastAsia="zh-CN"/>
        </w:rPr>
        <w:t>甲方</w:t>
      </w:r>
      <w:r>
        <w:rPr>
          <w:rFonts w:hint="eastAsia" w:ascii="楷体" w:hAnsi="楷体" w:eastAsia="楷体"/>
          <w:sz w:val="21"/>
          <w:szCs w:val="21"/>
        </w:rPr>
        <w:t>遗失本协议、理财产品合同被盗用、</w:t>
      </w:r>
      <w:r>
        <w:rPr>
          <w:rFonts w:hint="eastAsia" w:ascii="楷体" w:hAnsi="楷体" w:eastAsia="楷体"/>
          <w:sz w:val="21"/>
          <w:szCs w:val="21"/>
          <w:lang w:val="en-US" w:eastAsia="zh-CN"/>
        </w:rPr>
        <w:t>甲方</w:t>
      </w:r>
      <w:r>
        <w:rPr>
          <w:rFonts w:hint="eastAsia" w:ascii="楷体" w:hAnsi="楷体" w:eastAsia="楷体"/>
          <w:sz w:val="21"/>
          <w:szCs w:val="21"/>
        </w:rPr>
        <w:t>资金账户被司法机关等有权部门冻结、扣划及其他投资者自身原因、投资标的固有风险等原因）造成的损失，</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六</w:t>
      </w:r>
      <w:r>
        <w:rPr>
          <w:rFonts w:hint="eastAsia" w:ascii="楷体" w:hAnsi="楷体" w:eastAsia="楷体"/>
          <w:b/>
          <w:sz w:val="21"/>
          <w:szCs w:val="21"/>
        </w:rPr>
        <w:t>、协议的生效、变更及终止</w:t>
      </w:r>
    </w:p>
    <w:p>
      <w:pPr>
        <w:ind w:firstLine="420"/>
        <w:rPr>
          <w:rStyle w:val="20"/>
          <w:rFonts w:hint="eastAsia" w:ascii="楷体" w:hAnsi="楷体" w:eastAsia="楷体" w:cs="Times New Roman"/>
          <w:sz w:val="21"/>
          <w:szCs w:val="21"/>
          <w:highlight w:val="none"/>
        </w:rPr>
      </w:pPr>
      <w:r>
        <w:rPr>
          <w:rFonts w:hint="eastAsia" w:ascii="楷体" w:hAnsi="楷体" w:eastAsia="楷体"/>
          <w:sz w:val="21"/>
          <w:szCs w:val="21"/>
          <w:highlight w:val="none"/>
          <w:lang w:val="en-US" w:eastAsia="zh-CN"/>
        </w:rPr>
        <w:t>1.</w:t>
      </w:r>
      <w:r>
        <w:rPr>
          <w:rFonts w:hint="eastAsia" w:ascii="楷体" w:hAnsi="楷体" w:eastAsia="楷体" w:cs="Times New Roman"/>
          <w:sz w:val="21"/>
          <w:szCs w:val="21"/>
          <w:highlight w:val="none"/>
        </w:rPr>
        <w:t>本协议自</w:t>
      </w:r>
      <w:r>
        <w:rPr>
          <w:rFonts w:hint="eastAsia" w:ascii="楷体" w:hAnsi="楷体" w:eastAsia="楷体"/>
          <w:sz w:val="21"/>
          <w:szCs w:val="21"/>
          <w:highlight w:val="none"/>
          <w:lang w:val="en-US" w:eastAsia="zh-CN"/>
        </w:rPr>
        <w:t>甲方</w:t>
      </w:r>
      <w:r>
        <w:rPr>
          <w:rFonts w:hint="eastAsia" w:ascii="楷体" w:hAnsi="楷体" w:eastAsia="楷体" w:cs="Times New Roman"/>
          <w:sz w:val="21"/>
          <w:szCs w:val="21"/>
          <w:highlight w:val="none"/>
        </w:rPr>
        <w:t>成功缴纳全额</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资金并经</w:t>
      </w:r>
      <w:r>
        <w:rPr>
          <w:rFonts w:hint="eastAsia" w:ascii="楷体" w:hAnsi="楷体" w:eastAsia="楷体"/>
          <w:sz w:val="21"/>
          <w:szCs w:val="21"/>
          <w:highlight w:val="none"/>
          <w:lang w:val="en-US" w:eastAsia="zh-CN"/>
        </w:rPr>
        <w:t>苏银</w:t>
      </w:r>
      <w:r>
        <w:rPr>
          <w:rFonts w:hint="eastAsia" w:ascii="楷体" w:hAnsi="楷体" w:eastAsia="楷体" w:cs="Times New Roman"/>
          <w:sz w:val="21"/>
          <w:szCs w:val="21"/>
          <w:highlight w:val="none"/>
        </w:rPr>
        <w:t>理财系统确认购买份额后成立并生效。投资者在办理理财产品</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交易后，需通过销售机构查询</w:t>
      </w:r>
      <w:r>
        <w:rPr>
          <w:rFonts w:hint="eastAsia" w:ascii="楷体" w:hAnsi="楷体" w:eastAsia="楷体"/>
          <w:sz w:val="21"/>
          <w:szCs w:val="21"/>
          <w:highlight w:val="none"/>
          <w:lang w:val="en-US" w:eastAsia="zh-CN"/>
        </w:rPr>
        <w:t>份额确认情况</w:t>
      </w:r>
      <w:r>
        <w:rPr>
          <w:rFonts w:hint="eastAsia" w:ascii="楷体" w:hAnsi="楷体" w:eastAsia="楷体" w:cs="Times New Roman"/>
          <w:sz w:val="21"/>
          <w:szCs w:val="21"/>
          <w:highlight w:val="none"/>
        </w:rPr>
        <w:t>。</w:t>
      </w:r>
    </w:p>
    <w:p>
      <w:pPr>
        <w:ind w:firstLine="420"/>
        <w:rPr>
          <w:rFonts w:hint="eastAsia" w:ascii="楷体" w:hAnsi="楷体" w:eastAsia="楷体" w:cs="Times New Roman"/>
          <w:sz w:val="21"/>
          <w:szCs w:val="21"/>
          <w:highlight w:val="none"/>
        </w:rPr>
      </w:pPr>
      <w:r>
        <w:rPr>
          <w:rFonts w:hint="eastAsia" w:ascii="楷体" w:hAnsi="楷体" w:eastAsia="楷体" w:cs="Times New Roman"/>
          <w:sz w:val="21"/>
          <w:szCs w:val="21"/>
          <w:highlight w:val="none"/>
          <w:lang w:val="en-US" w:eastAsia="zh-CN"/>
        </w:rPr>
        <w:t>2.</w:t>
      </w:r>
      <w:r>
        <w:rPr>
          <w:rFonts w:hint="eastAsia" w:ascii="楷体" w:hAnsi="楷体" w:eastAsia="楷体" w:cs="Times New Roman"/>
          <w:sz w:val="21"/>
          <w:szCs w:val="21"/>
          <w:highlight w:val="none"/>
        </w:rPr>
        <w:t>本协议及理财产品合同项下各方权利义务履行完毕之日，本协议自动终止。</w:t>
      </w:r>
    </w:p>
    <w:p>
      <w:pPr>
        <w:ind w:firstLine="420"/>
        <w:rPr>
          <w:rFonts w:ascii="楷体" w:hAnsi="楷体" w:eastAsia="楷体"/>
          <w:b/>
          <w:sz w:val="21"/>
          <w:szCs w:val="21"/>
        </w:rPr>
      </w:pPr>
      <w:r>
        <w:rPr>
          <w:rFonts w:hint="eastAsia" w:ascii="楷体" w:hAnsi="楷体" w:eastAsia="楷体"/>
          <w:b/>
          <w:sz w:val="21"/>
          <w:szCs w:val="21"/>
          <w:lang w:val="en-US" w:eastAsia="zh-CN"/>
        </w:rPr>
        <w:t>七</w:t>
      </w:r>
      <w:r>
        <w:rPr>
          <w:rFonts w:hint="eastAsia" w:ascii="楷体" w:hAnsi="楷体" w:eastAsia="楷体"/>
          <w:b/>
          <w:sz w:val="21"/>
          <w:szCs w:val="21"/>
        </w:rPr>
        <w:t>、本合同的订立、生效、履行、解释、修改和终止等事项均适用中华人民共和国（不包括香港特别行政区、澳门特别行政区和台湾地区）法律。</w:t>
      </w:r>
    </w:p>
    <w:p>
      <w:pPr>
        <w:ind w:left="0" w:leftChars="0" w:firstLine="420" w:firstLineChars="200"/>
        <w:rPr>
          <w:rFonts w:hint="eastAsia" w:ascii="楷体" w:hAnsi="楷体" w:eastAsia="楷体"/>
          <w:sz w:val="21"/>
          <w:szCs w:val="21"/>
        </w:rPr>
      </w:pPr>
      <w:r>
        <w:rPr>
          <w:rFonts w:hint="eastAsia" w:ascii="楷体" w:hAnsi="楷体" w:eastAsia="楷体"/>
          <w:sz w:val="21"/>
          <w:szCs w:val="21"/>
        </w:rPr>
        <w:t>因本合同引起的或与本合同有关的任何争议，应当首先通过双方之间的友好协商解决；协商不成的，双方均有权提交</w:t>
      </w:r>
      <w:r>
        <w:rPr>
          <w:rFonts w:hint="eastAsia" w:ascii="楷体" w:hAnsi="楷体" w:eastAsia="楷体"/>
          <w:sz w:val="21"/>
          <w:szCs w:val="21"/>
          <w:lang w:val="en-US" w:eastAsia="zh-CN"/>
        </w:rPr>
        <w:t>乙方</w:t>
      </w:r>
      <w:r>
        <w:rPr>
          <w:rFonts w:hint="eastAsia" w:ascii="楷体" w:hAnsi="楷体" w:eastAsia="楷体"/>
          <w:sz w:val="21"/>
          <w:szCs w:val="21"/>
        </w:rPr>
        <w:t>所在地有管辖权的人民法院诉讼解决。</w:t>
      </w:r>
    </w:p>
    <w:p>
      <w:pPr>
        <w:ind w:firstLine="420"/>
        <w:rPr>
          <w:rFonts w:hint="default" w:ascii="楷体" w:hAnsi="楷体" w:eastAsia="楷体"/>
          <w:b/>
          <w:sz w:val="21"/>
          <w:szCs w:val="21"/>
          <w:lang w:val="en-US" w:eastAsia="zh-CN"/>
        </w:rPr>
      </w:pPr>
      <w:r>
        <w:rPr>
          <w:rFonts w:hint="eastAsia" w:ascii="楷体" w:hAnsi="楷体" w:eastAsia="楷体"/>
          <w:b/>
          <w:sz w:val="21"/>
          <w:szCs w:val="21"/>
          <w:lang w:val="en-US" w:eastAsia="zh-CN"/>
        </w:rPr>
        <w:t>八</w:t>
      </w:r>
      <w:r>
        <w:rPr>
          <w:rFonts w:hint="eastAsia" w:ascii="楷体" w:hAnsi="楷体" w:eastAsia="楷体"/>
          <w:b/>
          <w:sz w:val="21"/>
          <w:szCs w:val="21"/>
        </w:rPr>
        <w:t>、</w:t>
      </w:r>
      <w:r>
        <w:rPr>
          <w:rFonts w:hint="eastAsia" w:ascii="楷体" w:hAnsi="楷体" w:eastAsia="楷体"/>
          <w:b/>
          <w:sz w:val="21"/>
          <w:szCs w:val="21"/>
          <w:lang w:val="en-US" w:eastAsia="zh-CN"/>
        </w:rPr>
        <w:t>投资协议书未尽事宜，以理财产品说明书、风险揭示书、理财产品（代理）销售协议书、投资者权益须知的约定内容为准。签署本协议视为同意并接受以上法律文件的所有内容。</w:t>
      </w:r>
    </w:p>
    <w:p>
      <w:pPr>
        <w:numPr>
          <w:ilvl w:val="0"/>
          <w:numId w:val="0"/>
        </w:numPr>
        <w:ind w:firstLine="420" w:firstLineChars="200"/>
        <w:rPr>
          <w:rFonts w:hint="eastAsia" w:ascii="楷体" w:hAnsi="楷体" w:eastAsia="楷体"/>
          <w:sz w:val="21"/>
          <w:szCs w:val="21"/>
        </w:rPr>
      </w:pPr>
      <w:r>
        <w:rPr>
          <w:rFonts w:ascii="楷体" w:hAnsi="楷体" w:eastAsia="楷体"/>
          <w:sz w:val="21"/>
          <w:szCs w:val="21"/>
        </w:rPr>
        <w:t>甲方</w:t>
      </w:r>
      <w:r>
        <w:rPr>
          <w:rFonts w:hint="eastAsia" w:ascii="楷体" w:hAnsi="楷体" w:eastAsia="楷体"/>
          <w:sz w:val="21"/>
          <w:szCs w:val="21"/>
        </w:rPr>
        <w:t xml:space="preserve">（个人客户签字）：      </w:t>
      </w:r>
      <w:r>
        <w:rPr>
          <w:rFonts w:ascii="楷体" w:hAnsi="楷体" w:eastAsia="楷体"/>
          <w:sz w:val="21"/>
          <w:szCs w:val="21"/>
        </w:rPr>
        <w:t>甲方</w:t>
      </w:r>
      <w:r>
        <w:rPr>
          <w:rFonts w:hint="eastAsia" w:ascii="楷体" w:hAnsi="楷体" w:eastAsia="楷体"/>
          <w:sz w:val="21"/>
          <w:szCs w:val="21"/>
        </w:rPr>
        <w:t>（机构客户盖章）：</w:t>
      </w:r>
    </w:p>
    <w:p>
      <w:pPr>
        <w:rPr>
          <w:rFonts w:hint="eastAsia" w:ascii="楷体" w:hAnsi="楷体" w:eastAsia="楷体"/>
          <w:sz w:val="21"/>
          <w:szCs w:val="21"/>
        </w:rPr>
      </w:pPr>
    </w:p>
    <w:p>
      <w:pPr>
        <w:rPr>
          <w:rFonts w:hint="eastAsia" w:ascii="楷体" w:hAnsi="楷体" w:eastAsia="楷体"/>
          <w:sz w:val="21"/>
          <w:szCs w:val="21"/>
        </w:rPr>
      </w:pPr>
    </w:p>
    <w:p>
      <w:pPr>
        <w:rPr>
          <w:rFonts w:hint="eastAsia" w:ascii="楷体" w:hAnsi="楷体" w:eastAsia="楷体"/>
          <w:sz w:val="21"/>
          <w:szCs w:val="21"/>
        </w:rPr>
      </w:pPr>
      <w:r>
        <w:rPr>
          <w:rFonts w:hint="eastAsia" w:ascii="楷体" w:hAnsi="楷体" w:eastAsia="楷体"/>
          <w:szCs w:val="21"/>
        </w:rPr>
        <w:t xml:space="preserve">                               </w:t>
      </w:r>
      <w:r>
        <w:rPr>
          <w:rFonts w:hint="eastAsia" w:ascii="楷体" w:hAnsi="楷体" w:eastAsia="楷体"/>
          <w:sz w:val="21"/>
          <w:szCs w:val="21"/>
        </w:rPr>
        <w:t>机构客户法定代表人或授权代表（签字或盖章）</w:t>
      </w:r>
    </w:p>
    <w:p>
      <w:pPr>
        <w:rPr>
          <w:rFonts w:hint="eastAsia" w:ascii="楷体" w:hAnsi="楷体" w:eastAsia="楷体"/>
          <w:sz w:val="21"/>
          <w:szCs w:val="21"/>
        </w:rPr>
      </w:pPr>
    </w:p>
    <w:p>
      <w:pPr>
        <w:autoSpaceDE w:val="0"/>
        <w:autoSpaceDN w:val="0"/>
        <w:adjustRightInd w:val="0"/>
        <w:jc w:val="right"/>
        <w:rPr>
          <w:rFonts w:ascii="楷体" w:hAnsi="楷体" w:eastAsia="楷体"/>
          <w:sz w:val="24"/>
          <w:szCs w:val="24"/>
        </w:rPr>
      </w:pPr>
      <w:r>
        <w:rPr>
          <w:rFonts w:ascii="楷体" w:hAnsi="楷体" w:eastAsia="楷体"/>
          <w:sz w:val="21"/>
          <w:szCs w:val="21"/>
        </w:rPr>
        <w:t>签署日期：</w:t>
      </w:r>
      <w:r>
        <w:rPr>
          <w:rFonts w:hint="eastAsia" w:ascii="楷体" w:hAnsi="楷体" w:eastAsia="楷体"/>
          <w:sz w:val="21"/>
          <w:szCs w:val="21"/>
        </w:rPr>
        <w:t xml:space="preserve">      </w:t>
      </w:r>
      <w:r>
        <w:rPr>
          <w:rFonts w:ascii="楷体" w:hAnsi="楷体" w:eastAsia="楷体"/>
          <w:sz w:val="21"/>
          <w:szCs w:val="21"/>
        </w:rPr>
        <w:t>年</w:t>
      </w:r>
      <w:r>
        <w:rPr>
          <w:rFonts w:hint="eastAsia" w:ascii="楷体" w:hAnsi="楷体" w:eastAsia="楷体"/>
          <w:sz w:val="21"/>
          <w:szCs w:val="21"/>
        </w:rPr>
        <w:t xml:space="preserve">      </w:t>
      </w:r>
      <w:r>
        <w:rPr>
          <w:rFonts w:ascii="楷体" w:hAnsi="楷体" w:eastAsia="楷体"/>
          <w:sz w:val="21"/>
          <w:szCs w:val="21"/>
        </w:rPr>
        <w:t>月</w:t>
      </w:r>
      <w:r>
        <w:rPr>
          <w:rFonts w:hint="eastAsia" w:ascii="楷体" w:hAnsi="楷体" w:eastAsia="楷体"/>
          <w:sz w:val="21"/>
          <w:szCs w:val="21"/>
        </w:rPr>
        <w:t xml:space="preserve">     日</w:t>
      </w:r>
    </w:p>
    <w:sectPr>
      <w:headerReference r:id="rId5" w:type="first"/>
      <w:headerReference r:id="rId3" w:type="default"/>
      <w:footerReference r:id="rId6" w:type="default"/>
      <w:headerReference r:id="rId4" w:type="even"/>
      <w:pgSz w:w="11906" w:h="16838"/>
      <w:pgMar w:top="1417" w:right="1134" w:bottom="136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1030" o:spt="75" type="#_x0000_t75" style="position:absolute;left:0pt;height:862.85pt;width:1137.3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苏银理财"/>
          <o:lock v:ext="edit" aspectratio="t"/>
        </v:shape>
      </w:pict>
    </w:r>
    <w:r>
      <w:pict>
        <v:shape id="图片 1" o:spid="_x0000_s1031" o:spt="75" alt="说明: 说明: C:\Users\JSYH\Desktop\苏银理财.png" type="#_x0000_t75" style="position:absolute;left:0pt;margin-left:308.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1" o:title="苏银理财"/>
          <o:lock v:ext="edit" aspectratio="t"/>
          <w10:wrap type="square"/>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7157A"/>
    <w:multiLevelType w:val="multilevel"/>
    <w:tmpl w:val="CE27157A"/>
    <w:lvl w:ilvl="0" w:tentative="0">
      <w:start w:val="1"/>
      <w:numFmt w:val="chineseCountingThousand"/>
      <w:suff w:val="space"/>
      <w:lvlText w:val="%1、"/>
      <w:lvlJc w:val="left"/>
      <w:pPr>
        <w:ind w:left="42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A9850F8"/>
    <w:multiLevelType w:val="multilevel"/>
    <w:tmpl w:val="2A9850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42F757"/>
    <w:multiLevelType w:val="singleLevel"/>
    <w:tmpl w:val="2D42F757"/>
    <w:lvl w:ilvl="0" w:tentative="0">
      <w:start w:val="2"/>
      <w:numFmt w:val="chineseCounting"/>
      <w:suff w:val="nothing"/>
      <w:lvlText w:val="（%1）"/>
      <w:lvlJc w:val="left"/>
      <w:rPr>
        <w:rFonts w:hint="eastAsia"/>
      </w:rPr>
    </w:lvl>
  </w:abstractNum>
  <w:abstractNum w:abstractNumId="9">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C5ACE5"/>
    <w:multiLevelType w:val="singleLevel"/>
    <w:tmpl w:val="3FC5ACE5"/>
    <w:lvl w:ilvl="0" w:tentative="0">
      <w:start w:val="1"/>
      <w:numFmt w:val="decimalEnclosedCircleChinese"/>
      <w:suff w:val="nothing"/>
      <w:lvlText w:val="%1　"/>
      <w:lvlJc w:val="left"/>
      <w:pPr>
        <w:ind w:left="0" w:firstLine="400"/>
      </w:pPr>
      <w:rPr>
        <w:rFonts w:hint="eastAsia"/>
      </w:rPr>
    </w:lvl>
  </w:abstractNum>
  <w:abstractNum w:abstractNumId="12">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0"/>
  </w:num>
  <w:num w:numId="7">
    <w:abstractNumId w:val="6"/>
  </w:num>
  <w:num w:numId="8">
    <w:abstractNumId w:val="16"/>
  </w:num>
  <w:num w:numId="9">
    <w:abstractNumId w:val="5"/>
  </w:num>
  <w:num w:numId="10">
    <w:abstractNumId w:val="19"/>
  </w:num>
  <w:num w:numId="11">
    <w:abstractNumId w:val="15"/>
  </w:num>
  <w:num w:numId="12">
    <w:abstractNumId w:val="12"/>
  </w:num>
  <w:num w:numId="13">
    <w:abstractNumId w:val="14"/>
  </w:num>
  <w:num w:numId="14">
    <w:abstractNumId w:val="20"/>
  </w:num>
  <w:num w:numId="15">
    <w:abstractNumId w:val="7"/>
  </w:num>
  <w:num w:numId="16">
    <w:abstractNumId w:val="2"/>
  </w:num>
  <w:num w:numId="17">
    <w:abstractNumId w:val="13"/>
  </w:num>
  <w:num w:numId="18">
    <w:abstractNumId w:val="1"/>
  </w:num>
  <w:num w:numId="19">
    <w:abstractNumId w:val="17"/>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5560D9"/>
    <w:rsid w:val="045C7D7F"/>
    <w:rsid w:val="04674182"/>
    <w:rsid w:val="046874D3"/>
    <w:rsid w:val="046D4B31"/>
    <w:rsid w:val="047540A6"/>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46AF9"/>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2609F"/>
    <w:rsid w:val="1509116B"/>
    <w:rsid w:val="150C2883"/>
    <w:rsid w:val="150E365F"/>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82C35"/>
    <w:rsid w:val="15DB5F39"/>
    <w:rsid w:val="15E24378"/>
    <w:rsid w:val="15E65D5D"/>
    <w:rsid w:val="15F26272"/>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10550"/>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8A07FE"/>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318DD"/>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305D6"/>
    <w:rsid w:val="56C13D7F"/>
    <w:rsid w:val="56C66D69"/>
    <w:rsid w:val="56CA570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1344D"/>
    <w:rsid w:val="5D677493"/>
    <w:rsid w:val="5D733A05"/>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7722C"/>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4623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26B0B"/>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21814</Words>
  <Characters>22616</Characters>
  <Lines>243</Lines>
  <Paragraphs>68</Paragraphs>
  <TotalTime>3</TotalTime>
  <ScaleCrop>false</ScaleCrop>
  <LinksUpToDate>false</LinksUpToDate>
  <CharactersWithSpaces>22805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2025-06-20T03:04:37Z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FE0C50D9B6F14793BB167459BCCDFBE6</vt:lpwstr>
  </property>
</Properties>
</file>