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color w:val="000000" w:themeColor="text1"/>
          <w:highlight w:val="none"/>
          <w14:textFill>
            <w14:solidFill>
              <w14:schemeClr w14:val="tx1"/>
            </w14:solidFill>
          </w14:textFill>
        </w:rPr>
      </w:pPr>
      <w:bookmarkStart w:id="5" w:name="_GoBack"/>
      <w:bookmarkEnd w:id="5"/>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b/>
          <w:bCs/>
          <w:color w:val="000000" w:themeColor="text1"/>
          <w:highlight w:val="none"/>
          <w14:textFill>
            <w14:solidFill>
              <w14:schemeClr w14:val="tx1"/>
            </w14:solidFill>
          </w14:textFill>
        </w:rPr>
      </w:pPr>
    </w:p>
    <w:p>
      <w:pPr>
        <w:bidi w:val="0"/>
        <w:jc w:val="center"/>
        <w:rPr>
          <w:rFonts w:hint="eastAsia" w:ascii="宋体" w:hAnsi="宋体" w:eastAsia="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lang w:eastAsia="zh-CN"/>
          <w14:textFill>
            <w14:solidFill>
              <w14:schemeClr w14:val="tx1"/>
            </w14:solidFill>
          </w14:textFill>
        </w:rPr>
        <w:t>幸福99添益(安享优选)7天持有期7期理财</w:t>
      </w:r>
      <w:r>
        <w:rPr>
          <w:rFonts w:hint="eastAsia" w:ascii="宋体" w:hAnsi="宋体" w:eastAsia="宋体" w:cs="宋体"/>
          <w:b/>
          <w:bCs/>
          <w:color w:val="000000" w:themeColor="text1"/>
          <w:sz w:val="44"/>
          <w:szCs w:val="44"/>
          <w:highlight w:val="none"/>
          <w14:textFill>
            <w14:solidFill>
              <w14:schemeClr w14:val="tx1"/>
            </w14:solidFill>
          </w14:textFill>
        </w:rPr>
        <w:t>合同</w:t>
      </w: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44"/>
          <w:szCs w:val="44"/>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理财计划管理人：杭银理财有限责任公司</w:t>
      </w:r>
    </w:p>
    <w:p>
      <w:pPr>
        <w:ind w:firstLine="1280" w:firstLineChars="400"/>
        <w:jc w:val="left"/>
        <w:rPr>
          <w:rFonts w:hint="eastAsia"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理财计划托管人：杭州银行股份有限公司</w:t>
      </w: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pStyle w:val="2"/>
        <w:bidi w:val="0"/>
        <w:rPr>
          <w:rFonts w:hint="eastAsia" w:ascii="宋体" w:hAnsi="宋体" w:eastAsia="宋体" w:cs="宋体"/>
          <w:color w:val="000000" w:themeColor="text1"/>
          <w:highlight w:val="none"/>
          <w:lang w:val="en-US" w:eastAsia="zh-CN"/>
          <w14:textFill>
            <w14:solidFill>
              <w14:schemeClr w14:val="tx1"/>
            </w14:solidFill>
          </w14:textFill>
        </w:rPr>
      </w:pPr>
      <w:r>
        <w:rPr>
          <w:rFonts w:hint="eastAsia" w:ascii="宋体" w:hAnsi="宋体" w:cs="宋体"/>
          <w:color w:val="000000" w:themeColor="text1"/>
          <w:highlight w:val="none"/>
          <w:lang w:eastAsia="zh-CN"/>
          <w14:textFill>
            <w14:solidFill>
              <w14:schemeClr w14:val="tx1"/>
            </w14:solidFill>
          </w14:textFill>
        </w:rPr>
        <w:t>幸福99添益(安享优选)7天持有期7期理财</w:t>
      </w:r>
      <w:r>
        <w:rPr>
          <w:rFonts w:hint="eastAsia" w:ascii="宋体" w:hAnsi="宋体" w:eastAsia="宋体" w:cs="宋体"/>
          <w:color w:val="000000" w:themeColor="text1"/>
          <w:highlight w:val="none"/>
          <w:lang w:val="en-US" w:eastAsia="zh-CN"/>
          <w14:textFill>
            <w14:solidFill>
              <w14:schemeClr w14:val="tx1"/>
            </w14:solidFill>
          </w14:textFill>
        </w:rPr>
        <w:t>合同文件</w:t>
      </w:r>
    </w:p>
    <w:p>
      <w:pPr>
        <w:jc w:val="both"/>
        <w:rPr>
          <w:rFonts w:hint="eastAsia" w:ascii="宋体" w:hAnsi="宋体" w:cs="宋体"/>
          <w:color w:val="000000" w:themeColor="text1"/>
          <w:sz w:val="44"/>
          <w:szCs w:val="44"/>
          <w:highlight w:val="none"/>
          <w:lang w:val="en-US" w:eastAsia="zh-CN"/>
          <w14:textFill>
            <w14:solidFill>
              <w14:schemeClr w14:val="tx1"/>
            </w14:solidFill>
          </w14:textFill>
        </w:rPr>
      </w:pPr>
    </w:p>
    <w:p>
      <w:pPr>
        <w:jc w:val="both"/>
        <w:rPr>
          <w:rFonts w:hint="eastAsia" w:ascii="宋体" w:hAnsi="宋体" w:cs="宋体"/>
          <w:color w:val="000000" w:themeColor="text1"/>
          <w:sz w:val="44"/>
          <w:szCs w:val="44"/>
          <w:highlight w:val="none"/>
          <w:lang w:val="en-US" w:eastAsia="zh-CN"/>
          <w14:textFill>
            <w14:solidFill>
              <w14:schemeClr w14:val="tx1"/>
            </w14:solidFill>
          </w14:textFill>
        </w:rPr>
      </w:pPr>
    </w:p>
    <w:tbl>
      <w:tblPr>
        <w:tblStyle w:val="12"/>
        <w:tblW w:w="8191" w:type="dxa"/>
        <w:tblInd w:w="3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5266"/>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序号</w:t>
            </w:r>
          </w:p>
        </w:tc>
        <w:tc>
          <w:tcPr>
            <w:tcW w:w="5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理财计划合同文件中的文件名称</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b/>
                <w:bCs/>
                <w:color w:val="000000" w:themeColor="text1"/>
                <w:sz w:val="21"/>
                <w:szCs w:val="21"/>
                <w:highlight w:val="none"/>
                <w:vertAlign w:val="baseline"/>
                <w:lang w:val="en-US" w:eastAsia="zh-CN"/>
                <w14:textFill>
                  <w14:solidFill>
                    <w14:schemeClr w14:val="tx1"/>
                  </w14:solidFill>
                </w14:textFill>
              </w:rPr>
              <w:t>文件简称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1</w:t>
            </w:r>
          </w:p>
        </w:tc>
        <w:tc>
          <w:tcPr>
            <w:tcW w:w="5266" w:type="dxa"/>
            <w:noWrap w:val="0"/>
            <w:vAlign w:val="center"/>
          </w:tcPr>
          <w:p>
            <w:pPr>
              <w:spacing w:line="360" w:lineRule="auto"/>
              <w:jc w:val="left"/>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幸福99添益(安享优选)7天持有期7期理财风险揭示书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理财计划风险揭示书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2</w:t>
            </w:r>
          </w:p>
        </w:tc>
        <w:tc>
          <w:tcPr>
            <w:tcW w:w="5266" w:type="dxa"/>
            <w:noWrap w:val="0"/>
            <w:vAlign w:val="center"/>
          </w:tcPr>
          <w:p>
            <w:pPr>
              <w:spacing w:line="360" w:lineRule="auto"/>
              <w:jc w:val="left"/>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幸福99添益(安享优选)7天持有期7期理财产品说明书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理财计划产品说明书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3</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杭银理财投资者权益须知</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投资者权益须知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4</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杭银理财理财计划投资协议书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理财计划投资协议书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59" w:type="dxa"/>
            <w:noWrap w:val="0"/>
            <w:vAlign w:val="center"/>
          </w:tcPr>
          <w:p>
            <w:pPr>
              <w:spacing w:line="360" w:lineRule="auto"/>
              <w:jc w:val="center"/>
              <w:rPr>
                <w:rFonts w:hint="default"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5</w:t>
            </w:r>
          </w:p>
        </w:tc>
        <w:tc>
          <w:tcPr>
            <w:tcW w:w="5266" w:type="dxa"/>
            <w:noWrap w:val="0"/>
            <w:vAlign w:val="center"/>
          </w:tcPr>
          <w:p>
            <w:pPr>
              <w:spacing w:line="360" w:lineRule="auto"/>
              <w:jc w:val="left"/>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杭银理财理财计划销售协议书</w:t>
            </w:r>
          </w:p>
        </w:tc>
        <w:tc>
          <w:tcPr>
            <w:tcW w:w="2266" w:type="dxa"/>
            <w:noWrap w:val="0"/>
            <w:vAlign w:val="center"/>
          </w:tcPr>
          <w:p>
            <w:pPr>
              <w:spacing w:line="360" w:lineRule="auto"/>
              <w:jc w:val="center"/>
              <w:rPr>
                <w:rFonts w:hint="eastAsia" w:ascii="宋体" w:hAnsi="宋体" w:cs="宋体"/>
                <w:color w:val="000000" w:themeColor="text1"/>
                <w:sz w:val="21"/>
                <w:szCs w:val="21"/>
                <w:highlight w:val="none"/>
                <w:vertAlign w:val="baseline"/>
                <w:lang w:val="en-US" w:eastAsia="zh-CN"/>
                <w14:textFill>
                  <w14:solidFill>
                    <w14:schemeClr w14:val="tx1"/>
                  </w14:solidFill>
                </w14:textFill>
              </w:rPr>
            </w:pPr>
            <w:r>
              <w:rPr>
                <w:rFonts w:hint="eastAsia" w:ascii="宋体" w:hAnsi="宋体" w:cs="宋体"/>
                <w:color w:val="000000" w:themeColor="text1"/>
                <w:sz w:val="21"/>
                <w:szCs w:val="21"/>
                <w:highlight w:val="none"/>
                <w:vertAlign w:val="baseline"/>
                <w:lang w:val="en-US" w:eastAsia="zh-CN"/>
                <w14:textFill>
                  <w14:solidFill>
                    <w14:schemeClr w14:val="tx1"/>
                  </w14:solidFill>
                </w14:textFill>
              </w:rPr>
              <w:t>理财计划销售协议书</w:t>
            </w:r>
          </w:p>
        </w:tc>
      </w:tr>
    </w:tbl>
    <w:p>
      <w:pPr>
        <w:jc w:val="center"/>
        <w:rPr>
          <w:rFonts w:hint="eastAsia" w:ascii="宋体" w:hAnsi="宋体" w:cs="宋体"/>
          <w:color w:val="000000" w:themeColor="text1"/>
          <w:sz w:val="44"/>
          <w:szCs w:val="44"/>
          <w:highlight w:val="none"/>
          <w:lang w:val="en-US" w:eastAsia="zh-CN"/>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center"/>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cs="宋体"/>
          <w:color w:val="000000" w:themeColor="text1"/>
          <w:sz w:val="32"/>
          <w:szCs w:val="32"/>
          <w:highlight w:val="none"/>
          <w14:textFill>
            <w14:solidFill>
              <w14:schemeClr w14:val="tx1"/>
            </w14:solidFill>
          </w14:textFill>
        </w:rPr>
      </w:pPr>
    </w:p>
    <w:p>
      <w:pPr>
        <w:jc w:val="both"/>
        <w:rPr>
          <w:rFonts w:hint="eastAsia" w:ascii="宋体" w:hAnsi="宋体" w:eastAsia="宋体" w:cs="宋体"/>
          <w:color w:val="000000" w:themeColor="text1"/>
          <w:sz w:val="32"/>
          <w:szCs w:val="32"/>
          <w:highlight w:val="none"/>
          <w:lang w:eastAsia="zh-CN"/>
          <w14:textFill>
            <w14:solidFill>
              <w14:schemeClr w14:val="tx1"/>
            </w14:solidFill>
          </w14:textFill>
        </w:rPr>
      </w:pPr>
    </w:p>
    <w:p>
      <w:pPr>
        <w:pStyle w:val="2"/>
        <w:bidi w:val="0"/>
        <w:rPr>
          <w:rFonts w:hint="eastAsia"/>
          <w:color w:val="000000" w:themeColor="text1"/>
          <w:highlight w:val="none"/>
          <w14:textFill>
            <w14:solidFill>
              <w14:schemeClr w14:val="tx1"/>
            </w14:solidFill>
          </w14:textFill>
        </w:rPr>
      </w:pPr>
      <w:r>
        <w:rPr>
          <w:rFonts w:hint="eastAsia" w:ascii="宋体" w:hAnsi="宋体" w:cs="宋体"/>
          <w:b/>
          <w:color w:val="000000" w:themeColor="text1"/>
          <w:highlight w:val="none"/>
          <w:lang w:eastAsia="zh-CN"/>
          <w14:textFill>
            <w14:solidFill>
              <w14:schemeClr w14:val="tx1"/>
            </w14:solidFill>
          </w14:textFill>
        </w:rPr>
        <w:t>幸福99添益(安享优选)7天持有期7期理财</w:t>
      </w:r>
      <w:r>
        <w:rPr>
          <w:rFonts w:hint="eastAsia" w:ascii="宋体" w:hAnsi="宋体" w:eastAsia="宋体" w:cs="宋体"/>
          <w:b/>
          <w:color w:val="000000" w:themeColor="text1"/>
          <w:highlight w:val="none"/>
          <w14:textFill>
            <w14:solidFill>
              <w14:schemeClr w14:val="tx1"/>
            </w14:solidFill>
          </w14:textFill>
        </w:rPr>
        <w:t>风险揭示书</w:t>
      </w:r>
    </w:p>
    <w:p>
      <w:pPr>
        <w:jc w:val="cente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尊敬的理财投资者：</w:t>
      </w:r>
    </w:p>
    <w:p>
      <w:pPr>
        <w:spacing w:line="360" w:lineRule="auto"/>
        <w:jc w:val="center"/>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w:t>
      </w:r>
      <w:r>
        <w:rPr>
          <w:rFonts w:hint="eastAsia" w:ascii="宋体" w:hAnsi="宋体" w:cs="宋体"/>
          <w:b/>
          <w:bCs/>
          <w:color w:val="000000" w:themeColor="text1"/>
          <w:sz w:val="24"/>
          <w:highlight w:val="none"/>
          <w:u w:val="single"/>
          <w:lang w:eastAsia="zh-CN"/>
          <w14:textFill>
            <w14:solidFill>
              <w14:schemeClr w14:val="tx1"/>
            </w14:solidFill>
          </w14:textFill>
        </w:rPr>
        <w:t>须</w:t>
      </w:r>
      <w:r>
        <w:rPr>
          <w:rFonts w:hint="eastAsia" w:ascii="宋体" w:hAnsi="宋体" w:cs="宋体"/>
          <w:b/>
          <w:bCs/>
          <w:color w:val="000000" w:themeColor="text1"/>
          <w:sz w:val="24"/>
          <w:highlight w:val="none"/>
          <w:u w:val="single"/>
          <w14:textFill>
            <w14:solidFill>
              <w14:schemeClr w14:val="tx1"/>
            </w14:solidFill>
          </w14:textFill>
        </w:rPr>
        <w:t>谨慎</w:t>
      </w:r>
    </w:p>
    <w:p>
      <w:p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w:t>
      </w:r>
      <w:r>
        <w:rPr>
          <w:rFonts w:hint="eastAsia" w:ascii="宋体" w:hAnsi="宋体" w:cs="宋体"/>
          <w:bCs/>
          <w:color w:val="000000" w:themeColor="text1"/>
          <w:sz w:val="24"/>
          <w:highlight w:val="none"/>
          <w:lang w:eastAsia="zh-CN"/>
          <w14:textFill>
            <w14:solidFill>
              <w14:schemeClr w14:val="tx1"/>
            </w14:solidFill>
          </w14:textFill>
        </w:rPr>
        <w:t>国家金融监督管理总局</w:t>
      </w:r>
      <w:r>
        <w:rPr>
          <w:rFonts w:hint="eastAsia" w:ascii="宋体" w:hAnsi="宋体" w:cs="宋体"/>
          <w:bCs/>
          <w:color w:val="000000" w:themeColor="text1"/>
          <w:sz w:val="24"/>
          <w:highlight w:val="none"/>
          <w14:textFill>
            <w14:solidFill>
              <w14:schemeClr w14:val="tx1"/>
            </w14:solidFill>
          </w14:textFill>
        </w:rPr>
        <w:t>相关监督规定，杭银理财有限责任公司作为本理财计划的管理人郑重提示：在购买理财计划前，请仔细阅读本理财计划完整合同（包括但不限于</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风险揭示书、理财计划说明书、投资者权益须知</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理财计划投资协议书</w:t>
      </w:r>
      <w:r>
        <w:rPr>
          <w:rFonts w:hint="eastAsia" w:ascii="宋体" w:hAnsi="宋体" w:cs="宋体"/>
          <w:bCs/>
          <w:color w:val="000000" w:themeColor="text1"/>
          <w:sz w:val="24"/>
          <w:highlight w:val="none"/>
          <w:lang w:eastAsia="zh-CN"/>
          <w14:textFill>
            <w14:solidFill>
              <w14:schemeClr w14:val="tx1"/>
            </w14:solidFill>
          </w14:textFill>
        </w:rPr>
        <w:t>和理财计划销售协议书</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bCs w:val="0"/>
          <w:color w:val="000000" w:themeColor="text1"/>
          <w:sz w:val="24"/>
          <w:highlight w:val="none"/>
          <w14:textFill>
            <w14:solidFill>
              <w14:schemeClr w14:val="tx1"/>
            </w14:solidFill>
          </w14:textFill>
        </w:rPr>
        <w:t>若通过电子渠道购买的，成功交易后视同为投资者与管理人已完成理财计划交易合同的签订</w:t>
      </w:r>
      <w:r>
        <w:rPr>
          <w:rFonts w:hint="eastAsia" w:ascii="宋体" w:hAnsi="宋体" w:cs="宋体"/>
          <w:bCs/>
          <w:color w:val="000000" w:themeColor="text1"/>
          <w:sz w:val="24"/>
          <w:highlight w:val="none"/>
          <w14:textFill>
            <w14:solidFill>
              <w14:schemeClr w14:val="tx1"/>
            </w14:solidFill>
          </w14:textFill>
        </w:rPr>
        <w:t>），了解理财计划相关具体情况，并确保已评估自身的风险承受能力和理财计划相关风险后，谨慎投资。</w:t>
      </w:r>
      <w:r>
        <w:rPr>
          <w:rFonts w:hint="eastAsia" w:ascii="宋体" w:hAnsi="宋体" w:cs="宋体"/>
          <w:b/>
          <w:color w:val="000000" w:themeColor="text1"/>
          <w:sz w:val="24"/>
          <w:highlight w:val="none"/>
          <w14:textFill>
            <w14:solidFill>
              <w14:schemeClr w14:val="tx1"/>
            </w14:solidFill>
          </w14:textFill>
        </w:rPr>
        <w:t>如影响您风险承受能力的因素发生变化，请及时更新风险承受能力评估。</w:t>
      </w:r>
    </w:p>
    <w:p>
      <w:pPr>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请您根据自身理财目标、投资经验、财务状况、风险承受能力以及其他相关情况慎重购买理财计划。本风险揭示书列示的可能涉及的风险包括但不限于：</w:t>
      </w:r>
    </w:p>
    <w:p>
      <w:pPr>
        <w:pStyle w:val="3"/>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理财计划共性风险</w:t>
      </w:r>
    </w:p>
    <w:p>
      <w:pPr>
        <w:pStyle w:val="4"/>
        <w:numPr>
          <w:ilvl w:val="0"/>
          <w:numId w:val="2"/>
        </w:numPr>
        <w:bidi w:val="0"/>
        <w:ind w:firstLine="482" w:firstLineChars="200"/>
        <w:rPr>
          <w:color w:val="000000" w:themeColor="text1"/>
          <w:highlight w:val="none"/>
          <w14:textFill>
            <w14:solidFill>
              <w14:schemeClr w14:val="tx1"/>
            </w14:solidFill>
          </w14:textFill>
        </w:rPr>
      </w:pPr>
      <w:r>
        <w:rPr>
          <w:rStyle w:val="21"/>
          <w:rFonts w:hint="eastAsia"/>
          <w:b/>
          <w:color w:val="000000" w:themeColor="text1"/>
          <w:highlight w:val="none"/>
          <w14:textFill>
            <w14:solidFill>
              <w14:schemeClr w14:val="tx1"/>
            </w14:solidFill>
          </w14:textFill>
        </w:rPr>
        <w:t>信用风险：</w:t>
      </w:r>
      <w:r>
        <w:rPr>
          <w:rFonts w:hint="eastAsia"/>
          <w:color w:val="000000" w:themeColor="text1"/>
          <w:highlight w:val="none"/>
          <w14:textFill>
            <w14:solidFill>
              <w14:schemeClr w14:val="tx1"/>
            </w14:solidFill>
          </w14:textFill>
        </w:rPr>
        <w:t>理财计划所投资产的相关义务人信用状况恶化，出现信用违约情形，则理财计划本金或收益蒙受部分或全部损失的风险。</w:t>
      </w:r>
    </w:p>
    <w:p>
      <w:pPr>
        <w:pStyle w:val="4"/>
        <w:numPr>
          <w:ilvl w:val="0"/>
          <w:numId w:val="2"/>
        </w:numPr>
        <w:bidi w:val="0"/>
        <w:ind w:firstLine="482" w:firstLineChars="200"/>
        <w:rPr>
          <w:rFonts w:hint="eastAsia"/>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市场风险：</w:t>
      </w:r>
      <w:r>
        <w:rPr>
          <w:rFonts w:hint="eastAsia"/>
          <w:color w:val="000000" w:themeColor="text1"/>
          <w:highlight w:val="none"/>
          <w14:textFill>
            <w14:solidFill>
              <w14:schemeClr w14:val="tx1"/>
            </w14:solidFill>
          </w14:textFill>
        </w:rPr>
        <w:t>理财计划可能面临国家政策、经济周期、利率、汇率等因素的变化，所投资产价值可能出现波动，从而影响理财计划的收益，导致理财计划本金或收益蒙受部分或全部损失的风险，主要包括：</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政策风险：因国家宏观政策（如财政政策、货币政策、监管政策等）发生变化，导致市场价格波动而产生风险，从而对理财计划收益产生影响。</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经济周期风险：随经济运行周期变化，证券市场的收益水平也呈周期性变化，从而对理财计划收益产生影响。</w:t>
      </w:r>
    </w:p>
    <w:p>
      <w:pPr>
        <w:numPr>
          <w:ilvl w:val="0"/>
          <w:numId w:val="3"/>
        </w:numPr>
        <w:spacing w:line="360" w:lineRule="auto"/>
        <w:ind w:firstLine="482" w:firstLineChars="200"/>
        <w:jc w:val="left"/>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购买力风险：如发生通货膨胀，则所投资产的收益可能会被通货膨胀抵消，从而对理财计划收益</w:t>
      </w:r>
      <w:r>
        <w:rPr>
          <w:rFonts w:hint="eastAsia" w:ascii="宋体" w:hAnsi="宋体" w:cs="宋体"/>
          <w:b/>
          <w:color w:val="000000" w:themeColor="text1"/>
          <w:sz w:val="24"/>
          <w:highlight w:val="none"/>
          <w:lang w:eastAsia="zh-CN"/>
          <w14:textFill>
            <w14:solidFill>
              <w14:schemeClr w14:val="tx1"/>
            </w14:solidFill>
          </w14:textFill>
        </w:rPr>
        <w:t>的实际购买力</w:t>
      </w:r>
      <w:r>
        <w:rPr>
          <w:rFonts w:hint="eastAsia" w:ascii="宋体" w:hAnsi="宋体" w:cs="宋体"/>
          <w:b/>
          <w:color w:val="000000" w:themeColor="text1"/>
          <w:sz w:val="24"/>
          <w:highlight w:val="none"/>
          <w14:textFill>
            <w14:solidFill>
              <w14:schemeClr w14:val="tx1"/>
            </w14:solidFill>
          </w14:textFill>
        </w:rPr>
        <w:t>产生影响。</w:t>
      </w:r>
    </w:p>
    <w:p>
      <w:pPr>
        <w:keepNext/>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利率风险：金融市场利率波动会导致证券市场价格和收益率波动，从而对理财计划收益产生影响。</w:t>
      </w:r>
    </w:p>
    <w:p>
      <w:pPr>
        <w:keepNext/>
        <w:keepLines w:val="0"/>
        <w:pageBreakBefore w:val="0"/>
        <w:widowControl w:val="0"/>
        <w:numPr>
          <w:ilvl w:val="0"/>
          <w:numId w:val="3"/>
        </w:numPr>
        <w:kinsoku/>
        <w:wordWrap/>
        <w:overflowPunct/>
        <w:topLinePunct w:val="0"/>
        <w:autoSpaceDE/>
        <w:autoSpaceDN/>
        <w:bidi w:val="0"/>
        <w:adjustRightInd/>
        <w:snapToGrid/>
        <w:spacing w:line="360" w:lineRule="auto"/>
        <w:ind w:firstLine="482" w:firstLineChars="200"/>
        <w:jc w:val="left"/>
        <w:textAlignment w:val="auto"/>
        <w:outlineLvl w:val="9"/>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汇率风险：理财计划如投资涉及非本国货币，则外汇市场可能会出现汇率波动，从而对理财计划收益产生影响。</w:t>
      </w:r>
    </w:p>
    <w:p>
      <w:pPr>
        <w:pStyle w:val="4"/>
        <w:keepNext/>
        <w:pageBreakBefore w:val="0"/>
        <w:widowControl w:val="0"/>
        <w:numPr>
          <w:ilvl w:val="0"/>
          <w:numId w:val="4"/>
        </w:numPr>
        <w:kinsoku/>
        <w:wordWrap/>
        <w:overflowPunct/>
        <w:topLinePunct w:val="0"/>
        <w:autoSpaceDE/>
        <w:autoSpaceDN/>
        <w:bidi w:val="0"/>
        <w:adjustRightInd/>
        <w:snapToGrid/>
        <w:ind w:firstLine="482" w:firstLineChars="20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流动性风险：理财计划投资组合内的资产不能迅速变现，或因资产变现而导致的额外资金成本增加的风险。从投资者角度，如理财计划为封闭式，则理财计划封闭期内无法提前赎回，应考虑理财计划期限并合理安排自身投资计划；如理财计划为开放式，投资者只能在开放期的交易时间进行申购、赎回，若开放期内发生巨额赎回，则可能面临不能及时赎回理财资金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政策风险：理财计划根据当前的相关法规和政策设计，如国家宏观政策以及相关市场</w:t>
      </w:r>
      <w:r>
        <w:rPr>
          <w:rFonts w:hint="eastAsia" w:ascii="宋体" w:hAnsi="宋体" w:cs="宋体"/>
          <w:b/>
          <w:color w:val="000000" w:themeColor="text1"/>
          <w:sz w:val="24"/>
          <w:highlight w:val="none"/>
          <w:lang w:val="en-US" w:eastAsia="zh-CN"/>
          <w14:textFill>
            <w14:solidFill>
              <w14:schemeClr w14:val="tx1"/>
            </w14:solidFill>
          </w14:textFill>
        </w:rPr>
        <w:t>法律、</w:t>
      </w:r>
      <w:r>
        <w:rPr>
          <w:rFonts w:hint="eastAsia"/>
          <w:color w:val="000000" w:themeColor="text1"/>
          <w:highlight w:val="none"/>
          <w14:textFill>
            <w14:solidFill>
              <w14:schemeClr w14:val="tx1"/>
            </w14:solidFill>
          </w14:textFill>
        </w:rPr>
        <w:t>法规发生变化，可能会影响理财计划的发行、投资、兑付等正常工作流程的进行，导致理财计划本金或收益蒙受部分或全部损失的风险。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操作风险：理财计划由于内部作业、人员管理、系统操作、交易对手交易处理不当或失误等，导致理财计划本金或收益蒙受部分或全部损失的风险。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管理风险：理财计划在投资管理运作过程中，投资管理各方受经验、技能、执行力等综合因素的限制，可能会对理财计划的投资与运作产生一定影响，导致理财计划本金或收益蒙受部分或全部损失的风险。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理财计划不成立风险：如理财计划认购总金额未达到最低发行规模，或因理财计划资产运作模式等与法律法规的规定或者监管机构的要求存在冲突，或因国家法律法规或者监管部门发布的通知、决定等导致本理财计划无法按原先约定条件成立，或市场发生剧烈波动、经管理人合理判断难以按照说明书规定向投资者提供本理财计划，管理人有权宣布本理财计划不成立，投资者将面临不成立再投资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兑付延期风险：如理财计划到期或投资者决定赎回本理财计划时，若出现所投资产无法顺利变现、市场发生重大变化或其他管理人认为需要延期兑付的情形时，投资者将面临本理财计划无法按时支付相关款项的风险。</w:t>
      </w:r>
    </w:p>
    <w:p>
      <w:pPr>
        <w:pStyle w:val="4"/>
        <w:numPr>
          <w:ilvl w:val="0"/>
          <w:numId w:val="4"/>
        </w:numPr>
        <w:bidi w:val="0"/>
        <w:ind w:firstLine="482"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终止风险：为保护投资者利益，在理财计划存续期间，管理人可根据理财计划说明书约定的情形提前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终止本理财计划。如理财计划被提前</w:t>
      </w:r>
      <w:r>
        <w:rPr>
          <w:rFonts w:hint="eastAsia" w:ascii="宋体" w:hAnsi="宋体" w:cs="宋体"/>
          <w:b/>
          <w:color w:val="000000" w:themeColor="text1"/>
          <w:sz w:val="24"/>
          <w:highlight w:val="none"/>
          <w:lang w:eastAsia="zh-CN"/>
          <w14:textFill>
            <w14:solidFill>
              <w14:schemeClr w14:val="tx1"/>
            </w14:solidFill>
          </w14:textFill>
        </w:rPr>
        <w:t>或延期</w:t>
      </w:r>
      <w:r>
        <w:rPr>
          <w:rFonts w:hint="eastAsia" w:ascii="宋体" w:hAnsi="宋体" w:cs="宋体"/>
          <w:b/>
          <w:color w:val="000000" w:themeColor="text1"/>
          <w:sz w:val="24"/>
          <w:highlight w:val="none"/>
          <w14:textFill>
            <w14:solidFill>
              <w14:schemeClr w14:val="tx1"/>
            </w14:solidFill>
          </w14:textFill>
        </w:rPr>
        <w:t>终止，则投资者将面临提前终止再投资</w:t>
      </w:r>
      <w:r>
        <w:rPr>
          <w:rFonts w:hint="eastAsia" w:ascii="宋体" w:hAnsi="宋体" w:cs="宋体"/>
          <w:b/>
          <w:color w:val="000000" w:themeColor="text1"/>
          <w:sz w:val="24"/>
          <w:highlight w:val="none"/>
          <w:lang w:eastAsia="zh-CN"/>
          <w14:textFill>
            <w14:solidFill>
              <w14:schemeClr w14:val="tx1"/>
            </w14:solidFill>
          </w14:textFill>
        </w:rPr>
        <w:t>或延期兑付</w:t>
      </w:r>
      <w:r>
        <w:rPr>
          <w:rFonts w:hint="eastAsia" w:ascii="宋体" w:hAnsi="宋体" w:cs="宋体"/>
          <w:b/>
          <w:color w:val="000000" w:themeColor="text1"/>
          <w:sz w:val="24"/>
          <w:highlight w:val="none"/>
          <w14:textFill>
            <w14:solidFill>
              <w14:schemeClr w14:val="tx1"/>
            </w14:solidFill>
          </w14:textFill>
        </w:rPr>
        <w:t>的风险。</w:t>
      </w:r>
    </w:p>
    <w:p>
      <w:pPr>
        <w:numPr>
          <w:ilvl w:val="0"/>
          <w:numId w:val="4"/>
        </w:numPr>
        <w:spacing w:line="360" w:lineRule="auto"/>
        <w:jc w:val="left"/>
        <w:outlineLvl w:val="2"/>
        <w:rPr>
          <w:rFonts w:hint="eastAsia" w:ascii="Calibri" w:hAnsi="Calibri" w:eastAsia="宋体" w:cs="黑体"/>
          <w:b/>
          <w:color w:val="000000" w:themeColor="text1"/>
          <w:kern w:val="2"/>
          <w:sz w:val="24"/>
          <w:szCs w:val="24"/>
          <w:highlight w:val="none"/>
          <w:lang w:val="en-US" w:eastAsia="zh-CN" w:bidi="ar-SA"/>
          <w14:textFill>
            <w14:solidFill>
              <w14:schemeClr w14:val="tx1"/>
            </w14:solidFill>
          </w14:textFill>
        </w:rPr>
      </w:pPr>
      <w:r>
        <w:rPr>
          <w:rStyle w:val="23"/>
          <w:rFonts w:hint="eastAsia"/>
          <w:color w:val="000000" w:themeColor="text1"/>
          <w:highlight w:val="none"/>
          <w:lang w:val="en-US" w:eastAsia="zh-CN"/>
          <w14:textFill>
            <w14:solidFill>
              <w14:schemeClr w14:val="tx1"/>
            </w14:solidFill>
          </w14:textFill>
        </w:rPr>
        <w:t>信息传递风险：</w:t>
      </w:r>
      <w:r>
        <w:rPr>
          <w:rFonts w:hint="eastAsia" w:ascii="宋体" w:hAnsi="宋体" w:cs="宋体"/>
          <w:b/>
          <w:color w:val="000000" w:themeColor="text1"/>
          <w:sz w:val="24"/>
          <w:highlight w:val="none"/>
          <w:lang w:val="en-US" w:eastAsia="zh-CN"/>
          <w14:textFill>
            <w14:solidFill>
              <w14:schemeClr w14:val="tx1"/>
            </w14:solidFill>
          </w14:textFill>
        </w:rPr>
        <w:t>1.理财计划管理人将按照本理财计划销售文件中约定的信息披露方式、途径向投资者公示本理财计划的各类信息和重大事件，投资者应及时查询、了解。</w:t>
      </w:r>
      <w:r>
        <w:rPr>
          <w:rFonts w:hint="eastAsia" w:ascii="宋体" w:hAnsi="宋体" w:cs="宋体"/>
          <w:b/>
          <w:color w:val="000000" w:themeColor="text1"/>
          <w:sz w:val="24"/>
          <w:highlight w:val="none"/>
          <w14:textFill>
            <w14:solidFill>
              <w14:schemeClr w14:val="tx1"/>
            </w14:solidFill>
          </w14:textFill>
        </w:rPr>
        <w:t>由于投资者未能及时主动了解理财计划信息</w:t>
      </w:r>
      <w:r>
        <w:rPr>
          <w:rFonts w:hint="eastAsia" w:ascii="宋体" w:hAnsi="宋体" w:cs="宋体"/>
          <w:b/>
          <w:color w:val="000000" w:themeColor="text1"/>
          <w:sz w:val="24"/>
          <w:highlight w:val="none"/>
          <w:lang w:val="en-US" w:eastAsia="zh-CN"/>
          <w14:textFill>
            <w14:solidFill>
              <w14:schemeClr w14:val="tx1"/>
            </w14:solidFill>
          </w14:textFill>
        </w:rPr>
        <w:t>或由于不抗力及/或意外事件的影响导致投资者无法及时了解理财计划信息，从而影响投资者的投资决策，由此产生的责任和风险由投资者自行承担</w:t>
      </w:r>
      <w:r>
        <w:rPr>
          <w:rFonts w:hint="eastAsia"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2.投资者预留的有效联系方式发生变更的，应及时通知理财计划管理人。如投资者未及时告知理财计划管理人联系方式变更或理财计划管理人在其认为必要时无法及时联系到投资者的，可能影响投资者的投资决策，由此产生责任和风险由投资者自行承担。</w:t>
      </w:r>
    </w:p>
    <w:p>
      <w:pPr>
        <w:pStyle w:val="4"/>
        <w:numPr>
          <w:ilvl w:val="0"/>
          <w:numId w:val="4"/>
        </w:numPr>
        <w:bidi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不可抗力风险：由于战争、重大自然灾害、重大公共卫生安全事件等不可抗力因素的出现，严重影响金融市场的正常运行，从而导致理财计划受到干扰和破坏，甚至影响理财计划的受理、投资、兑付等事宜的正常进行，进而导致</w:t>
      </w:r>
      <w:r>
        <w:rPr>
          <w:rFonts w:hint="eastAsia"/>
          <w:color w:val="000000" w:themeColor="text1"/>
          <w:highlight w:val="none"/>
          <w:lang w:eastAsia="zh-CN"/>
          <w14:textFill>
            <w14:solidFill>
              <w14:schemeClr w14:val="tx1"/>
            </w14:solidFill>
          </w14:textFill>
        </w:rPr>
        <w:t>理</w:t>
      </w:r>
      <w:r>
        <w:rPr>
          <w:rFonts w:hint="eastAsia"/>
          <w:color w:val="000000" w:themeColor="text1"/>
          <w:highlight w:val="none"/>
          <w14:textFill>
            <w14:solidFill>
              <w14:schemeClr w14:val="tx1"/>
            </w14:solidFill>
          </w14:textFill>
        </w:rPr>
        <w:t>财计划本金或收益蒙受部分或全部损失的风险。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估值风险：本理财计划将按照说明书约定的估值方法进行估值，产品估值与实际变现价值可能发生偏离。理财计划管理人估值仅作为参考，管理人不承担第三方再次使用该估值引发的其他风险。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建仓期风险：如理财计划设置建仓期，则在建仓期内理财计划的投资比例可能无法满足约定的投资比例限制，从而对理财计划收益产生影响。</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代销风险：本理财计划通过代销渠道销售，投资者认</w:t>
      </w:r>
      <w:r>
        <w:rPr>
          <w:rFonts w:hint="eastAsia" w:ascii="宋体" w:hAnsi="宋体" w:cs="宋体"/>
          <w:b/>
          <w:color w:val="000000" w:themeColor="text1"/>
          <w:sz w:val="24"/>
          <w:highlight w:val="none"/>
          <w:lang w:val="en-US" w:eastAsia="zh-CN"/>
          <w14:textFill>
            <w14:solidFill>
              <w14:schemeClr w14:val="tx1"/>
            </w14:solidFill>
          </w14:textFill>
        </w:rPr>
        <w:t>/申</w:t>
      </w:r>
      <w:r>
        <w:rPr>
          <w:rFonts w:hint="eastAsia" w:ascii="宋体" w:hAnsi="宋体" w:cs="宋体"/>
          <w:b/>
          <w:color w:val="000000" w:themeColor="text1"/>
          <w:sz w:val="24"/>
          <w:highlight w:val="none"/>
          <w14:textFill>
            <w14:solidFill>
              <w14:schemeClr w14:val="tx1"/>
            </w14:solidFill>
          </w14:textFill>
        </w:rPr>
        <w:t>购理财计划的资金由销售机构从投资者资金账户扣收；理财计划到期</w:t>
      </w:r>
      <w:r>
        <w:rPr>
          <w:rFonts w:hint="eastAsia" w:ascii="宋体" w:hAnsi="宋体" w:cs="宋体"/>
          <w:b/>
          <w:color w:val="000000" w:themeColor="text1"/>
          <w:sz w:val="24"/>
          <w:highlight w:val="none"/>
          <w:lang w:val="en-US" w:eastAsia="zh-CN"/>
          <w14:textFill>
            <w14:solidFill>
              <w14:schemeClr w14:val="tx1"/>
            </w14:solidFill>
          </w14:textFill>
        </w:rPr>
        <w:t>/赎回</w:t>
      </w:r>
      <w:r>
        <w:rPr>
          <w:rFonts w:hint="eastAsia" w:ascii="宋体" w:hAnsi="宋体" w:cs="宋体"/>
          <w:b/>
          <w:color w:val="000000" w:themeColor="text1"/>
          <w:sz w:val="24"/>
          <w:highlight w:val="none"/>
          <w14:textFill>
            <w14:solidFill>
              <w14:schemeClr w14:val="tx1"/>
            </w14:solidFill>
          </w14:textFill>
        </w:rPr>
        <w:t>时，兑付资金按本理财计划合同约定划付至销售机构清算账户后，由销售机构向投资者划付投资者应得兑付资金。如因投资者清算账户余额不足，或销售机构未及时足额划付资金，或销售机构清算账户内资金被依法冻结或扣划，或销售机构清算账户处于被挂失、冻结、注销或其他非正常状态等原因而导致交易失败，对于因上述原因导致的交易失败可能带来的任何损失及预期损失，投资者须自行承担或向销售机构依法主张。</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不同理财计划份额差异化风险：管理人可根据投资者购买理财计划的金额、销售渠道等因素，对投资者所持有的理财计划设置不同理财计划份额类别。不同类别的理财计划份额在销售名称、收费方式、销售服务费、销售代码、销售对象、销售起点金额（包括认购、申购等）、认申购和赎回的数量限额、持有理财计划的最高和最低限额、计算和公告理财计划份额净值方面等存在差异。</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t>关联关系</w:t>
      </w:r>
      <w:r>
        <w:rPr>
          <w:rFonts w:hint="eastAsia" w:ascii="宋体" w:hAnsi="宋体" w:cs="宋体"/>
          <w:b/>
          <w:color w:val="000000" w:themeColor="text1"/>
          <w:sz w:val="24"/>
          <w:highlight w:val="none"/>
          <w:lang w:val="en-US" w:eastAsia="zh-CN"/>
          <w14:textFill>
            <w14:solidFill>
              <w14:schemeClr w14:val="tx1"/>
            </w14:solidFill>
          </w14:textFill>
        </w:rPr>
        <w:t>及关联交易</w:t>
      </w:r>
      <w:r>
        <w:rPr>
          <w:rFonts w:ascii="宋体" w:hAnsi="宋体" w:cs="宋体"/>
          <w:b/>
          <w:color w:val="000000" w:themeColor="text1"/>
          <w:sz w:val="24"/>
          <w:highlight w:val="none"/>
          <w14:textFill>
            <w14:solidFill>
              <w14:schemeClr w14:val="tx1"/>
            </w14:solidFill>
          </w14:textFill>
        </w:rPr>
        <w:t>风险：</w:t>
      </w:r>
      <w:r>
        <w:rPr>
          <w:rFonts w:hint="eastAsia" w:ascii="宋体" w:hAnsi="宋体" w:cs="宋体"/>
          <w:b/>
          <w:color w:val="000000" w:themeColor="text1"/>
          <w:sz w:val="24"/>
          <w:highlight w:val="none"/>
          <w:lang w:val="en-US" w:eastAsia="zh-CN"/>
          <w14:textFill>
            <w14:solidFill>
              <w14:schemeClr w14:val="tx1"/>
            </w14:solidFill>
          </w14:textFill>
        </w:rPr>
        <w:t>本理财计划由杭银理财发行并管理，独立履行理财计划管理人职责，杭银理财有权委托销售服务机构进行代理销售，可能涉及委托</w:t>
      </w:r>
      <w:r>
        <w:rPr>
          <w:rFonts w:ascii="宋体" w:hAnsi="宋体" w:cs="宋体"/>
          <w:b/>
          <w:color w:val="000000" w:themeColor="text1"/>
          <w:sz w:val="24"/>
          <w:highlight w:val="none"/>
          <w14:textFill>
            <w14:solidFill>
              <w14:schemeClr w14:val="tx1"/>
            </w14:solidFill>
          </w14:textFill>
        </w:rPr>
        <w:t>杭州银行股份有限公司</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以下简称“杭州银行”</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作为理财计划的销售服务机构</w:t>
      </w:r>
      <w:r>
        <w:rPr>
          <w:rFonts w:ascii="宋体" w:hAnsi="宋体" w:cs="宋体"/>
          <w:b/>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负责理财计划的代理销售工作。</w:t>
      </w:r>
      <w:r>
        <w:rPr>
          <w:rFonts w:ascii="宋体" w:hAnsi="宋体" w:cs="宋体"/>
          <w:b/>
          <w:color w:val="000000" w:themeColor="text1"/>
          <w:sz w:val="24"/>
          <w:highlight w:val="none"/>
          <w14:textFill>
            <w14:solidFill>
              <w14:schemeClr w14:val="tx1"/>
            </w14:solidFill>
          </w14:textFill>
        </w:rPr>
        <w:t>杭银理财系杭州银行全资子公司，双方存在关联关系。</w:t>
      </w:r>
      <w:r>
        <w:rPr>
          <w:rFonts w:hint="eastAsia" w:ascii="宋体" w:hAnsi="宋体" w:cs="宋体"/>
          <w:b/>
          <w:color w:val="000000" w:themeColor="text1"/>
          <w:sz w:val="24"/>
          <w:highlight w:val="none"/>
          <w:lang w:val="en-US" w:eastAsia="zh-CN"/>
          <w14:textFill>
            <w14:solidFill>
              <w14:schemeClr w14:val="tx1"/>
            </w14:solidFill>
          </w14:textFill>
        </w:rPr>
        <w:t>尽管杭银理财将严格遵守法律、行政法规、金融监管规定</w:t>
      </w:r>
      <w:bookmarkStart w:id="0" w:name="OLE_LINK3"/>
      <w:r>
        <w:rPr>
          <w:rFonts w:hint="eastAsia" w:ascii="宋体" w:hAnsi="宋体" w:cs="宋体"/>
          <w:b/>
          <w:color w:val="000000" w:themeColor="text1"/>
          <w:sz w:val="24"/>
          <w:highlight w:val="none"/>
          <w:lang w:val="en-US" w:eastAsia="zh-CN"/>
          <w14:textFill>
            <w14:solidFill>
              <w14:schemeClr w14:val="tx1"/>
            </w14:solidFill>
          </w14:textFill>
        </w:rPr>
        <w:t>及行业自律组织建议对关联方进行准确识别，按照相关规定及时进行审批、备案并充分披露，不会以理财计划与关联方进行不正当交易、利益输送等行为，以降低关联交易风险，但仍存在无法完全排除关联交易的可能而导致影响投资者收益的风险。</w:t>
      </w:r>
    </w:p>
    <w:p>
      <w:pPr>
        <w:numPr>
          <w:ilvl w:val="0"/>
          <w:numId w:val="4"/>
        </w:numPr>
        <w:spacing w:line="360" w:lineRule="auto"/>
        <w:ind w:firstLine="482" w:firstLineChars="200"/>
        <w:jc w:val="left"/>
        <w:outlineLvl w:val="2"/>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投资者合规风险：</w:t>
      </w:r>
      <w:r>
        <w:rPr>
          <w:rFonts w:hint="eastAsia" w:ascii="宋体" w:hAnsi="宋体" w:cs="宋体"/>
          <w:b/>
          <w:bCs w:val="0"/>
          <w:color w:val="000000" w:themeColor="text1"/>
          <w:sz w:val="24"/>
          <w:highlight w:val="none"/>
          <w:lang w:val="en-US" w:eastAsia="zh-CN"/>
          <w14:textFill>
            <w14:solidFill>
              <w14:schemeClr w14:val="tx1"/>
            </w14:solidFill>
          </w14:textFill>
        </w:rPr>
        <w:t>根据</w:t>
      </w:r>
      <w:r>
        <w:rPr>
          <w:rFonts w:hint="eastAsia" w:ascii="宋体" w:hAnsi="宋体" w:cs="宋体"/>
          <w:b/>
          <w:bCs w:val="0"/>
          <w:color w:val="000000" w:themeColor="text1"/>
          <w:sz w:val="24"/>
          <w:highlight w:val="none"/>
          <w14:textFill>
            <w14:solidFill>
              <w14:schemeClr w14:val="tx1"/>
            </w14:solidFill>
          </w14:textFill>
        </w:rPr>
        <w:t>法律、行政法规、金融监管规定及</w:t>
      </w:r>
      <w:r>
        <w:rPr>
          <w:rFonts w:hint="eastAsia" w:ascii="宋体" w:hAnsi="宋体" w:cs="宋体"/>
          <w:b/>
          <w:bCs w:val="0"/>
          <w:color w:val="000000" w:themeColor="text1"/>
          <w:sz w:val="24"/>
          <w:highlight w:val="none"/>
          <w:lang w:val="en-US" w:eastAsia="zh-CN"/>
          <w14:textFill>
            <w14:solidFill>
              <w14:schemeClr w14:val="tx1"/>
            </w14:solidFill>
          </w14:textFill>
        </w:rPr>
        <w:t>与此相匹配的管理人或销售服务机构的风险控制制度，投资者在投资理财计划时、理财计划存续运作过程中，需配合理财计划管理人或销售服务机构满足包括但不限于反洗钱、反恐怖融资、制裁合规、反电信网络诈骗、非居民金融账户涉税尽职调查等合规要求。为履行前述合规义务，投资者需配合管理人或销售服务机构要求提供、更新身份资料、资金来源等各项信息；如遇高风险情形、事件或其他根据法律法规或管理人内控合规要求需采取相应措施的其他情形，管理人或销售服务机构可能会对相关投资者采取包括但不限于拒绝或暂停接受认购/申购申请、暂停接受赎回</w:t>
      </w:r>
      <w:bookmarkEnd w:id="0"/>
      <w:r>
        <w:rPr>
          <w:rFonts w:hint="eastAsia" w:ascii="宋体" w:hAnsi="宋体" w:cs="宋体"/>
          <w:b/>
          <w:bCs w:val="0"/>
          <w:color w:val="000000" w:themeColor="text1"/>
          <w:sz w:val="24"/>
          <w:highlight w:val="none"/>
          <w:lang w:val="en-US" w:eastAsia="zh-CN"/>
          <w14:textFill>
            <w14:solidFill>
              <w14:schemeClr w14:val="tx1"/>
            </w14:solidFill>
          </w14:textFill>
        </w:rPr>
        <w:t>申请、冻结份额等交易限制措施，由此产生的损失及责任由投资者自行承担。</w:t>
      </w:r>
    </w:p>
    <w:p>
      <w:pPr>
        <w:numPr>
          <w:ilvl w:val="0"/>
          <w:numId w:val="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理财计划特定风险</w:t>
      </w:r>
    </w:p>
    <w:p>
      <w:pPr>
        <w:numPr>
          <w:ilvl w:val="0"/>
          <w:numId w:val="5"/>
        </w:numPr>
        <w:spacing w:line="360" w:lineRule="auto"/>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val="en-US" w:eastAsia="zh-CN"/>
          <w14:textFill>
            <w14:solidFill>
              <w14:schemeClr w14:val="tx1"/>
            </w14:solidFill>
          </w14:textFill>
        </w:rPr>
        <w:t>国内上市优先股资产风险：本理财计划所投优先股资产，由于受到发行人的经营状况、信用评级下降或资产交易市场不活跃等因素的影响，存在因市场风险、信用风险、流动性风险等引起的资产价值波动，</w:t>
      </w:r>
      <w:r>
        <w:rPr>
          <w:rFonts w:hint="eastAsia" w:ascii="宋体" w:hAnsi="宋体" w:cs="宋体"/>
          <w:b/>
          <w:color w:val="000000" w:themeColor="text1"/>
          <w:sz w:val="24"/>
          <w:highlight w:val="none"/>
          <w14:textFill>
            <w14:solidFill>
              <w14:schemeClr w14:val="tx1"/>
            </w14:solidFill>
          </w14:textFill>
        </w:rPr>
        <w:t>投资者的本金可能会出现损失。</w:t>
      </w:r>
    </w:p>
    <w:p>
      <w:pPr>
        <w:numPr>
          <w:ilvl w:val="0"/>
          <w:numId w:val="5"/>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收益不达业绩比较基准风险：本理财计划的投资收益与投资者的申购、赎回时点密切相关，收益存在一定的波动性，理财计划本金出现损失的可能性不容忽视。</w:t>
      </w:r>
    </w:p>
    <w:p>
      <w:pPr>
        <w:numPr>
          <w:ilvl w:val="0"/>
          <w:numId w:val="5"/>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未知价风险：产品以产品申购和赎回确认时的单位净值，按照“金额申购、份额赎回”的原则计算投资者申购份额和赎回资金，产品净值可能会有波动</w:t>
      </w:r>
      <w:r>
        <w:rPr>
          <w:rFonts w:hint="eastAsia" w:ascii="宋体" w:hAnsi="宋体" w:cs="宋体"/>
          <w:b/>
          <w:color w:val="000000" w:themeColor="text1"/>
          <w:sz w:val="24"/>
          <w:highlight w:val="none"/>
          <w:lang w:eastAsia="zh-CN"/>
          <w14:textFill>
            <w14:solidFill>
              <w14:schemeClr w14:val="tx1"/>
            </w14:solidFill>
          </w14:textFill>
        </w:rPr>
        <w:t>。</w:t>
      </w:r>
    </w:p>
    <w:p>
      <w:p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上述理财计划共性与特定风险发生时，投资者的本金及收益可能遭受损失，在最不利情形下，将损失全部本金及收益</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lang w:val="en-US" w:eastAsia="zh-CN"/>
          <w14:textFill>
            <w14:solidFill>
              <w14:schemeClr w14:val="tx1"/>
            </w14:solidFill>
          </w14:textFill>
        </w:rPr>
        <w:t>如有</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，由此产生的风险及损失将由投资者自行承担。</w:t>
      </w:r>
    </w:p>
    <w:p>
      <w:pPr>
        <w:numPr>
          <w:ilvl w:val="0"/>
          <w:numId w:val="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其他信息提示</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根据现有法律法规及金融监管机构对于理财产品的相关分类，投资者还需了解以下信息：</w:t>
      </w:r>
    </w:p>
    <w:p>
      <w:pPr>
        <w:numPr>
          <w:ilvl w:val="0"/>
          <w:numId w:val="6"/>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根据募集方式的不同，理财产品分为公募理财产品和私募理财产品。</w:t>
      </w:r>
      <w:r>
        <w:rPr>
          <w:rFonts w:hint="eastAsia" w:ascii="宋体" w:hAnsi="宋体" w:cs="宋体"/>
          <w:bCs/>
          <w:color w:val="000000" w:themeColor="text1"/>
          <w:sz w:val="24"/>
          <w:highlight w:val="none"/>
          <w14:textFill>
            <w14:solidFill>
              <w14:schemeClr w14:val="tx1"/>
            </w14:solidFill>
          </w14:textFill>
        </w:rPr>
        <w:t>公募理财产品是面向不特定社会公众公开发行的理财产品。公开发行的认定标准按照《中华人民共和国证券法》执行。私募理财产品是面向合格投资者非公开发行的理财产品。合格投资者是指具备相应风险识别能力和风险承受能力，投资于单只理财产品不低于一定金额且符合下列条件的自然人、法人或者依法成立的其他组织：</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具有2年以上投资经历，且满足家庭金融净资产不低于300万元人民币，或者家庭金融资产不低于500万元人民币，或者近3年本人年均收入不低于40 万元人民币；</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最近1年末净资产不低于1000万元人民币的法人或者依法成立的其他组织；</w:t>
      </w:r>
    </w:p>
    <w:p>
      <w:pPr>
        <w:numPr>
          <w:ilvl w:val="0"/>
          <w:numId w:val="7"/>
        </w:numPr>
        <w:spacing w:line="360" w:lineRule="auto"/>
        <w:ind w:firstLine="480" w:firstLineChars="200"/>
        <w:jc w:val="left"/>
        <w:outlineLvl w:val="9"/>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国务院银行业监督管理机构规定的其他情形。</w:t>
      </w:r>
    </w:p>
    <w:p>
      <w:pPr>
        <w:numPr>
          <w:ilvl w:val="0"/>
          <w:numId w:val="8"/>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根据投资性质的不同，理财产品分为固定收益类理财产品、权益类理财产品、商品及金融衍生品类理财产品和混合类理财产品。</w:t>
      </w:r>
      <w:r>
        <w:rPr>
          <w:rFonts w:hint="eastAsia" w:ascii="宋体" w:hAnsi="宋体" w:cs="宋体"/>
          <w:bCs/>
          <w:color w:val="000000" w:themeColor="text1"/>
          <w:sz w:val="24"/>
          <w:highlight w:val="none"/>
          <w14:textFill>
            <w14:solidFill>
              <w14:schemeClr w14:val="tx1"/>
            </w14:solidFill>
          </w14:textFill>
        </w:rPr>
        <w:t>固定收益类理财产品投资于存款、债券等债权类资产的比例不低于80%；权益类理财产品投资于权益类资产的比例不低于80%；商品及金融衍生品类理财产品投资于商品及金融衍生品的比例不低于80%；混合类理财产品投资于债权类资产、权益类资产、商品及金融衍生品类资产且任一资产的投资比例未达到前三类理财产品标准。</w:t>
      </w:r>
    </w:p>
    <w:p>
      <w:pPr>
        <w:numPr>
          <w:ilvl w:val="0"/>
          <w:numId w:val="8"/>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根据运作方式的不同，将理财产品分为封闭式理财产品和开放式理财产品。</w:t>
      </w:r>
      <w:r>
        <w:rPr>
          <w:rFonts w:hint="eastAsia" w:ascii="宋体" w:hAnsi="宋体" w:cs="宋体"/>
          <w:bCs/>
          <w:color w:val="000000" w:themeColor="text1"/>
          <w:sz w:val="24"/>
          <w:highlight w:val="none"/>
          <w14:textFill>
            <w14:solidFill>
              <w14:schemeClr w14:val="tx1"/>
            </w14:solidFill>
          </w14:textFill>
        </w:rPr>
        <w:t>封闭式理财产品是指有确定到期日，且自产品成立日至终止日期间，投资者不得进行申购或者赎回的理财产品。开放式理财产品是指自产品成立日至终止日期间，理财产品份额总额不固定，投资者可以按照协议约定，在开放日和相应场所进行申购或者赎回的理财产品。</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本理财计划为公募、开放式、〖固定收益类〗净值型理财计划，〖</w:t>
      </w:r>
      <w:r>
        <w:rPr>
          <w:rFonts w:hint="eastAsia" w:ascii="宋体" w:hAnsi="宋体" w:cs="宋体"/>
          <w:b/>
          <w:color w:val="000000" w:themeColor="text1"/>
          <w:sz w:val="24"/>
          <w:highlight w:val="none"/>
          <w:lang w:eastAsia="zh-CN"/>
          <w14:textFill>
            <w14:solidFill>
              <w14:schemeClr w14:val="tx1"/>
            </w14:solidFill>
          </w14:textFill>
        </w:rPr>
        <w:t>无固定期限</w:t>
      </w:r>
      <w:r>
        <w:rPr>
          <w:rFonts w:hint="eastAsia" w:ascii="宋体" w:hAnsi="宋体" w:cs="宋体"/>
          <w:b/>
          <w:color w:val="000000" w:themeColor="text1"/>
          <w:sz w:val="24"/>
          <w:highlight w:val="none"/>
          <w14:textFill>
            <w14:solidFill>
              <w14:schemeClr w14:val="tx1"/>
            </w14:solidFill>
          </w14:textFill>
        </w:rPr>
        <w:t>〗，不保证本金与收益。</w:t>
      </w:r>
      <w:r>
        <w:rPr>
          <w:rFonts w:hint="eastAsia" w:ascii="宋体" w:hAnsi="宋体" w:cs="宋体"/>
          <w:b/>
          <w:color w:val="000000" w:themeColor="text1"/>
          <w:sz w:val="24"/>
          <w:highlight w:val="none"/>
          <w:lang w:val="en-US" w:eastAsia="zh-CN"/>
          <w14:textFill>
            <w14:solidFill>
              <w14:schemeClr w14:val="tx1"/>
            </w14:solidFill>
          </w14:textFill>
        </w:rPr>
        <w:t>理财计划过往业绩不代表其未来表现，不等于理财计划实际收益，投资须谨慎！</w:t>
      </w:r>
      <w:r>
        <w:rPr>
          <w:rFonts w:hint="eastAsia" w:ascii="宋体" w:hAnsi="宋体" w:cs="宋体"/>
          <w:b/>
          <w:color w:val="000000" w:themeColor="text1"/>
          <w:sz w:val="24"/>
          <w:highlight w:val="none"/>
          <w14:textFill>
            <w14:solidFill>
              <w14:schemeClr w14:val="tx1"/>
            </w14:solidFill>
          </w14:textFill>
        </w:rPr>
        <w:t>根据本公司理财产品内部风险评级，该理财计划风险评级结果为〖R2〗,〖中低〗风险</w:t>
      </w:r>
      <w:r>
        <w:rPr>
          <w:rFonts w:hint="eastAsia" w:ascii="宋体" w:hAnsi="宋体" w:cs="宋体"/>
          <w:bCs/>
          <w:color w:val="000000" w:themeColor="text1"/>
          <w:sz w:val="24"/>
          <w:highlight w:val="none"/>
          <w14:textFill>
            <w14:solidFill>
              <w14:schemeClr w14:val="tx1"/>
            </w14:solidFill>
          </w14:textFill>
        </w:rPr>
        <w:t>（本风险等级为我公司内部风险评级结果，仅供参考</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理财计划通过代理销售机构渠道销售的，理财计划产品评级应当以代理销售机构最终披露的评级结果为准</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总体风险〖程度较低，收益波动较小，虽然存在一些可能对本金和收益安全产生不利影响的因素，但产品本金出现损失的可能性很小〗。</w:t>
      </w:r>
    </w:p>
    <w:p>
      <w:pPr>
        <w:spacing w:line="360" w:lineRule="auto"/>
        <w:ind w:firstLine="482"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本理财计划适合〖机构投资者〗以及〖稳健型、平衡型、成长型、进取型〗的个人投资者</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color w:val="000000" w:themeColor="text1"/>
          <w:sz w:val="24"/>
          <w:highlight w:val="none"/>
          <w14:textFill>
            <w14:solidFill>
              <w14:schemeClr w14:val="tx1"/>
            </w14:solidFill>
          </w14:textFill>
        </w:rPr>
        <w:t>个人投资者的风险承受能力评估以销售机构为准</w:t>
      </w:r>
      <w:r>
        <w:rPr>
          <w:rFonts w:hint="eastAsia" w:ascii="宋体" w:hAnsi="宋体" w:cs="宋体"/>
          <w:b/>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本理财计划投资者适当性评估由销售机构负责，销售机构</w:t>
      </w:r>
      <w:r>
        <w:rPr>
          <w:rFonts w:hint="eastAsia" w:ascii="宋体" w:hAnsi="宋体" w:cs="宋体"/>
          <w:bCs/>
          <w:color w:val="000000" w:themeColor="text1"/>
          <w:sz w:val="24"/>
          <w:highlight w:val="none"/>
          <w14:textFill>
            <w14:solidFill>
              <w14:schemeClr w14:val="tx1"/>
            </w14:solidFill>
          </w14:textFill>
        </w:rPr>
        <w:t>应确保个人投资者的风险承受能力不低于本理财计划风险评级。</w:t>
      </w:r>
      <w:r>
        <w:rPr>
          <w:rFonts w:hint="eastAsia" w:ascii="宋体" w:hAnsi="宋体" w:cs="宋体"/>
          <w:bCs/>
          <w:color w:val="000000" w:themeColor="text1"/>
          <w:sz w:val="24"/>
          <w:highlight w:val="none"/>
          <w:lang w:val="en-US" w:eastAsia="zh-CN"/>
          <w14:textFill>
            <w14:solidFill>
              <w14:schemeClr w14:val="tx1"/>
            </w14:solidFill>
          </w14:textFill>
        </w:rPr>
        <w:t>如个人投资者的风险承受能力评估已超一年，或影响投资者风险承受能力的因素发生变化，请及时完成风险承受能力的重新评估，并对评估结果的有效性进行确认。</w:t>
      </w:r>
    </w:p>
    <w:p>
      <w:pPr>
        <w:spacing w:line="360" w:lineRule="auto"/>
        <w:ind w:firstLine="480" w:firstLineChars="200"/>
        <w:jc w:val="right"/>
        <w:rPr>
          <w:rFonts w:hint="eastAsia"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特别提示：杭银理财有限责任公司作为本</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管理人</w:t>
      </w:r>
      <w:r>
        <w:rPr>
          <w:rFonts w:hint="eastAsia" w:ascii="宋体" w:hAnsi="宋体" w:cs="宋体"/>
          <w:bCs/>
          <w:color w:val="000000" w:themeColor="text1"/>
          <w:sz w:val="24"/>
          <w:szCs w:val="24"/>
          <w:highlight w:val="none"/>
          <w14:textFill>
            <w14:solidFill>
              <w14:schemeClr w14:val="tx1"/>
            </w14:solidFill>
          </w14:textFill>
        </w:rPr>
        <w:t>有权按照</w:t>
      </w:r>
      <w:r>
        <w:rPr>
          <w:rFonts w:hint="eastAsia" w:ascii="宋体" w:hAnsi="宋体" w:cs="宋体"/>
          <w:bCs/>
          <w:color w:val="000000" w:themeColor="text1"/>
          <w:sz w:val="24"/>
          <w:highlight w:val="none"/>
          <w14:textFill>
            <w14:solidFill>
              <w14:schemeClr w14:val="tx1"/>
            </w14:solidFill>
          </w14:textFill>
        </w:rPr>
        <w:t>国内外反洗钱相关适用的</w:t>
      </w:r>
      <w:r>
        <w:rPr>
          <w:rFonts w:hint="eastAsia" w:ascii="宋体" w:hAnsi="宋体" w:cs="宋体"/>
          <w:bCs/>
          <w:color w:val="000000" w:themeColor="text1"/>
          <w:sz w:val="24"/>
          <w:szCs w:val="24"/>
          <w:highlight w:val="none"/>
          <w14:textFill>
            <w14:solidFill>
              <w14:schemeClr w14:val="tx1"/>
            </w14:solidFill>
          </w14:textFill>
        </w:rPr>
        <w:t>法律法规和监管要求，从</w:t>
      </w:r>
      <w:r>
        <w:rPr>
          <w:rFonts w:hint="eastAsia" w:ascii="宋体" w:hAnsi="宋体" w:cs="宋体"/>
          <w:bCs/>
          <w:color w:val="000000" w:themeColor="text1"/>
          <w:sz w:val="24"/>
          <w:szCs w:val="24"/>
          <w:highlight w:val="none"/>
          <w:lang w:eastAsia="zh-CN"/>
          <w14:textFill>
            <w14:solidFill>
              <w14:schemeClr w14:val="tx1"/>
            </w14:solidFill>
          </w14:textFill>
        </w:rPr>
        <w:t>销售机构</w:t>
      </w:r>
      <w:r>
        <w:rPr>
          <w:rFonts w:hint="eastAsia" w:ascii="宋体" w:hAnsi="宋体" w:cs="宋体"/>
          <w:bCs/>
          <w:color w:val="000000" w:themeColor="text1"/>
          <w:sz w:val="24"/>
          <w:szCs w:val="24"/>
          <w:highlight w:val="none"/>
          <w14:textFill>
            <w14:solidFill>
              <w14:schemeClr w14:val="tx1"/>
            </w14:solidFill>
          </w14:textFill>
        </w:rPr>
        <w:t>获</w:t>
      </w:r>
      <w:r>
        <w:rPr>
          <w:rFonts w:hint="eastAsia" w:ascii="宋体" w:hAnsi="宋体" w:cs="宋体"/>
          <w:bCs/>
          <w:color w:val="000000" w:themeColor="text1"/>
          <w:sz w:val="24"/>
          <w:highlight w:val="none"/>
          <w14:textFill>
            <w14:solidFill>
              <w14:schemeClr w14:val="tx1"/>
            </w14:solidFill>
          </w14:textFill>
        </w:rPr>
        <w:t>得相应必要的</w:t>
      </w:r>
      <w:r>
        <w:rPr>
          <w:rFonts w:hint="eastAsia" w:ascii="宋体" w:hAnsi="宋体" w:cs="宋体"/>
          <w:bCs/>
          <w:color w:val="000000" w:themeColor="text1"/>
          <w:sz w:val="24"/>
          <w:szCs w:val="24"/>
          <w:highlight w:val="none"/>
          <w14:textFill>
            <w14:solidFill>
              <w14:schemeClr w14:val="tx1"/>
            </w14:solidFill>
          </w14:textFill>
        </w:rPr>
        <w:t>投资者身份信息并报送投资者身份信息及其持有理财产品信息。</w:t>
      </w:r>
      <w:r>
        <w:rPr>
          <w:rFonts w:hint="eastAsia" w:ascii="宋体" w:hAnsi="宋体" w:cs="宋体"/>
          <w:bCs/>
          <w:color w:val="000000" w:themeColor="text1"/>
          <w:sz w:val="24"/>
          <w:szCs w:val="24"/>
          <w:highlight w:val="none"/>
          <w:lang w:eastAsia="zh-CN"/>
          <w14:textFill>
            <w14:solidFill>
              <w14:schemeClr w14:val="tx1"/>
            </w14:solidFill>
          </w14:textFill>
        </w:rPr>
        <w:t>销售机构</w:t>
      </w:r>
      <w:r>
        <w:rPr>
          <w:rFonts w:hint="eastAsia" w:ascii="宋体" w:hAnsi="宋体" w:cs="宋体"/>
          <w:bCs/>
          <w:color w:val="000000" w:themeColor="text1"/>
          <w:sz w:val="24"/>
          <w:highlight w:val="none"/>
          <w14:textFill>
            <w14:solidFill>
              <w14:schemeClr w14:val="tx1"/>
            </w14:solidFill>
          </w14:textFill>
        </w:rPr>
        <w:t>将</w:t>
      </w:r>
      <w:r>
        <w:rPr>
          <w:rFonts w:hint="eastAsia" w:ascii="宋体" w:hAnsi="宋体" w:cs="宋体"/>
          <w:bCs/>
          <w:color w:val="000000" w:themeColor="text1"/>
          <w:sz w:val="24"/>
          <w:szCs w:val="24"/>
          <w:highlight w:val="none"/>
          <w14:textFill>
            <w14:solidFill>
              <w14:schemeClr w14:val="tx1"/>
            </w14:solidFill>
          </w14:textFill>
        </w:rPr>
        <w:t>在</w:t>
      </w:r>
      <w:r>
        <w:rPr>
          <w:rFonts w:hint="eastAsia" w:ascii="宋体" w:hAnsi="宋体" w:cs="宋体"/>
          <w:bCs/>
          <w:color w:val="000000" w:themeColor="text1"/>
          <w:sz w:val="24"/>
          <w:highlight w:val="none"/>
          <w14:textFill>
            <w14:solidFill>
              <w14:schemeClr w14:val="tx1"/>
            </w14:solidFill>
          </w14:textFill>
        </w:rPr>
        <w:t>合法、合理且必要时向管理人</w:t>
      </w:r>
      <w:r>
        <w:rPr>
          <w:rFonts w:hint="eastAsia" w:ascii="宋体" w:hAnsi="宋体" w:cs="宋体"/>
          <w:bCs/>
          <w:color w:val="000000" w:themeColor="text1"/>
          <w:sz w:val="24"/>
          <w:szCs w:val="24"/>
          <w:highlight w:val="none"/>
          <w14:textFill>
            <w14:solidFill>
              <w14:schemeClr w14:val="tx1"/>
            </w14:solidFill>
          </w14:textFill>
        </w:rPr>
        <w:t>提供投资</w:t>
      </w:r>
      <w:r>
        <w:rPr>
          <w:rFonts w:hint="eastAsia" w:ascii="宋体" w:hAnsi="宋体" w:cs="宋体"/>
          <w:bCs/>
          <w:color w:val="000000" w:themeColor="text1"/>
          <w:sz w:val="24"/>
          <w:highlight w:val="none"/>
          <w14:textFill>
            <w14:solidFill>
              <w14:schemeClr w14:val="tx1"/>
            </w14:solidFill>
          </w14:textFill>
        </w:rPr>
        <w:t>者身份识别</w:t>
      </w:r>
      <w:r>
        <w:rPr>
          <w:rFonts w:hint="eastAsia" w:ascii="宋体" w:hAnsi="宋体" w:cs="宋体"/>
          <w:bCs/>
          <w:color w:val="000000" w:themeColor="text1"/>
          <w:sz w:val="24"/>
          <w:szCs w:val="24"/>
          <w:highlight w:val="none"/>
          <w14:textFill>
            <w14:solidFill>
              <w14:schemeClr w14:val="tx1"/>
            </w14:solidFill>
          </w14:textFill>
        </w:rPr>
        <w:t>信息（投资者身份</w:t>
      </w:r>
      <w:r>
        <w:rPr>
          <w:rFonts w:hint="eastAsia" w:ascii="宋体" w:hAnsi="宋体" w:cs="宋体"/>
          <w:bCs/>
          <w:color w:val="000000" w:themeColor="text1"/>
          <w:sz w:val="24"/>
          <w:highlight w:val="none"/>
          <w14:textFill>
            <w14:solidFill>
              <w14:schemeClr w14:val="tx1"/>
            </w14:solidFill>
          </w14:textFill>
        </w:rPr>
        <w:t>识别</w:t>
      </w:r>
      <w:r>
        <w:rPr>
          <w:rFonts w:hint="eastAsia" w:ascii="宋体" w:hAnsi="宋体" w:cs="宋体"/>
          <w:bCs/>
          <w:color w:val="000000" w:themeColor="text1"/>
          <w:sz w:val="24"/>
          <w:szCs w:val="24"/>
          <w:highlight w:val="none"/>
          <w14:textFill>
            <w14:solidFill>
              <w14:schemeClr w14:val="tx1"/>
            </w14:solidFill>
          </w14:textFill>
        </w:rPr>
        <w:t>信息包括</w:t>
      </w:r>
      <w:r>
        <w:rPr>
          <w:rFonts w:hint="eastAsia" w:ascii="宋体" w:hAnsi="宋体" w:cs="宋体"/>
          <w:bCs/>
          <w:color w:val="000000" w:themeColor="text1"/>
          <w:sz w:val="24"/>
          <w:highlight w:val="none"/>
          <w14:textFill>
            <w14:solidFill>
              <w14:schemeClr w14:val="tx1"/>
            </w14:solidFill>
          </w14:textFill>
        </w:rPr>
        <w:t>但不限于</w:t>
      </w:r>
      <w:r>
        <w:rPr>
          <w:rFonts w:hint="eastAsia" w:ascii="宋体" w:hAnsi="宋体" w:cs="宋体"/>
          <w:bCs/>
          <w:color w:val="000000" w:themeColor="text1"/>
          <w:sz w:val="24"/>
          <w:szCs w:val="24"/>
          <w:highlight w:val="none"/>
          <w14:textFill>
            <w14:solidFill>
              <w14:schemeClr w14:val="tx1"/>
            </w14:solidFill>
          </w14:textFill>
        </w:rPr>
        <w:t>：投资者的姓名、性别、国籍、职业、住所地或者工作单位地址、</w:t>
      </w:r>
      <w:r>
        <w:rPr>
          <w:rFonts w:hint="eastAsia" w:ascii="宋体" w:hAnsi="宋体" w:cs="宋体"/>
          <w:bCs/>
          <w:color w:val="000000" w:themeColor="text1"/>
          <w:sz w:val="24"/>
          <w:highlight w:val="none"/>
          <w14:textFill>
            <w14:solidFill>
              <w14:schemeClr w14:val="tx1"/>
            </w14:solidFill>
          </w14:textFill>
        </w:rPr>
        <w:t>常居地地址、</w:t>
      </w:r>
      <w:r>
        <w:rPr>
          <w:rFonts w:hint="eastAsia" w:ascii="宋体" w:hAnsi="宋体" w:cs="宋体"/>
          <w:bCs/>
          <w:color w:val="000000" w:themeColor="text1"/>
          <w:sz w:val="24"/>
          <w:szCs w:val="24"/>
          <w:highlight w:val="none"/>
          <w14:textFill>
            <w14:solidFill>
              <w14:schemeClr w14:val="tx1"/>
            </w14:solidFill>
          </w14:textFill>
        </w:rPr>
        <w:t>联系方式、身份证明文件的种类、号码和有效期限</w:t>
      </w:r>
      <w:r>
        <w:rPr>
          <w:rFonts w:hint="eastAsia" w:ascii="宋体" w:hAnsi="宋体" w:cs="宋体"/>
          <w:bCs/>
          <w:color w:val="000000" w:themeColor="text1"/>
          <w:sz w:val="24"/>
          <w:highlight w:val="none"/>
          <w14:textFill>
            <w14:solidFill>
              <w14:schemeClr w14:val="tx1"/>
            </w14:solidFill>
          </w14:textFill>
        </w:rPr>
        <w:t>、代理人信息、受益所有人信息</w:t>
      </w:r>
      <w:r>
        <w:rPr>
          <w:rFonts w:hint="eastAsia" w:ascii="宋体" w:hAnsi="宋体" w:cs="宋体"/>
          <w:bCs/>
          <w:color w:val="000000" w:themeColor="text1"/>
          <w:sz w:val="24"/>
          <w:szCs w:val="24"/>
          <w:highlight w:val="none"/>
          <w14:textFill>
            <w14:solidFill>
              <w14:schemeClr w14:val="tx1"/>
            </w14:solidFill>
          </w14:textFill>
        </w:rPr>
        <w:t>），以及</w:t>
      </w:r>
      <w:r>
        <w:rPr>
          <w:rFonts w:hint="eastAsia" w:ascii="宋体" w:hAnsi="宋体" w:cs="宋体"/>
          <w:bCs/>
          <w:color w:val="000000" w:themeColor="text1"/>
          <w:sz w:val="24"/>
          <w:highlight w:val="none"/>
          <w14:textFill>
            <w14:solidFill>
              <w14:schemeClr w14:val="tx1"/>
            </w14:solidFill>
          </w14:textFill>
        </w:rPr>
        <w:t>在合法、合理且必要时进一步提供</w:t>
      </w:r>
      <w:r>
        <w:rPr>
          <w:rFonts w:hint="eastAsia" w:ascii="宋体" w:hAnsi="宋体" w:cs="宋体"/>
          <w:bCs/>
          <w:color w:val="000000" w:themeColor="text1"/>
          <w:sz w:val="24"/>
          <w:szCs w:val="24"/>
          <w:highlight w:val="none"/>
          <w14:textFill>
            <w14:solidFill>
              <w14:schemeClr w14:val="tx1"/>
            </w14:solidFill>
          </w14:textFill>
        </w:rPr>
        <w:t>身份证明文件的复印件和影印件</w:t>
      </w:r>
      <w:r>
        <w:rPr>
          <w:rFonts w:hint="eastAsia" w:ascii="宋体" w:hAnsi="宋体" w:cs="宋体"/>
          <w:bCs/>
          <w:color w:val="000000" w:themeColor="text1"/>
          <w:sz w:val="24"/>
          <w:highlight w:val="none"/>
          <w14:textFill>
            <w14:solidFill>
              <w14:schemeClr w14:val="tx1"/>
            </w14:solidFill>
          </w14:textFill>
        </w:rPr>
        <w:t>以及其他必要信息</w:t>
      </w:r>
      <w:r>
        <w:rPr>
          <w:rFonts w:hint="eastAsia" w:ascii="宋体" w:hAnsi="宋体" w:cs="宋体"/>
          <w:bCs/>
          <w:color w:val="000000" w:themeColor="text1"/>
          <w:sz w:val="24"/>
          <w:szCs w:val="24"/>
          <w:highlight w:val="none"/>
          <w14:textFill>
            <w14:solidFill>
              <w14:schemeClr w14:val="tx1"/>
            </w14:solidFill>
          </w14:textFill>
        </w:rPr>
        <w:t>。投资者签署</w:t>
      </w:r>
      <w:r>
        <w:rPr>
          <w:rFonts w:hint="eastAsia" w:ascii="宋体" w:hAnsi="宋体" w:cs="宋体"/>
          <w:bCs/>
          <w:color w:val="000000" w:themeColor="text1"/>
          <w:sz w:val="24"/>
          <w:highlight w:val="none"/>
          <w14:textFill>
            <w14:solidFill>
              <w14:schemeClr w14:val="tx1"/>
            </w14:solidFill>
          </w14:textFill>
        </w:rPr>
        <w:t>后</w:t>
      </w:r>
      <w:r>
        <w:rPr>
          <w:rFonts w:hint="eastAsia" w:ascii="宋体" w:hAnsi="宋体" w:cs="宋体"/>
          <w:bCs/>
          <w:color w:val="000000" w:themeColor="text1"/>
          <w:sz w:val="24"/>
          <w:szCs w:val="24"/>
          <w:highlight w:val="none"/>
          <w14:textFill>
            <w14:solidFill>
              <w14:schemeClr w14:val="tx1"/>
            </w14:solidFill>
          </w14:textFill>
        </w:rPr>
        <w:t>即表示同意并配合提供前述信</w:t>
      </w:r>
      <w:r>
        <w:rPr>
          <w:rFonts w:hint="eastAsia" w:ascii="宋体" w:hAnsi="宋体" w:cs="宋体"/>
          <w:bCs/>
          <w:color w:val="000000" w:themeColor="text1"/>
          <w:sz w:val="24"/>
          <w:highlight w:val="none"/>
          <w14:textFill>
            <w14:solidFill>
              <w14:schemeClr w14:val="tx1"/>
            </w14:solidFill>
          </w14:textFill>
        </w:rPr>
        <w:t>息。</w:t>
      </w:r>
    </w:p>
    <w:p>
      <w:pPr>
        <w:spacing w:line="360" w:lineRule="auto"/>
        <w:jc w:val="both"/>
        <w:rPr>
          <w:rFonts w:hint="eastAsia" w:ascii="宋体" w:hAnsi="宋体" w:cs="宋体"/>
          <w:bCs/>
          <w:color w:val="000000" w:themeColor="text1"/>
          <w:sz w:val="24"/>
          <w:highlight w:val="none"/>
          <w14:textFill>
            <w14:solidFill>
              <w14:schemeClr w14:val="tx1"/>
            </w14:solidFill>
          </w14:textFill>
        </w:rPr>
      </w:pPr>
    </w:p>
    <w:p>
      <w:pPr>
        <w:spacing w:line="360" w:lineRule="auto"/>
        <w:ind w:firstLine="480" w:firstLineChars="200"/>
        <w:jc w:val="right"/>
        <w:rPr>
          <w:rFonts w:hint="eastAsia" w:ascii="宋体" w:hAnsi="宋体" w:cs="宋体"/>
          <w:b/>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风险提示方：杭银理财有限责任公司</w:t>
      </w:r>
    </w:p>
    <w:p>
      <w:pPr>
        <w:pStyle w:val="17"/>
        <w:spacing w:line="360" w:lineRule="auto"/>
        <w:ind w:firstLine="482" w:firstLineChars="200"/>
        <w:jc w:val="center"/>
        <w:outlineLvl w:val="1"/>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br w:type="page"/>
      </w:r>
      <w:r>
        <w:rPr>
          <w:rFonts w:hint="eastAsia" w:ascii="宋体" w:hAnsi="宋体" w:cs="宋体"/>
          <w:b/>
          <w:color w:val="000000" w:themeColor="text1"/>
          <w:highlight w:val="none"/>
          <w14:textFill>
            <w14:solidFill>
              <w14:schemeClr w14:val="tx1"/>
            </w14:solidFill>
          </w14:textFill>
        </w:rPr>
        <w:t>投资者确认栏（个人投资者填写）</w:t>
      </w:r>
    </w:p>
    <w:p>
      <w:pPr>
        <w:pStyle w:val="17"/>
        <w:spacing w:line="360" w:lineRule="auto"/>
        <w:jc w:val="both"/>
        <w:rPr>
          <w:rFonts w:hint="eastAsia"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本人经销售机构评估的风险承受能力等级为（投资者填写）：</w:t>
      </w:r>
    </w:p>
    <w:p>
      <w:pPr>
        <w:pStyle w:val="17"/>
        <w:spacing w:line="360" w:lineRule="auto"/>
        <w:ind w:firstLine="480" w:firstLineChars="200"/>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 xml:space="preserve">□保守型       □稳健型       □平衡型       □成长型       □进取型  </w:t>
      </w:r>
    </w:p>
    <w:p>
      <w:pPr>
        <w:pStyle w:val="17"/>
        <w:spacing w:line="360" w:lineRule="auto"/>
        <w:ind w:firstLine="480" w:firstLineChars="200"/>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u w:val="single"/>
          <w14:textFill>
            <w14:solidFill>
              <w14:schemeClr w14:val="tx1"/>
            </w14:solidFill>
          </w14:textFill>
        </w:rPr>
        <w:t>如超过一年未进行</w:t>
      </w:r>
      <w:r>
        <w:rPr>
          <w:rFonts w:hint="eastAsia" w:ascii="宋体" w:hAnsi="宋体" w:cs="宋体"/>
          <w:b w:val="0"/>
          <w:bCs w:val="0"/>
          <w:color w:val="000000" w:themeColor="text1"/>
          <w:highlight w:val="none"/>
          <w:u w:val="single"/>
          <w14:textFill>
            <w14:solidFill>
              <w14:schemeClr w14:val="tx1"/>
            </w14:solidFill>
          </w14:textFill>
        </w:rPr>
        <w:t>风险</w:t>
      </w:r>
      <w:r>
        <w:rPr>
          <w:rFonts w:hint="eastAsia" w:ascii="宋体" w:hAnsi="宋体" w:cs="宋体"/>
          <w:color w:val="000000" w:themeColor="text1"/>
          <w:highlight w:val="none"/>
          <w:u w:val="single"/>
          <w14:textFill>
            <w14:solidFill>
              <w14:schemeClr w14:val="tx1"/>
            </w14:solidFill>
          </w14:textFill>
        </w:rPr>
        <w:t>承受能力评估或影响本人风险承受能力的因素发生变化，本人将于再次购买理财</w:t>
      </w:r>
      <w:r>
        <w:rPr>
          <w:rFonts w:hint="eastAsia" w:ascii="宋体" w:hAnsi="宋体" w:cs="宋体"/>
          <w:color w:val="000000" w:themeColor="text1"/>
          <w:highlight w:val="none"/>
          <w:u w:val="single"/>
          <w:lang w:eastAsia="zh-CN"/>
          <w14:textFill>
            <w14:solidFill>
              <w14:schemeClr w14:val="tx1"/>
            </w14:solidFill>
          </w14:textFill>
        </w:rPr>
        <w:t>计划</w:t>
      </w:r>
      <w:r>
        <w:rPr>
          <w:rFonts w:hint="eastAsia" w:ascii="宋体" w:hAnsi="宋体" w:cs="宋体"/>
          <w:color w:val="000000" w:themeColor="text1"/>
          <w:highlight w:val="none"/>
          <w:u w:val="single"/>
          <w14:textFill>
            <w14:solidFill>
              <w14:schemeClr w14:val="tx1"/>
            </w14:solidFill>
          </w14:textFill>
        </w:rPr>
        <w:t>时及时完成风险承受能力评估。</w:t>
      </w:r>
    </w:p>
    <w:p>
      <w:pPr>
        <w:pStyle w:val="17"/>
        <w:spacing w:line="360" w:lineRule="auto"/>
        <w:ind w:firstLine="482" w:firstLineChars="20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声明：本人已经认真阅读本风险揭示书以及《理财计划产品说明书》《投资者权益须知》《理财计划投资协议书》</w:t>
      </w:r>
      <w:r>
        <w:rPr>
          <w:rFonts w:hint="eastAsia" w:ascii="宋体" w:hAnsi="宋体" w:cs="宋体"/>
          <w:b/>
          <w:bCs/>
          <w:color w:val="000000" w:themeColor="text1"/>
          <w:highlight w:val="none"/>
          <w:u w:val="single"/>
          <w:lang w:eastAsia="zh-CN"/>
          <w14:textFill>
            <w14:solidFill>
              <w14:schemeClr w14:val="tx1"/>
            </w14:solidFill>
          </w14:textFill>
        </w:rPr>
        <w:t>《理财计划销售协议书》</w:t>
      </w:r>
      <w:r>
        <w:rPr>
          <w:rFonts w:hint="eastAsia" w:ascii="宋体" w:hAnsi="宋体" w:cs="宋体"/>
          <w:b/>
          <w:bCs/>
          <w:color w:val="000000" w:themeColor="text1"/>
          <w:highlight w:val="none"/>
          <w:u w:val="single"/>
          <w14:textFill>
            <w14:solidFill>
              <w14:schemeClr w14:val="tx1"/>
            </w14:solidFill>
          </w14:textFill>
        </w:rPr>
        <w:t>，已对其作全面、准确的理解，充分认识到投资本理财计划要求承担的风险，接受本风险揭示书及《理财计划产品说明书》《投资者权益须知》《理财计划投资协议书》</w:t>
      </w:r>
      <w:r>
        <w:rPr>
          <w:rFonts w:hint="eastAsia" w:ascii="宋体" w:hAnsi="宋体" w:cs="宋体"/>
          <w:b/>
          <w:bCs/>
          <w:color w:val="000000" w:themeColor="text1"/>
          <w:highlight w:val="none"/>
          <w:u w:val="single"/>
          <w:lang w:eastAsia="zh-CN"/>
          <w14:textFill>
            <w14:solidFill>
              <w14:schemeClr w14:val="tx1"/>
            </w14:solidFill>
          </w14:textFill>
        </w:rPr>
        <w:t>《理财计划销售协议书》</w:t>
      </w:r>
      <w:r>
        <w:rPr>
          <w:rFonts w:hint="eastAsia" w:ascii="宋体" w:hAnsi="宋体" w:cs="宋体"/>
          <w:b/>
          <w:bCs/>
          <w:color w:val="000000" w:themeColor="text1"/>
          <w:highlight w:val="none"/>
          <w:u w:val="single"/>
          <w14:textFill>
            <w14:solidFill>
              <w14:schemeClr w14:val="tx1"/>
            </w14:solidFill>
          </w14:textFill>
        </w:rPr>
        <w:t>等本</w:t>
      </w:r>
      <w:r>
        <w:rPr>
          <w:rFonts w:hint="eastAsia" w:ascii="宋体" w:hAnsi="宋体" w:cs="宋体"/>
          <w:b/>
          <w:bCs/>
          <w:color w:val="000000" w:themeColor="text1"/>
          <w:highlight w:val="none"/>
          <w:u w:val="single"/>
          <w:lang w:eastAsia="zh-CN"/>
          <w14:textFill>
            <w14:solidFill>
              <w14:schemeClr w14:val="tx1"/>
            </w14:solidFill>
          </w14:textFill>
        </w:rPr>
        <w:t>理财计划</w:t>
      </w:r>
      <w:r>
        <w:rPr>
          <w:rFonts w:hint="eastAsia" w:ascii="宋体" w:hAnsi="宋体" w:cs="宋体"/>
          <w:b/>
          <w:bCs/>
          <w:color w:val="000000" w:themeColor="text1"/>
          <w:highlight w:val="none"/>
          <w:u w:val="single"/>
          <w14:textFill>
            <w14:solidFill>
              <w14:schemeClr w14:val="tx1"/>
            </w14:solidFill>
          </w14:textFill>
        </w:rPr>
        <w:t>合同全部内容，自愿且有能力承担投资本理财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的风险。</w:t>
      </w:r>
    </w:p>
    <w:p>
      <w:pPr>
        <w:pStyle w:val="17"/>
        <w:spacing w:line="360" w:lineRule="auto"/>
        <w:ind w:firstLine="482" w:firstLineChars="200"/>
        <w:jc w:val="both"/>
        <w:rPr>
          <w:rFonts w:hint="eastAsia" w:ascii="宋体" w:hAnsi="宋体" w:cs="宋体"/>
          <w:b/>
          <w:bCs/>
          <w:color w:val="000000" w:themeColor="text1"/>
          <w:highlight w:val="none"/>
          <w:u w:val="single"/>
          <w14:textFill>
            <w14:solidFill>
              <w14:schemeClr w14:val="tx1"/>
            </w14:solidFill>
          </w14:textFill>
        </w:rPr>
      </w:pPr>
      <w:r>
        <w:rPr>
          <w:rFonts w:hint="eastAsia" w:ascii="宋体" w:hAnsi="宋体" w:cs="宋体"/>
          <w:b/>
          <w:bCs/>
          <w:color w:val="000000" w:themeColor="text1"/>
          <w:highlight w:val="none"/>
          <w:u w:val="single"/>
          <w14:textFill>
            <w14:solidFill>
              <w14:schemeClr w14:val="tx1"/>
            </w14:solidFill>
          </w14:textFill>
        </w:rPr>
        <w:t>本人购买本理财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的资金为合法自有资金，不存在使用借款、贷款等非自有资金的情形；且系为合法目的投资本理财</w:t>
      </w:r>
      <w:r>
        <w:rPr>
          <w:rFonts w:hint="eastAsia" w:ascii="宋体" w:hAnsi="宋体" w:cs="宋体"/>
          <w:b/>
          <w:bCs/>
          <w:color w:val="000000" w:themeColor="text1"/>
          <w:highlight w:val="none"/>
          <w:u w:val="single"/>
          <w:lang w:eastAsia="zh-CN"/>
          <w14:textFill>
            <w14:solidFill>
              <w14:schemeClr w14:val="tx1"/>
            </w14:solidFill>
          </w14:textFill>
        </w:rPr>
        <w:t>计划</w:t>
      </w:r>
      <w:r>
        <w:rPr>
          <w:rFonts w:hint="eastAsia" w:ascii="宋体" w:hAnsi="宋体" w:cs="宋体"/>
          <w:b/>
          <w:bCs/>
          <w:color w:val="000000" w:themeColor="text1"/>
          <w:highlight w:val="none"/>
          <w:u w:val="single"/>
          <w14:textFill>
            <w14:solidFill>
              <w14:schemeClr w14:val="tx1"/>
            </w14:solidFill>
          </w14:textFill>
        </w:rPr>
        <w:t>，而非为洗钱等违法违规之目的，本人将配合管理人或销售机构开展客户身份识别及尽职调查、反恐怖融资以及非居民金融账户尽职调查等，及时、真实、准确提供身份信息及资金来源信息。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both"/>
        <w:rPr>
          <w:rFonts w:hint="eastAsia" w:ascii="宋体" w:hAnsi="宋体" w:cs="宋体"/>
          <w:b/>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（投资者需全文抄录以下文字以完成确认：</w:t>
      </w:r>
      <w:r>
        <w:rPr>
          <w:rFonts w:hint="eastAsia" w:ascii="宋体" w:hAnsi="宋体" w:cs="宋体"/>
          <w:b/>
          <w:color w:val="000000" w:themeColor="text1"/>
          <w:highlight w:val="none"/>
          <w14:textFill>
            <w14:solidFill>
              <w14:schemeClr w14:val="tx1"/>
            </w14:solidFill>
          </w14:textFill>
        </w:rPr>
        <w:t>“本人已经阅读上述风险揭示，愿意承担投资风险。”</w:t>
      </w:r>
      <w:r>
        <w:rPr>
          <w:rFonts w:hint="eastAsia" w:ascii="宋体" w:hAnsi="宋体" w:cs="宋体"/>
          <w:b/>
          <w:color w:val="000000" w:themeColor="text1"/>
          <w:highlight w:val="none"/>
          <w:lang w:eastAsia="zh-CN"/>
          <w14:textFill>
            <w14:solidFill>
              <w14:schemeClr w14:val="tx1"/>
            </w14:solidFill>
          </w14:textFill>
        </w:rPr>
        <w:t>如通过线上渠道购买，认</w:t>
      </w:r>
      <w:r>
        <w:rPr>
          <w:rFonts w:hint="eastAsia" w:ascii="宋体" w:hAnsi="宋体" w:cs="宋体"/>
          <w:b/>
          <w:color w:val="000000" w:themeColor="text1"/>
          <w:highlight w:val="none"/>
          <w:lang w:val="en-US" w:eastAsia="zh-CN"/>
          <w14:textFill>
            <w14:solidFill>
              <w14:schemeClr w14:val="tx1"/>
            </w14:solidFill>
          </w14:textFill>
        </w:rPr>
        <w:t>/申购交易确认即视为投资者同意自身风险承受能力等级并确认风险揭示内容，愿意承担投资风险，与书面签署具有同等效力。</w:t>
      </w:r>
      <w:r>
        <w:rPr>
          <w:rFonts w:hint="eastAsia" w:ascii="宋体" w:hAnsi="宋体" w:cs="宋体"/>
          <w:b/>
          <w:color w:val="000000" w:themeColor="text1"/>
          <w:highlight w:val="none"/>
          <w14:textFill>
            <w14:solidFill>
              <w14:schemeClr w14:val="tx1"/>
            </w14:solidFill>
          </w14:textFill>
        </w:rPr>
        <w:t xml:space="preserve">） </w:t>
      </w:r>
    </w:p>
    <w:p>
      <w:pPr>
        <w:pStyle w:val="17"/>
        <w:spacing w:line="360" w:lineRule="auto"/>
        <w:jc w:val="both"/>
        <w:rPr>
          <w:rFonts w:hint="eastAsia" w:ascii="宋体" w:hAnsi="宋体" w:cs="宋体"/>
          <w:color w:val="000000" w:themeColor="text1"/>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本人同时确认如下：</w:t>
      </w:r>
      <w:r>
        <w:rPr>
          <w:rFonts w:hint="eastAsia" w:ascii="宋体" w:hAnsi="宋体" w:cs="宋体"/>
          <w:color w:val="000000" w:themeColor="text1"/>
          <w:highlight w:val="none"/>
          <w:u w:val="single"/>
          <w14:textFill>
            <w14:solidFill>
              <w14:schemeClr w14:val="tx1"/>
            </w14:solidFill>
          </w14:textFill>
        </w:rPr>
        <w:t xml:space="preserve">                                                          </w:t>
      </w:r>
    </w:p>
    <w:p>
      <w:pPr>
        <w:spacing w:line="360" w:lineRule="auto"/>
        <w:rPr>
          <w:rFonts w:hint="eastAsia" w:ascii="宋体" w:hAnsi="宋体" w:cs="宋体"/>
          <w:color w:val="000000" w:themeColor="text1"/>
          <w:kern w:val="0"/>
          <w:sz w:val="24"/>
          <w:highlight w:val="none"/>
          <w14:textFill>
            <w14:solidFill>
              <w14:schemeClr w14:val="tx1"/>
            </w14:solidFill>
          </w14:textFill>
        </w:rPr>
      </w:pP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确认人（签字）：</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 xml:space="preserve">           日期：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cs="宋体"/>
          <w:color w:val="000000" w:themeColor="text1"/>
          <w:kern w:val="0"/>
          <w:sz w:val="24"/>
          <w:highlight w:val="none"/>
          <w14:textFill>
            <w14:solidFill>
              <w14:schemeClr w14:val="tx1"/>
            </w14:solidFill>
          </w14:textFill>
        </w:rPr>
        <w:t>日</w:t>
      </w: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rPr>
          <w:rFonts w:hint="eastAsia" w:ascii="宋体" w:hAnsi="宋体" w:eastAsia="宋体" w:cs="宋体"/>
          <w:b/>
          <w:bCs/>
          <w:color w:val="000000" w:themeColor="text1"/>
          <w:highlight w:val="none"/>
          <w:u w:val="none"/>
          <w14:textFill>
            <w14:solidFill>
              <w14:schemeClr w14:val="tx1"/>
            </w14:solidFill>
          </w14:textFill>
        </w:rPr>
      </w:pPr>
    </w:p>
    <w:p>
      <w:pPr>
        <w:pStyle w:val="17"/>
        <w:spacing w:line="360" w:lineRule="auto"/>
        <w:ind w:firstLine="482" w:firstLineChars="200"/>
        <w:jc w:val="center"/>
        <w:outlineLvl w:val="1"/>
        <w:rPr>
          <w:rFonts w:hint="eastAsia" w:ascii="宋体" w:hAnsi="宋体" w:eastAsia="宋体" w:cs="宋体"/>
          <w:b/>
          <w:bCs/>
          <w:color w:val="000000" w:themeColor="text1"/>
          <w:highlight w:val="none"/>
          <w:u w:val="none"/>
          <w14:textFill>
            <w14:solidFill>
              <w14:schemeClr w14:val="tx1"/>
            </w14:solidFill>
          </w14:textFill>
        </w:rPr>
      </w:pPr>
      <w:r>
        <w:rPr>
          <w:rFonts w:hint="eastAsia" w:ascii="宋体" w:hAnsi="宋体" w:eastAsia="宋体" w:cs="宋体"/>
          <w:b/>
          <w:bCs/>
          <w:color w:val="000000" w:themeColor="text1"/>
          <w:highlight w:val="none"/>
          <w:u w:val="none"/>
          <w14:textFill>
            <w14:solidFill>
              <w14:schemeClr w14:val="tx1"/>
            </w14:solidFill>
          </w14:textFill>
        </w:rPr>
        <w:t>投资者确认栏（机构投资者）</w:t>
      </w: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none"/>
          <w:lang w:val="en-US" w:eastAsia="zh-CN"/>
          <w14:textFill>
            <w14:solidFill>
              <w14:schemeClr w14:val="tx1"/>
            </w14:solidFill>
          </w14:textFill>
        </w:rPr>
        <w:t>声明：本公司/单位已认真阅读本风险揭示书以及《理财计划产品说明书》《投资者权益须知》《理财计划投资协议书》《理财计划销售协议书》，并已对其作全面、准确的理解，充分认识到投资本理财计划要求承担的风险，</w:t>
      </w:r>
      <w:r>
        <w:rPr>
          <w:rFonts w:hint="eastAsia" w:ascii="宋体" w:hAnsi="宋体" w:eastAsia="宋体" w:cs="宋体"/>
          <w:b/>
          <w:bCs/>
          <w:color w:val="000000" w:themeColor="text1"/>
          <w:highlight w:val="none"/>
          <w:u w:val="single"/>
          <w:lang w:val="en-US" w:eastAsia="zh-CN"/>
          <w14:textFill>
            <w14:solidFill>
              <w14:schemeClr w14:val="tx1"/>
            </w14:solidFill>
          </w14:textFill>
        </w:rPr>
        <w:t>接受本风险揭示书及《理财计划产品说明书》《投资者权益须知》《理财计划投资协议书》《理财计划销售协议书》等本理财计划合同全部内容，自愿且有能力承担投资本理财计划的风险。</w:t>
      </w: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r>
        <w:rPr>
          <w:rFonts w:hint="eastAsia" w:ascii="宋体" w:hAnsi="宋体" w:eastAsia="宋体" w:cs="宋体"/>
          <w:b/>
          <w:bCs/>
          <w:color w:val="000000" w:themeColor="text1"/>
          <w:highlight w:val="none"/>
          <w:u w:val="single"/>
          <w:lang w:val="en-US" w:eastAsia="zh-CN"/>
          <w14:textFill>
            <w14:solidFill>
              <w14:schemeClr w14:val="tx1"/>
            </w14:solidFill>
          </w14:textFill>
        </w:rPr>
        <w:t>本公司/单位购买本理财计划的资金为合法自有资金，不存在使用借款、贷款、发行债券募集资金等非自有资金的情形；且系为合法目的投资本理财计划，而非为洗钱等违法违规之目的，本公司/单位将配合管理人或销售机构开展客户身份识别及尽职调查、反恐怖融资以及非居民金融账户尽职调查等，及时、真实、准确提供身份信息及资金来源信息。</w:t>
      </w: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jc w:val="both"/>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投资者（公章）                          法定代表人或授权代理人（签章）</w:t>
      </w: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p>
    <w:p>
      <w:pPr>
        <w:pStyle w:val="17"/>
        <w:spacing w:line="360" w:lineRule="auto"/>
        <w:ind w:firstLine="480" w:firstLineChars="200"/>
        <w:jc w:val="right"/>
        <w:rPr>
          <w:rFonts w:hint="eastAsia" w:ascii="宋体" w:hAnsi="宋体" w:eastAsia="宋体" w:cs="宋体"/>
          <w:b w:val="0"/>
          <w:bCs w:val="0"/>
          <w:color w:val="000000" w:themeColor="text1"/>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日期：</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年</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月</w:t>
      </w:r>
      <w:r>
        <w:rPr>
          <w:rFonts w:hint="eastAsia" w:ascii="宋体" w:hAnsi="宋体" w:cs="宋体"/>
          <w:color w:val="000000" w:themeColor="text1"/>
          <w:kern w:val="0"/>
          <w:sz w:val="24"/>
          <w:highlight w:val="none"/>
          <w:u w:val="single"/>
          <w14:textFill>
            <w14:solidFill>
              <w14:schemeClr w14:val="tx1"/>
            </w14:solidFill>
          </w14:textFill>
        </w:rPr>
        <w:t xml:space="preserve">    </w:t>
      </w:r>
      <w:r>
        <w:rPr>
          <w:rFonts w:hint="eastAsia" w:ascii="宋体" w:hAnsi="宋体" w:eastAsia="宋体" w:cs="宋体"/>
          <w:b w:val="0"/>
          <w:bCs w:val="0"/>
          <w:color w:val="000000" w:themeColor="text1"/>
          <w:highlight w:val="none"/>
          <w:u w:val="none"/>
          <w:lang w:val="en-US" w:eastAsia="zh-CN"/>
          <w14:textFill>
            <w14:solidFill>
              <w14:schemeClr w14:val="tx1"/>
            </w14:solidFill>
          </w14:textFill>
        </w:rPr>
        <w:t>日</w:t>
      </w:r>
    </w:p>
    <w:p>
      <w:pPr>
        <w:pStyle w:val="17"/>
        <w:spacing w:line="360" w:lineRule="auto"/>
        <w:ind w:firstLine="482" w:firstLineChars="200"/>
        <w:jc w:val="both"/>
        <w:rPr>
          <w:rFonts w:hint="eastAsia" w:ascii="宋体" w:hAnsi="宋体" w:eastAsia="宋体" w:cs="宋体"/>
          <w:b/>
          <w:bCs/>
          <w:color w:val="000000" w:themeColor="text1"/>
          <w:highlight w:val="none"/>
          <w:u w:val="none"/>
          <w:lang w:val="en-US" w:eastAsia="zh-CN"/>
          <w14:textFill>
            <w14:solidFill>
              <w14:schemeClr w14:val="tx1"/>
            </w14:solidFill>
          </w14:textFill>
        </w:rPr>
      </w:pPr>
    </w:p>
    <w:p>
      <w:pPr>
        <w:pStyle w:val="17"/>
        <w:spacing w:line="360" w:lineRule="auto"/>
        <w:ind w:firstLine="482" w:firstLineChars="200"/>
        <w:jc w:val="both"/>
        <w:rPr>
          <w:rFonts w:hint="eastAsia" w:ascii="宋体" w:hAnsi="宋体" w:eastAsia="宋体" w:cs="宋体"/>
          <w:b/>
          <w:bCs/>
          <w:color w:val="000000" w:themeColor="text1"/>
          <w:highlight w:val="none"/>
          <w:u w:val="single"/>
          <w:lang w:val="en-US" w:eastAsia="zh-CN"/>
          <w14:textFill>
            <w14:solidFill>
              <w14:schemeClr w14:val="tx1"/>
            </w14:solidFill>
          </w14:textFill>
        </w:rPr>
      </w:pPr>
    </w:p>
    <w:p>
      <w:pPr>
        <w:jc w:val="center"/>
        <w:outlineLvl w:val="0"/>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br w:type="page"/>
      </w:r>
      <w:r>
        <w:rPr>
          <w:rFonts w:hint="eastAsia" w:ascii="宋体" w:hAnsi="宋体" w:eastAsia="宋体" w:cs="宋体"/>
          <w:b/>
          <w:bCs/>
          <w:color w:val="000000" w:themeColor="text1"/>
          <w:sz w:val="44"/>
          <w:szCs w:val="44"/>
          <w:highlight w:val="none"/>
          <w14:textFill>
            <w14:solidFill>
              <w14:schemeClr w14:val="tx1"/>
            </w14:solidFill>
          </w14:textFill>
        </w:rPr>
        <w:t>幸福</w:t>
      </w:r>
      <w:r>
        <w:rPr>
          <w:rFonts w:hint="eastAsia" w:ascii="宋体" w:hAnsi="宋体" w:eastAsia="宋体" w:cs="宋体"/>
          <w:b/>
          <w:bCs/>
          <w:color w:val="000000" w:themeColor="text1"/>
          <w:sz w:val="44"/>
          <w:szCs w:val="44"/>
          <w:highlight w:val="none"/>
          <w:lang w:eastAsia="zh-CN"/>
          <w14:textFill>
            <w14:solidFill>
              <w14:schemeClr w14:val="tx1"/>
            </w14:solidFill>
          </w14:textFill>
        </w:rPr>
        <w:t>99添益(安享优选)7天持有期</w:t>
      </w:r>
      <w:r>
        <w:rPr>
          <w:rFonts w:hint="eastAsia" w:ascii="宋体" w:hAnsi="宋体" w:cs="宋体"/>
          <w:b/>
          <w:bCs/>
          <w:color w:val="000000" w:themeColor="text1"/>
          <w:sz w:val="44"/>
          <w:szCs w:val="44"/>
          <w:highlight w:val="none"/>
          <w:lang w:val="en-US" w:eastAsia="zh-CN"/>
          <w14:textFill>
            <w14:solidFill>
              <w14:schemeClr w14:val="tx1"/>
            </w14:solidFill>
          </w14:textFill>
        </w:rPr>
        <w:t>7</w:t>
      </w:r>
      <w:r>
        <w:rPr>
          <w:rFonts w:hint="eastAsia" w:ascii="宋体" w:hAnsi="宋体" w:eastAsia="宋体" w:cs="宋体"/>
          <w:b/>
          <w:bCs/>
          <w:color w:val="000000" w:themeColor="text1"/>
          <w:sz w:val="44"/>
          <w:szCs w:val="44"/>
          <w:highlight w:val="none"/>
          <w:lang w:eastAsia="zh-CN"/>
          <w14:textFill>
            <w14:solidFill>
              <w14:schemeClr w14:val="tx1"/>
            </w14:solidFill>
          </w14:textFill>
        </w:rPr>
        <w:t>期</w:t>
      </w:r>
      <w:r>
        <w:rPr>
          <w:rFonts w:hint="eastAsia" w:ascii="宋体" w:hAnsi="宋体" w:eastAsia="宋体" w:cs="宋体"/>
          <w:b/>
          <w:bCs/>
          <w:color w:val="000000" w:themeColor="text1"/>
          <w:sz w:val="44"/>
          <w:szCs w:val="44"/>
          <w:highlight w:val="none"/>
          <w14:textFill>
            <w14:solidFill>
              <w14:schemeClr w14:val="tx1"/>
            </w14:solidFill>
          </w14:textFill>
        </w:rPr>
        <w:t>理财</w:t>
      </w:r>
      <w:r>
        <w:rPr>
          <w:rFonts w:hint="eastAsia" w:ascii="宋体" w:hAnsi="宋体" w:cs="宋体"/>
          <w:b/>
          <w:bCs/>
          <w:color w:val="000000" w:themeColor="text1"/>
          <w:sz w:val="44"/>
          <w:szCs w:val="44"/>
          <w:highlight w:val="none"/>
          <w14:textFill>
            <w14:solidFill>
              <w14:schemeClr w14:val="tx1"/>
            </w14:solidFill>
          </w14:textFill>
        </w:rPr>
        <w:t>产品说明书</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备案编号:</w:t>
      </w:r>
      <w:r>
        <w:rPr>
          <w:rFonts w:hint="eastAsia" w:ascii="宋体" w:hAnsi="宋体" w:cs="宋体"/>
          <w:bCs/>
          <w:color w:val="000000" w:themeColor="text1"/>
          <w:sz w:val="24"/>
          <w:highlight w:val="none"/>
          <w14:textFill>
            <w14:solidFill>
              <w14:schemeClr w14:val="tx1"/>
            </w14:solidFill>
          </w14:textFill>
        </w:rPr>
        <w:t>〖Z7002225000088〗</w:t>
      </w:r>
    </w:p>
    <w:p>
      <w:pPr>
        <w:spacing w:line="360" w:lineRule="auto"/>
        <w:jc w:val="center"/>
        <w:rPr>
          <w:rFonts w:hint="eastAsia" w:ascii="宋体" w:hAnsi="宋体" w:cs="宋体"/>
          <w:bCs/>
          <w:color w:val="000000" w:themeColor="text1"/>
          <w:sz w:val="24"/>
          <w:highlight w:val="none"/>
          <w14:textFill>
            <w14:solidFill>
              <w14:schemeClr w14:val="tx1"/>
            </w14:solidFill>
          </w14:textFill>
        </w:rPr>
      </w:pPr>
    </w:p>
    <w:p>
      <w:pPr>
        <w:numPr>
          <w:ilvl w:val="0"/>
          <w:numId w:val="9"/>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重要须知</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本理财计划不等同于银行存款、预期收益型理财产品或其他产品。</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本理财计划仅向依据中华人民共和国有关法律法规及本理财计划产品说明书规定可以购买本理财计划的投资者发售。</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10"/>
        </w:numPr>
        <w:spacing w:line="360" w:lineRule="auto"/>
        <w:ind w:firstLine="482"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本理财计划是非保本净值型产品。管理人对本理财计划的本金和收益不提供保证承诺。</w:t>
      </w:r>
      <w:r>
        <w:rPr>
          <w:rFonts w:hint="eastAsia" w:ascii="宋体" w:hAnsi="宋体" w:cs="宋体"/>
          <w:bCs/>
          <w:color w:val="000000" w:themeColor="text1"/>
          <w:sz w:val="24"/>
          <w:highlight w:val="none"/>
          <w14:textFill>
            <w14:solidFill>
              <w14:schemeClr w14:val="tx1"/>
            </w14:solidFill>
          </w14:textFill>
        </w:rPr>
        <w:t>本理财计划主要风险为理财本金及收益风险，在极端市场情况下，投资者将损失本金，请投资者基于自身的独立判断进行投资决策。</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风险揭示书》《投资者权益须知》《理财计划投资协议书》</w:t>
      </w:r>
      <w:r>
        <w:rPr>
          <w:rFonts w:hint="eastAsia" w:ascii="宋体" w:hAnsi="宋体" w:cs="宋体"/>
          <w:bCs/>
          <w:color w:val="000000" w:themeColor="text1"/>
          <w:sz w:val="24"/>
          <w:highlight w:val="none"/>
          <w:lang w:eastAsia="zh-CN"/>
          <w14:textFill>
            <w14:solidFill>
              <w14:schemeClr w14:val="tx1"/>
            </w14:solidFill>
          </w14:textFill>
        </w:rPr>
        <w:t>《理财计划销售协议书》</w:t>
      </w:r>
      <w:r>
        <w:rPr>
          <w:rFonts w:hint="eastAsia" w:ascii="宋体" w:hAnsi="宋体" w:cs="宋体"/>
          <w:bCs/>
          <w:color w:val="000000" w:themeColor="text1"/>
          <w:sz w:val="24"/>
          <w:highlight w:val="none"/>
          <w14:textFill>
            <w14:solidFill>
              <w14:schemeClr w14:val="tx1"/>
            </w14:solidFill>
          </w14:textFill>
        </w:rPr>
        <w:t>，将共同构成投资者与管理人之间的理财计划</w:t>
      </w:r>
      <w:r>
        <w:rPr>
          <w:rFonts w:hint="eastAsia" w:ascii="宋体" w:hAnsi="宋体" w:cs="宋体"/>
          <w:bCs/>
          <w:color w:val="000000" w:themeColor="text1"/>
          <w:sz w:val="24"/>
          <w:highlight w:val="none"/>
          <w:lang w:val="en-US" w:eastAsia="zh-CN"/>
          <w14:textFill>
            <w14:solidFill>
              <w14:schemeClr w14:val="tx1"/>
            </w14:solidFill>
          </w14:textFill>
        </w:rPr>
        <w:t>销售文件</w:t>
      </w:r>
      <w:r>
        <w:rPr>
          <w:rFonts w:hint="eastAsia" w:ascii="宋体" w:hAnsi="宋体" w:cs="宋体"/>
          <w:bCs/>
          <w:color w:val="000000" w:themeColor="text1"/>
          <w:sz w:val="24"/>
          <w:highlight w:val="none"/>
          <w14:textFill>
            <w14:solidFill>
              <w14:schemeClr w14:val="tx1"/>
            </w14:solidFill>
          </w14:textFill>
        </w:rPr>
        <w:t>。</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投资者在购买本理财计划后，应随时关注本理财计划的信息披露情况，及时获取相关信息。如对本理财计划有任何疑问、异议或意见，请联系管理人或销售机构。</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本理财计划的任何业绩比较基准等类似表述均不具有法律约束性，不代表投资者可能获得的实际收益，不构成管理人对于本理财计划的任何收益承诺。</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管理人及销售机构将依据相关法律、法规严格履行投资者信息保密责任，除监管机构或司法机关等有权机构外，不得对其他第三方商业机构提供任何投资者信息。</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在本理财计划存续期内，如因监管政策或法律法规发生变化，在不损害投资者利益的前提下，管理人有权对</w:t>
      </w:r>
      <w:r>
        <w:rPr>
          <w:rFonts w:hint="eastAsia" w:ascii="宋体" w:hAnsi="宋体" w:cs="宋体"/>
          <w:bCs/>
          <w:color w:val="000000" w:themeColor="text1"/>
          <w:sz w:val="24"/>
          <w:highlight w:val="none"/>
          <w:lang w:val="en-US" w:eastAsia="zh-CN"/>
          <w14:textFill>
            <w14:solidFill>
              <w14:schemeClr w14:val="tx1"/>
            </w14:solidFill>
          </w14:textFill>
        </w:rPr>
        <w:t>因上述变化导致的</w:t>
      </w:r>
      <w:r>
        <w:rPr>
          <w:rFonts w:hint="eastAsia" w:ascii="宋体" w:hAnsi="宋体" w:cs="宋体"/>
          <w:bCs/>
          <w:color w:val="000000" w:themeColor="text1"/>
          <w:sz w:val="24"/>
          <w:highlight w:val="none"/>
          <w14:textFill>
            <w14:solidFill>
              <w14:schemeClr w14:val="tx1"/>
            </w14:solidFill>
          </w14:textFill>
        </w:rPr>
        <w:t>本理财计划说明书条款</w:t>
      </w:r>
      <w:r>
        <w:rPr>
          <w:rFonts w:hint="eastAsia" w:ascii="宋体" w:hAnsi="宋体" w:cs="宋体"/>
          <w:bCs/>
          <w:color w:val="000000" w:themeColor="text1"/>
          <w:sz w:val="24"/>
          <w:highlight w:val="none"/>
          <w:lang w:val="en-US" w:eastAsia="zh-CN"/>
          <w14:textFill>
            <w14:solidFill>
              <w14:schemeClr w14:val="tx1"/>
            </w14:solidFill>
          </w14:textFill>
        </w:rPr>
        <w:t>变化</w:t>
      </w:r>
      <w:r>
        <w:rPr>
          <w:rFonts w:hint="eastAsia" w:ascii="宋体" w:hAnsi="宋体" w:cs="宋体"/>
          <w:bCs/>
          <w:color w:val="000000" w:themeColor="text1"/>
          <w:sz w:val="24"/>
          <w:highlight w:val="none"/>
          <w14:textFill>
            <w14:solidFill>
              <w14:schemeClr w14:val="tx1"/>
            </w14:solidFill>
          </w14:textFill>
        </w:rPr>
        <w:t>进行修订。</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管理人承诺以诚实守信、勤勉尽职的原则，根据本理财计划说明书所载要求管理和运用理财计划资产。</w:t>
      </w:r>
    </w:p>
    <w:p>
      <w:pPr>
        <w:numPr>
          <w:ilvl w:val="0"/>
          <w:numId w:val="10"/>
        </w:numPr>
        <w:spacing w:line="360" w:lineRule="auto"/>
        <w:ind w:firstLine="480" w:firstLineChars="20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管理人有权依法对本理财计划产品说明书进行解释。</w:t>
      </w:r>
    </w:p>
    <w:p>
      <w:pPr>
        <w:numPr>
          <w:ilvl w:val="0"/>
          <w:numId w:val="0"/>
        </w:numPr>
        <w:spacing w:line="360" w:lineRule="auto"/>
        <w:jc w:val="left"/>
        <w:rPr>
          <w:rFonts w:hint="eastAsia" w:ascii="宋体" w:hAnsi="宋体" w:cs="宋体"/>
          <w:bCs/>
          <w:color w:val="000000" w:themeColor="text1"/>
          <w:sz w:val="24"/>
          <w:highlight w:val="none"/>
          <w14:textFill>
            <w14:solidFill>
              <w14:schemeClr w14:val="tx1"/>
            </w14:solidFill>
          </w14:textFill>
        </w:rPr>
      </w:pPr>
    </w:p>
    <w:p>
      <w:pPr>
        <w:numPr>
          <w:ilvl w:val="0"/>
          <w:numId w:val="11"/>
        </w:numPr>
        <w:spacing w:line="360" w:lineRule="auto"/>
        <w:ind w:firstLine="482" w:firstLineChars="200"/>
        <w:jc w:val="left"/>
        <w:outlineLvl w:val="1"/>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释义</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本说明书中，除非另有明确说明，否则下列词语或简称具有如下含义：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参与主体用语</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理财计划管理人/产品管理人/管理人/本公司：</w:t>
      </w:r>
      <w:r>
        <w:rPr>
          <w:rFonts w:hint="eastAsia" w:ascii="宋体" w:hAnsi="宋体" w:cs="宋体"/>
          <w:bCs/>
          <w:color w:val="000000" w:themeColor="text1"/>
          <w:kern w:val="2"/>
          <w:highlight w:val="none"/>
          <w14:textFill>
            <w14:solidFill>
              <w14:schemeClr w14:val="tx1"/>
            </w14:solidFill>
          </w14:textFill>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000000" w:themeColor="text1"/>
          <w:kern w:val="2"/>
          <w:highlight w:val="none"/>
          <w:lang w:eastAsia="zh-CN"/>
          <w14:textFill>
            <w14:solidFill>
              <w14:schemeClr w14:val="tx1"/>
            </w14:solidFill>
          </w14:textFill>
        </w:rPr>
        <w:t>杭银理财有限责任公司简称杭银理财，官网网站为</w:t>
      </w:r>
      <w:r>
        <w:rPr>
          <w:rFonts w:hint="eastAsia" w:ascii="宋体" w:hAnsi="宋体" w:cs="宋体"/>
          <w:bCs/>
          <w:color w:val="000000" w:themeColor="text1"/>
          <w:kern w:val="2"/>
          <w:highlight w:val="none"/>
          <w:u w:val="none"/>
          <w:lang w:val="en-US" w:eastAsia="zh-CN"/>
          <w14:textFill>
            <w14:solidFill>
              <w14:schemeClr w14:val="tx1"/>
            </w14:solidFill>
          </w14:textFill>
        </w:rPr>
        <w:t>https://</w:t>
      </w:r>
      <w:r>
        <w:rPr>
          <w:rFonts w:hint="eastAsia" w:ascii="宋体" w:hAnsi="宋体" w:cs="宋体"/>
          <w:bCs/>
          <w:color w:val="000000" w:themeColor="text1"/>
          <w:kern w:val="2"/>
          <w:highlight w:val="none"/>
          <w:u w:val="none"/>
          <w14:textFill>
            <w14:solidFill>
              <w14:schemeClr w14:val="tx1"/>
            </w14:solidFill>
          </w14:textFill>
        </w:rPr>
        <w:fldChar w:fldCharType="begin"/>
      </w:r>
      <w:r>
        <w:rPr>
          <w:rFonts w:hint="eastAsia" w:ascii="宋体" w:hAnsi="宋体" w:cs="宋体"/>
          <w:bCs/>
          <w:color w:val="000000" w:themeColor="text1"/>
          <w:kern w:val="2"/>
          <w:highlight w:val="none"/>
          <w:u w:val="none"/>
          <w14:textFill>
            <w14:solidFill>
              <w14:schemeClr w14:val="tx1"/>
            </w14:solidFill>
          </w14:textFill>
        </w:rPr>
        <w:instrText xml:space="preserve"> HYPERLINK "http://www.hzbank.com.cn" </w:instrText>
      </w:r>
      <w:r>
        <w:rPr>
          <w:rFonts w:hint="eastAsia" w:ascii="宋体" w:hAnsi="宋体" w:cs="宋体"/>
          <w:bCs/>
          <w:color w:val="000000" w:themeColor="text1"/>
          <w:kern w:val="2"/>
          <w:highlight w:val="none"/>
          <w:u w:val="none"/>
          <w14:textFill>
            <w14:solidFill>
              <w14:schemeClr w14:val="tx1"/>
            </w14:solidFill>
          </w14:textFill>
        </w:rPr>
        <w:fldChar w:fldCharType="separate"/>
      </w:r>
      <w:r>
        <w:rPr>
          <w:rFonts w:hint="eastAsia" w:ascii="宋体" w:hAnsi="宋体" w:cs="宋体"/>
          <w:bCs/>
          <w:color w:val="000000" w:themeColor="text1"/>
          <w:kern w:val="2"/>
          <w:highlight w:val="none"/>
          <w:u w:val="none"/>
          <w14:textFill>
            <w14:solidFill>
              <w14:schemeClr w14:val="tx1"/>
            </w14:solidFill>
          </w14:textFill>
        </w:rPr>
        <w:t>www.hzbank</w:t>
      </w:r>
      <w:r>
        <w:rPr>
          <w:rFonts w:hint="eastAsia" w:ascii="宋体" w:hAnsi="宋体" w:cs="宋体"/>
          <w:bCs/>
          <w:color w:val="000000" w:themeColor="text1"/>
          <w:kern w:val="2"/>
          <w:highlight w:val="none"/>
          <w:u w:val="none"/>
          <w:lang w:val="en-US" w:eastAsia="zh-CN"/>
          <w14:textFill>
            <w14:solidFill>
              <w14:schemeClr w14:val="tx1"/>
            </w14:solidFill>
          </w14:textFill>
        </w:rPr>
        <w:t>wealth</w:t>
      </w:r>
      <w:r>
        <w:rPr>
          <w:rFonts w:hint="eastAsia" w:ascii="宋体" w:hAnsi="宋体" w:cs="宋体"/>
          <w:bCs/>
          <w:color w:val="000000" w:themeColor="text1"/>
          <w:kern w:val="2"/>
          <w:highlight w:val="none"/>
          <w:u w:val="none"/>
          <w14:textFill>
            <w14:solidFill>
              <w14:schemeClr w14:val="tx1"/>
            </w14:solidFill>
          </w14:textFill>
        </w:rPr>
        <w:t>.com.cn</w:t>
      </w:r>
      <w:r>
        <w:rPr>
          <w:rFonts w:hint="eastAsia" w:ascii="宋体" w:hAnsi="宋体" w:cs="宋体"/>
          <w:bCs/>
          <w:color w:val="000000" w:themeColor="text1"/>
          <w:kern w:val="2"/>
          <w:highlight w:val="none"/>
          <w:u w:val="none"/>
          <w14:textFill>
            <w14:solidFill>
              <w14:schemeClr w14:val="tx1"/>
            </w14:solidFill>
          </w14:textFill>
        </w:rPr>
        <w:fldChar w:fldCharType="end"/>
      </w:r>
      <w:r>
        <w:rPr>
          <w:rFonts w:hint="eastAsia" w:ascii="宋体" w:hAnsi="宋体" w:cs="宋体"/>
          <w:bCs/>
          <w:color w:val="000000" w:themeColor="text1"/>
          <w:kern w:val="2"/>
          <w:highlight w:val="none"/>
          <w:u w:val="none"/>
          <w:lang w:eastAsia="zh-CN"/>
          <w14:textFill>
            <w14:solidFill>
              <w14:schemeClr w14:val="tx1"/>
            </w14:solidFill>
          </w14:textFill>
        </w:rPr>
        <w:t>，</w:t>
      </w:r>
      <w:r>
        <w:rPr>
          <w:rFonts w:hint="eastAsia" w:ascii="宋体" w:hAnsi="宋体" w:cs="宋体"/>
          <w:bCs/>
          <w:color w:val="000000" w:themeColor="text1"/>
          <w:kern w:val="2"/>
          <w:highlight w:val="none"/>
          <w:u w:val="none"/>
          <w:lang w:val="en-US" w:eastAsia="zh-CN"/>
          <w14:textFill>
            <w14:solidFill>
              <w14:schemeClr w14:val="tx1"/>
            </w14:solidFill>
          </w14:textFill>
        </w:rPr>
        <w:t>客服电话400-8950-999</w:t>
      </w:r>
      <w:r>
        <w:rPr>
          <w:rFonts w:hint="eastAsia" w:ascii="宋体" w:hAnsi="宋体" w:cs="宋体"/>
          <w:bCs/>
          <w:color w:val="000000" w:themeColor="text1"/>
          <w:kern w:val="2"/>
          <w:highlight w:val="none"/>
          <w:u w:val="none"/>
          <w14:textFill>
            <w14:solidFill>
              <w14:schemeClr w14:val="tx1"/>
            </w14:solidFill>
          </w14:textFill>
        </w:rPr>
        <w:t>。</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销售机构：</w:t>
      </w:r>
      <w:r>
        <w:rPr>
          <w:rFonts w:hint="eastAsia" w:ascii="宋体" w:hAnsi="宋体" w:cs="宋体"/>
          <w:bCs/>
          <w:color w:val="000000" w:themeColor="text1"/>
          <w:kern w:val="2"/>
          <w:highlight w:val="none"/>
          <w14:textFill>
            <w14:solidFill>
              <w14:schemeClr w14:val="tx1"/>
            </w14:solidFill>
          </w14:textFill>
        </w:rPr>
        <w:t>指包含但不限于指杭州银行股份有限公司等其他银行业金融机构或者国务院银行业监督管理机构认可的其他机构，可代为办理理财产品销售业务。杭州银行股份有限公司简称杭州银行，官方网站为</w:t>
      </w:r>
      <w:r>
        <w:rPr>
          <w:rFonts w:hint="eastAsia" w:ascii="宋体" w:hAnsi="宋体" w:cs="宋体"/>
          <w:bCs/>
          <w:color w:val="000000" w:themeColor="text1"/>
          <w:kern w:val="2"/>
          <w:highlight w:val="none"/>
          <w:u w:val="none"/>
          <w14:textFill>
            <w14:solidFill>
              <w14:schemeClr w14:val="tx1"/>
            </w14:solidFill>
          </w14:textFill>
        </w:rPr>
        <w:fldChar w:fldCharType="begin"/>
      </w:r>
      <w:r>
        <w:rPr>
          <w:rFonts w:hint="eastAsia" w:ascii="宋体" w:hAnsi="宋体" w:cs="宋体"/>
          <w:bCs/>
          <w:color w:val="000000" w:themeColor="text1"/>
          <w:kern w:val="2"/>
          <w:highlight w:val="none"/>
          <w:u w:val="none"/>
          <w14:textFill>
            <w14:solidFill>
              <w14:schemeClr w14:val="tx1"/>
            </w14:solidFill>
          </w14:textFill>
        </w:rPr>
        <w:instrText xml:space="preserve"> HYPERLINK "http://www.hzbank.com.cn" </w:instrText>
      </w:r>
      <w:r>
        <w:rPr>
          <w:rFonts w:hint="eastAsia" w:ascii="宋体" w:hAnsi="宋体" w:cs="宋体"/>
          <w:bCs/>
          <w:color w:val="000000" w:themeColor="text1"/>
          <w:kern w:val="2"/>
          <w:highlight w:val="none"/>
          <w:u w:val="none"/>
          <w14:textFill>
            <w14:solidFill>
              <w14:schemeClr w14:val="tx1"/>
            </w14:solidFill>
          </w14:textFill>
        </w:rPr>
        <w:fldChar w:fldCharType="separate"/>
      </w:r>
      <w:r>
        <w:rPr>
          <w:rFonts w:hint="eastAsia" w:ascii="宋体" w:hAnsi="宋体" w:cs="宋体"/>
          <w:bCs/>
          <w:color w:val="000000" w:themeColor="text1"/>
          <w:kern w:val="2"/>
          <w:highlight w:val="none"/>
          <w:u w:val="none"/>
          <w14:textFill>
            <w14:solidFill>
              <w14:schemeClr w14:val="tx1"/>
            </w14:solidFill>
          </w14:textFill>
        </w:rPr>
        <w:t>www.hzbank.com.cn</w:t>
      </w:r>
      <w:r>
        <w:rPr>
          <w:rFonts w:hint="eastAsia" w:ascii="宋体" w:hAnsi="宋体" w:cs="宋体"/>
          <w:bCs/>
          <w:color w:val="000000" w:themeColor="text1"/>
          <w:kern w:val="2"/>
          <w:highlight w:val="none"/>
          <w:u w:val="none"/>
          <w14:textFill>
            <w14:solidFill>
              <w14:schemeClr w14:val="tx1"/>
            </w14:solidFill>
          </w14:textFill>
        </w:rPr>
        <w:fldChar w:fldCharType="end"/>
      </w:r>
      <w:r>
        <w:rPr>
          <w:rFonts w:hint="eastAsia" w:ascii="宋体" w:hAnsi="宋体" w:cs="宋体"/>
          <w:bCs/>
          <w:color w:val="000000" w:themeColor="text1"/>
          <w:kern w:val="2"/>
          <w:highlight w:val="none"/>
          <w14:textFill>
            <w14:solidFill>
              <w14:schemeClr w14:val="tx1"/>
            </w14:solidFill>
          </w14:textFill>
        </w:rPr>
        <w:t>，客服热线为95398。</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理财计划托管人/产品托管人/托管人：</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杭州银行股份有限公司</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认购人：</w:t>
      </w:r>
      <w:r>
        <w:rPr>
          <w:rFonts w:hint="eastAsia" w:ascii="宋体" w:hAnsi="宋体" w:cs="宋体"/>
          <w:bCs/>
          <w:color w:val="000000" w:themeColor="text1"/>
          <w:kern w:val="2"/>
          <w:highlight w:val="none"/>
          <w14:textFill>
            <w14:solidFill>
              <w14:schemeClr w14:val="tx1"/>
            </w14:solidFill>
          </w14:textFill>
        </w:rPr>
        <w:t>指在理财计划认购期间签署理财计划合同并向理财计划管理人交付认购资金的个人、机构投资者。</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理财计划份额持有人/持有人：</w:t>
      </w:r>
      <w:r>
        <w:rPr>
          <w:rFonts w:hint="eastAsia" w:ascii="宋体" w:hAnsi="宋体" w:cs="宋体"/>
          <w:bCs/>
          <w:color w:val="000000" w:themeColor="text1"/>
          <w:kern w:val="2"/>
          <w:highlight w:val="none"/>
          <w14:textFill>
            <w14:solidFill>
              <w14:schemeClr w14:val="tx1"/>
            </w14:solidFill>
          </w14:textFill>
        </w:rPr>
        <w:t>指认购/申购申请后，经过管理人确认成功后，从而持有理财计划份额的投资者。</w:t>
      </w:r>
    </w:p>
    <w:p>
      <w:pPr>
        <w:pStyle w:val="17"/>
        <w:numPr>
          <w:ilvl w:val="0"/>
          <w:numId w:val="13"/>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监管机构：</w:t>
      </w:r>
      <w:r>
        <w:rPr>
          <w:rFonts w:hint="eastAsia" w:ascii="宋体" w:hAnsi="宋体" w:cs="宋体"/>
          <w:bCs/>
          <w:color w:val="000000" w:themeColor="text1"/>
          <w:kern w:val="2"/>
          <w:highlight w:val="none"/>
          <w14:textFill>
            <w14:solidFill>
              <w14:schemeClr w14:val="tx1"/>
            </w14:solidFill>
          </w14:textFill>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000000" w:themeColor="text1"/>
          <w:kern w:val="2"/>
          <w:highlight w:val="none"/>
          <w:lang w:eastAsia="zh-CN"/>
          <w14:textFill>
            <w14:solidFill>
              <w14:schemeClr w14:val="tx1"/>
            </w14:solidFill>
          </w14:textFill>
        </w:rPr>
        <w:t>国家金融监督管理总局</w:t>
      </w:r>
      <w:r>
        <w:rPr>
          <w:rFonts w:hint="eastAsia" w:ascii="宋体" w:hAnsi="宋体" w:cs="宋体"/>
          <w:bCs/>
          <w:color w:val="000000" w:themeColor="text1"/>
          <w:kern w:val="2"/>
          <w:highlight w:val="none"/>
          <w14:textFill>
            <w14:solidFill>
              <w14:schemeClr w14:val="tx1"/>
            </w14:solidFill>
          </w14:textFill>
        </w:rPr>
        <w:t>、中国证券监督管理委员会、外汇管理局、银行业理财登记托管中心等。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法律文件用语</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理财计划说明书/产品说明书：</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幸福99添益(安享优选)7天持有期7期理财</w:t>
      </w:r>
      <w:r>
        <w:rPr>
          <w:rFonts w:hint="eastAsia" w:ascii="宋体" w:hAnsi="宋体" w:cs="宋体"/>
          <w:bCs/>
          <w:color w:val="000000" w:themeColor="text1"/>
          <w:highlight w:val="none"/>
          <w14:textFill>
            <w14:solidFill>
              <w14:schemeClr w14:val="tx1"/>
            </w14:solidFill>
          </w14:textFill>
        </w:rPr>
        <w:t>产品说明书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风险揭示书：</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幸福99添益(安享优选)7天持有期7期理财</w:t>
      </w:r>
      <w:r>
        <w:rPr>
          <w:rFonts w:hint="eastAsia" w:ascii="宋体" w:hAnsi="宋体" w:cs="宋体"/>
          <w:bCs/>
          <w:color w:val="000000" w:themeColor="text1"/>
          <w:highlight w:val="none"/>
          <w14:textFill>
            <w14:solidFill>
              <w14:schemeClr w14:val="tx1"/>
            </w14:solidFill>
          </w14:textFill>
        </w:rPr>
        <w:t>合同不可分割组成部分的风险揭示书，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投资者权益须知：</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幸福99添益(安享优选)7天持有期7期理财</w:t>
      </w:r>
      <w:r>
        <w:rPr>
          <w:rFonts w:hint="eastAsia" w:ascii="宋体" w:hAnsi="宋体" w:cs="宋体"/>
          <w:bCs/>
          <w:color w:val="000000" w:themeColor="text1"/>
          <w:highlight w:val="none"/>
          <w14:textFill>
            <w14:solidFill>
              <w14:schemeClr w14:val="tx1"/>
            </w14:solidFill>
          </w14:textFill>
        </w:rPr>
        <w:t>合同不可分割组成部分的投资者权益须知，</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w:t>
      </w:r>
      <w:r>
        <w:rPr>
          <w:rFonts w:hint="eastAsia" w:ascii="宋体" w:hAnsi="宋体" w:cs="宋体"/>
          <w:b/>
          <w:color w:val="000000" w:themeColor="text1"/>
          <w:kern w:val="2"/>
          <w:highlight w:val="none"/>
          <w:lang w:val="en-US" w:eastAsia="zh-CN"/>
          <w14:textFill>
            <w14:solidFill>
              <w14:schemeClr w14:val="tx1"/>
            </w14:solidFill>
          </w14:textFill>
        </w:rPr>
        <w:t>计划</w:t>
      </w:r>
      <w:r>
        <w:rPr>
          <w:rFonts w:hint="eastAsia" w:ascii="宋体" w:hAnsi="宋体" w:cs="宋体"/>
          <w:b/>
          <w:color w:val="000000" w:themeColor="text1"/>
          <w:kern w:val="2"/>
          <w:highlight w:val="none"/>
          <w14:textFill>
            <w14:solidFill>
              <w14:schemeClr w14:val="tx1"/>
            </w14:solidFill>
          </w14:textFill>
        </w:rPr>
        <w:t>投资协议书：</w:t>
      </w:r>
      <w:r>
        <w:rPr>
          <w:rFonts w:hint="eastAsia" w:ascii="宋体" w:hAnsi="宋体" w:cs="宋体"/>
          <w:bCs/>
          <w:color w:val="000000" w:themeColor="text1"/>
          <w:kern w:val="2"/>
          <w:highlight w:val="none"/>
          <w14:textFill>
            <w14:solidFill>
              <w14:schemeClr w14:val="tx1"/>
            </w14:solidFill>
          </w14:textFill>
        </w:rPr>
        <w:t>指作为</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幸福99添益(安享优选)7天持有期7期理财</w:t>
      </w:r>
      <w:r>
        <w:rPr>
          <w:rFonts w:hint="eastAsia" w:ascii="宋体" w:hAnsi="宋体" w:cs="宋体"/>
          <w:bCs/>
          <w:color w:val="000000" w:themeColor="text1"/>
          <w:highlight w:val="none"/>
          <w14:textFill>
            <w14:solidFill>
              <w14:schemeClr w14:val="tx1"/>
            </w14:solidFill>
          </w14:textFill>
        </w:rPr>
        <w:t>合同不可分割组成部分的理财计划投资协议书，</w:t>
      </w:r>
      <w:r>
        <w:rPr>
          <w:rFonts w:hint="eastAsia" w:ascii="宋体" w:hAnsi="宋体" w:cs="宋体"/>
          <w:bCs/>
          <w:color w:val="000000" w:themeColor="text1"/>
          <w:kern w:val="2"/>
          <w:highlight w:val="none"/>
          <w14:textFill>
            <w14:solidFill>
              <w14:schemeClr w14:val="tx1"/>
            </w14:solidFill>
          </w14:textFill>
        </w:rPr>
        <w:t>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eastAsia="zh-CN"/>
          <w14:textFill>
            <w14:solidFill>
              <w14:schemeClr w14:val="tx1"/>
            </w14:solidFill>
          </w14:textFill>
        </w:rPr>
        <w:t>理财</w:t>
      </w:r>
      <w:r>
        <w:rPr>
          <w:rFonts w:hint="eastAsia" w:ascii="宋体" w:hAnsi="宋体" w:cs="宋体"/>
          <w:b/>
          <w:bCs w:val="0"/>
          <w:color w:val="000000" w:themeColor="text1"/>
          <w:kern w:val="2"/>
          <w:highlight w:val="none"/>
          <w:lang w:val="en-US" w:eastAsia="zh-CN"/>
          <w14:textFill>
            <w14:solidFill>
              <w14:schemeClr w14:val="tx1"/>
            </w14:solidFill>
          </w14:textFill>
        </w:rPr>
        <w:t>计划</w:t>
      </w:r>
      <w:r>
        <w:rPr>
          <w:rFonts w:hint="eastAsia" w:ascii="宋体" w:hAnsi="宋体" w:cs="宋体"/>
          <w:b/>
          <w:bCs w:val="0"/>
          <w:color w:val="000000" w:themeColor="text1"/>
          <w:kern w:val="2"/>
          <w:highlight w:val="none"/>
          <w:lang w:eastAsia="zh-CN"/>
          <w14:textFill>
            <w14:solidFill>
              <w14:schemeClr w14:val="tx1"/>
            </w14:solidFill>
          </w14:textFill>
        </w:rPr>
        <w:t>销售协议书：</w:t>
      </w:r>
      <w:r>
        <w:rPr>
          <w:rFonts w:hint="eastAsia" w:ascii="宋体" w:hAnsi="宋体" w:cs="宋体"/>
          <w:bCs/>
          <w:color w:val="000000" w:themeColor="text1"/>
          <w:kern w:val="2"/>
          <w:highlight w:val="none"/>
          <w:lang w:eastAsia="zh-CN"/>
          <w14:textFill>
            <w14:solidFill>
              <w14:schemeClr w14:val="tx1"/>
            </w14:solidFill>
          </w14:textFill>
        </w:rPr>
        <w:t>指作为幸福99添益(安享优选)7天持有期7期理财</w:t>
      </w:r>
      <w:r>
        <w:rPr>
          <w:rFonts w:hint="eastAsia" w:ascii="宋体" w:hAnsi="宋体" w:cs="宋体"/>
          <w:bCs/>
          <w:color w:val="000000" w:themeColor="text1"/>
          <w:kern w:val="2"/>
          <w:highlight w:val="none"/>
          <w:lang w:val="en-US" w:eastAsia="zh-CN"/>
          <w14:textFill>
            <w14:solidFill>
              <w14:schemeClr w14:val="tx1"/>
            </w14:solidFill>
          </w14:textFill>
        </w:rPr>
        <w:t>合同不可分割组成部分的理财计划销售协议书，以及对该文件的有效修改与补充。</w:t>
      </w:r>
    </w:p>
    <w:p>
      <w:pPr>
        <w:pStyle w:val="17"/>
        <w:numPr>
          <w:ilvl w:val="0"/>
          <w:numId w:val="14"/>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w:t>
      </w:r>
      <w:r>
        <w:rPr>
          <w:rFonts w:hint="eastAsia" w:ascii="宋体" w:hAnsi="宋体" w:cs="宋体"/>
          <w:b/>
          <w:color w:val="000000" w:themeColor="text1"/>
          <w:kern w:val="2"/>
          <w:highlight w:val="none"/>
          <w:lang w:val="en-US" w:eastAsia="zh-CN"/>
          <w14:textFill>
            <w14:solidFill>
              <w14:schemeClr w14:val="tx1"/>
            </w14:solidFill>
          </w14:textFill>
        </w:rPr>
        <w:t>计划</w:t>
      </w:r>
      <w:r>
        <w:rPr>
          <w:rFonts w:hint="eastAsia" w:ascii="宋体" w:hAnsi="宋体" w:cs="宋体"/>
          <w:b/>
          <w:color w:val="000000" w:themeColor="text1"/>
          <w:kern w:val="2"/>
          <w:highlight w:val="none"/>
          <w14:textFill>
            <w14:solidFill>
              <w14:schemeClr w14:val="tx1"/>
            </w14:solidFill>
          </w14:textFill>
        </w:rPr>
        <w:t>合同/销售文件：</w:t>
      </w:r>
      <w:r>
        <w:rPr>
          <w:rFonts w:hint="eastAsia" w:ascii="宋体" w:hAnsi="宋体" w:cs="宋体"/>
          <w:bCs/>
          <w:color w:val="000000" w:themeColor="text1"/>
          <w:kern w:val="2"/>
          <w:highlight w:val="none"/>
          <w14:textFill>
            <w14:solidFill>
              <w14:schemeClr w14:val="tx1"/>
            </w14:solidFill>
          </w14:textFill>
        </w:rPr>
        <w:t>指《理财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风险揭示书</w:t>
      </w:r>
      <w:r>
        <w:rPr>
          <w:rFonts w:hint="eastAsia" w:ascii="宋体" w:hAnsi="宋体" w:cs="宋体"/>
          <w:bCs/>
          <w:color w:val="000000" w:themeColor="text1"/>
          <w:kern w:val="2"/>
          <w:highlight w:val="none"/>
          <w14:textFill>
            <w14:solidFill>
              <w14:schemeClr w14:val="tx1"/>
            </w14:solidFill>
          </w14:textFill>
        </w:rPr>
        <w:t>》《</w:t>
      </w:r>
      <w:r>
        <w:rPr>
          <w:rFonts w:hint="eastAsia" w:ascii="宋体" w:hAnsi="宋体" w:cs="宋体"/>
          <w:bCs/>
          <w:color w:val="000000" w:themeColor="text1"/>
          <w:kern w:val="2"/>
          <w:highlight w:val="none"/>
          <w:lang w:eastAsia="zh-CN"/>
          <w14:textFill>
            <w14:solidFill>
              <w14:schemeClr w14:val="tx1"/>
            </w14:solidFill>
          </w14:textFill>
        </w:rPr>
        <w:t>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产品说明书</w:t>
      </w:r>
      <w:r>
        <w:rPr>
          <w:rFonts w:hint="eastAsia" w:ascii="宋体" w:hAnsi="宋体" w:cs="宋体"/>
          <w:bCs/>
          <w:color w:val="000000" w:themeColor="text1"/>
          <w:kern w:val="2"/>
          <w:highlight w:val="none"/>
          <w14:textFill>
            <w14:solidFill>
              <w14:schemeClr w14:val="tx1"/>
            </w14:solidFill>
          </w14:textFill>
        </w:rPr>
        <w:t>》《投资者权益须知》《理财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14:textFill>
            <w14:solidFill>
              <w14:schemeClr w14:val="tx1"/>
            </w14:solidFill>
          </w14:textFill>
        </w:rPr>
        <w:t>投资协议书》</w:t>
      </w:r>
      <w:r>
        <w:rPr>
          <w:rFonts w:hint="eastAsia" w:ascii="宋体" w:hAnsi="宋体" w:cs="宋体"/>
          <w:bCs/>
          <w:color w:val="000000" w:themeColor="text1"/>
          <w:kern w:val="2"/>
          <w:highlight w:val="none"/>
          <w:lang w:eastAsia="zh-CN"/>
          <w14:textFill>
            <w14:solidFill>
              <w14:schemeClr w14:val="tx1"/>
            </w14:solidFill>
          </w14:textFill>
        </w:rPr>
        <w:t>《理财</w:t>
      </w:r>
      <w:r>
        <w:rPr>
          <w:rFonts w:hint="eastAsia" w:ascii="宋体" w:hAnsi="宋体" w:cs="宋体"/>
          <w:bCs/>
          <w:color w:val="000000" w:themeColor="text1"/>
          <w:kern w:val="2"/>
          <w:highlight w:val="none"/>
          <w:lang w:val="en-US" w:eastAsia="zh-CN"/>
          <w14:textFill>
            <w14:solidFill>
              <w14:schemeClr w14:val="tx1"/>
            </w14:solidFill>
          </w14:textFill>
        </w:rPr>
        <w:t>计划</w:t>
      </w:r>
      <w:r>
        <w:rPr>
          <w:rFonts w:hint="eastAsia" w:ascii="宋体" w:hAnsi="宋体" w:cs="宋体"/>
          <w:bCs/>
          <w:color w:val="000000" w:themeColor="text1"/>
          <w:kern w:val="2"/>
          <w:highlight w:val="none"/>
          <w:lang w:eastAsia="zh-CN"/>
          <w14:textFill>
            <w14:solidFill>
              <w14:schemeClr w14:val="tx1"/>
            </w14:solidFill>
          </w14:textFill>
        </w:rPr>
        <w:t>销售协议书》五</w:t>
      </w:r>
      <w:r>
        <w:rPr>
          <w:rFonts w:hint="eastAsia" w:ascii="宋体" w:hAnsi="宋体" w:cs="宋体"/>
          <w:bCs/>
          <w:color w:val="000000" w:themeColor="text1"/>
          <w:kern w:val="2"/>
          <w:highlight w:val="none"/>
          <w14:textFill>
            <w14:solidFill>
              <w14:schemeClr w14:val="tx1"/>
            </w14:solidFill>
          </w14:textFill>
        </w:rPr>
        <w:t>个部分。</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理财产品用语</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理财计划/理财产品/产品：</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kern w:val="2"/>
          <w:highlight w:val="none"/>
          <w:lang w:eastAsia="zh-CN"/>
          <w14:textFill>
            <w14:solidFill>
              <w14:schemeClr w14:val="tx1"/>
            </w14:solidFill>
          </w14:textFill>
        </w:rPr>
        <w:t>幸福99添益(安享优选)7天持有期7期理财</w:t>
      </w:r>
      <w:r>
        <w:rPr>
          <w:rFonts w:hint="eastAsia" w:ascii="宋体" w:hAnsi="宋体" w:cs="宋体"/>
          <w:bCs/>
          <w:color w:val="000000" w:themeColor="text1"/>
          <w:highlight w:val="none"/>
          <w14:textFill>
            <w14:solidFill>
              <w14:schemeClr w14:val="tx1"/>
            </w14:solidFill>
          </w14:textFill>
        </w:rPr>
        <w:t>。</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理财计划份额/产品份额：</w:t>
      </w:r>
      <w:r>
        <w:rPr>
          <w:rFonts w:hint="eastAsia" w:ascii="宋体" w:hAnsi="宋体" w:cs="宋体"/>
          <w:bCs/>
          <w:color w:val="000000" w:themeColor="text1"/>
          <w:highlight w:val="none"/>
          <w14:textFill>
            <w14:solidFill>
              <w14:schemeClr w14:val="tx1"/>
            </w14:solidFill>
          </w14:textFill>
        </w:rPr>
        <w:t>指管理人根据理财计划合同向投资者发行的资产收益凭证。理财计划份额持有人基于其所持有的理财计划份额享有理财计划相关利益、承担理财计划相关风险。</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理财计划份额净值/产品份额净值：</w:t>
      </w:r>
      <w:r>
        <w:rPr>
          <w:rFonts w:hint="eastAsia" w:ascii="宋体" w:hAnsi="宋体" w:cs="宋体"/>
          <w:bCs/>
          <w:color w:val="000000" w:themeColor="text1"/>
          <w:highlight w:val="none"/>
          <w14:textFill>
            <w14:solidFill>
              <w14:schemeClr w14:val="tx1"/>
            </w14:solidFill>
          </w14:textFill>
        </w:rPr>
        <w:t>指理财计划份额的单位净值，即每1份理财计划份额以人民币或外币（以产品说明书交易币种为准）计价的价格。</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理财计划份额累计净值/产品份额累计净值：</w:t>
      </w:r>
      <w:r>
        <w:rPr>
          <w:rFonts w:hint="eastAsia" w:ascii="宋体" w:hAnsi="宋体" w:cs="宋体"/>
          <w:bCs/>
          <w:color w:val="000000" w:themeColor="text1"/>
          <w:highlight w:val="none"/>
          <w14:textFill>
            <w14:solidFill>
              <w14:schemeClr w14:val="tx1"/>
            </w14:solidFill>
          </w14:textFill>
        </w:rPr>
        <w:t>指理财计划份额的单位净值与理财计划成立后历次累计单位收益分配的总和。</w:t>
      </w:r>
    </w:p>
    <w:p>
      <w:pPr>
        <w:pStyle w:val="17"/>
        <w:numPr>
          <w:ilvl w:val="0"/>
          <w:numId w:val="15"/>
        </w:numPr>
        <w:adjustRightInd/>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工作日：</w:t>
      </w:r>
      <w:r>
        <w:rPr>
          <w:rFonts w:hint="eastAsia" w:ascii="宋体" w:hAnsi="宋体" w:cs="宋体"/>
          <w:bCs/>
          <w:color w:val="000000" w:themeColor="text1"/>
          <w:highlight w:val="none"/>
          <w14:textFill>
            <w14:solidFill>
              <w14:schemeClr w14:val="tx1"/>
            </w14:solidFill>
          </w14:textFill>
        </w:rPr>
        <w:t>指除国家法定节假日和休息日外的日期。</w:t>
      </w:r>
    </w:p>
    <w:p>
      <w:pPr>
        <w:pStyle w:val="17"/>
        <w:numPr>
          <w:ilvl w:val="0"/>
          <w:numId w:val="15"/>
        </w:numPr>
        <w:adjustRightInd/>
        <w:spacing w:line="360" w:lineRule="auto"/>
        <w:ind w:firstLine="482" w:firstLineChars="200"/>
        <w:rPr>
          <w:rFonts w:hint="eastAsia" w:ascii="宋体" w:hAnsi="宋体" w:cs="宋体"/>
          <w:b/>
          <w:color w:val="000000" w:themeColor="text1"/>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交易日：</w:t>
      </w:r>
      <w:r>
        <w:rPr>
          <w:rFonts w:hint="eastAsia" w:ascii="宋体" w:hAnsi="宋体" w:cs="宋体"/>
          <w:bCs/>
          <w:color w:val="000000" w:themeColor="text1"/>
          <w:highlight w:val="none"/>
          <w14:textFill>
            <w14:solidFill>
              <w14:schemeClr w14:val="tx1"/>
            </w14:solidFill>
          </w14:textFill>
        </w:rPr>
        <w:t>指上海证券交易所、深圳证券交易所的正常交易日</w:t>
      </w:r>
      <w:r>
        <w:rPr>
          <w:rFonts w:hint="eastAsia" w:ascii="宋体" w:hAnsi="宋体" w:cs="宋体"/>
          <w:bCs/>
          <w:color w:val="000000" w:themeColor="text1"/>
          <w:highlight w:val="none"/>
          <w:lang w:val="en-US" w:eastAsia="zh-CN"/>
          <w14:textFill>
            <w14:solidFill>
              <w14:schemeClr w14:val="tx1"/>
            </w14:solidFill>
          </w14:textFill>
        </w:rPr>
        <w:t>。如涉及到监管条例部分，统一以监管条例表述替代。</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成立日：</w:t>
      </w:r>
      <w:r>
        <w:rPr>
          <w:rFonts w:hint="eastAsia" w:ascii="宋体" w:hAnsi="宋体" w:cs="宋体"/>
          <w:bCs/>
          <w:color w:val="000000" w:themeColor="text1"/>
          <w:highlight w:val="none"/>
          <w14:textFill>
            <w14:solidFill>
              <w14:schemeClr w14:val="tx1"/>
            </w14:solidFill>
          </w14:textFill>
        </w:rPr>
        <w:t>指理财计划完成首次募集发行后正式成立运作日。</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认购期：</w:t>
      </w:r>
      <w:r>
        <w:rPr>
          <w:rFonts w:hint="eastAsia" w:ascii="宋体" w:hAnsi="宋体" w:cs="宋体"/>
          <w:bCs/>
          <w:color w:val="000000" w:themeColor="text1"/>
          <w:kern w:val="2"/>
          <w:highlight w:val="none"/>
          <w14:textFill>
            <w14:solidFill>
              <w14:schemeClr w14:val="tx1"/>
            </w14:solidFill>
          </w14:textFill>
        </w:rPr>
        <w:t>指理财计划成立前，理财计划管理人接受理财计划认购的时间。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封闭期：</w:t>
      </w:r>
      <w:r>
        <w:rPr>
          <w:rFonts w:hint="eastAsia" w:ascii="宋体" w:hAnsi="宋体" w:cs="宋体"/>
          <w:bCs/>
          <w:color w:val="000000" w:themeColor="text1"/>
          <w:kern w:val="2"/>
          <w:highlight w:val="none"/>
          <w14:textFill>
            <w14:solidFill>
              <w14:schemeClr w14:val="tx1"/>
            </w14:solidFill>
          </w14:textFill>
        </w:rPr>
        <w:t>指理财</w:t>
      </w:r>
      <w:r>
        <w:rPr>
          <w:rFonts w:hint="eastAsia" w:ascii="宋体" w:hAnsi="宋体" w:cs="宋体"/>
          <w:bCs/>
          <w:color w:val="000000" w:themeColor="text1"/>
          <w:kern w:val="2"/>
          <w:highlight w:val="none"/>
          <w:lang w:eastAsia="zh-CN"/>
          <w14:textFill>
            <w14:solidFill>
              <w14:schemeClr w14:val="tx1"/>
            </w14:solidFill>
          </w14:textFill>
        </w:rPr>
        <w:t>计划</w:t>
      </w:r>
      <w:r>
        <w:rPr>
          <w:rFonts w:hint="eastAsia" w:ascii="宋体" w:hAnsi="宋体" w:cs="宋体"/>
          <w:bCs/>
          <w:color w:val="000000" w:themeColor="text1"/>
          <w:kern w:val="2"/>
          <w:highlight w:val="none"/>
          <w14:textFill>
            <w14:solidFill>
              <w14:schemeClr w14:val="tx1"/>
            </w14:solidFill>
          </w14:textFill>
        </w:rPr>
        <w:t>成立后，理财计划不接受投资者申购赎回的时间。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建仓期：</w:t>
      </w:r>
      <w:r>
        <w:rPr>
          <w:rFonts w:hint="eastAsia" w:ascii="宋体" w:hAnsi="宋体" w:cs="宋体"/>
          <w:bCs/>
          <w:color w:val="000000" w:themeColor="text1"/>
          <w:kern w:val="2"/>
          <w:highlight w:val="none"/>
          <w14:textFill>
            <w14:solidFill>
              <w14:schemeClr w14:val="tx1"/>
            </w14:solidFill>
          </w14:textFill>
        </w:rPr>
        <w:t>指理财计划成立后，在一定期限内投资比例无法满足本理财计划约定的投资比例要求。</w:t>
      </w:r>
    </w:p>
    <w:p>
      <w:pPr>
        <w:pStyle w:val="17"/>
        <w:numPr>
          <w:ilvl w:val="0"/>
          <w:numId w:val="15"/>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持有期：</w:t>
      </w:r>
      <w:r>
        <w:rPr>
          <w:rFonts w:hint="eastAsia" w:ascii="宋体" w:hAnsi="宋体" w:cs="宋体"/>
          <w:b w:val="0"/>
          <w:bCs/>
          <w:color w:val="000000" w:themeColor="text1"/>
          <w:kern w:val="2"/>
          <w:highlight w:val="none"/>
          <w:lang w:eastAsia="zh-CN"/>
          <w14:textFill>
            <w14:solidFill>
              <w14:schemeClr w14:val="tx1"/>
            </w14:solidFill>
          </w14:textFill>
        </w:rPr>
        <w:t>指投资者认购或申购后，需</w:t>
      </w:r>
      <w:r>
        <w:rPr>
          <w:rFonts w:hint="eastAsia" w:ascii="宋体" w:hAnsi="宋体" w:cs="宋体"/>
          <w:bCs/>
          <w:color w:val="000000" w:themeColor="text1"/>
          <w:kern w:val="2"/>
          <w:highlight w:val="none"/>
          <w14:textFill>
            <w14:solidFill>
              <w14:schemeClr w14:val="tx1"/>
            </w14:solidFill>
          </w14:textFill>
        </w:rPr>
        <w:t>持有固定期限后才可进行赎回。</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到期日：</w:t>
      </w:r>
      <w:r>
        <w:rPr>
          <w:rFonts w:hint="eastAsia" w:ascii="宋体" w:hAnsi="宋体" w:cs="宋体"/>
          <w:bCs/>
          <w:color w:val="000000" w:themeColor="text1"/>
          <w:kern w:val="2"/>
          <w:highlight w:val="none"/>
          <w14:textFill>
            <w14:solidFill>
              <w14:schemeClr w14:val="tx1"/>
            </w14:solidFill>
          </w14:textFill>
        </w:rPr>
        <w:t>指理财计划终止运作的日期。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收益分配基准日：</w:t>
      </w:r>
      <w:r>
        <w:rPr>
          <w:rFonts w:hint="eastAsia" w:ascii="宋体" w:hAnsi="宋体" w:cs="宋体"/>
          <w:bCs/>
          <w:color w:val="000000" w:themeColor="text1"/>
          <w:kern w:val="2"/>
          <w:highlight w:val="none"/>
          <w14:textFill>
            <w14:solidFill>
              <w14:schemeClr w14:val="tx1"/>
            </w14:solidFill>
          </w14:textFill>
        </w:rPr>
        <w:t>指理财计划进行收益分配时用以确认分配收益金额的最终确认日期。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节假日临时调整：</w:t>
      </w:r>
      <w:r>
        <w:rPr>
          <w:rFonts w:hint="eastAsia" w:ascii="宋体" w:hAnsi="宋体" w:cs="宋体"/>
          <w:bCs/>
          <w:color w:val="000000" w:themeColor="text1"/>
          <w:kern w:val="2"/>
          <w:highlight w:val="none"/>
          <w14:textFill>
            <w14:solidFill>
              <w14:schemeClr w14:val="tx1"/>
            </w14:solidFill>
          </w14:textFill>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提前终止权：</w:t>
      </w:r>
      <w:r>
        <w:rPr>
          <w:rFonts w:hint="eastAsia" w:ascii="宋体" w:hAnsi="宋体" w:cs="宋体"/>
          <w:bCs/>
          <w:color w:val="000000" w:themeColor="text1"/>
          <w:highlight w:val="none"/>
          <w14:textFill>
            <w14:solidFill>
              <w14:schemeClr w14:val="tx1"/>
            </w14:solidFill>
          </w14:textFill>
        </w:rPr>
        <w:t>指在本理财计划存续期内，管理人单方面决定全部提前终止本理财计划的权利。</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提前终止日：</w:t>
      </w:r>
      <w:r>
        <w:rPr>
          <w:rFonts w:hint="eastAsia" w:ascii="宋体" w:hAnsi="宋体" w:cs="宋体"/>
          <w:bCs/>
          <w:color w:val="000000" w:themeColor="text1"/>
          <w:kern w:val="2"/>
          <w:highlight w:val="none"/>
          <w14:textFill>
            <w14:solidFill>
              <w14:schemeClr w14:val="tx1"/>
            </w14:solidFill>
          </w14:textFill>
        </w:rPr>
        <w:t>指</w:t>
      </w:r>
      <w:r>
        <w:rPr>
          <w:rFonts w:hint="eastAsia" w:ascii="宋体" w:hAnsi="宋体" w:cs="宋体"/>
          <w:bCs/>
          <w:color w:val="000000" w:themeColor="text1"/>
          <w:highlight w:val="none"/>
          <w14:textFill>
            <w14:solidFill>
              <w14:schemeClr w14:val="tx1"/>
            </w14:solidFill>
          </w14:textFill>
        </w:rPr>
        <w:t>管理人行使提前终止权的日期，即本理财计划被提前终止、开始停止计算收益的日期。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资金到账日：</w:t>
      </w:r>
      <w:r>
        <w:rPr>
          <w:rFonts w:hint="eastAsia" w:ascii="宋体" w:hAnsi="宋体" w:cs="宋体"/>
          <w:bCs/>
          <w:color w:val="000000" w:themeColor="text1"/>
          <w:highlight w:val="none"/>
          <w14:textFill>
            <w14:solidFill>
              <w14:schemeClr w14:val="tx1"/>
            </w14:solidFill>
          </w14:textFill>
        </w:rPr>
        <w:t>指理财计划终止运作后，资金返还至投资者账户的日期。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开放日：</w:t>
      </w:r>
      <w:r>
        <w:rPr>
          <w:rFonts w:hint="eastAsia" w:ascii="宋体" w:hAnsi="宋体" w:cs="宋体"/>
          <w:bCs/>
          <w:color w:val="000000" w:themeColor="text1"/>
          <w:kern w:val="2"/>
          <w:highlight w:val="none"/>
          <w14:textFill>
            <w14:solidFill>
              <w14:schemeClr w14:val="tx1"/>
            </w14:solidFill>
          </w14:textFill>
        </w:rPr>
        <w:t>指为投资者办理申购、赎回交易的日期。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开放期：</w:t>
      </w:r>
      <w:r>
        <w:rPr>
          <w:rFonts w:hint="eastAsia" w:ascii="宋体" w:hAnsi="宋体" w:cs="宋体"/>
          <w:bCs/>
          <w:color w:val="000000" w:themeColor="text1"/>
          <w:highlight w:val="none"/>
          <w14:textFill>
            <w14:solidFill>
              <w14:schemeClr w14:val="tx1"/>
            </w14:solidFill>
          </w14:textFill>
        </w:rPr>
        <w:t>指管理人向投资者提供申购</w:t>
      </w:r>
      <w:r>
        <w:rPr>
          <w:rFonts w:hint="eastAsia" w:ascii="宋体" w:hAnsi="宋体" w:cs="宋体"/>
          <w:bCs/>
          <w:color w:val="000000" w:themeColor="text1"/>
          <w:highlight w:val="none"/>
          <w:lang w:eastAsia="zh-CN"/>
          <w14:textFill>
            <w14:solidFill>
              <w14:schemeClr w14:val="tx1"/>
            </w14:solidFill>
          </w14:textFill>
        </w:rPr>
        <w:t>、</w:t>
      </w:r>
      <w:r>
        <w:rPr>
          <w:rFonts w:hint="eastAsia" w:ascii="宋体" w:hAnsi="宋体" w:cs="宋体"/>
          <w:bCs/>
          <w:color w:val="000000" w:themeColor="text1"/>
          <w:highlight w:val="none"/>
          <w:lang w:val="en-US" w:eastAsia="zh-CN"/>
          <w14:textFill>
            <w14:solidFill>
              <w14:schemeClr w14:val="tx1"/>
            </w14:solidFill>
          </w14:textFill>
        </w:rPr>
        <w:t>赎回</w:t>
      </w:r>
      <w:r>
        <w:rPr>
          <w:rFonts w:hint="eastAsia" w:ascii="宋体" w:hAnsi="宋体" w:cs="宋体"/>
          <w:bCs/>
          <w:color w:val="000000" w:themeColor="text1"/>
          <w:highlight w:val="none"/>
          <w14:textFill>
            <w14:solidFill>
              <w14:schemeClr w14:val="tx1"/>
            </w14:solidFill>
          </w14:textFill>
        </w:rPr>
        <w:t>交易的时间。</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确认日：</w:t>
      </w:r>
      <w:r>
        <w:rPr>
          <w:rFonts w:hint="eastAsia" w:ascii="宋体" w:hAnsi="宋体" w:cs="宋体"/>
          <w:bCs/>
          <w:color w:val="000000" w:themeColor="text1"/>
          <w:kern w:val="2"/>
          <w:highlight w:val="none"/>
          <w14:textFill>
            <w14:solidFill>
              <w14:schemeClr w14:val="tx1"/>
            </w14:solidFill>
          </w14:textFill>
        </w:rPr>
        <w:t>指管理人确认投资者申购</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lang w:val="en-US" w:eastAsia="zh-CN"/>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交易是否有效的日期。</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认购：</w:t>
      </w:r>
      <w:r>
        <w:rPr>
          <w:rFonts w:hint="eastAsia" w:ascii="宋体" w:hAnsi="宋体" w:cs="宋体"/>
          <w:bCs/>
          <w:color w:val="000000" w:themeColor="text1"/>
          <w:kern w:val="2"/>
          <w:highlight w:val="none"/>
          <w14:textFill>
            <w14:solidFill>
              <w14:schemeClr w14:val="tx1"/>
            </w14:solidFill>
          </w14:textFill>
        </w:rPr>
        <w:t>指投资者根据理财计划约定申请购买本理财计划份额的行为。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申购：</w:t>
      </w:r>
      <w:r>
        <w:rPr>
          <w:rFonts w:hint="eastAsia" w:ascii="宋体" w:hAnsi="宋体" w:cs="宋体"/>
          <w:bCs/>
          <w:color w:val="000000" w:themeColor="text1"/>
          <w:kern w:val="2"/>
          <w:highlight w:val="none"/>
          <w14:textFill>
            <w14:solidFill>
              <w14:schemeClr w14:val="tx1"/>
            </w14:solidFill>
          </w14:textFill>
        </w:rPr>
        <w:t>指理财计划申购开放期内，投资者向管理人进行理财计划份额购买的行为。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指理财计划</w:t>
      </w:r>
      <w:r>
        <w:rPr>
          <w:rFonts w:hint="eastAsia" w:ascii="宋体" w:hAnsi="宋体" w:cs="宋体"/>
          <w:bCs/>
          <w:color w:val="000000" w:themeColor="text1"/>
          <w:kern w:val="2"/>
          <w:highlight w:val="none"/>
          <w:lang w:eastAsia="zh-CN"/>
          <w14:textFill>
            <w14:solidFill>
              <w14:schemeClr w14:val="tx1"/>
            </w14:solidFill>
          </w14:textFill>
        </w:rPr>
        <w:t>赎回</w:t>
      </w:r>
      <w:r>
        <w:rPr>
          <w:rFonts w:hint="eastAsia" w:ascii="宋体" w:hAnsi="宋体" w:cs="宋体"/>
          <w:bCs/>
          <w:color w:val="000000" w:themeColor="text1"/>
          <w:kern w:val="2"/>
          <w:highlight w:val="none"/>
          <w14:textFill>
            <w14:solidFill>
              <w14:schemeClr w14:val="tx1"/>
            </w14:solidFill>
          </w14:textFill>
        </w:rPr>
        <w:t>开放期内，投资者向管理人进行理财计划份额卖出的行为。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收益分配：</w:t>
      </w:r>
      <w:r>
        <w:rPr>
          <w:rFonts w:hint="eastAsia" w:ascii="宋体" w:hAnsi="宋体" w:cs="宋体"/>
          <w:bCs/>
          <w:color w:val="000000" w:themeColor="text1"/>
          <w:kern w:val="2"/>
          <w:highlight w:val="none"/>
          <w14:textFill>
            <w14:solidFill>
              <w14:schemeClr w14:val="tx1"/>
            </w14:solidFill>
          </w14:textFill>
        </w:rPr>
        <w:t>指管理人在满足收益分配基准日理财计划份额净值大于1元的情况下，定期或不定期将大于1元部分的收益进行全部或部分分配的行为。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理财计划费用/产品费用：</w:t>
      </w:r>
      <w:r>
        <w:rPr>
          <w:rFonts w:hint="eastAsia" w:ascii="宋体" w:hAnsi="宋体" w:cs="宋体"/>
          <w:bCs/>
          <w:color w:val="000000" w:themeColor="text1"/>
          <w:highlight w:val="none"/>
          <w14:textFill>
            <w14:solidFill>
              <w14:schemeClr w14:val="tx1"/>
            </w14:solidFill>
          </w14:textFill>
        </w:rPr>
        <w:t>指管理人为成立理财计划及处理理财计划事务而支出的所有费用，包括但不限于管理人收取的固定管理费、浮动管理费、</w:t>
      </w:r>
      <w:r>
        <w:rPr>
          <w:rFonts w:hint="eastAsia" w:ascii="宋体" w:hAnsi="宋体" w:cs="宋体"/>
          <w:bCs/>
          <w:color w:val="000000" w:themeColor="text1"/>
          <w:highlight w:val="none"/>
          <w:lang w:eastAsia="zh-CN"/>
          <w14:textFill>
            <w14:solidFill>
              <w14:schemeClr w14:val="tx1"/>
            </w14:solidFill>
          </w14:textFill>
        </w:rPr>
        <w:t>销售服务费</w:t>
      </w:r>
      <w:r>
        <w:rPr>
          <w:rFonts w:hint="eastAsia" w:ascii="宋体" w:hAnsi="宋体" w:cs="宋体"/>
          <w:bCs/>
          <w:color w:val="000000" w:themeColor="text1"/>
          <w:highlight w:val="none"/>
          <w14:textFill>
            <w14:solidFill>
              <w14:schemeClr w14:val="tx1"/>
            </w14:solidFill>
          </w14:textFill>
        </w:rPr>
        <w:t>、托管人收取的托管费、交易费用、执行费用等相关费用，具体以</w:t>
      </w:r>
      <w:r>
        <w:rPr>
          <w:rFonts w:hint="eastAsia" w:ascii="宋体" w:hAnsi="宋体" w:cs="宋体"/>
          <w:bCs/>
          <w:color w:val="000000" w:themeColor="text1"/>
          <w:highlight w:val="none"/>
          <w:lang w:eastAsia="zh-CN"/>
          <w14:textFill>
            <w14:solidFill>
              <w14:schemeClr w14:val="tx1"/>
            </w14:solidFill>
          </w14:textFill>
        </w:rPr>
        <w:t>实际发生</w:t>
      </w:r>
      <w:r>
        <w:rPr>
          <w:rFonts w:hint="eastAsia" w:ascii="宋体" w:hAnsi="宋体" w:cs="宋体"/>
          <w:bCs/>
          <w:color w:val="000000" w:themeColor="text1"/>
          <w:highlight w:val="none"/>
          <w14:textFill>
            <w14:solidFill>
              <w14:schemeClr w14:val="tx1"/>
            </w14:solidFill>
          </w14:textFill>
        </w:rPr>
        <w:t>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highlight w:val="none"/>
          <w:lang w:eastAsia="zh-CN"/>
          <w14:textFill>
            <w14:solidFill>
              <w14:schemeClr w14:val="tx1"/>
            </w14:solidFill>
          </w14:textFill>
        </w:rPr>
        <w:t>其他费用：</w:t>
      </w:r>
      <w:r>
        <w:rPr>
          <w:rFonts w:hint="eastAsia" w:ascii="宋体" w:hAnsi="宋体" w:cs="宋体"/>
          <w:b w:val="0"/>
          <w:bCs/>
          <w:color w:val="000000" w:themeColor="text1"/>
          <w:highlight w:val="none"/>
          <w:lang w:eastAsia="zh-CN"/>
          <w14:textFill>
            <w14:solidFill>
              <w14:schemeClr w14:val="tx1"/>
            </w14:solidFill>
          </w14:textFill>
        </w:rPr>
        <w:t>指除理财计划费用以外，理财计划涉及的其他相关费用，包括但不限于认购费、申购费、赎回费、投顾费等，具体以</w:t>
      </w:r>
      <w:r>
        <w:rPr>
          <w:rFonts w:hint="eastAsia" w:ascii="宋体" w:hAnsi="宋体" w:cs="宋体"/>
          <w:bCs/>
          <w:color w:val="000000" w:themeColor="text1"/>
          <w:highlight w:val="none"/>
          <w14:textFill>
            <w14:solidFill>
              <w14:schemeClr w14:val="tx1"/>
            </w14:solidFill>
          </w14:textFill>
        </w:rPr>
        <w:t>本说明书第八条约定</w:t>
      </w:r>
      <w:r>
        <w:rPr>
          <w:rFonts w:hint="eastAsia" w:ascii="宋体" w:hAnsi="宋体" w:cs="宋体"/>
          <w:b w:val="0"/>
          <w:bCs/>
          <w:color w:val="000000" w:themeColor="text1"/>
          <w:highlight w:val="none"/>
          <w:lang w:eastAsia="zh-CN"/>
          <w14:textFill>
            <w14:solidFill>
              <w14:schemeClr w14:val="tx1"/>
            </w14:solidFill>
          </w14:textFill>
        </w:rPr>
        <w:t>为准。</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理财计划估值：</w:t>
      </w:r>
      <w:r>
        <w:rPr>
          <w:rFonts w:hint="eastAsia" w:ascii="宋体" w:hAnsi="宋体" w:cs="宋体"/>
          <w:bCs/>
          <w:color w:val="000000" w:themeColor="text1"/>
          <w:highlight w:val="none"/>
          <w14:textFill>
            <w14:solidFill>
              <w14:schemeClr w14:val="tx1"/>
            </w14:solidFill>
          </w14:textFill>
        </w:rPr>
        <w:t>指计算评估理财计划资产以确定理财计划份额净值的过程。</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理财业绩比较基准：</w:t>
      </w:r>
      <w:r>
        <w:rPr>
          <w:rFonts w:hint="eastAsia" w:ascii="宋体" w:hAnsi="宋体" w:cs="宋体"/>
          <w:bCs/>
          <w:color w:val="000000" w:themeColor="text1"/>
          <w:kern w:val="2"/>
          <w:highlight w:val="none"/>
          <w14:textFill>
            <w14:solidFill>
              <w14:schemeClr w14:val="tx1"/>
            </w14:solidFill>
          </w14:textFill>
        </w:rPr>
        <w:t>指管理人基于过往投资经验及对市场波动的判断与预测而对本理财计划设定的投资目标，不代表本理财计划的未来表现和实际收益，或管理人对本理财计划的收益承诺。</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指定账户：</w:t>
      </w:r>
      <w:r>
        <w:rPr>
          <w:rFonts w:hint="eastAsia" w:ascii="宋体" w:hAnsi="宋体" w:cs="宋体"/>
          <w:bCs/>
          <w:color w:val="000000" w:themeColor="text1"/>
          <w:kern w:val="2"/>
          <w:highlight w:val="none"/>
          <w14:textFill>
            <w14:solidFill>
              <w14:schemeClr w14:val="tx1"/>
            </w14:solidFill>
          </w14:textFill>
        </w:rPr>
        <w:t>指投资者开立的，在理财计划认/申购时指定扣划本金、返还本金或收益的银行账户。</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eastAsia="zh-CN"/>
          <w14:textFill>
            <w14:solidFill>
              <w14:schemeClr w14:val="tx1"/>
            </w14:solidFill>
          </w14:textFill>
        </w:rPr>
        <w:t>流</w:t>
      </w:r>
      <w:r>
        <w:rPr>
          <w:rFonts w:hint="eastAsia"/>
          <w:b/>
          <w:bCs w:val="0"/>
          <w:color w:val="000000" w:themeColor="text1"/>
          <w:highlight w:val="none"/>
          <w:lang w:val="en-US" w:eastAsia="zh-CN"/>
          <w14:textFill>
            <w14:solidFill>
              <w14:schemeClr w14:val="tx1"/>
            </w14:solidFill>
          </w14:textFill>
        </w:rPr>
        <w:t>动性受限资产：</w:t>
      </w:r>
      <w:r>
        <w:rPr>
          <w:rFonts w:hint="eastAsia"/>
          <w:color w:val="000000" w:themeColor="text1"/>
          <w:highlight w:val="none"/>
          <w:lang w:val="en-US" w:eastAsia="zh-CN"/>
          <w14:textFill>
            <w14:solidFill>
              <w14:schemeClr w14:val="tx1"/>
            </w14:solidFill>
          </w14:textFill>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7"/>
        <w:numPr>
          <w:ilvl w:val="0"/>
          <w:numId w:val="15"/>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b/>
          <w:bCs/>
          <w:color w:val="000000" w:themeColor="text1"/>
          <w:highlight w:val="none"/>
          <w:lang w:val="en-US" w:eastAsia="zh-CN"/>
          <w14:textFill>
            <w14:solidFill>
              <w14:schemeClr w14:val="tx1"/>
            </w14:solidFill>
          </w14:textFill>
        </w:rPr>
        <w:t>7个工作日可变现资产：</w:t>
      </w:r>
      <w:r>
        <w:rPr>
          <w:rFonts w:hint="eastAsia"/>
          <w:color w:val="000000" w:themeColor="text1"/>
          <w:highlight w:val="none"/>
          <w:lang w:val="en-US" w:eastAsia="zh-CN"/>
          <w14:textFill>
            <w14:solidFill>
              <w14:schemeClr w14:val="tx1"/>
            </w14:solidFill>
          </w14:textFill>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7"/>
        <w:numPr>
          <w:ilvl w:val="0"/>
          <w:numId w:val="12"/>
        </w:numPr>
        <w:adjustRightInd/>
        <w:spacing w:line="360" w:lineRule="auto"/>
        <w:ind w:firstLine="482" w:firstLineChars="200"/>
        <w:outlineLvl w:val="2"/>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相关事件用语</w:t>
      </w:r>
    </w:p>
    <w:p>
      <w:pPr>
        <w:pStyle w:val="17"/>
        <w:numPr>
          <w:ilvl w:val="0"/>
          <w:numId w:val="16"/>
        </w:numPr>
        <w:adjustRightInd/>
        <w:spacing w:line="360" w:lineRule="auto"/>
        <w:ind w:firstLine="482"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不可抗力：</w:t>
      </w:r>
      <w:r>
        <w:rPr>
          <w:rFonts w:hint="eastAsia" w:ascii="宋体" w:hAnsi="宋体" w:cs="宋体"/>
          <w:bCs/>
          <w:color w:val="000000" w:themeColor="text1"/>
          <w:kern w:val="2"/>
          <w:highlight w:val="none"/>
          <w14:textFill>
            <w14:solidFill>
              <w14:schemeClr w14:val="tx1"/>
            </w14:solidFill>
          </w14:textFill>
        </w:rPr>
        <w:t>指理财计划各方不能预见、不能避免且不能克服的客观情况，该事件妨碍、影响或延误任何一方依据相关理财计划文件履行其全面或部分义务。该事件包括但不限于:</w:t>
      </w:r>
    </w:p>
    <w:p>
      <w:pPr>
        <w:pStyle w:val="17"/>
        <w:adjustRightInd/>
        <w:spacing w:line="360" w:lineRule="auto"/>
        <w:ind w:firstLine="480" w:firstLineChars="200"/>
        <w:rPr>
          <w:bCs/>
          <w:color w:val="000000" w:themeColor="text1"/>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（1）地震、台风、海啸、洪水、火灾、停电、瘟疫、突发公共卫生事件；</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（2）战争、政变、恐怖主义行动、骚乱、罢工；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（3）新的适用法律或国家政策的颁布或实施、对原适用法律或国家政策的修改；</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（4）金融管理部门强制要求终止理财计划（该等强制要求不可归咎于任何一方）；</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（5）因理财计划各方和/或其关联方运营网络系统遭受黑客攻击、电信部门技术调整或故障等原因而造成的理财计划各方和/或其关联方之服务、营业的中断或者延迟。</w:t>
      </w:r>
    </w:p>
    <w:p>
      <w:pPr>
        <w:pStyle w:val="17"/>
        <w:numPr>
          <w:ilvl w:val="0"/>
          <w:numId w:val="17"/>
        </w:numPr>
        <w:adjustRightInd/>
        <w:spacing w:line="360" w:lineRule="auto"/>
        <w:ind w:firstLine="482" w:firstLineChars="200"/>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巨额赎回：</w:t>
      </w:r>
      <w:r>
        <w:rPr>
          <w:rFonts w:hint="eastAsia" w:ascii="宋体" w:hAnsi="宋体" w:cs="宋体"/>
          <w:bCs/>
          <w:color w:val="000000" w:themeColor="text1"/>
          <w:kern w:val="2"/>
          <w:highlight w:val="none"/>
          <w14:textFill>
            <w14:solidFill>
              <w14:schemeClr w14:val="tx1"/>
            </w14:solidFill>
          </w14:textFill>
        </w:rPr>
        <w:t>指理财计划的申购和赎回开放期内，理财计划任一开放日净赎回申请份额超过上一工作日日终理财计划总份额的10%，即为发生巨额赎回行为。</w:t>
      </w:r>
    </w:p>
    <w:p>
      <w:pPr>
        <w:pStyle w:val="17"/>
        <w:numPr>
          <w:ilvl w:val="0"/>
          <w:numId w:val="17"/>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摆动定价机制：</w:t>
      </w:r>
      <w:r>
        <w:rPr>
          <w:rFonts w:hint="eastAsia" w:ascii="宋体" w:hAnsi="宋体" w:cs="宋体"/>
          <w:b w:val="0"/>
          <w:bCs/>
          <w:color w:val="000000" w:themeColor="text1"/>
          <w:kern w:val="2"/>
          <w:highlight w:val="none"/>
          <w:lang w:val="en-US" w:eastAsia="zh-CN"/>
          <w14:textFill>
            <w14:solidFill>
              <w14:schemeClr w14:val="tx1"/>
            </w14:solidFill>
          </w14:textFill>
        </w:rPr>
        <w:t>指当开放式公募理财计划遭遇大额申购或赎回时，通过调整理财计划份额净值的方式，将理财计划调整投资组合的市场冲击成本分配给实际认购、赎回的投资者，从而减少对存量理财计划份额持有人利益的不利影响。</w:t>
      </w:r>
    </w:p>
    <w:p>
      <w:pPr>
        <w:pStyle w:val="17"/>
        <w:numPr>
          <w:ilvl w:val="0"/>
          <w:numId w:val="17"/>
        </w:numPr>
        <w:adjustRightInd/>
        <w:spacing w:line="360" w:lineRule="auto"/>
        <w:ind w:firstLine="482" w:firstLineChars="200"/>
        <w:rPr>
          <w:rFonts w:hint="eastAsia"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lang w:val="en-US" w:eastAsia="zh-CN"/>
          <w14:textFill>
            <w14:solidFill>
              <w14:schemeClr w14:val="tx1"/>
            </w14:solidFill>
          </w14:textFill>
        </w:rPr>
        <w:t>短期赎回费机制：</w:t>
      </w:r>
      <w:r>
        <w:rPr>
          <w:rFonts w:hint="eastAsia" w:ascii="宋体" w:hAnsi="宋体" w:cs="宋体"/>
          <w:b w:val="0"/>
          <w:bCs/>
          <w:color w:val="000000" w:themeColor="text1"/>
          <w:kern w:val="2"/>
          <w:highlight w:val="none"/>
          <w:lang w:val="en-US" w:eastAsia="zh-CN"/>
          <w14:textFill>
            <w14:solidFill>
              <w14:schemeClr w14:val="tx1"/>
            </w14:solidFill>
          </w14:textFill>
        </w:rPr>
        <w:t>指当理财计划发生巨额赎回或管理人认为可能导致理财计划流动性风险的其他情形下，理财计划管理人可临时性收取短期赎回费以应对流动性风险事件，并将上述产生费用全额计入理财计划财产。</w:t>
      </w:r>
    </w:p>
    <w:p>
      <w:pPr>
        <w:pStyle w:val="17"/>
        <w:numPr>
          <w:ilvl w:val="0"/>
          <w:numId w:val="0"/>
        </w:numPr>
        <w:adjustRightInd/>
        <w:spacing w:line="360" w:lineRule="auto"/>
        <w:rPr>
          <w:rFonts w:hint="eastAsia" w:ascii="宋体" w:hAnsi="宋体" w:cs="宋体"/>
          <w:b/>
          <w:color w:val="000000" w:themeColor="text1"/>
          <w:kern w:val="2"/>
          <w:highlight w:val="none"/>
          <w14:textFill>
            <w14:solidFill>
              <w14:schemeClr w14:val="tx1"/>
            </w14:solidFill>
          </w14:textFill>
        </w:rPr>
      </w:pPr>
    </w:p>
    <w:p>
      <w:pPr>
        <w:pStyle w:val="17"/>
        <w:numPr>
          <w:ilvl w:val="0"/>
          <w:numId w:val="18"/>
        </w:numPr>
        <w:adjustRightInd/>
        <w:spacing w:line="360" w:lineRule="auto"/>
        <w:ind w:firstLine="482" w:firstLineChars="200"/>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风险评级</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产品风险评级由管理人根据产品投资组合、投资运作情况、同类产品过往业绩和风险水平等因素合理确定。根据管理人内部风险评级标准，</w:t>
      </w:r>
      <w:r>
        <w:rPr>
          <w:rFonts w:hint="eastAsia" w:ascii="宋体" w:hAnsi="宋体" w:cs="宋体"/>
          <w:b/>
          <w:color w:val="000000" w:themeColor="text1"/>
          <w:kern w:val="2"/>
          <w:highlight w:val="none"/>
          <w14:textFill>
            <w14:solidFill>
              <w14:schemeClr w14:val="tx1"/>
            </w14:solidFill>
          </w14:textFill>
        </w:rPr>
        <w:t>本理财计划的风险等级为〖R</w:t>
      </w:r>
      <w:r>
        <w:rPr>
          <w:rFonts w:hint="eastAsia" w:ascii="宋体" w:hAnsi="宋体" w:cs="宋体"/>
          <w:b/>
          <w:color w:val="000000" w:themeColor="text1"/>
          <w:kern w:val="2"/>
          <w:highlight w:val="none"/>
          <w:lang w:val="en-US" w:eastAsia="zh-CN"/>
          <w14:textFill>
            <w14:solidFill>
              <w14:schemeClr w14:val="tx1"/>
            </w14:solidFill>
          </w14:textFill>
        </w:rPr>
        <w:t>2</w:t>
      </w:r>
      <w:r>
        <w:rPr>
          <w:rFonts w:hint="eastAsia" w:ascii="宋体" w:hAnsi="宋体" w:cs="宋体"/>
          <w:b/>
          <w:color w:val="000000" w:themeColor="text1"/>
          <w:kern w:val="2"/>
          <w:highlight w:val="none"/>
          <w14:textFill>
            <w14:solidFill>
              <w14:schemeClr w14:val="tx1"/>
            </w14:solidFill>
          </w14:textFill>
        </w:rPr>
        <w:t>〗，〖</w:t>
      </w:r>
      <w:r>
        <w:rPr>
          <w:rFonts w:hint="eastAsia" w:ascii="宋体" w:hAnsi="宋体" w:cs="宋体"/>
          <w:b/>
          <w:color w:val="000000" w:themeColor="text1"/>
          <w:kern w:val="2"/>
          <w:highlight w:val="none"/>
          <w:lang w:val="en-US" w:eastAsia="zh-CN"/>
          <w14:textFill>
            <w14:solidFill>
              <w14:schemeClr w14:val="tx1"/>
            </w14:solidFill>
          </w14:textFill>
        </w:rPr>
        <w:t>中低</w:t>
      </w:r>
      <w:r>
        <w:rPr>
          <w:rFonts w:hint="eastAsia" w:ascii="宋体" w:hAnsi="宋体" w:cs="宋体"/>
          <w:b/>
          <w:color w:val="000000" w:themeColor="text1"/>
          <w:kern w:val="2"/>
          <w:highlight w:val="none"/>
          <w14:textFill>
            <w14:solidFill>
              <w14:schemeClr w14:val="tx1"/>
            </w14:solidFill>
          </w14:textFill>
        </w:rPr>
        <w:t>〗风险。</w:t>
      </w:r>
      <w:r>
        <w:rPr>
          <w:rFonts w:hint="eastAsia" w:ascii="宋体" w:hAnsi="宋体" w:cs="宋体"/>
          <w:bCs/>
          <w:color w:val="000000" w:themeColor="text1"/>
          <w:kern w:val="2"/>
          <w:highlight w:val="none"/>
          <w14:textFill>
            <w14:solidFill>
              <w14:schemeClr w14:val="tx1"/>
            </w14:solidFill>
          </w14:textFill>
        </w:rPr>
        <w:t>该评级仅是管理人内部测评结果，仅供投资者参考，不具有任何法律约束力。</w:t>
      </w:r>
    </w:p>
    <w:tbl>
      <w:tblPr>
        <w:tblStyle w:val="11"/>
        <w:tblW w:w="7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382"/>
        <w:gridCol w:w="4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内部风险评级</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风险程度</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R1</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低</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保守型、</w:t>
            </w:r>
            <w:r>
              <w:rPr>
                <w:rFonts w:hint="eastAsia" w:ascii="宋体" w:hAnsi="宋体" w:cs="宋体"/>
                <w:bCs/>
                <w:color w:val="000000" w:themeColor="text1"/>
                <w:kern w:val="2"/>
                <w:highlight w:val="none"/>
                <w14:textFill>
                  <w14:solidFill>
                    <w14:schemeClr w14:val="tx1"/>
                  </w14:solidFill>
                </w14:textFill>
              </w:rPr>
              <w:t>稳健型</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平衡型</w:t>
            </w:r>
            <w:r>
              <w:rPr>
                <w:rFonts w:hint="eastAsia" w:ascii="宋体" w:hAnsi="宋体" w:cs="宋体"/>
                <w:bCs/>
                <w:color w:val="000000" w:themeColor="text1"/>
                <w:kern w:val="2"/>
                <w:highlight w:val="none"/>
                <w:lang w:eastAsia="zh-CN"/>
                <w14:textFill>
                  <w14:solidFill>
                    <w14:schemeClr w14:val="tx1"/>
                  </w14:solidFill>
                </w14:textFill>
              </w:rPr>
              <w:t>、成长</w:t>
            </w:r>
            <w:r>
              <w:rPr>
                <w:rFonts w:hint="eastAsia" w:ascii="宋体" w:hAnsi="宋体" w:cs="宋体"/>
                <w:bCs/>
                <w:color w:val="000000" w:themeColor="text1"/>
                <w:kern w:val="2"/>
                <w:highlight w:val="none"/>
                <w14:textFill>
                  <w14:solidFill>
                    <w14:schemeClr w14:val="tx1"/>
                  </w14:solidFill>
                </w14:textFill>
              </w:rPr>
              <w:t>型</w:t>
            </w:r>
            <w:r>
              <w:rPr>
                <w:rFonts w:hint="eastAsia" w:ascii="宋体" w:hAnsi="宋体" w:cs="宋体"/>
                <w:bCs/>
                <w:color w:val="000000" w:themeColor="text1"/>
                <w:kern w:val="2"/>
                <w:highlight w:val="none"/>
                <w:lang w:eastAsia="zh-CN"/>
                <w14:textFill>
                  <w14:solidFill>
                    <w14:schemeClr w14:val="tx1"/>
                  </w14:solidFill>
                </w14:textFill>
              </w:rPr>
              <w:t>、进取</w:t>
            </w:r>
            <w:r>
              <w:rPr>
                <w:rFonts w:hint="eastAsia" w:ascii="宋体" w:hAnsi="宋体" w:cs="宋体"/>
                <w:bCs/>
                <w:color w:val="000000" w:themeColor="text1"/>
                <w:kern w:val="2"/>
                <w:highlight w:val="none"/>
                <w14:textFill>
                  <w14:solidFill>
                    <w14:schemeClr w14:val="tx1"/>
                  </w14:solidFill>
                </w14:textFill>
              </w:rPr>
              <w:t>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R2</w:t>
            </w:r>
          </w:p>
        </w:tc>
        <w:tc>
          <w:tcPr>
            <w:tcW w:w="1382"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中低</w:t>
            </w:r>
          </w:p>
        </w:tc>
        <w:tc>
          <w:tcPr>
            <w:tcW w:w="4755" w:type="dxa"/>
            <w:noWrap w:val="0"/>
            <w:vAlign w:val="top"/>
          </w:tcPr>
          <w:p>
            <w:pPr>
              <w:pStyle w:val="17"/>
              <w:adjustRightInd/>
              <w:spacing w:line="360" w:lineRule="auto"/>
              <w:jc w:val="center"/>
              <w:rPr>
                <w:rFonts w:ascii="宋体" w:hAnsi="宋体" w:cs="宋体"/>
                <w:b/>
                <w:bCs w:val="0"/>
                <w:color w:val="000000" w:themeColor="text1"/>
                <w:kern w:val="2"/>
                <w:highlight w:val="none"/>
                <w14:textFill>
                  <w14:solidFill>
                    <w14:schemeClr w14:val="tx1"/>
                  </w14:solidFill>
                </w14:textFill>
              </w:rPr>
            </w:pPr>
            <w:r>
              <w:rPr>
                <w:rFonts w:hint="eastAsia" w:ascii="宋体" w:hAnsi="宋体" w:cs="宋体"/>
                <w:b/>
                <w:bCs w:val="0"/>
                <w:color w:val="000000" w:themeColor="text1"/>
                <w:kern w:val="2"/>
                <w:highlight w:val="none"/>
                <w14:textFill>
                  <w14:solidFill>
                    <w14:schemeClr w14:val="tx1"/>
                  </w14:solidFill>
                </w14:textFill>
              </w:rPr>
              <w:t>稳健型</w:t>
            </w:r>
            <w:r>
              <w:rPr>
                <w:rFonts w:hint="eastAsia" w:ascii="宋体" w:hAnsi="宋体" w:cs="宋体"/>
                <w:b/>
                <w:bCs w:val="0"/>
                <w:color w:val="000000" w:themeColor="text1"/>
                <w:kern w:val="2"/>
                <w:highlight w:val="none"/>
                <w:lang w:eastAsia="zh-CN"/>
                <w14:textFill>
                  <w14:solidFill>
                    <w14:schemeClr w14:val="tx1"/>
                  </w14:solidFill>
                </w14:textFill>
              </w:rPr>
              <w:t>、</w:t>
            </w:r>
            <w:r>
              <w:rPr>
                <w:rFonts w:hint="eastAsia" w:ascii="宋体" w:hAnsi="宋体" w:cs="宋体"/>
                <w:b/>
                <w:bCs w:val="0"/>
                <w:color w:val="000000" w:themeColor="text1"/>
                <w:kern w:val="2"/>
                <w:highlight w:val="none"/>
                <w14:textFill>
                  <w14:solidFill>
                    <w14:schemeClr w14:val="tx1"/>
                  </w14:solidFill>
                </w14:textFill>
              </w:rPr>
              <w:t>平衡型</w:t>
            </w:r>
            <w:r>
              <w:rPr>
                <w:rFonts w:hint="eastAsia" w:ascii="宋体" w:hAnsi="宋体" w:cs="宋体"/>
                <w:b/>
                <w:bCs w:val="0"/>
                <w:color w:val="000000" w:themeColor="text1"/>
                <w:kern w:val="2"/>
                <w:highlight w:val="none"/>
                <w:lang w:eastAsia="zh-CN"/>
                <w14:textFill>
                  <w14:solidFill>
                    <w14:schemeClr w14:val="tx1"/>
                  </w14:solidFill>
                </w14:textFill>
              </w:rPr>
              <w:t>、成长</w:t>
            </w:r>
            <w:r>
              <w:rPr>
                <w:rFonts w:hint="eastAsia" w:ascii="宋体" w:hAnsi="宋体" w:cs="宋体"/>
                <w:b/>
                <w:bCs w:val="0"/>
                <w:color w:val="000000" w:themeColor="text1"/>
                <w:kern w:val="2"/>
                <w:highlight w:val="none"/>
                <w14:textFill>
                  <w14:solidFill>
                    <w14:schemeClr w14:val="tx1"/>
                  </w14:solidFill>
                </w14:textFill>
              </w:rPr>
              <w:t>型</w:t>
            </w:r>
            <w:r>
              <w:rPr>
                <w:rFonts w:hint="eastAsia" w:ascii="宋体" w:hAnsi="宋体" w:cs="宋体"/>
                <w:b/>
                <w:bCs w:val="0"/>
                <w:color w:val="000000" w:themeColor="text1"/>
                <w:kern w:val="2"/>
                <w:highlight w:val="none"/>
                <w:lang w:eastAsia="zh-CN"/>
                <w14:textFill>
                  <w14:solidFill>
                    <w14:schemeClr w14:val="tx1"/>
                  </w14:solidFill>
                </w14:textFill>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R3</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中</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平衡型</w:t>
            </w:r>
            <w:r>
              <w:rPr>
                <w:rFonts w:hint="eastAsia" w:ascii="宋体" w:hAnsi="宋体" w:cs="宋体"/>
                <w:bCs/>
                <w:color w:val="000000" w:themeColor="text1"/>
                <w:kern w:val="2"/>
                <w:highlight w:val="none"/>
                <w:lang w:eastAsia="zh-CN"/>
                <w14:textFill>
                  <w14:solidFill>
                    <w14:schemeClr w14:val="tx1"/>
                  </w14:solidFill>
                </w14:textFill>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R4</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中高</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10"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R5</w:t>
            </w:r>
          </w:p>
        </w:tc>
        <w:tc>
          <w:tcPr>
            <w:tcW w:w="1382"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高</w:t>
            </w:r>
          </w:p>
        </w:tc>
        <w:tc>
          <w:tcPr>
            <w:tcW w:w="4755" w:type="dxa"/>
            <w:noWrap w:val="0"/>
            <w:vAlign w:val="top"/>
          </w:tcPr>
          <w:p>
            <w:pPr>
              <w:pStyle w:val="17"/>
              <w:adjustRightInd/>
              <w:spacing w:line="360" w:lineRule="auto"/>
              <w:jc w:val="center"/>
              <w:rPr>
                <w:rFonts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进取型</w:t>
            </w:r>
          </w:p>
        </w:tc>
      </w:tr>
    </w:tbl>
    <w:p>
      <w:pPr>
        <w:pStyle w:val="17"/>
        <w:adjustRightInd/>
        <w:spacing w:line="360" w:lineRule="auto"/>
        <w:ind w:firstLine="480" w:firstLineChars="200"/>
        <w:rPr>
          <w:rFonts w:hint="default" w:ascii="宋体" w:hAnsi="宋体" w:cs="宋体"/>
          <w:bCs/>
          <w:color w:val="000000" w:themeColor="text1"/>
          <w:kern w:val="2"/>
          <w:highlight w:val="none"/>
          <w:lang w:val="en-US" w:eastAsia="zh-CN"/>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投资者风险承受能力评级水平以销售机构评估为准。</w:t>
      </w:r>
    </w:p>
    <w:p>
      <w:pPr>
        <w:pStyle w:val="17"/>
        <w:adjustRightInd/>
        <w:spacing w:line="360" w:lineRule="auto"/>
        <w:rPr>
          <w:rFonts w:hint="eastAsia" w:ascii="宋体" w:hAnsi="宋体" w:cs="宋体"/>
          <w:b/>
          <w:color w:val="000000" w:themeColor="text1"/>
          <w:kern w:val="2"/>
          <w:highlight w:val="none"/>
          <w14:textFill>
            <w14:solidFill>
              <w14:schemeClr w14:val="tx1"/>
            </w14:solidFill>
          </w14:textFill>
        </w:rPr>
      </w:pPr>
    </w:p>
    <w:p>
      <w:pPr>
        <w:pStyle w:val="17"/>
        <w:numPr>
          <w:ilvl w:val="0"/>
          <w:numId w:val="18"/>
        </w:numPr>
        <w:adjustRightInd/>
        <w:spacing w:line="360" w:lineRule="auto"/>
        <w:outlineLvl w:val="1"/>
        <w:rPr>
          <w:rFonts w:hint="eastAsia" w:ascii="宋体" w:hAnsi="宋体" w:cs="宋体"/>
          <w:b/>
          <w:color w:val="000000" w:themeColor="text1"/>
          <w:kern w:val="2"/>
          <w:highlight w:val="none"/>
          <w14:textFill>
            <w14:solidFill>
              <w14:schemeClr w14:val="tx1"/>
            </w14:solidFill>
          </w14:textFill>
        </w:rPr>
      </w:pPr>
      <w:r>
        <w:rPr>
          <w:rFonts w:hint="eastAsia" w:ascii="宋体" w:hAnsi="宋体" w:cs="宋体"/>
          <w:b/>
          <w:color w:val="000000" w:themeColor="text1"/>
          <w:kern w:val="2"/>
          <w:highlight w:val="none"/>
          <w14:textFill>
            <w14:solidFill>
              <w14:schemeClr w14:val="tx1"/>
            </w14:solidFill>
          </w14:textFill>
        </w:rPr>
        <w:t>产品要素</w:t>
      </w:r>
    </w:p>
    <w:tbl>
      <w:tblPr>
        <w:tblStyle w:val="11"/>
        <w:tblW w:w="8865"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680"/>
        <w:gridCol w:w="7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产品名称</w:t>
            </w:r>
          </w:p>
        </w:tc>
        <w:tc>
          <w:tcPr>
            <w:tcW w:w="7185" w:type="dxa"/>
            <w:noWrap w:val="0"/>
            <w:vAlign w:val="center"/>
          </w:tcPr>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幸福99添益(安享优选)7天持有期7期理财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产品简称</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default" w:ascii="宋体" w:hAnsi="宋体" w:eastAsia="宋体" w:cs="宋体"/>
                <w:color w:val="000000" w:themeColor="text1"/>
                <w:sz w:val="21"/>
                <w:szCs w:val="21"/>
                <w:highlight w:val="none"/>
                <w:lang w:val="en-US" w:eastAsia="zh-CN"/>
                <w14:textFill>
                  <w14:solidFill>
                    <w14:schemeClr w14:val="tx1"/>
                  </w14:solidFill>
                </w14:textFill>
              </w:rPr>
              <w:t>添益(安享优选)7天持有期</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default" w:ascii="宋体" w:hAnsi="宋体" w:eastAsia="宋体" w:cs="宋体"/>
                <w:color w:val="000000" w:themeColor="text1"/>
                <w:sz w:val="21"/>
                <w:szCs w:val="21"/>
                <w:highlight w:val="none"/>
                <w:lang w:val="en-US" w:eastAsia="zh-CN"/>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产品编号</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TYGC7D2507</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登记编码</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本理财计划在全国银行业理财信息登记系统的登记编码是〖Z7002225000088〗，投资者可依据该编码在“中国理财网（www.chinawealth.com.cn）”查询本理财计划信息。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发行对象</w:t>
            </w:r>
          </w:p>
        </w:tc>
        <w:tc>
          <w:tcPr>
            <w:tcW w:w="7185" w:type="dxa"/>
            <w:noWrap w:val="0"/>
            <w:vAlign w:val="center"/>
          </w:tcPr>
          <w:p>
            <w:pPr>
              <w:widowControl/>
              <w:spacing w:line="360" w:lineRule="auto"/>
              <w:contextualSpacing/>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本理财计划适合</w:t>
            </w:r>
            <w:r>
              <w:rPr>
                <w:rFonts w:hint="eastAsia" w:ascii="宋体" w:hAnsi="宋体" w:cs="宋体"/>
                <w:b/>
                <w:color w:val="000000" w:themeColor="text1"/>
                <w:sz w:val="21"/>
                <w:szCs w:val="21"/>
                <w:highlight w:val="none"/>
                <w14:textFill>
                  <w14:solidFill>
                    <w14:schemeClr w14:val="tx1"/>
                  </w14:solidFill>
                </w14:textFill>
              </w:rPr>
              <w:t>〖机构投资者〗以及〖</w:t>
            </w:r>
            <w:r>
              <w:rPr>
                <w:rFonts w:hint="eastAsia" w:ascii="宋体" w:hAnsi="宋体" w:cs="宋体"/>
                <w:b/>
                <w:color w:val="000000" w:themeColor="text1"/>
                <w:sz w:val="21"/>
                <w:szCs w:val="21"/>
                <w:highlight w:val="none"/>
                <w:lang w:val="en-US" w:eastAsia="zh-CN"/>
                <w14:textFill>
                  <w14:solidFill>
                    <w14:schemeClr w14:val="tx1"/>
                  </w14:solidFill>
                </w14:textFill>
              </w:rPr>
              <w:t>稳健型、</w:t>
            </w:r>
            <w:r>
              <w:rPr>
                <w:rFonts w:hint="eastAsia" w:ascii="宋体" w:hAnsi="宋体" w:cs="宋体"/>
                <w:b/>
                <w:color w:val="000000" w:themeColor="text1"/>
                <w:sz w:val="21"/>
                <w:szCs w:val="21"/>
                <w:highlight w:val="none"/>
                <w14:textFill>
                  <w14:solidFill>
                    <w14:schemeClr w14:val="tx1"/>
                  </w14:solidFill>
                </w14:textFill>
              </w:rPr>
              <w:t>平衡型、成长型、进取型〗的个人投资者。</w:t>
            </w:r>
            <w:r>
              <w:rPr>
                <w:rFonts w:hint="eastAsia" w:ascii="宋体" w:hAnsi="宋体" w:cs="宋体"/>
                <w:bCs/>
                <w:color w:val="000000" w:themeColor="text1"/>
                <w:kern w:val="2"/>
                <w:sz w:val="21"/>
                <w:szCs w:val="21"/>
                <w:highlight w:val="none"/>
                <w:lang w:eastAsia="zh-CN"/>
                <w14:textFill>
                  <w14:solidFill>
                    <w14:schemeClr w14:val="tx1"/>
                  </w14:solidFill>
                </w14:textFill>
              </w:rPr>
              <w:t>投资者风险承受能力评级水平以销售机构评估为准。</w:t>
            </w:r>
          </w:p>
          <w:p>
            <w:pPr>
              <w:widowControl/>
              <w:spacing w:line="360" w:lineRule="auto"/>
              <w:contextualSpacing/>
              <w:rPr>
                <w:rFonts w:hint="eastAsia" w:ascii="宋体" w:hAnsi="宋体" w:cs="宋体"/>
                <w:b w:val="0"/>
                <w:bCs/>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eastAsia="zh-CN"/>
                <w14:textFill>
                  <w14:solidFill>
                    <w14:schemeClr w14:val="tx1"/>
                  </w14:solidFill>
                </w14:textFill>
              </w:rPr>
              <w:t>其中：</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A份额（销售代码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TYGC7D2507A</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B份额（销售代码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TYGC7D2507B</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b w:val="0"/>
                <w:bCs/>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C份额（销售代码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TYGC7D2507C</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E份额（销售代码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TYGC7D2507E</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F份额（销售代码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TYGC7D2507F</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N份额（长长财富·专属）</w:t>
            </w:r>
            <w:r>
              <w:rPr>
                <w:rFonts w:hint="eastAsia" w:ascii="宋体" w:hAnsi="宋体" w:cs="宋体"/>
                <w:b w:val="0"/>
                <w:bCs/>
                <w:color w:val="000000" w:themeColor="text1"/>
                <w:sz w:val="21"/>
                <w:szCs w:val="21"/>
                <w:highlight w:val="none"/>
                <w:lang w:val="en-US" w:eastAsia="zh-CN"/>
                <w14:textFill>
                  <w14:solidFill>
                    <w14:schemeClr w14:val="tx1"/>
                  </w14:solidFill>
                </w14:textFill>
              </w:rPr>
              <w:t>（销售代码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TYGC7D2507N</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p>
            <w:pPr>
              <w:widowControl/>
              <w:spacing w:line="360" w:lineRule="auto"/>
              <w:contextualSpacing/>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b w:val="0"/>
                <w:bCs/>
                <w:color w:val="000000" w:themeColor="text1"/>
                <w:sz w:val="21"/>
                <w:szCs w:val="21"/>
                <w:highlight w:val="none"/>
                <w:lang w:val="en-US" w:eastAsia="zh-CN"/>
                <w14:textFill>
                  <w14:solidFill>
                    <w14:schemeClr w14:val="tx1"/>
                  </w14:solidFill>
                </w14:textFill>
              </w:rPr>
              <w:t>Z份额（销售代码</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TYGC7D2507Z</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b w:val="0"/>
                <w:bCs/>
                <w:color w:val="000000" w:themeColor="text1"/>
                <w:sz w:val="21"/>
                <w:szCs w:val="21"/>
                <w:highlight w:val="none"/>
                <w:lang w:val="en-US" w:eastAsia="zh-CN"/>
                <w14:textFill>
                  <w14:solidFill>
                    <w14:schemeClr w14:val="tx1"/>
                  </w14:solidFill>
                </w14:textFill>
              </w:rPr>
              <w:t>）面向</w:t>
            </w:r>
            <w:r>
              <w:rPr>
                <w:rFonts w:hint="eastAsia" w:ascii="宋体" w:hAnsi="宋体" w:cs="宋体"/>
                <w:color w:val="000000" w:themeColor="text1"/>
                <w:sz w:val="21"/>
                <w:szCs w:val="21"/>
                <w:highlight w:val="none"/>
                <w14:textFill>
                  <w14:solidFill>
                    <w14:schemeClr w14:val="tx1"/>
                  </w14:solidFill>
                </w14:textFill>
              </w:rPr>
              <w:t>〖普通个人投资者和机构客户〗</w:t>
            </w:r>
            <w:r>
              <w:rPr>
                <w:rFonts w:hint="eastAsia" w:ascii="宋体" w:hAnsi="宋体" w:cs="宋体"/>
                <w:color w:val="000000" w:themeColor="text1"/>
                <w:sz w:val="21"/>
                <w:szCs w:val="21"/>
                <w:highlight w:val="none"/>
                <w:lang w:eastAsia="zh-CN"/>
                <w14:textFill>
                  <w14:solidFill>
                    <w14:schemeClr w14:val="tx1"/>
                  </w14:solidFill>
                </w14:textFill>
              </w:rPr>
              <w:t>发售。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发行方式</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产品类型</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固定收益</w:t>
            </w:r>
            <w:r>
              <w:rPr>
                <w:rFonts w:hint="eastAsia" w:ascii="宋体" w:hAnsi="宋体" w:cs="宋体"/>
                <w:color w:val="000000" w:themeColor="text1"/>
                <w:sz w:val="21"/>
                <w:szCs w:val="21"/>
                <w:highlight w:val="none"/>
                <w14:textFill>
                  <w14:solidFill>
                    <w14:schemeClr w14:val="tx1"/>
                  </w14:solidFill>
                </w14:textFill>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运作模式</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分级产品</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eastAsia="zh-CN"/>
                <w14:textFill>
                  <w14:solidFill>
                    <w14:schemeClr w14:val="tx1"/>
                  </w14:solidFill>
                </w14:textFill>
              </w:rPr>
              <w:t>否</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销售范围</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〖全国〗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销售渠道</w:t>
            </w:r>
          </w:p>
        </w:tc>
        <w:tc>
          <w:tcPr>
            <w:tcW w:w="7185" w:type="dxa"/>
            <w:noWrap w:val="0"/>
            <w:vAlign w:val="center"/>
          </w:tcPr>
          <w:p>
            <w:pPr>
              <w:widowControl/>
              <w:spacing w:line="360" w:lineRule="auto"/>
              <w:contextualSpacing/>
              <w:jc w:val="lef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可通过</w:t>
            </w:r>
            <w:r>
              <w:rPr>
                <w:rFonts w:hint="eastAsia" w:ascii="宋体" w:hAnsi="宋体" w:cs="宋体"/>
                <w:color w:val="000000" w:themeColor="text1"/>
                <w:sz w:val="21"/>
                <w:szCs w:val="21"/>
                <w:highlight w:val="none"/>
                <w:lang w:eastAsia="zh-CN"/>
                <w14:textFill>
                  <w14:solidFill>
                    <w14:schemeClr w14:val="tx1"/>
                  </w14:solidFill>
                </w14:textFill>
              </w:rPr>
              <w:t>杭银理财直销渠道和代理</w:t>
            </w:r>
            <w:r>
              <w:rPr>
                <w:rFonts w:hint="eastAsia" w:ascii="宋体" w:hAnsi="宋体" w:cs="宋体"/>
                <w:color w:val="000000" w:themeColor="text1"/>
                <w:sz w:val="21"/>
                <w:szCs w:val="21"/>
                <w:highlight w:val="none"/>
                <w14:textFill>
                  <w14:solidFill>
                    <w14:schemeClr w14:val="tx1"/>
                  </w14:solidFill>
                </w14:textFill>
              </w:rPr>
              <w:t>销售机构的〖营业网点、网上银行、手机银行〗等渠道购买</w:t>
            </w:r>
            <w:r>
              <w:rPr>
                <w:rFonts w:hint="eastAsia" w:ascii="宋体" w:hAnsi="宋体" w:cs="宋体"/>
                <w:color w:val="000000" w:themeColor="text1"/>
                <w:sz w:val="21"/>
                <w:szCs w:val="21"/>
                <w:highlight w:val="none"/>
                <w:lang w:eastAsia="zh-CN"/>
                <w14:textFill>
                  <w14:solidFill>
                    <w14:schemeClr w14:val="tx1"/>
                  </w14:solidFill>
                </w14:textFill>
              </w:rPr>
              <w:t>，通过</w:t>
            </w:r>
            <w:r>
              <w:rPr>
                <w:rFonts w:hint="eastAsia" w:ascii="宋体" w:hAnsi="宋体" w:cs="宋体"/>
                <w:color w:val="000000" w:themeColor="text1"/>
                <w:sz w:val="21"/>
                <w:szCs w:val="21"/>
                <w:highlight w:val="none"/>
                <w:lang w:val="en-US" w:eastAsia="zh-CN"/>
                <w14:textFill>
                  <w14:solidFill>
                    <w14:schemeClr w14:val="tx1"/>
                  </w14:solidFill>
                </w14:textFill>
              </w:rPr>
              <w:t>代理销售机构购买的，具体销售渠道以代理销售机构披露为准</w:t>
            </w:r>
            <w:r>
              <w:rPr>
                <w:rFonts w:hint="eastAsia" w:ascii="宋体" w:hAnsi="宋体" w:cs="宋体"/>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交易币种</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发行规模上限</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300</w:t>
            </w:r>
            <w:r>
              <w:rPr>
                <w:rFonts w:hint="eastAsia" w:ascii="宋体" w:hAnsi="宋体" w:cs="宋体"/>
                <w:color w:val="000000" w:themeColor="text1"/>
                <w:sz w:val="21"/>
                <w:szCs w:val="21"/>
                <w:highlight w:val="none"/>
                <w14:textFill>
                  <w14:solidFill>
                    <w14:schemeClr w14:val="tx1"/>
                  </w14:solidFill>
                </w14:textFill>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22</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认购时间</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认购期首日〖9：00〗至认购结束日〖17：00〗</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成立日</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23</w:t>
            </w:r>
            <w:r>
              <w:rPr>
                <w:rFonts w:hint="eastAsia" w:ascii="宋体" w:hAnsi="宋体" w:cs="宋体"/>
                <w:color w:val="000000" w:themeColor="text1"/>
                <w:sz w:val="2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理财期限</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无固定期限</w:t>
            </w:r>
            <w:r>
              <w:rPr>
                <w:rFonts w:hint="eastAsia" w:ascii="宋体" w:hAnsi="宋体" w:cs="宋体"/>
                <w:color w:val="000000" w:themeColor="text1"/>
                <w:sz w:val="21"/>
                <w:szCs w:val="21"/>
                <w:highlight w:val="none"/>
                <w14:textFill>
                  <w14:solidFill>
                    <w14:schemeClr w14:val="tx1"/>
                  </w14:solidFill>
                </w14:textFill>
              </w:rPr>
              <w:t>（实际理财期限受制于管理人提前终止权等条款）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封闭期</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23</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2025</w:t>
            </w:r>
            <w:r>
              <w:rPr>
                <w:rFonts w:hint="eastAsia" w:ascii="宋体" w:hAnsi="宋体" w:cs="宋体"/>
                <w:color w:val="000000" w:themeColor="text1"/>
                <w:sz w:val="21"/>
                <w:szCs w:val="21"/>
                <w:highlight w:val="none"/>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cs="宋体"/>
                <w:color w:val="000000" w:themeColor="text1"/>
                <w:sz w:val="21"/>
                <w:szCs w:val="21"/>
                <w:highlight w:val="none"/>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23</w:t>
            </w:r>
            <w:r>
              <w:rPr>
                <w:rFonts w:hint="eastAsia" w:ascii="宋体" w:hAnsi="宋体" w:cs="宋体"/>
                <w:color w:val="000000" w:themeColor="text1"/>
                <w:sz w:val="21"/>
                <w:szCs w:val="21"/>
                <w:highlight w:val="none"/>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认购/申购</w:t>
            </w:r>
          </w:p>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起点金额</w:t>
            </w:r>
          </w:p>
        </w:tc>
        <w:tc>
          <w:tcPr>
            <w:tcW w:w="7185" w:type="dxa"/>
            <w:noWrap w:val="0"/>
            <w:vAlign w:val="center"/>
          </w:tcPr>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C</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F</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N</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Z</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〗起点〖</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〗元整，超过认购/申购起点部分，应为〖</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〗元的整数倍。</w:t>
            </w:r>
          </w:p>
          <w:p>
            <w:pPr>
              <w:widowControl/>
              <w:spacing w:line="360" w:lineRule="auto"/>
              <w:contextualSpacing/>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eastAsia" w:ascii="宋体" w:hAnsi="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投资者全部赎回不再持有本理财计划份额后再次申购，视同首次申购处理。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认购份额</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认购份额=认购金额</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产品成立</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color w:val="000000" w:themeColor="text1"/>
                <w:sz w:val="21"/>
                <w:szCs w:val="21"/>
                <w:highlight w:val="none"/>
                <w:lang w:val="en-US" w:eastAsia="zh-CN"/>
                <w14:textFill>
                  <w14:solidFill>
                    <w14:schemeClr w14:val="tx1"/>
                  </w14:solidFill>
                </w14:textFill>
              </w:rPr>
              <w:t>2000</w:t>
            </w:r>
            <w:r>
              <w:rPr>
                <w:rFonts w:hint="eastAsia" w:ascii="宋体" w:hAnsi="宋体" w:cs="宋体"/>
                <w:color w:val="000000" w:themeColor="text1"/>
                <w:sz w:val="21"/>
                <w:szCs w:val="21"/>
                <w:highlight w:val="none"/>
                <w14:textFill>
                  <w14:solidFill>
                    <w14:schemeClr w14:val="tx1"/>
                  </w14:solidFill>
                </w14:textFill>
              </w:rPr>
              <w:t>〗万元，则管理人可宣布本理财计划不成立并在原定理财计划成立日后〖2〗个工作日内通过管理人或销售机构发布不成立信息，投资者购买的理财资金将在原定成立日后2个工作日内划转至投资者指定理财账户，</w:t>
            </w:r>
            <w:r>
              <w:rPr>
                <w:rFonts w:hint="eastAsia" w:ascii="宋体" w:hAnsi="宋体" w:cs="宋体"/>
                <w:b/>
                <w:color w:val="000000" w:themeColor="text1"/>
                <w:sz w:val="21"/>
                <w:szCs w:val="21"/>
                <w:highlight w:val="none"/>
                <w14:textFill>
                  <w14:solidFill>
                    <w14:schemeClr w14:val="tx1"/>
                  </w14:solidFill>
                </w14:textFill>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开放期</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w:t>
            </w:r>
            <w:r>
              <w:rPr>
                <w:rFonts w:hint="eastAsia" w:ascii="宋体" w:hAnsi="宋体" w:cs="宋体"/>
                <w:color w:val="000000" w:themeColor="text1"/>
                <w:sz w:val="21"/>
                <w:szCs w:val="21"/>
                <w:highlight w:val="none"/>
                <w14:textFill>
                  <w14:solidFill>
                    <w14:schemeClr w14:val="tx1"/>
                  </w14:solidFill>
                </w14:textFill>
              </w:rPr>
              <w:t>理财计划</w:t>
            </w:r>
            <w:r>
              <w:rPr>
                <w:rFonts w:hint="eastAsia" w:ascii="宋体" w:hAnsi="宋体" w:cs="宋体"/>
                <w:color w:val="000000" w:themeColor="text1"/>
                <w:sz w:val="21"/>
                <w:szCs w:val="21"/>
                <w:highlight w:val="none"/>
                <w:lang w:val="en-US" w:eastAsia="zh-CN"/>
                <w14:textFill>
                  <w14:solidFill>
                    <w14:schemeClr w14:val="tx1"/>
                  </w14:solidFill>
                </w14:textFill>
              </w:rPr>
              <w:t>的开放期为</w:t>
            </w:r>
            <w:r>
              <w:rPr>
                <w:rFonts w:hint="eastAsia" w:ascii="宋体" w:hAnsi="宋体" w:cs="宋体"/>
                <w:color w:val="000000" w:themeColor="text1"/>
                <w:sz w:val="21"/>
                <w:szCs w:val="21"/>
                <w:highlight w:val="none"/>
                <w14:textFill>
                  <w14:solidFill>
                    <w14:schemeClr w14:val="tx1"/>
                  </w14:solidFill>
                </w14:textFill>
              </w:rPr>
              <w:t>〖封闭期后的</w:t>
            </w:r>
            <w:r>
              <w:rPr>
                <w:rFonts w:hint="eastAsia" w:ascii="宋体" w:hAnsi="宋体" w:cs="宋体"/>
                <w:color w:val="000000" w:themeColor="text1"/>
                <w:sz w:val="21"/>
                <w:szCs w:val="21"/>
                <w:highlight w:val="none"/>
                <w:lang w:val="en-US" w:eastAsia="zh-CN"/>
                <w14:textFill>
                  <w14:solidFill>
                    <w14:schemeClr w14:val="tx1"/>
                  </w14:solidFill>
                </w14:textFill>
              </w:rPr>
              <w:t>每个</w:t>
            </w:r>
            <w:r>
              <w:rPr>
                <w:rFonts w:hint="eastAsia" w:ascii="宋体" w:hAnsi="宋体" w:cs="宋体"/>
                <w:color w:val="000000" w:themeColor="text1"/>
                <w:sz w:val="21"/>
                <w:szCs w:val="21"/>
                <w:highlight w:val="none"/>
                <w14:textFill>
                  <w14:solidFill>
                    <w14:schemeClr w14:val="tx1"/>
                  </w14:solidFill>
                </w14:textFill>
              </w:rPr>
              <w:t>交易日〗。</w:t>
            </w:r>
            <w:r>
              <w:rPr>
                <w:rFonts w:hint="eastAsia" w:ascii="宋体" w:hAnsi="宋体" w:cs="宋体"/>
                <w:color w:val="000000" w:themeColor="text1"/>
                <w:sz w:val="21"/>
                <w:szCs w:val="21"/>
                <w:highlight w:val="none"/>
                <w:lang w:val="en-US" w:eastAsia="zh-CN"/>
                <w14:textFill>
                  <w14:solidFill>
                    <w14:schemeClr w14:val="tx1"/>
                  </w14:solidFill>
                </w14:textFill>
              </w:rPr>
              <w:t>如遇特殊情况，则以管理人公告为准。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持有期</w:t>
            </w:r>
          </w:p>
        </w:tc>
        <w:tc>
          <w:tcPr>
            <w:tcW w:w="7185" w:type="dxa"/>
            <w:noWrap w:val="0"/>
            <w:vAlign w:val="center"/>
          </w:tcPr>
          <w:p>
            <w:pPr>
              <w:widowControl/>
              <w:spacing w:line="360" w:lineRule="auto"/>
              <w:contextualSpacing/>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本理财计划的持有期为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天，投资者认购/申购份额确认成功后，每一笔份额需自理财计划成立日（含）/确认日（含）起最低持有满</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天后方可按规则申请赎回。如投资者多次购买理财计划，其中持有</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天及以上的份额，可申请赎回；持有</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天以内的份额，不可申请赎回。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交易时间</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1.本理财计划在每个开放期的开放日工作时间均可进行申购，申购申请将在确认日，即</w:t>
            </w:r>
            <w:r>
              <w:rPr>
                <w:rFonts w:hint="eastAsia" w:ascii="宋体" w:hAnsi="宋体" w:cs="宋体"/>
                <w:color w:val="000000" w:themeColor="text1"/>
                <w:sz w:val="21"/>
                <w:szCs w:val="21"/>
                <w:highlight w:val="none"/>
                <w:lang w:val="en-US" w:eastAsia="zh-CN"/>
                <w14:textFill>
                  <w14:solidFill>
                    <w14:schemeClr w14:val="tx1"/>
                  </w14:solidFill>
                </w14:textFill>
              </w:rPr>
              <w:t>申购申请日</w:t>
            </w:r>
            <w:r>
              <w:rPr>
                <w:rFonts w:hint="eastAsia" w:ascii="宋体" w:hAnsi="宋体" w:cs="宋体"/>
                <w:color w:val="000000" w:themeColor="text1"/>
                <w:sz w:val="21"/>
                <w:szCs w:val="21"/>
                <w:highlight w:val="none"/>
                <w14:textFill>
                  <w14:solidFill>
                    <w14:schemeClr w14:val="tx1"/>
                  </w14:solidFill>
                </w14:textFill>
              </w:rPr>
              <w:t>后的第〖1〗个</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bCs/>
                <w:color w:val="000000" w:themeColor="text1"/>
                <w:sz w:val="21"/>
                <w:szCs w:val="21"/>
                <w:highlight w:val="none"/>
                <w14:textFill>
                  <w14:solidFill>
                    <w14:schemeClr w14:val="tx1"/>
                  </w14:solidFill>
                </w14:textFill>
              </w:rPr>
              <w:t>日进行确认。</w:t>
            </w:r>
            <w:r>
              <w:rPr>
                <w:rFonts w:hint="eastAsia" w:ascii="宋体" w:hAnsi="宋体" w:cs="宋体"/>
                <w:color w:val="000000" w:themeColor="text1"/>
                <w:sz w:val="21"/>
                <w:szCs w:val="21"/>
                <w:highlight w:val="none"/>
                <w14:textFill>
                  <w14:solidFill>
                    <w14:schemeClr w14:val="tx1"/>
                  </w14:solidFill>
                </w14:textFill>
              </w:rPr>
              <w:t>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满足最低持有期后，本理财计划在每个开放期的开放日工作时间均可进行赎回，赎回申请将在确认日，即赎回申请日后的第</w:t>
            </w:r>
            <w:r>
              <w:rPr>
                <w:rFonts w:hint="eastAsia" w:ascii="宋体" w:hAnsi="宋体" w:cs="宋体"/>
                <w:color w:val="000000" w:themeColor="text1"/>
                <w:sz w:val="21"/>
                <w:szCs w:val="21"/>
                <w:highlight w:val="none"/>
                <w14:textFill>
                  <w14:solidFill>
                    <w14:schemeClr w14:val="tx1"/>
                  </w14:solidFill>
                </w14:textFill>
              </w:rPr>
              <w:t>〖1〗个</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bCs/>
                <w:color w:val="000000" w:themeColor="text1"/>
                <w:sz w:val="21"/>
                <w:szCs w:val="21"/>
                <w:highlight w:val="none"/>
                <w14:textFill>
                  <w14:solidFill>
                    <w14:schemeClr w14:val="tx1"/>
                  </w14:solidFill>
                </w14:textFill>
              </w:rPr>
              <w:t>日进行确认。</w:t>
            </w:r>
            <w:r>
              <w:rPr>
                <w:rFonts w:hint="eastAsia" w:ascii="宋体" w:hAnsi="宋体" w:cs="宋体"/>
                <w:color w:val="000000" w:themeColor="text1"/>
                <w:sz w:val="21"/>
                <w:szCs w:val="21"/>
                <w:highlight w:val="none"/>
                <w14:textFill>
                  <w14:solidFill>
                    <w14:schemeClr w14:val="tx1"/>
                  </w14:solidFill>
                </w14:textFill>
              </w:rPr>
              <w:t>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工作时间为每个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上午〖9:00〗至下午〖17:00〗。确认日如遇非</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，则顺延至〖下一</w:t>
            </w:r>
            <w:r>
              <w:rPr>
                <w:rFonts w:hint="eastAsia" w:ascii="宋体" w:hAnsi="宋体" w:cs="宋体"/>
                <w:color w:val="000000" w:themeColor="text1"/>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4.在</w:t>
            </w:r>
            <w:r>
              <w:rPr>
                <w:rFonts w:hint="eastAsia" w:ascii="宋体" w:hAnsi="宋体" w:cs="宋体"/>
                <w:color w:val="000000" w:themeColor="text1"/>
                <w:sz w:val="21"/>
                <w:szCs w:val="21"/>
                <w:highlight w:val="none"/>
                <w:lang w:val="en-US" w:eastAsia="zh-CN"/>
                <w14:textFill>
                  <w14:solidFill>
                    <w14:schemeClr w14:val="tx1"/>
                  </w14:solidFill>
                </w14:textFill>
              </w:rPr>
              <w:t>交易日的</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bCs/>
                <w:color w:val="000000" w:themeColor="text1"/>
                <w:sz w:val="21"/>
                <w:szCs w:val="21"/>
                <w:highlight w:val="none"/>
                <w:lang w:val="en-US" w:eastAsia="zh-CN"/>
                <w14:textFill>
                  <w14:solidFill>
                    <w14:schemeClr w14:val="tx1"/>
                  </w14:solidFill>
                </w14:textFill>
              </w:rPr>
              <w:t>之前提交的申购和赎回申请，申请日为提出申请当日；在</w:t>
            </w:r>
            <w:r>
              <w:rPr>
                <w:rFonts w:hint="eastAsia" w:ascii="宋体" w:hAnsi="宋体" w:cs="宋体"/>
                <w:color w:val="000000" w:themeColor="text1"/>
                <w:kern w:val="2"/>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lang w:val="en-US" w:eastAsia="zh-CN"/>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bCs/>
                <w:color w:val="000000" w:themeColor="text1"/>
                <w:sz w:val="21"/>
                <w:szCs w:val="21"/>
                <w:highlight w:val="none"/>
                <w:lang w:val="en-US" w:eastAsia="zh-CN"/>
                <w14:textFill>
                  <w14:solidFill>
                    <w14:schemeClr w14:val="tx1"/>
                  </w14:solidFill>
                </w14:textFill>
              </w:rPr>
              <w:t>之后提交的申购和赎回申请，申请日为提出申请日的</w:t>
            </w:r>
            <w:r>
              <w:rPr>
                <w:rFonts w:hint="eastAsia" w:ascii="宋体" w:hAnsi="宋体" w:cs="宋体"/>
                <w:color w:val="000000" w:themeColor="text1"/>
                <w:sz w:val="21"/>
                <w:szCs w:val="21"/>
                <w:highlight w:val="none"/>
                <w14:textFill>
                  <w14:solidFill>
                    <w14:schemeClr w14:val="tx1"/>
                  </w14:solidFill>
                </w14:textFill>
              </w:rPr>
              <w:t>〖下一</w:t>
            </w:r>
            <w:r>
              <w:rPr>
                <w:rFonts w:hint="eastAsia" w:ascii="宋体" w:hAnsi="宋体" w:cs="宋体"/>
                <w:color w:val="000000" w:themeColor="text1"/>
                <w:kern w:val="2"/>
                <w:sz w:val="21"/>
                <w:szCs w:val="21"/>
                <w:highlight w:val="none"/>
                <w:lang w:val="en-US" w:eastAsia="zh-CN"/>
                <w14:textFill>
                  <w14:solidFill>
                    <w14:schemeClr w14:val="tx1"/>
                  </w14:solidFill>
                </w14:textFill>
              </w:rPr>
              <w:t>交易</w:t>
            </w:r>
            <w:r>
              <w:rPr>
                <w:rFonts w:hint="eastAsia" w:ascii="宋体" w:hAnsi="宋体" w:cs="宋体"/>
                <w:color w:val="000000" w:themeColor="text1"/>
                <w:sz w:val="21"/>
                <w:szCs w:val="21"/>
                <w:highlight w:val="none"/>
                <w14:textFill>
                  <w14:solidFill>
                    <w14:schemeClr w14:val="tx1"/>
                  </w14:solidFill>
                </w14:textFill>
              </w:rPr>
              <w:t>日〗。</w:t>
            </w:r>
          </w:p>
          <w:p>
            <w:pPr>
              <w:widowControl/>
              <w:spacing w:line="360" w:lineRule="auto"/>
              <w:contextualSpacing/>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5.募集期/开放期内提交的交易申请，在理财计划成立日/确认日前一交易日下午</w:t>
            </w:r>
            <w:r>
              <w:rPr>
                <w:rFonts w:hint="eastAsia" w:ascii="宋体" w:hAnsi="宋体" w:cs="宋体"/>
                <w:color w:val="000000" w:themeColor="text1"/>
                <w:sz w:val="21"/>
                <w:szCs w:val="21"/>
                <w:highlight w:val="none"/>
                <w14:textFill>
                  <w14:solidFill>
                    <w14:schemeClr w14:val="tx1"/>
                  </w14:solidFill>
                </w14:textFill>
              </w:rPr>
              <w:t>〖17:00〗</w:t>
            </w:r>
            <w:r>
              <w:rPr>
                <w:rFonts w:hint="eastAsia" w:ascii="宋体" w:hAnsi="宋体" w:cs="宋体"/>
                <w:color w:val="000000" w:themeColor="text1"/>
                <w:kern w:val="0"/>
                <w:sz w:val="21"/>
                <w:szCs w:val="21"/>
                <w:highlight w:val="none"/>
                <w:lang w:val="en-US" w:eastAsia="zh-CN"/>
                <w14:textFill>
                  <w14:solidFill>
                    <w14:schemeClr w14:val="tx1"/>
                  </w14:solidFill>
                </w14:textFill>
              </w:rPr>
              <w:t>之前可以撤单。</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6.上述交易安排如有调整，请以管理人公告为准。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巨额赎回</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理财计划存续期内，若理财计划开放日净赎回申请份额超过上一日日终理财计划总份额〖10%〗时，管理人有权暂停或拒绝接受赎回申请，并最迟于下一工作日进行对外公告。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单户限额</w:t>
            </w:r>
          </w:p>
        </w:tc>
        <w:tc>
          <w:tcPr>
            <w:tcW w:w="7185" w:type="dxa"/>
            <w:noWrap w:val="0"/>
            <w:vAlign w:val="center"/>
          </w:tcPr>
          <w:p>
            <w:pPr>
              <w:widowControl/>
              <w:spacing w:line="360" w:lineRule="auto"/>
              <w:contextualSpacing/>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1.单户持有份额不得超过理财计划总份额的50%。</w:t>
            </w:r>
          </w:p>
          <w:p>
            <w:pPr>
              <w:widowControl/>
              <w:spacing w:line="360" w:lineRule="auto"/>
              <w:contextualSpacing/>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2.单户持有最高</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金额</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为</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5000</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万元</w:t>
            </w:r>
            <w:r>
              <w:rPr>
                <w:rFonts w:hint="eastAsia" w:ascii="宋体" w:hAnsi="宋体" w:cs="宋体"/>
                <w:color w:val="000000" w:themeColor="text1"/>
                <w:sz w:val="21"/>
                <w:szCs w:val="21"/>
                <w:highlight w:val="none"/>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申购份额</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申购份额=申购金额÷确认日</w:t>
            </w:r>
            <w:r>
              <w:rPr>
                <w:rFonts w:hint="eastAsia" w:ascii="宋体" w:hAnsi="宋体" w:cs="宋体"/>
                <w:bCs/>
                <w:color w:val="000000" w:themeColor="text1"/>
                <w:sz w:val="21"/>
                <w:szCs w:val="21"/>
                <w:highlight w:val="none"/>
                <w:lang w:eastAsia="zh-CN"/>
                <w14:textFill>
                  <w14:solidFill>
                    <w14:schemeClr w14:val="tx1"/>
                  </w14:solidFill>
                </w14:textFill>
              </w:rPr>
              <w:t>前一</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14:textFill>
                  <w14:solidFill>
                    <w14:schemeClr w14:val="tx1"/>
                  </w14:solidFill>
                </w14:textFill>
              </w:rPr>
              <w:t>的单位净值。申购</w:t>
            </w:r>
            <w:r>
              <w:rPr>
                <w:rFonts w:hint="eastAsia" w:ascii="宋体" w:hAnsi="宋体" w:cs="宋体"/>
                <w:color w:val="000000" w:themeColor="text1"/>
                <w:sz w:val="21"/>
                <w:szCs w:val="21"/>
                <w:highlight w:val="none"/>
                <w14:textFill>
                  <w14:solidFill>
                    <w14:schemeClr w14:val="tx1"/>
                  </w14:solidFill>
                </w14:textFill>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赎回金额</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赎回金额=赎</w:t>
            </w:r>
            <w:r>
              <w:rPr>
                <w:rFonts w:hint="eastAsia" w:ascii="宋体" w:hAnsi="宋体" w:cs="宋体"/>
                <w:bCs/>
                <w:color w:val="000000" w:themeColor="text1"/>
                <w:sz w:val="21"/>
                <w:szCs w:val="21"/>
                <w:highlight w:val="none"/>
                <w14:textFill>
                  <w14:solidFill>
                    <w14:schemeClr w14:val="tx1"/>
                  </w14:solidFill>
                </w14:textFill>
              </w:rPr>
              <w:t>回份额×确认日</w:t>
            </w:r>
            <w:r>
              <w:rPr>
                <w:rFonts w:hint="eastAsia" w:ascii="宋体" w:hAnsi="宋体" w:cs="宋体"/>
                <w:bCs/>
                <w:color w:val="000000" w:themeColor="text1"/>
                <w:sz w:val="21"/>
                <w:szCs w:val="21"/>
                <w:highlight w:val="none"/>
                <w:lang w:eastAsia="zh-CN"/>
                <w14:textFill>
                  <w14:solidFill>
                    <w14:schemeClr w14:val="tx1"/>
                  </w14:solidFill>
                </w14:textFill>
              </w:rPr>
              <w:t>前一</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bCs/>
                <w:color w:val="000000" w:themeColor="text1"/>
                <w:sz w:val="21"/>
                <w:szCs w:val="21"/>
                <w:highlight w:val="none"/>
                <w14:textFill>
                  <w14:solidFill>
                    <w14:schemeClr w14:val="tx1"/>
                  </w14:solidFill>
                </w14:textFill>
              </w:rPr>
              <w:t>的单位净值</w:t>
            </w:r>
            <w:r>
              <w:rPr>
                <w:rFonts w:hint="eastAsia" w:ascii="宋体" w:hAnsi="宋体" w:cs="宋体"/>
                <w:bCs/>
                <w:color w:val="000000" w:themeColor="text1"/>
                <w:sz w:val="21"/>
                <w:szCs w:val="21"/>
                <w:highlight w:val="none"/>
                <w:lang w:val="en-US" w:eastAsia="zh-CN"/>
                <w14:textFill>
                  <w14:solidFill>
                    <w14:schemeClr w14:val="tx1"/>
                  </w14:solidFill>
                </w14:textFill>
              </w:rPr>
              <w:t>-浮动管理费（如有）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单位净值</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单位净值=理财计划估值日理财计划总净值</w:t>
            </w:r>
            <w:r>
              <w:rPr>
                <w:rFonts w:hint="eastAsia" w:ascii="宋体" w:hAnsi="宋体" w:cs="宋体"/>
                <w:bCs/>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理财计划总份额，单位净值〖保留小数点后</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cs="宋体"/>
                <w:color w:val="000000" w:themeColor="text1"/>
                <w:sz w:val="21"/>
                <w:szCs w:val="21"/>
                <w:highlight w:val="none"/>
                <w14:textFill>
                  <w14:solidFill>
                    <w14:schemeClr w14:val="tx1"/>
                  </w14:solidFill>
                </w14:textFill>
              </w:rPr>
              <w:t>位〗</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六</w:t>
            </w:r>
            <w:r>
              <w:rPr>
                <w:rFonts w:hint="eastAsia" w:ascii="宋体" w:hAnsi="宋体" w:cs="宋体"/>
                <w:color w:val="000000" w:themeColor="text1"/>
                <w:sz w:val="21"/>
                <w:szCs w:val="21"/>
                <w:highlight w:val="none"/>
                <w:lang w:eastAsia="zh-CN"/>
                <w14:textFill>
                  <w14:solidFill>
                    <w14:schemeClr w14:val="tx1"/>
                  </w14:solidFill>
                </w14:textFill>
              </w:rPr>
              <w:t>位后去尾</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contextualSpacing/>
              <w:rPr>
                <w:rFonts w:hint="eastAsia"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理财计划总净值=理财计划认购总额+理财计划所获总收益-理财计划总费用（包括但不限于</w:t>
            </w:r>
            <w:r>
              <w:rPr>
                <w:rFonts w:hint="eastAsia" w:ascii="宋体" w:hAnsi="宋体" w:cs="宋体"/>
                <w:color w:val="000000" w:themeColor="text1"/>
                <w:sz w:val="21"/>
                <w:szCs w:val="21"/>
                <w:highlight w:val="none"/>
                <w:lang w:val="en-US" w:eastAsia="zh-CN"/>
                <w14:textFill>
                  <w14:solidFill>
                    <w14:schemeClr w14:val="tx1"/>
                  </w14:solidFill>
                </w14:textFill>
              </w:rPr>
              <w:t>固定</w:t>
            </w:r>
            <w:r>
              <w:rPr>
                <w:rFonts w:hint="eastAsia" w:ascii="宋体" w:hAnsi="宋体" w:cs="宋体"/>
                <w:color w:val="000000" w:themeColor="text1"/>
                <w:sz w:val="21"/>
                <w:szCs w:val="21"/>
                <w:highlight w:val="none"/>
                <w14:textFill>
                  <w14:solidFill>
                    <w14:schemeClr w14:val="tx1"/>
                  </w14:solidFill>
                </w14:textFill>
              </w:rPr>
              <w:t>管理费、托管费、</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lang w:val="en-US" w:eastAsia="zh-CN"/>
                <w14:textFill>
                  <w14:solidFill>
                    <w14:schemeClr w14:val="tx1"/>
                  </w14:solidFill>
                </w14:textFill>
              </w:rPr>
              <w:t>浮动管理费（如有）</w:t>
            </w:r>
            <w:r>
              <w:rPr>
                <w:rFonts w:hint="eastAsia" w:ascii="宋体" w:hAnsi="宋体" w:cs="宋体"/>
                <w:color w:val="000000" w:themeColor="text1"/>
                <w:sz w:val="21"/>
                <w:szCs w:val="21"/>
                <w:highlight w:val="none"/>
                <w14:textFill>
                  <w14:solidFill>
                    <w14:schemeClr w14:val="tx1"/>
                  </w14:solidFill>
                </w14:textFill>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资金与收益支付方式</w:t>
            </w:r>
          </w:p>
        </w:tc>
        <w:tc>
          <w:tcPr>
            <w:tcW w:w="7185" w:type="dxa"/>
            <w:noWrap w:val="0"/>
            <w:vAlign w:val="center"/>
          </w:tcPr>
          <w:p>
            <w:pPr>
              <w:widowControl/>
              <w:spacing w:line="360" w:lineRule="auto"/>
              <w:contextualSpacing/>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1.赎回资金确认后，最快</w:t>
            </w:r>
            <w:r>
              <w:rPr>
                <w:rFonts w:hint="eastAsia" w:ascii="宋体" w:hAnsi="宋体" w:cs="宋体"/>
                <w:b/>
                <w:color w:val="000000" w:themeColor="text1"/>
                <w:sz w:val="21"/>
                <w:szCs w:val="21"/>
                <w:highlight w:val="none"/>
                <w:lang w:val="en-US" w:eastAsia="zh-CN"/>
                <w14:textFill>
                  <w14:solidFill>
                    <w14:schemeClr w14:val="tx1"/>
                  </w14:solidFill>
                </w14:textFill>
              </w:rPr>
              <w:t>确认日当日</w:t>
            </w:r>
            <w:r>
              <w:rPr>
                <w:rFonts w:hint="eastAsia" w:ascii="宋体" w:hAnsi="宋体" w:cs="宋体"/>
                <w:color w:val="000000" w:themeColor="text1"/>
                <w:sz w:val="21"/>
                <w:szCs w:val="21"/>
                <w:highlight w:val="none"/>
                <w14:textFill>
                  <w14:solidFill>
                    <w14:schemeClr w14:val="tx1"/>
                  </w14:solidFill>
                </w14:textFill>
              </w:rPr>
              <w:t>，最晚〖</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个交易日</w:t>
            </w:r>
            <w:r>
              <w:rPr>
                <w:rFonts w:hint="eastAsia" w:ascii="宋体" w:hAnsi="宋体" w:cs="宋体"/>
                <w:color w:val="000000" w:themeColor="text1"/>
                <w:sz w:val="21"/>
                <w:szCs w:val="21"/>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2.理财计划到期后，最快〖</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14:textFill>
                  <w14:solidFill>
                    <w14:schemeClr w14:val="tx1"/>
                  </w14:solidFill>
                </w14:textFill>
              </w:rPr>
              <w:t>〗个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，最晚〖</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cs="宋体"/>
                <w:color w:val="000000" w:themeColor="text1"/>
                <w:sz w:val="21"/>
                <w:szCs w:val="21"/>
                <w:highlight w:val="none"/>
                <w14:textFill>
                  <w14:solidFill>
                    <w14:schemeClr w14:val="tx1"/>
                  </w14:solidFill>
                </w14:textFill>
              </w:rPr>
              <w:t>〗个</w:t>
            </w:r>
            <w:r>
              <w:rPr>
                <w:rFonts w:hint="eastAsia" w:ascii="宋体" w:hAnsi="宋体" w:cs="宋体"/>
                <w:color w:val="000000" w:themeColor="text1"/>
                <w:sz w:val="21"/>
                <w:szCs w:val="21"/>
                <w:highlight w:val="none"/>
                <w:lang w:val="en-US" w:eastAsia="zh-CN"/>
                <w14:textFill>
                  <w14:solidFill>
                    <w14:schemeClr w14:val="tx1"/>
                  </w14:solidFill>
                </w14:textFill>
              </w:rPr>
              <w:t>交易日</w:t>
            </w:r>
            <w:r>
              <w:rPr>
                <w:rFonts w:hint="eastAsia" w:ascii="宋体" w:hAnsi="宋体" w:cs="宋体"/>
                <w:color w:val="000000" w:themeColor="text1"/>
                <w:sz w:val="21"/>
                <w:szCs w:val="21"/>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收益分配</w:t>
            </w:r>
          </w:p>
        </w:tc>
        <w:tc>
          <w:tcPr>
            <w:tcW w:w="7185" w:type="dxa"/>
            <w:noWrap w:val="0"/>
            <w:vAlign w:val="center"/>
          </w:tcPr>
          <w:p>
            <w:pPr>
              <w:widowControl/>
              <w:spacing w:line="360" w:lineRule="auto"/>
              <w:contextualSpacing/>
              <w:rPr>
                <w:rFonts w:ascii="宋体" w:hAnsi="宋体" w:cs="宋体"/>
                <w:b/>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在满足收益分配基准日理财计划份额净值大于1元的情况下，管理人将〖</w:t>
            </w:r>
            <w:r>
              <w:rPr>
                <w:rFonts w:hint="eastAsia" w:ascii="宋体" w:hAnsi="宋体" w:cs="宋体"/>
                <w:color w:val="000000" w:themeColor="text1"/>
                <w:sz w:val="21"/>
                <w:szCs w:val="21"/>
                <w:highlight w:val="none"/>
                <w:lang w:val="en-US" w:eastAsia="zh-CN"/>
                <w14:textFill>
                  <w14:solidFill>
                    <w14:schemeClr w14:val="tx1"/>
                  </w14:solidFill>
                </w14:textFill>
              </w:rPr>
              <w:t>不</w:t>
            </w:r>
            <w:r>
              <w:rPr>
                <w:rFonts w:hint="eastAsia" w:ascii="宋体" w:hAnsi="宋体" w:cs="宋体"/>
                <w:color w:val="000000" w:themeColor="text1"/>
                <w:sz w:val="21"/>
                <w:szCs w:val="21"/>
                <w:highlight w:val="none"/>
                <w14:textFill>
                  <w14:solidFill>
                    <w14:schemeClr w14:val="tx1"/>
                  </w14:solidFill>
                </w14:textFill>
              </w:rPr>
              <w:t>定期〗将大于1元部分的收益进行全部或部分收益分配。具体分配方案以管理人公告为准。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业绩比较基准</w:t>
            </w:r>
          </w:p>
        </w:tc>
        <w:tc>
          <w:tcPr>
            <w:tcW w:w="7185" w:type="dxa"/>
            <w:noWrap w:val="0"/>
            <w:vAlign w:val="center"/>
          </w:tcPr>
          <w:p>
            <w:pPr>
              <w:widowControl/>
              <w:spacing w:line="360" w:lineRule="auto"/>
              <w:contextualSpacing/>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本理财计划</w:t>
            </w:r>
            <w:r>
              <w:rPr>
                <w:rFonts w:hint="eastAsia" w:ascii="宋体" w:hAnsi="宋体" w:cs="宋体"/>
                <w:color w:val="000000" w:themeColor="text1"/>
                <w:sz w:val="21"/>
                <w:szCs w:val="21"/>
                <w:highlight w:val="none"/>
                <w:lang w:val="en-US" w:eastAsia="zh-CN"/>
                <w14:textFill>
                  <w14:solidFill>
                    <w14:schemeClr w14:val="tx1"/>
                  </w14:solidFill>
                </w14:textFill>
              </w:rPr>
              <w:t>各份额的</w:t>
            </w:r>
            <w:r>
              <w:rPr>
                <w:rFonts w:hint="eastAsia" w:ascii="宋体" w:hAnsi="宋体" w:cs="宋体"/>
                <w:color w:val="000000" w:themeColor="text1"/>
                <w:sz w:val="21"/>
                <w:szCs w:val="21"/>
                <w:highlight w:val="none"/>
                <w14:textFill>
                  <w14:solidFill>
                    <w14:schemeClr w14:val="tx1"/>
                  </w14:solidFill>
                </w14:textFill>
              </w:rPr>
              <w:t>业绩比较基准为〖</w:t>
            </w:r>
            <w:r>
              <w:rPr>
                <w:rFonts w:hint="eastAsia" w:ascii="宋体" w:hAnsi="宋体" w:cs="宋体"/>
                <w:color w:val="000000" w:themeColor="text1"/>
                <w:sz w:val="21"/>
                <w:szCs w:val="21"/>
                <w:highlight w:val="none"/>
                <w:lang w:val="en-US" w:eastAsia="zh-CN"/>
                <w14:textFill>
                  <w14:solidFill>
                    <w14:schemeClr w14:val="tx1"/>
                  </w14:solidFill>
                </w14:textFill>
              </w:rPr>
              <w:t>中国人民银行公布的7天通知存款利率</w:t>
            </w:r>
            <w:r>
              <w:rPr>
                <w:rFonts w:hint="eastAsia" w:ascii="宋体" w:hAnsi="宋体" w:cs="宋体"/>
                <w:color w:val="000000" w:themeColor="text1"/>
                <w:sz w:val="21"/>
                <w:szCs w:val="21"/>
                <w:highlight w:val="none"/>
                <w14:textFill>
                  <w14:solidFill>
                    <w14:schemeClr w14:val="tx1"/>
                  </w14:solidFill>
                </w14:textFill>
              </w:rPr>
              <w:t>〗（年化）。</w:t>
            </w:r>
          </w:p>
          <w:p>
            <w:pPr>
              <w:widowControl/>
              <w:spacing w:line="360" w:lineRule="auto"/>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业绩基准测算依据：</w:t>
            </w:r>
            <w:r>
              <w:rPr>
                <w:rFonts w:hint="eastAsia" w:ascii="宋体" w:hAnsi="宋体" w:cs="宋体"/>
                <w:b/>
                <w:bCs/>
                <w:color w:val="000000" w:themeColor="text1"/>
                <w:sz w:val="21"/>
                <w:szCs w:val="21"/>
                <w:highlight w:val="none"/>
                <w:lang w:val="en-US" w:eastAsia="zh-CN"/>
                <w14:textFill>
                  <w14:solidFill>
                    <w14:schemeClr w14:val="tx1"/>
                  </w14:solidFill>
                </w14:textFill>
              </w:rPr>
              <w:t>本理财计划</w:t>
            </w:r>
            <w:r>
              <w:rPr>
                <w:rFonts w:hint="eastAsia" w:ascii="宋体" w:hAnsi="宋体" w:cs="宋体"/>
                <w:b/>
                <w:bCs/>
                <w:color w:val="000000" w:themeColor="text1"/>
                <w:sz w:val="21"/>
                <w:szCs w:val="21"/>
                <w:highlight w:val="none"/>
                <w14:textFill>
                  <w14:solidFill>
                    <w14:schemeClr w14:val="tx1"/>
                  </w14:solidFill>
                </w14:textFill>
              </w:rPr>
              <w:t>重点投资于</w:t>
            </w:r>
            <w:r>
              <w:rPr>
                <w:rFonts w:hint="eastAsia" w:ascii="宋体" w:hAnsi="宋体" w:cs="宋体"/>
                <w:b/>
                <w:bCs/>
                <w:color w:val="000000" w:themeColor="text1"/>
                <w:sz w:val="21"/>
                <w:szCs w:val="21"/>
                <w:highlight w:val="none"/>
                <w:lang w:val="en-US" w:eastAsia="zh-CN"/>
                <w14:textFill>
                  <w14:solidFill>
                    <w14:schemeClr w14:val="tx1"/>
                  </w14:solidFill>
                </w14:textFill>
              </w:rPr>
              <w:t>同业存单、存款、信用债</w:t>
            </w:r>
            <w:r>
              <w:rPr>
                <w:rFonts w:hint="eastAsia" w:ascii="宋体" w:hAnsi="宋体" w:cs="宋体"/>
                <w:b/>
                <w:bCs/>
                <w:color w:val="000000" w:themeColor="text1"/>
                <w:sz w:val="21"/>
                <w:szCs w:val="21"/>
                <w:highlight w:val="none"/>
                <w14:textFill>
                  <w14:solidFill>
                    <w14:schemeClr w14:val="tx1"/>
                  </w14:solidFill>
                </w14:textFill>
              </w:rPr>
              <w:t>等资产，根据</w:t>
            </w:r>
            <w:r>
              <w:rPr>
                <w:rFonts w:hint="eastAsia" w:ascii="宋体" w:hAnsi="宋体" w:cs="宋体"/>
                <w:b/>
                <w:bCs/>
                <w:color w:val="000000" w:themeColor="text1"/>
                <w:sz w:val="21"/>
                <w:szCs w:val="21"/>
                <w:highlight w:val="none"/>
                <w:lang w:val="en-US" w:eastAsia="zh-CN"/>
                <w14:textFill>
                  <w14:solidFill>
                    <w14:schemeClr w14:val="tx1"/>
                  </w14:solidFill>
                </w14:textFill>
              </w:rPr>
              <w:t>当前市场环境，拟投资产收益率在1.5%-3.5%左右，同时根据</w:t>
            </w:r>
            <w:r>
              <w:rPr>
                <w:rFonts w:hint="eastAsia" w:ascii="宋体" w:hAnsi="宋体" w:cs="宋体"/>
                <w:b/>
                <w:bCs/>
                <w:color w:val="000000" w:themeColor="text1"/>
                <w:sz w:val="21"/>
                <w:szCs w:val="21"/>
                <w:highlight w:val="none"/>
                <w14:textFill>
                  <w14:solidFill>
                    <w14:schemeClr w14:val="tx1"/>
                  </w14:solidFill>
                </w14:textFill>
              </w:rPr>
              <w:t>流动性管理需要和监管要求配置不低于5%的高流动性资产。</w:t>
            </w:r>
          </w:p>
          <w:p>
            <w:pPr>
              <w:widowControl/>
              <w:spacing w:line="360" w:lineRule="auto"/>
              <w:jc w:val="left"/>
              <w:rPr>
                <w:rFonts w:hint="eastAsia" w:ascii="宋体" w:hAnsi="宋体" w:cs="宋体"/>
                <w:b/>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管理人有权根据市场情况及</w:t>
            </w:r>
            <w:r>
              <w:rPr>
                <w:rFonts w:hint="eastAsia" w:ascii="宋体" w:hAnsi="宋体" w:cs="宋体"/>
                <w:color w:val="000000" w:themeColor="text1"/>
                <w:sz w:val="21"/>
                <w:szCs w:val="21"/>
                <w:highlight w:val="none"/>
                <w:lang w:eastAsia="zh-CN"/>
                <w14:textFill>
                  <w14:solidFill>
                    <w14:schemeClr w14:val="tx1"/>
                  </w14:solidFill>
                </w14:textFill>
              </w:rPr>
              <w:t>理财计划</w:t>
            </w:r>
            <w:r>
              <w:rPr>
                <w:rFonts w:hint="eastAsia" w:ascii="宋体" w:hAnsi="宋体" w:cs="宋体"/>
                <w:color w:val="000000" w:themeColor="text1"/>
                <w:sz w:val="21"/>
                <w:szCs w:val="21"/>
                <w:highlight w:val="none"/>
                <w14:textFill>
                  <w14:solidFill>
                    <w14:schemeClr w14:val="tx1"/>
                  </w14:solidFill>
                </w14:textFill>
              </w:rPr>
              <w:t>运作情况调整业绩基准，并至少于新业绩基准启用前</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kern w:val="0"/>
                <w:sz w:val="21"/>
                <w:szCs w:val="21"/>
                <w:highlight w:val="none"/>
                <w:lang w:val="en-US" w:eastAsia="zh-CN"/>
                <w14:textFill>
                  <w14:solidFill>
                    <w14:schemeClr w14:val="tx1"/>
                  </w14:solidFill>
                </w14:textFill>
              </w:rPr>
              <w:t>2</w:t>
            </w:r>
            <w:r>
              <w:rPr>
                <w:rFonts w:hint="eastAsia" w:ascii="宋体" w:hAnsi="宋体" w:cs="宋体"/>
                <w:color w:val="000000" w:themeColor="text1"/>
                <w:kern w:val="0"/>
                <w:sz w:val="21"/>
                <w:szCs w:val="21"/>
                <w:highlight w:val="none"/>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个工作日公告。</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b/>
                <w:color w:val="000000" w:themeColor="text1"/>
                <w:sz w:val="21"/>
                <w:szCs w:val="21"/>
                <w:highlight w:val="none"/>
                <w14:textFill>
                  <w14:solidFill>
                    <w14:schemeClr w14:val="tx1"/>
                  </w14:solidFill>
                </w14:textFill>
              </w:rPr>
              <w:t>本理财计划为净值型理财产品，其业绩表现将随市场波动具有不确定性。本公司提醒投资者关注，业绩比较基准</w:t>
            </w:r>
            <w:r>
              <w:rPr>
                <w:rFonts w:hint="eastAsia" w:ascii="宋体" w:hAnsi="宋体" w:cs="宋体"/>
                <w:b/>
                <w:color w:val="000000" w:themeColor="text1"/>
                <w:sz w:val="21"/>
                <w:szCs w:val="21"/>
                <w:highlight w:val="none"/>
                <w:lang w:eastAsia="zh-CN"/>
                <w14:textFill>
                  <w14:solidFill>
                    <w14:schemeClr w14:val="tx1"/>
                  </w14:solidFill>
                </w14:textFill>
              </w:rPr>
              <w:t>不是预期收益率，</w:t>
            </w:r>
            <w:r>
              <w:rPr>
                <w:rFonts w:hint="eastAsia" w:ascii="宋体" w:hAnsi="宋体" w:cs="宋体"/>
                <w:b/>
                <w:color w:val="000000" w:themeColor="text1"/>
                <w:sz w:val="21"/>
                <w:szCs w:val="21"/>
                <w:highlight w:val="none"/>
                <w14:textFill>
                  <w14:solidFill>
                    <w14:schemeClr w14:val="tx1"/>
                  </w14:solidFill>
                </w14:textFill>
              </w:rPr>
              <w:t>并不代表</w:t>
            </w:r>
            <w:r>
              <w:rPr>
                <w:rFonts w:hint="eastAsia" w:ascii="宋体" w:hAnsi="宋体" w:cs="宋体"/>
                <w:b/>
                <w:color w:val="000000" w:themeColor="text1"/>
                <w:sz w:val="21"/>
                <w:szCs w:val="21"/>
                <w:highlight w:val="none"/>
                <w:lang w:eastAsia="zh-CN"/>
                <w14:textFill>
                  <w14:solidFill>
                    <w14:schemeClr w14:val="tx1"/>
                  </w14:solidFill>
                </w14:textFill>
              </w:rPr>
              <w:t>理财计划的未来表现和</w:t>
            </w:r>
            <w:r>
              <w:rPr>
                <w:rFonts w:hint="eastAsia" w:ascii="宋体" w:hAnsi="宋体" w:cs="宋体"/>
                <w:b/>
                <w:color w:val="000000" w:themeColor="text1"/>
                <w:sz w:val="21"/>
                <w:szCs w:val="21"/>
                <w:highlight w:val="none"/>
                <w14:textFill>
                  <w14:solidFill>
                    <w14:schemeClr w14:val="tx1"/>
                  </w14:solidFill>
                </w14:textFill>
              </w:rPr>
              <w:t>实际收益率</w:t>
            </w:r>
            <w:r>
              <w:rPr>
                <w:rFonts w:hint="eastAsia" w:ascii="宋体" w:hAnsi="宋体" w:cs="宋体"/>
                <w:b/>
                <w:color w:val="000000" w:themeColor="text1"/>
                <w:sz w:val="21"/>
                <w:szCs w:val="21"/>
                <w:highlight w:val="none"/>
                <w:lang w:eastAsia="zh-CN"/>
                <w14:textFill>
                  <w14:solidFill>
                    <w14:schemeClr w14:val="tx1"/>
                  </w14:solidFill>
                </w14:textFill>
              </w:rPr>
              <w:t>，不构成对理财计划收益的承诺</w:t>
            </w:r>
            <w:r>
              <w:rPr>
                <w:rFonts w:hint="eastAsia" w:ascii="宋体" w:hAnsi="宋体" w:cs="宋体"/>
                <w:b/>
                <w:color w:val="000000" w:themeColor="text1"/>
                <w:sz w:val="2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产品费用</w:t>
            </w:r>
          </w:p>
        </w:tc>
        <w:tc>
          <w:tcPr>
            <w:tcW w:w="7185" w:type="dxa"/>
            <w:noWrap w:val="0"/>
            <w:vAlign w:val="center"/>
          </w:tcPr>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C</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0.10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0.20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F</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0.15</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N</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Z</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0.30</w:t>
            </w:r>
            <w:r>
              <w:rPr>
                <w:rFonts w:hint="eastAsia"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lang w:eastAsia="zh-CN"/>
                <w14:textFill>
                  <w14:solidFill>
                    <w14:schemeClr w14:val="tx1"/>
                  </w14:solidFill>
                </w14:textFill>
              </w:rPr>
              <w:t>销售服务费</w:t>
            </w:r>
            <w:r>
              <w:rPr>
                <w:rFonts w:hint="eastAsia" w:ascii="宋体" w:hAnsi="宋体" w:cs="宋体"/>
                <w:color w:val="000000" w:themeColor="text1"/>
                <w:sz w:val="21"/>
                <w:szCs w:val="21"/>
                <w:highlight w:val="none"/>
                <w14:textFill>
                  <w14:solidFill>
                    <w14:schemeClr w14:val="tx1"/>
                  </w14:solidFill>
                </w14:textFill>
              </w:rPr>
              <w:t>。</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2.托管费：收取年化〖</w:t>
            </w:r>
            <w:r>
              <w:rPr>
                <w:rFonts w:hint="eastAsia" w:ascii="宋体" w:hAnsi="宋体" w:cs="宋体"/>
                <w:color w:val="000000" w:themeColor="text1"/>
                <w:sz w:val="21"/>
                <w:szCs w:val="21"/>
                <w:highlight w:val="none"/>
                <w:lang w:val="en-US" w:eastAsia="zh-CN"/>
                <w14:textFill>
                  <w14:solidFill>
                    <w14:schemeClr w14:val="tx1"/>
                  </w14:solidFill>
                </w14:textFill>
              </w:rPr>
              <w:t>0.025</w:t>
            </w:r>
            <w:r>
              <w:rPr>
                <w:rFonts w:hint="eastAsia" w:ascii="宋体" w:hAnsi="宋体" w:cs="宋体"/>
                <w:color w:val="000000" w:themeColor="text1"/>
                <w:sz w:val="21"/>
                <w:szCs w:val="21"/>
                <w:highlight w:val="none"/>
                <w14:textFill>
                  <w14:solidFill>
                    <w14:schemeClr w14:val="tx1"/>
                  </w14:solidFill>
                </w14:textFill>
              </w:rPr>
              <w:t>%〗的托管费。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3.固定管理费：〖</w:t>
            </w:r>
            <w:r>
              <w:rPr>
                <w:rFonts w:hint="eastAsia" w:ascii="宋体" w:hAnsi="宋体" w:cs="宋体"/>
                <w:color w:val="000000" w:themeColor="text1"/>
                <w:sz w:val="21"/>
                <w:szCs w:val="21"/>
                <w:highlight w:val="none"/>
                <w:lang w:val="en-US" w:eastAsia="zh-CN"/>
                <w14:textFill>
                  <w14:solidFill>
                    <w14:schemeClr w14:val="tx1"/>
                  </w14:solidFill>
                </w14:textFill>
              </w:rPr>
              <w:t>A</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B</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C</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E</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0.50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F</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N</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Z</w:t>
            </w:r>
            <w:r>
              <w:rPr>
                <w:rFonts w:hint="eastAsia" w:ascii="宋体" w:hAnsi="宋体" w:cs="宋体"/>
                <w:bCs/>
                <w:color w:val="000000" w:themeColor="text1"/>
                <w:sz w:val="21"/>
                <w:szCs w:val="21"/>
                <w:highlight w:val="none"/>
                <w:lang w:val="en-US" w:eastAsia="zh-CN"/>
                <w14:textFill>
                  <w14:solidFill>
                    <w14:schemeClr w14:val="tx1"/>
                  </w14:solidFill>
                </w14:textFill>
              </w:rPr>
              <w:t>份额</w:t>
            </w:r>
            <w:r>
              <w:rPr>
                <w:rFonts w:hint="eastAsia" w:ascii="宋体" w:hAnsi="宋体" w:cs="宋体"/>
                <w:color w:val="000000" w:themeColor="text1"/>
                <w:sz w:val="21"/>
                <w:szCs w:val="21"/>
                <w:highlight w:val="none"/>
                <w14:textFill>
                  <w14:solidFill>
                    <w14:schemeClr w14:val="tx1"/>
                  </w14:solidFill>
                </w14:textFill>
              </w:rPr>
              <w:t>〗收取年化〖</w:t>
            </w:r>
            <w:r>
              <w:rPr>
                <w:rFonts w:hint="eastAsia" w:ascii="宋体" w:hAnsi="宋体" w:cs="宋体"/>
                <w:color w:val="000000" w:themeColor="text1"/>
                <w:sz w:val="21"/>
                <w:szCs w:val="21"/>
                <w:highlight w:val="none"/>
                <w:lang w:val="en-US" w:eastAsia="zh-CN"/>
                <w14:textFill>
                  <w14:solidFill>
                    <w14:schemeClr w14:val="tx1"/>
                  </w14:solidFill>
                </w14:textFill>
              </w:rPr>
              <w:t>0.40</w:t>
            </w:r>
            <w:r>
              <w:rPr>
                <w:rFonts w:hint="eastAsia" w:ascii="宋体" w:hAnsi="宋体" w:cs="宋体"/>
                <w:color w:val="000000" w:themeColor="text1"/>
                <w:sz w:val="21"/>
                <w:szCs w:val="21"/>
                <w:highlight w:val="none"/>
                <w14:textFill>
                  <w14:solidFill>
                    <w14:schemeClr w14:val="tx1"/>
                  </w14:solidFill>
                </w14:textFill>
              </w:rPr>
              <w:t>%〗的固定管理费。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4.认购费：本理财计划免除认购费。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5.申购费：</w:t>
            </w:r>
            <w:r>
              <w:rPr>
                <w:rFonts w:hint="eastAsia" w:ascii="宋体" w:hAnsi="宋体" w:cs="宋体"/>
                <w:color w:val="000000" w:themeColor="text1"/>
                <w:sz w:val="21"/>
                <w:szCs w:val="21"/>
                <w:highlight w:val="none"/>
                <w14:textFill>
                  <w14:solidFill>
                    <w14:schemeClr w14:val="tx1"/>
                  </w14:solidFill>
                </w14:textFill>
              </w:rPr>
              <w:t>本理财计划免除申购费。</w:t>
            </w:r>
          </w:p>
          <w:p>
            <w:pPr>
              <w:widowControl/>
              <w:spacing w:line="360" w:lineRule="auto"/>
              <w:contextualSpacing/>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6.赎回费：</w:t>
            </w:r>
            <w:r>
              <w:rPr>
                <w:rFonts w:hint="eastAsia" w:ascii="宋体" w:hAnsi="宋体" w:cs="宋体"/>
                <w:color w:val="000000" w:themeColor="text1"/>
                <w:sz w:val="21"/>
                <w:szCs w:val="21"/>
                <w:highlight w:val="none"/>
                <w14:textFill>
                  <w14:solidFill>
                    <w14:schemeClr w14:val="tx1"/>
                  </w14:solidFill>
                </w14:textFill>
              </w:rPr>
              <w:t>本理财计划免除赎回费。</w:t>
            </w:r>
          </w:p>
          <w:p>
            <w:pPr>
              <w:widowControl/>
              <w:spacing w:line="360" w:lineRule="auto"/>
              <w:contextualSpacing/>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7.浮动管理费</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14:textFill>
                  <w14:solidFill>
                    <w14:schemeClr w14:val="tx1"/>
                  </w14:solidFill>
                </w14:textFill>
              </w:rPr>
              <w:t>本理财计划免除</w:t>
            </w:r>
            <w:r>
              <w:rPr>
                <w:rFonts w:hint="eastAsia" w:ascii="宋体" w:hAnsi="宋体" w:cs="宋体"/>
                <w:b/>
                <w:color w:val="000000" w:themeColor="text1"/>
                <w:sz w:val="21"/>
                <w:szCs w:val="21"/>
                <w:highlight w:val="none"/>
                <w14:textFill>
                  <w14:solidFill>
                    <w14:schemeClr w14:val="tx1"/>
                  </w14:solidFill>
                </w14:textFill>
              </w:rPr>
              <w:t>浮动管理费。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提前终止</w:t>
            </w:r>
          </w:p>
        </w:tc>
        <w:tc>
          <w:tcPr>
            <w:tcW w:w="7185" w:type="dxa"/>
            <w:noWrap w:val="0"/>
            <w:vAlign w:val="center"/>
          </w:tcPr>
          <w:p>
            <w:pPr>
              <w:widowControl/>
              <w:spacing w:line="360" w:lineRule="auto"/>
              <w:contextualSpacing/>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themeColor="text1"/>
                <w:kern w:val="0"/>
                <w:sz w:val="21"/>
                <w:szCs w:val="21"/>
                <w:highlight w:val="none"/>
                <w:lang w:eastAsia="zh-CN"/>
                <w14:textFill>
                  <w14:solidFill>
                    <w14:schemeClr w14:val="tx1"/>
                  </w14:solidFill>
                </w14:textFill>
              </w:rPr>
              <w:t>全部或部分</w:t>
            </w:r>
            <w:r>
              <w:rPr>
                <w:rFonts w:hint="eastAsia" w:ascii="宋体" w:hAnsi="宋体" w:cs="宋体"/>
                <w:b/>
                <w:color w:val="000000" w:themeColor="text1"/>
                <w:kern w:val="0"/>
                <w:sz w:val="21"/>
                <w:szCs w:val="21"/>
                <w:highlight w:val="none"/>
                <w14:textFill>
                  <w14:solidFill>
                    <w14:schemeClr w14:val="tx1"/>
                  </w14:solidFill>
                </w14:textFill>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税费规定</w:t>
            </w:r>
          </w:p>
        </w:tc>
        <w:tc>
          <w:tcPr>
            <w:tcW w:w="7185" w:type="dxa"/>
            <w:noWrap w:val="0"/>
            <w:vAlign w:val="center"/>
          </w:tcPr>
          <w:p>
            <w:pPr>
              <w:spacing w:line="360" w:lineRule="auto"/>
              <w:outlineLvl w:val="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680" w:type="dxa"/>
            <w:noWrap w:val="0"/>
            <w:vAlign w:val="center"/>
          </w:tcPr>
          <w:p>
            <w:pPr>
              <w:widowControl/>
              <w:spacing w:line="360" w:lineRule="auto"/>
              <w:contextualSpacing/>
              <w:jc w:val="center"/>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融资服务</w:t>
            </w:r>
          </w:p>
        </w:tc>
        <w:tc>
          <w:tcPr>
            <w:tcW w:w="7185" w:type="dxa"/>
            <w:noWrap w:val="0"/>
            <w:vAlign w:val="bottom"/>
          </w:tcPr>
          <w:p>
            <w:pPr>
              <w:spacing w:line="360" w:lineRule="auto"/>
              <w:rPr>
                <w:rFonts w:hint="eastAsia" w:ascii="宋体" w:hAnsi="宋体" w:cs="宋体"/>
                <w:b/>
                <w:color w:val="000000" w:themeColor="text1"/>
                <w:kern w:val="0"/>
                <w:sz w:val="21"/>
                <w:szCs w:val="21"/>
                <w:highlight w:val="none"/>
                <w14:textFill>
                  <w14:solidFill>
                    <w14:schemeClr w14:val="tx1"/>
                  </w14:solidFill>
                </w14:textFill>
              </w:rPr>
            </w:pPr>
            <w:r>
              <w:rPr>
                <w:rFonts w:hint="eastAsia" w:ascii="宋体" w:hAnsi="宋体" w:cs="宋体"/>
                <w:b/>
                <w:color w:val="000000" w:themeColor="text1"/>
                <w:kern w:val="0"/>
                <w:sz w:val="21"/>
                <w:szCs w:val="21"/>
                <w:highlight w:val="none"/>
                <w14:textFill>
                  <w14:solidFill>
                    <w14:schemeClr w14:val="tx1"/>
                  </w14:solidFill>
                </w14:textFill>
              </w:rPr>
              <w:t>投资者在理财期限内不能提前</w:t>
            </w:r>
            <w:r>
              <w:rPr>
                <w:rFonts w:hint="eastAsia" w:ascii="宋体" w:hAnsi="宋体" w:cs="宋体"/>
                <w:b/>
                <w:color w:val="000000" w:themeColor="text1"/>
                <w:kern w:val="0"/>
                <w:sz w:val="21"/>
                <w:szCs w:val="21"/>
                <w:highlight w:val="none"/>
                <w:lang w:eastAsia="zh-CN"/>
                <w14:textFill>
                  <w14:solidFill>
                    <w14:schemeClr w14:val="tx1"/>
                  </w14:solidFill>
                </w14:textFill>
              </w:rPr>
              <w:t>赎回</w:t>
            </w:r>
            <w:r>
              <w:rPr>
                <w:rFonts w:hint="eastAsia" w:ascii="宋体" w:hAnsi="宋体" w:cs="宋体"/>
                <w:b/>
                <w:color w:val="000000" w:themeColor="text1"/>
                <w:kern w:val="0"/>
                <w:sz w:val="21"/>
                <w:szCs w:val="21"/>
                <w:highlight w:val="none"/>
                <w14:textFill>
                  <w14:solidFill>
                    <w14:schemeClr w14:val="tx1"/>
                  </w14:solidFill>
                </w14:textFill>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68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其他规定</w:t>
            </w:r>
          </w:p>
        </w:tc>
        <w:tc>
          <w:tcPr>
            <w:tcW w:w="7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认购期内按照活期存款利率计息，认购期内的利息不计入认购本金份额。到期日（或理财计划实际终止日）到理财资金返还到账日为清算期，清算期内不计付利息。</w:t>
            </w:r>
            <w:r>
              <w:rPr>
                <w:rFonts w:hint="eastAsia" w:ascii="宋体" w:hAnsi="宋体" w:cs="宋体"/>
                <w:color w:val="000000" w:themeColor="text1"/>
                <w:kern w:val="0"/>
                <w:sz w:val="21"/>
                <w:szCs w:val="21"/>
                <w:highlight w:val="none"/>
                <w14:textFill>
                  <w14:solidFill>
                    <w14:schemeClr w14:val="tx1"/>
                  </w14:solidFill>
                </w14:textFill>
              </w:rPr>
              <w:t>（具体以销售机构规定为准）</w:t>
            </w:r>
          </w:p>
          <w:p>
            <w:pPr>
              <w:spacing w:line="360" w:lineRule="auto"/>
              <w:rPr>
                <w:rFonts w:hint="eastAsia"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管理人有权根据市场情况和本理财计划运作情况，对本理财计划的收费项目、条件、标准和方式进行调整。</w:t>
            </w:r>
          </w:p>
        </w:tc>
      </w:tr>
    </w:tbl>
    <w:p>
      <w:pPr>
        <w:spacing w:line="360" w:lineRule="auto"/>
        <w:rPr>
          <w:rFonts w:hint="eastAsia" w:ascii="宋体" w:hAnsi="宋体" w:cs="宋体"/>
          <w:b/>
          <w:color w:val="000000" w:themeColor="text1"/>
          <w:sz w:val="24"/>
          <w:highlight w:val="none"/>
          <w14:textFill>
            <w14:solidFill>
              <w14:schemeClr w14:val="tx1"/>
            </w14:solidFill>
          </w14:textFill>
        </w:rPr>
      </w:pPr>
      <w:r>
        <w:rPr>
          <w:rFonts w:hint="eastAsia" w:ascii="宋体" w:hAnsi="宋体"/>
          <w:b/>
          <w:color w:val="000000" w:themeColor="text1"/>
          <w:sz w:val="24"/>
          <w:highlight w:val="none"/>
          <w14:textFill>
            <w14:solidFill>
              <w14:schemeClr w14:val="tx1"/>
            </w14:solidFill>
          </w14:textFill>
        </w:rPr>
        <w:t>特别说明：</w:t>
      </w:r>
      <w:r>
        <w:rPr>
          <w:rFonts w:hint="eastAsia" w:ascii="宋体" w:hAnsi="宋体" w:cs="宋体"/>
          <w:b/>
          <w:color w:val="000000" w:themeColor="text1"/>
          <w:sz w:val="24"/>
          <w:highlight w:val="none"/>
          <w14:textFill>
            <w14:solidFill>
              <w14:schemeClr w14:val="tx1"/>
            </w14:solidFill>
          </w14:textFill>
        </w:rPr>
        <w:t>本理财计划属于净值型理财产品，投资须谨慎。管理人对理财本金及收益不提供保证承诺，请投资者基于自身的独立判断进行投资决策。</w:t>
      </w:r>
    </w:p>
    <w:p>
      <w:pPr>
        <w:spacing w:line="360" w:lineRule="auto"/>
        <w:rPr>
          <w:rFonts w:hint="eastAsia" w:ascii="宋体" w:hAnsi="宋体" w:cs="宋体"/>
          <w:b/>
          <w:color w:val="000000" w:themeColor="text1"/>
          <w:sz w:val="24"/>
          <w:highlight w:val="none"/>
          <w14:textFill>
            <w14:solidFill>
              <w14:schemeClr w14:val="tx1"/>
            </w14:solidFill>
          </w14:textFill>
        </w:rPr>
      </w:pPr>
    </w:p>
    <w:p>
      <w:pPr>
        <w:numPr>
          <w:ilvl w:val="0"/>
          <w:numId w:val="19"/>
        </w:numPr>
        <w:spacing w:line="360" w:lineRule="auto"/>
        <w:ind w:firstLine="482" w:firstLineChars="200"/>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投资管理</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投资范围</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本理财计划主要投资于符合监管要求的各类资产：</w:t>
      </w:r>
    </w:p>
    <w:p>
      <w:pPr>
        <w:numPr>
          <w:ilvl w:val="0"/>
          <w:numId w:val="2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固定收益类资产：包括但不限于各类债券、存款、货币市场金融工具、债券基金、质押式及买断式回购，其他符合监管要求的固定收益类资产及资产管理产品。</w:t>
      </w:r>
    </w:p>
    <w:p>
      <w:pPr>
        <w:numPr>
          <w:ilvl w:val="0"/>
          <w:numId w:val="2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权益类资产：包括国内发行上市优先股</w:t>
      </w:r>
      <w:r>
        <w:rPr>
          <w:rFonts w:hint="eastAsia" w:ascii="宋体" w:hAnsi="宋体" w:cs="宋体"/>
          <w:bCs/>
          <w:color w:val="000000" w:themeColor="text1"/>
          <w:sz w:val="24"/>
          <w:highlight w:val="none"/>
          <w:lang w:eastAsia="zh-CN"/>
          <w14:textFill>
            <w14:solidFill>
              <w14:schemeClr w14:val="tx1"/>
            </w14:solidFill>
          </w14:textFill>
        </w:rPr>
        <w:t>及相关资产的</w:t>
      </w:r>
      <w:r>
        <w:rPr>
          <w:rFonts w:hint="eastAsia" w:ascii="宋体" w:hAnsi="宋体" w:cs="宋体"/>
          <w:bCs/>
          <w:color w:val="000000" w:themeColor="text1"/>
          <w:sz w:val="24"/>
          <w:highlight w:val="none"/>
          <w14:textFill>
            <w14:solidFill>
              <w14:schemeClr w14:val="tx1"/>
            </w14:solidFill>
          </w14:textFill>
        </w:rPr>
        <w:t>资产管理产品。</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投资比例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本理财计划各投资资产占</w:t>
      </w:r>
      <w:r>
        <w:rPr>
          <w:rFonts w:hint="eastAsia" w:ascii="宋体" w:hAnsi="宋体" w:cs="宋体"/>
          <w:bCs/>
          <w:color w:val="000000" w:themeColor="text1"/>
          <w:sz w:val="24"/>
          <w:highlight w:val="none"/>
          <w:lang w:eastAsia="zh-CN"/>
          <w14:textFill>
            <w14:solidFill>
              <w14:schemeClr w14:val="tx1"/>
            </w14:solidFill>
          </w14:textFill>
        </w:rPr>
        <w:t>总</w:t>
      </w:r>
      <w:r>
        <w:rPr>
          <w:rFonts w:hint="eastAsia" w:ascii="宋体" w:hAnsi="宋体" w:cs="宋体"/>
          <w:bCs/>
          <w:color w:val="000000" w:themeColor="text1"/>
          <w:sz w:val="24"/>
          <w:highlight w:val="none"/>
          <w14:textFill>
            <w14:solidFill>
              <w14:schemeClr w14:val="tx1"/>
            </w14:solidFill>
          </w14:textFill>
        </w:rPr>
        <w:t>资产的配置比例如下：</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rPr>
                <w:rFonts w:ascii="宋体" w:hAnsi="宋体" w:cs="宋体"/>
                <w:bCs/>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投资资产</w:t>
            </w:r>
          </w:p>
        </w:tc>
        <w:tc>
          <w:tcPr>
            <w:tcW w:w="1996"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大类资产类型</w:t>
            </w: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固定收益类资产</w:t>
            </w:r>
          </w:p>
        </w:tc>
        <w:tc>
          <w:tcPr>
            <w:tcW w:w="1996"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权益类资产</w:t>
            </w:r>
          </w:p>
        </w:tc>
        <w:tc>
          <w:tcPr>
            <w:tcW w:w="1996"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center"/>
              <w:rPr>
                <w:rFonts w:ascii="宋体" w:hAnsi="宋体" w:cs="宋体"/>
                <w:b/>
                <w:bCs w:val="0"/>
                <w:color w:val="000000" w:themeColor="text1"/>
                <w:sz w:val="21"/>
                <w:szCs w:val="21"/>
                <w:highlight w:val="none"/>
                <w14:textFill>
                  <w14:solidFill>
                    <w14:schemeClr w14:val="tx1"/>
                  </w14:solidFill>
                </w14:textFill>
              </w:rPr>
            </w:pPr>
          </w:p>
        </w:tc>
        <w:tc>
          <w:tcPr>
            <w:tcW w:w="4740" w:type="dxa"/>
            <w:noWrap w:val="0"/>
            <w:vAlign w:val="top"/>
          </w:tcPr>
          <w:p>
            <w:pPr>
              <w:spacing w:line="360" w:lineRule="auto"/>
              <w:jc w:val="center"/>
              <w:rPr>
                <w:rFonts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其他符合监管要求</w:t>
            </w:r>
            <w:r>
              <w:rPr>
                <w:rFonts w:hint="eastAsia" w:ascii="宋体" w:hAnsi="宋体" w:cs="宋体"/>
                <w:bCs/>
                <w:color w:val="000000" w:themeColor="text1"/>
                <w:sz w:val="21"/>
                <w:szCs w:val="21"/>
                <w:highlight w:val="none"/>
                <w14:textFill>
                  <w14:solidFill>
                    <w14:schemeClr w14:val="tx1"/>
                  </w14:solidFill>
                </w14:textFill>
              </w:rPr>
              <w:t>资产</w:t>
            </w:r>
          </w:p>
        </w:tc>
        <w:tc>
          <w:tcPr>
            <w:tcW w:w="1996" w:type="dxa"/>
            <w:noWrap w:val="0"/>
            <w:vAlign w:val="center"/>
          </w:tcPr>
          <w:p>
            <w:pPr>
              <w:spacing w:line="360" w:lineRule="auto"/>
              <w:jc w:val="center"/>
              <w:rPr>
                <w:rFonts w:hint="eastAsia" w:ascii="宋体" w:hAnsi="宋体" w:cs="宋体"/>
                <w:b/>
                <w:bCs w:val="0"/>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0-20%</w:t>
            </w:r>
          </w:p>
        </w:tc>
      </w:tr>
    </w:tbl>
    <w:p>
      <w:pPr>
        <w:pStyle w:val="17"/>
        <w:adjustRightInd/>
        <w:spacing w:line="360" w:lineRule="auto"/>
        <w:ind w:firstLine="456" w:firstLineChars="19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val="en-US" w:eastAsia="zh-CN"/>
          <w14:textFill>
            <w14:solidFill>
              <w14:schemeClr w14:val="tx1"/>
            </w14:solidFill>
          </w14:textFill>
        </w:rPr>
        <w:t>本理财计划特殊资产类型为基于大类资产类型项下的进一步细化分类，其配置比例不得超过大类资产配置比例。</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本理财计划自成立日起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1</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投资策略</w:t>
      </w:r>
    </w:p>
    <w:p>
      <w:pPr>
        <w:pStyle w:val="17"/>
        <w:numPr>
          <w:ilvl w:val="0"/>
          <w:numId w:val="22"/>
        </w:numPr>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lang w:val="en-US" w:eastAsia="zh-CN"/>
          <w14:textFill>
            <w14:solidFill>
              <w14:schemeClr w14:val="tx1"/>
            </w14:solidFill>
          </w14:textFill>
        </w:rPr>
        <w:t>大类</w:t>
      </w:r>
      <w:r>
        <w:rPr>
          <w:rFonts w:hint="eastAsia" w:ascii="宋体" w:hAnsi="宋体" w:cs="宋体"/>
          <w:bCs/>
          <w:color w:val="000000" w:themeColor="text1"/>
          <w:kern w:val="2"/>
          <w:highlight w:val="none"/>
          <w14:textFill>
            <w14:solidFill>
              <w14:schemeClr w14:val="tx1"/>
            </w14:solidFill>
          </w14:textFill>
        </w:rPr>
        <w:t>资产配置策略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管理人通过对宏观经济运行状况、国家政策、货币政策、产业政策、市场资金环境及证券市场环境的分析来判断经济周期的阶段和位置，通过定量和定性相结合的方式进行</w:t>
      </w:r>
      <w:r>
        <w:rPr>
          <w:rFonts w:hint="eastAsia" w:ascii="宋体" w:hAnsi="宋体" w:cs="宋体"/>
          <w:bCs/>
          <w:color w:val="000000" w:themeColor="text1"/>
          <w:kern w:val="2"/>
          <w:highlight w:val="none"/>
          <w:lang w:val="en-US" w:eastAsia="zh-CN"/>
          <w14:textFill>
            <w14:solidFill>
              <w14:schemeClr w14:val="tx1"/>
            </w14:solidFill>
          </w14:textFill>
        </w:rPr>
        <w:t>大类</w:t>
      </w:r>
      <w:r>
        <w:rPr>
          <w:rFonts w:hint="eastAsia" w:ascii="宋体" w:hAnsi="宋体" w:cs="宋体"/>
          <w:bCs/>
          <w:color w:val="000000" w:themeColor="text1"/>
          <w:kern w:val="2"/>
          <w:highlight w:val="none"/>
          <w14:textFill>
            <w14:solidFill>
              <w14:schemeClr w14:val="tx1"/>
            </w14:solidFill>
          </w14:textFill>
        </w:rPr>
        <w:t>资产管理</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14:textFill>
            <w14:solidFill>
              <w14:schemeClr w14:val="tx1"/>
            </w14:solidFill>
          </w14:textFill>
        </w:rPr>
        <w:t>主动判断市场时机进行资产配置，确定在</w:t>
      </w:r>
      <w:r>
        <w:rPr>
          <w:rFonts w:hint="eastAsia"/>
          <w:color w:val="000000" w:themeColor="text1"/>
          <w:highlight w:val="none"/>
          <w:lang w:val="en-US" w:eastAsia="zh-CN"/>
          <w14:textFill>
            <w14:solidFill>
              <w14:schemeClr w14:val="tx1"/>
            </w14:solidFill>
          </w14:textFill>
        </w:rPr>
        <w:t>存款、存单、</w:t>
      </w:r>
      <w:r>
        <w:rPr>
          <w:rFonts w:hint="eastAsia" w:ascii="宋体" w:hAnsi="宋体" w:cs="宋体"/>
          <w:bCs/>
          <w:color w:val="000000" w:themeColor="text1"/>
          <w:kern w:val="2"/>
          <w:highlight w:val="none"/>
          <w14:textFill>
            <w14:solidFill>
              <w14:schemeClr w14:val="tx1"/>
            </w14:solidFill>
          </w14:textFill>
        </w:rPr>
        <w:t>债券</w:t>
      </w:r>
      <w:r>
        <w:rPr>
          <w:rFonts w:hint="eastAsia" w:ascii="宋体" w:hAnsi="宋体" w:cs="宋体"/>
          <w:bCs/>
          <w:color w:val="000000" w:themeColor="text1"/>
          <w:kern w:val="2"/>
          <w:highlight w:val="none"/>
          <w:lang w:eastAsia="zh-CN"/>
          <w14:textFill>
            <w14:solidFill>
              <w14:schemeClr w14:val="tx1"/>
            </w14:solidFill>
          </w14:textFill>
        </w:rPr>
        <w:t>、</w:t>
      </w:r>
      <w:r>
        <w:rPr>
          <w:rFonts w:hint="eastAsia" w:ascii="宋体" w:hAnsi="宋体" w:cs="宋体"/>
          <w:bCs/>
          <w:color w:val="000000" w:themeColor="text1"/>
          <w:kern w:val="2"/>
          <w:highlight w:val="none"/>
          <w:lang w:val="en-US" w:eastAsia="zh-CN"/>
          <w14:textFill>
            <w14:solidFill>
              <w14:schemeClr w14:val="tx1"/>
            </w14:solidFill>
          </w14:textFill>
        </w:rPr>
        <w:t>优先股</w:t>
      </w:r>
      <w:r>
        <w:rPr>
          <w:rFonts w:hint="eastAsia" w:ascii="宋体" w:hAnsi="宋体" w:cs="宋体"/>
          <w:bCs/>
          <w:color w:val="000000" w:themeColor="text1"/>
          <w:kern w:val="2"/>
          <w:highlight w:val="none"/>
          <w14:textFill>
            <w14:solidFill>
              <w14:schemeClr w14:val="tx1"/>
            </w14:solidFill>
          </w14:textFill>
        </w:rPr>
        <w:t>等各类资产上的投资比例。</w:t>
      </w:r>
    </w:p>
    <w:p>
      <w:pPr>
        <w:numPr>
          <w:ilvl w:val="0"/>
          <w:numId w:val="23"/>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债券投资策略</w:t>
      </w:r>
    </w:p>
    <w:p>
      <w:pPr>
        <w:pStyle w:val="17"/>
        <w:adjustRightInd/>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管理人本着稳健投资的理念，基于宏观经济形势、货币政策、固定收益资产价格走势，采用安全性和流动性优先、优选投资品种，</w:t>
      </w:r>
      <w:r>
        <w:rPr>
          <w:rFonts w:hint="eastAsia" w:ascii="宋体" w:hAnsi="宋体" w:cs="宋体"/>
          <w:bCs/>
          <w:color w:val="000000" w:themeColor="text1"/>
          <w:kern w:val="2"/>
          <w:highlight w:val="none"/>
          <w:lang w:val="en-US" w:eastAsia="zh-CN"/>
          <w14:textFill>
            <w14:solidFill>
              <w14:schemeClr w14:val="tx1"/>
            </w14:solidFill>
          </w14:textFill>
        </w:rPr>
        <w:t>综合运用信用策略、久期策略、杠杆策略、曲线策略、交易策略等</w:t>
      </w:r>
      <w:r>
        <w:rPr>
          <w:rFonts w:hint="eastAsia" w:ascii="宋体" w:hAnsi="宋体" w:cs="宋体"/>
          <w:bCs/>
          <w:color w:val="000000" w:themeColor="text1"/>
          <w:kern w:val="2"/>
          <w:highlight w:val="none"/>
          <w14:textFill>
            <w14:solidFill>
              <w14:schemeClr w14:val="tx1"/>
            </w14:solidFill>
          </w14:textFill>
        </w:rPr>
        <w:t>。</w:t>
      </w:r>
    </w:p>
    <w:p>
      <w:pPr>
        <w:numPr>
          <w:ilvl w:val="0"/>
          <w:numId w:val="23"/>
        </w:numPr>
        <w:spacing w:line="360" w:lineRule="auto"/>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权益</w:t>
      </w:r>
      <w:r>
        <w:rPr>
          <w:rFonts w:hint="eastAsia" w:ascii="宋体" w:hAnsi="宋体" w:cs="宋体"/>
          <w:bCs/>
          <w:color w:val="000000" w:themeColor="text1"/>
          <w:sz w:val="24"/>
          <w:highlight w:val="none"/>
          <w:lang w:val="en-US" w:eastAsia="zh-CN"/>
          <w14:textFill>
            <w14:solidFill>
              <w14:schemeClr w14:val="tx1"/>
            </w14:solidFill>
          </w14:textFill>
        </w:rPr>
        <w:t>类</w:t>
      </w:r>
      <w:r>
        <w:rPr>
          <w:rFonts w:hint="eastAsia" w:ascii="宋体" w:hAnsi="宋体" w:cs="宋体"/>
          <w:bCs/>
          <w:color w:val="000000" w:themeColor="text1"/>
          <w:sz w:val="24"/>
          <w:highlight w:val="none"/>
          <w14:textFill>
            <w14:solidFill>
              <w14:schemeClr w14:val="tx1"/>
            </w14:solidFill>
          </w14:textFill>
        </w:rPr>
        <w:t>资产策略</w:t>
      </w:r>
    </w:p>
    <w:p>
      <w:pPr>
        <w:pStyle w:val="17"/>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sz w:val="24"/>
          <w:highlight w:val="none"/>
          <w14:textFill>
            <w14:solidFill>
              <w14:schemeClr w14:val="tx1"/>
            </w14:solidFill>
          </w14:textFill>
        </w:rPr>
        <w:t>管理人</w:t>
      </w:r>
      <w:r>
        <w:rPr>
          <w:rFonts w:hint="eastAsia" w:ascii="宋体" w:hAnsi="宋体" w:cs="宋体"/>
          <w:bCs/>
          <w:color w:val="000000" w:themeColor="text1"/>
          <w:kern w:val="2"/>
          <w:sz w:val="24"/>
          <w:highlight w:val="none"/>
          <w:u w:val="none"/>
          <w:lang w:val="en-US" w:eastAsia="zh-CN"/>
          <w14:textFill>
            <w14:solidFill>
              <w14:schemeClr w14:val="tx1"/>
            </w14:solidFill>
          </w14:textFill>
        </w:rPr>
        <w:t>结合产品流动性和市场情况，择机在组合中配置优先股权益类资产</w:t>
      </w:r>
      <w:r>
        <w:rPr>
          <w:rFonts w:hint="eastAsia" w:ascii="宋体" w:hAnsi="宋体" w:cs="宋体"/>
          <w:bCs/>
          <w:color w:val="000000" w:themeColor="text1"/>
          <w:kern w:val="2"/>
          <w:sz w:val="24"/>
          <w:highlight w:val="none"/>
          <w14:textFill>
            <w14:solidFill>
              <w14:schemeClr w14:val="tx1"/>
            </w14:solidFill>
          </w14:textFill>
        </w:rPr>
        <w:t>。</w:t>
      </w:r>
    </w:p>
    <w:p>
      <w:pPr>
        <w:numPr>
          <w:ilvl w:val="0"/>
          <w:numId w:val="20"/>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投资限制</w:t>
      </w:r>
    </w:p>
    <w:p>
      <w:pPr>
        <w:numPr>
          <w:ilvl w:val="0"/>
          <w:numId w:val="0"/>
        </w:numPr>
        <w:spacing w:line="360" w:lineRule="auto"/>
        <w:ind w:firstLine="480" w:firstLineChars="200"/>
        <w:jc w:val="left"/>
        <w:outlineLvl w:val="2"/>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val="en-US" w:eastAsia="zh-CN"/>
          <w14:textFill>
            <w14:solidFill>
              <w14:schemeClr w14:val="tx1"/>
            </w14:solidFill>
          </w14:textFill>
        </w:rPr>
        <w:t>投资限制中列示的资产品种不代表管理人的实际投向，本理财计划投资范围以“投资范围”章节表述为准。</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投资集中度限制</w:t>
      </w:r>
    </w:p>
    <w:p>
      <w:pPr>
        <w:numPr>
          <w:ilvl w:val="0"/>
          <w:numId w:val="25"/>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本理财计划持有单只证券或单只公募</w:t>
      </w:r>
      <w:r>
        <w:rPr>
          <w:rFonts w:ascii="宋体" w:hAnsi="宋体" w:cs="宋体"/>
          <w:bCs/>
          <w:color w:val="000000" w:themeColor="text1"/>
          <w:sz w:val="24"/>
          <w:highlight w:val="none"/>
          <w14:textFill>
            <w14:solidFill>
              <w14:schemeClr w14:val="tx1"/>
            </w14:solidFill>
          </w14:textFill>
        </w:rPr>
        <w:fldChar w:fldCharType="begin"/>
      </w:r>
      <w:r>
        <w:rPr>
          <w:rFonts w:ascii="宋体" w:hAnsi="宋体" w:cs="宋体"/>
          <w:bCs/>
          <w:color w:val="000000" w:themeColor="text1"/>
          <w:sz w:val="24"/>
          <w:highlight w:val="none"/>
          <w14:textFill>
            <w14:solidFill>
              <w14:schemeClr w14:val="tx1"/>
            </w14:solidFill>
          </w14:textFill>
        </w:rPr>
        <w:instrText xml:space="preserve"> HYPERLINK "https://baike.baidu.com/item/%E8%AF%81%E5%88%B8%E6%8A%95%E8%B5%84%E5%9F%BA%E9%87%91/3746" \t "https://baike.baidu.com/item/%E5%95%86%E4%B8%9A%E9%93%B6%E8%A1%8C%E7%90%86%E8%B4%A2%E4%B8%9A%E5%8A%A1%E7%9B%91%E7%9D%A3%E7%AE%A1%E7%90%86%E5%8A%9E%E6%B3%95/_blank" </w:instrText>
      </w:r>
      <w:r>
        <w:rPr>
          <w:rFonts w:ascii="宋体" w:hAnsi="宋体" w:cs="宋体"/>
          <w:bCs/>
          <w:color w:val="000000" w:themeColor="text1"/>
          <w:sz w:val="24"/>
          <w:highlight w:val="none"/>
          <w14:textFill>
            <w14:solidFill>
              <w14:schemeClr w14:val="tx1"/>
            </w14:solidFill>
          </w14:textFill>
        </w:rPr>
        <w:fldChar w:fldCharType="separate"/>
      </w:r>
      <w:r>
        <w:rPr>
          <w:rFonts w:ascii="宋体" w:hAnsi="宋体" w:cs="宋体"/>
          <w:bCs/>
          <w:color w:val="000000" w:themeColor="text1"/>
          <w:sz w:val="24"/>
          <w:highlight w:val="none"/>
          <w14:textFill>
            <w14:solidFill>
              <w14:schemeClr w14:val="tx1"/>
            </w14:solidFill>
          </w14:textFill>
        </w:rPr>
        <w:t>证券投资基金</w:t>
      </w:r>
      <w:r>
        <w:rPr>
          <w:rFonts w:ascii="宋体" w:hAnsi="宋体" w:cs="宋体"/>
          <w:bCs/>
          <w:color w:val="000000" w:themeColor="text1"/>
          <w:sz w:val="24"/>
          <w:highlight w:val="none"/>
          <w14:textFill>
            <w14:solidFill>
              <w14:schemeClr w14:val="tx1"/>
            </w14:solidFill>
          </w14:textFill>
        </w:rPr>
        <w:fldChar w:fldCharType="end"/>
      </w:r>
      <w:r>
        <w:rPr>
          <w:rFonts w:ascii="宋体" w:hAnsi="宋体" w:cs="宋体"/>
          <w:bCs/>
          <w:color w:val="000000" w:themeColor="text1"/>
          <w:sz w:val="24"/>
          <w:highlight w:val="none"/>
          <w14:textFill>
            <w14:solidFill>
              <w14:schemeClr w14:val="tx1"/>
            </w14:solidFill>
          </w14:textFill>
        </w:rPr>
        <w:t>的市值不得超过该理财</w:t>
      </w:r>
      <w:r>
        <w:rPr>
          <w:rFonts w:hint="eastAsia" w:ascii="宋体" w:hAnsi="宋体" w:cs="宋体"/>
          <w:bCs/>
          <w:color w:val="000000" w:themeColor="text1"/>
          <w:sz w:val="24"/>
          <w:highlight w:val="none"/>
          <w14:textFill>
            <w14:solidFill>
              <w14:schemeClr w14:val="tx1"/>
            </w14:solidFill>
          </w14:textFill>
        </w:rPr>
        <w:t>计划</w:t>
      </w:r>
      <w:r>
        <w:rPr>
          <w:rFonts w:ascii="宋体" w:hAnsi="宋体" w:cs="宋体"/>
          <w:bCs/>
          <w:color w:val="000000" w:themeColor="text1"/>
          <w:sz w:val="24"/>
          <w:highlight w:val="none"/>
          <w14:textFill>
            <w14:solidFill>
              <w14:schemeClr w14:val="tx1"/>
            </w14:solidFill>
          </w14:textFill>
        </w:rPr>
        <w:t>净资产</w:t>
      </w:r>
      <w:r>
        <w:rPr>
          <w:rFonts w:hint="eastAsia" w:ascii="宋体" w:hAnsi="宋体" w:cs="宋体"/>
          <w:bCs/>
          <w:color w:val="000000" w:themeColor="text1"/>
          <w:sz w:val="24"/>
          <w:highlight w:val="none"/>
          <w14:textFill>
            <w14:solidFill>
              <w14:schemeClr w14:val="tx1"/>
            </w14:solidFill>
          </w14:textFill>
        </w:rPr>
        <w:t>的</w:t>
      </w:r>
      <w:r>
        <w:rPr>
          <w:rFonts w:ascii="宋体" w:hAnsi="宋体" w:cs="宋体"/>
          <w:bCs/>
          <w:color w:val="000000" w:themeColor="text1"/>
          <w:sz w:val="24"/>
          <w:highlight w:val="none"/>
          <w14:textFill>
            <w14:solidFill>
              <w14:schemeClr w14:val="tx1"/>
            </w14:solidFill>
          </w14:textFill>
        </w:rPr>
        <w:t>10%</w:t>
      </w:r>
      <w:r>
        <w:rPr>
          <w:rFonts w:hint="eastAsia" w:ascii="宋体" w:hAnsi="宋体" w:cs="宋体"/>
          <w:bCs/>
          <w:color w:val="000000" w:themeColor="text1"/>
          <w:sz w:val="24"/>
          <w:highlight w:val="none"/>
          <w14:textFill>
            <w14:solidFill>
              <w14:schemeClr w14:val="tx1"/>
            </w14:solidFill>
          </w14:textFill>
        </w:rPr>
        <w:t>。</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管理人发行的全部公募理财计划持有单只证券或单只公募证券投资基金的市值，不得超过该证券市值或该公募证券投资基金市值的30%。</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管理人发行的全部理财计划持有单一上市公司发行的股票，不得超过该上市公司可流通股票的30%。</w:t>
      </w:r>
    </w:p>
    <w:p>
      <w:pPr>
        <w:numPr>
          <w:ilvl w:val="0"/>
          <w:numId w:val="2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管理人</w:t>
      </w:r>
      <w:r>
        <w:rPr>
          <w:rFonts w:hint="eastAsia" w:ascii="宋体" w:hAnsi="宋体" w:cs="宋体"/>
          <w:bCs/>
          <w:color w:val="000000" w:themeColor="text1"/>
          <w:sz w:val="24"/>
          <w:highlight w:val="none"/>
          <w14:textFill>
            <w14:solidFill>
              <w14:schemeClr w14:val="tx1"/>
            </w14:solidFill>
          </w14:textFill>
        </w:rPr>
        <w:t>发行的全部</w:t>
      </w:r>
      <w:r>
        <w:rPr>
          <w:rFonts w:hint="eastAsia" w:ascii="宋体" w:hAnsi="宋体"/>
          <w:color w:val="000000" w:themeColor="text1"/>
          <w:sz w:val="24"/>
          <w:highlight w:val="none"/>
          <w14:textFill>
            <w14:solidFill>
              <w14:schemeClr w14:val="tx1"/>
            </w14:solidFill>
          </w14:textFill>
        </w:rPr>
        <w:t>开放式公募</w:t>
      </w:r>
      <w:r>
        <w:rPr>
          <w:rFonts w:hint="eastAsia" w:ascii="宋体" w:hAnsi="宋体" w:cs="宋体"/>
          <w:bCs/>
          <w:color w:val="000000" w:themeColor="text1"/>
          <w:sz w:val="24"/>
          <w:highlight w:val="none"/>
          <w14:textFill>
            <w14:solidFill>
              <w14:schemeClr w14:val="tx1"/>
            </w14:solidFill>
          </w14:textFill>
        </w:rPr>
        <w:t>理财计划</w:t>
      </w:r>
      <w:r>
        <w:rPr>
          <w:rFonts w:hint="eastAsia" w:ascii="宋体" w:hAnsi="宋体"/>
          <w:color w:val="000000" w:themeColor="text1"/>
          <w:sz w:val="24"/>
          <w:highlight w:val="none"/>
          <w14:textFill>
            <w14:solidFill>
              <w14:schemeClr w14:val="tx1"/>
            </w14:solidFill>
          </w14:textFill>
        </w:rPr>
        <w:t>投资单一上市公司发行的股票,不得超过该上市公司可流通股票的15%。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国务院银行业监督管理机构另有规定的除外。</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投资期限限制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本理财计划投资的非标准化债权类资产到期日不得晚于理财计划最近一次开放日。</w:t>
      </w:r>
    </w:p>
    <w:p>
      <w:pPr>
        <w:numPr>
          <w:ilvl w:val="0"/>
          <w:numId w:val="24"/>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投资杠杆率限制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本理财计划的总资产不得超过净资产的140%。</w:t>
      </w:r>
    </w:p>
    <w:p>
      <w:pPr>
        <w:numPr>
          <w:ilvl w:val="0"/>
          <w:numId w:val="26"/>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流动性限制</w:t>
      </w:r>
    </w:p>
    <w:p>
      <w:pPr>
        <w:numPr>
          <w:ilvl w:val="0"/>
          <w:numId w:val="2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本理财计划直接投资于流动性受限资产的市值在开放日不得超过该理财计划资产净值的15%。</w:t>
      </w:r>
    </w:p>
    <w:p>
      <w:pPr>
        <w:numPr>
          <w:ilvl w:val="0"/>
          <w:numId w:val="2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本理财计划还应满足以下限制</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a、c</w:t>
      </w:r>
      <w:r>
        <w:rPr>
          <w:rFonts w:hint="eastAsia" w:ascii="宋体" w:hAnsi="宋体" w:cs="宋体"/>
          <w:bCs/>
          <w:color w:val="000000" w:themeColor="text1"/>
          <w:sz w:val="24"/>
          <w:highlight w:val="none"/>
          <w14:textFill>
            <w14:solidFill>
              <w14:schemeClr w14:val="tx1"/>
            </w14:solidFill>
          </w14:textFill>
        </w:rPr>
        <w:t>】</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w:t>
      </w:r>
      <w:r>
        <w:rPr>
          <w:rFonts w:hint="eastAsia" w:ascii="宋体" w:hAnsi="宋体" w:cs="宋体"/>
          <w:bCs/>
          <w:color w:val="000000" w:themeColor="text1"/>
          <w:sz w:val="24"/>
          <w:highlight w:val="none"/>
          <w14:textFill>
            <w14:solidFill>
              <w14:schemeClr w14:val="tx1"/>
            </w14:solidFill>
          </w14:textFill>
        </w:rPr>
        <w:t>应当持有不低于该理财</w:t>
      </w:r>
      <w:r>
        <w:rPr>
          <w:rFonts w:hint="eastAsia" w:ascii="宋体" w:hAnsi="宋体" w:cs="宋体"/>
          <w:bCs/>
          <w:color w:val="000000" w:themeColor="text1"/>
          <w:sz w:val="24"/>
          <w:highlight w:val="none"/>
          <w:lang w:eastAsia="zh-CN"/>
          <w14:textFill>
            <w14:solidFill>
              <w14:schemeClr w14:val="tx1"/>
            </w14:solidFill>
          </w14:textFill>
        </w:rPr>
        <w:t>计划</w:t>
      </w:r>
      <w:r>
        <w:rPr>
          <w:rFonts w:hint="eastAsia" w:ascii="宋体" w:hAnsi="宋体" w:cs="宋体"/>
          <w:bCs/>
          <w:color w:val="000000" w:themeColor="text1"/>
          <w:sz w:val="24"/>
          <w:highlight w:val="none"/>
          <w14:textFill>
            <w14:solidFill>
              <w14:schemeClr w14:val="tx1"/>
            </w14:solidFill>
          </w14:textFill>
        </w:rPr>
        <w:t>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本理财计划应当在开放日及开放日前7个工作日内持有不低于该理财计划资产净值5%的现金或者到期日在一年以内的国债、中央银行票据和政策性金融债券。</w:t>
      </w:r>
    </w:p>
    <w:p>
      <w:pPr>
        <w:numPr>
          <w:ilvl w:val="0"/>
          <w:numId w:val="28"/>
        </w:numPr>
        <w:spacing w:line="360" w:lineRule="auto"/>
        <w:ind w:firstLine="720" w:firstLineChars="300"/>
        <w:jc w:val="left"/>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本理财计划不存在活跃交易市场，并且需要采用估值技术确定公允价值的资产比例不得超过理财产品净资产50%以上。</w:t>
      </w:r>
    </w:p>
    <w:p>
      <w:pPr>
        <w:numPr>
          <w:ilvl w:val="0"/>
          <w:numId w:val="27"/>
        </w:numPr>
        <w:spacing w:line="360" w:lineRule="auto"/>
        <w:ind w:firstLine="480" w:firstLineChars="200"/>
        <w:jc w:val="left"/>
        <w:rPr>
          <w:rFonts w:hint="default"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在开放日前一工作日内，本理财计划7个工作日可变现资产的可变现价值应当不低于该理财计划资产净值的10%。</w:t>
      </w:r>
    </w:p>
    <w:p>
      <w:pPr>
        <w:numPr>
          <w:ilvl w:val="0"/>
          <w:numId w:val="2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其他投资限制</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rFonts w:ascii="宋体" w:hAnsi="宋体" w:cs="宋体"/>
          <w:bCs/>
          <w:color w:val="000000" w:themeColor="text1"/>
          <w:sz w:val="24"/>
          <w:highlight w:val="none"/>
          <w14:textFill>
            <w14:solidFill>
              <w14:schemeClr w14:val="tx1"/>
            </w14:solidFill>
          </w14:textFill>
        </w:rPr>
        <w:fldChar w:fldCharType="begin"/>
      </w:r>
      <w:r>
        <w:rPr>
          <w:rFonts w:ascii="宋体" w:hAnsi="宋体" w:cs="宋体"/>
          <w:bCs/>
          <w:color w:val="000000" w:themeColor="text1"/>
          <w:sz w:val="24"/>
          <w:highlight w:val="none"/>
          <w14:textFill>
            <w14:solidFill>
              <w14:schemeClr w14:val="tx1"/>
            </w14:solidFill>
          </w14:textFill>
        </w:rPr>
        <w:instrText xml:space="preserve"> HYPERLINK "https://baike.baidu.com/item/%E8%B5%84%E4%BA%A7%E6%94%AF%E6%8C%81%E8%AF%81%E5%88%B8/8989161" \t "https://baike.baidu.com/item/%E5%95%86%E4%B8%9A%E9%93%B6%E8%A1%8C%E7%90%86%E8%B4%A2%E4%B8%9A%E5%8A%A1%E7%9B%91%E7%9D%A3%E7%AE%A1%E7%90%86%E5%8A%9E%E6%B3%95/_blank" </w:instrText>
      </w:r>
      <w:r>
        <w:rPr>
          <w:rFonts w:ascii="宋体" w:hAnsi="宋体" w:cs="宋体"/>
          <w:bCs/>
          <w:color w:val="000000" w:themeColor="text1"/>
          <w:sz w:val="24"/>
          <w:highlight w:val="none"/>
          <w14:textFill>
            <w14:solidFill>
              <w14:schemeClr w14:val="tx1"/>
            </w14:solidFill>
          </w14:textFill>
        </w:rPr>
        <w:fldChar w:fldCharType="separate"/>
      </w:r>
      <w:r>
        <w:rPr>
          <w:rFonts w:ascii="宋体" w:hAnsi="宋体" w:cs="宋体"/>
          <w:bCs/>
          <w:color w:val="000000" w:themeColor="text1"/>
          <w:sz w:val="24"/>
          <w:highlight w:val="none"/>
          <w14:textFill>
            <w14:solidFill>
              <w14:schemeClr w14:val="tx1"/>
            </w14:solidFill>
          </w14:textFill>
        </w:rPr>
        <w:t>资产支持证券</w:t>
      </w:r>
      <w:r>
        <w:rPr>
          <w:rFonts w:ascii="宋体" w:hAnsi="宋体" w:cs="宋体"/>
          <w:bCs/>
          <w:color w:val="000000" w:themeColor="text1"/>
          <w:sz w:val="24"/>
          <w:highlight w:val="none"/>
          <w14:textFill>
            <w14:solidFill>
              <w14:schemeClr w14:val="tx1"/>
            </w14:solidFill>
          </w14:textFill>
        </w:rPr>
        <w:fldChar w:fldCharType="end"/>
      </w:r>
      <w:r>
        <w:rPr>
          <w:rFonts w:hint="eastAsia" w:ascii="宋体" w:hAnsi="宋体" w:cs="宋体"/>
          <w:bCs/>
          <w:color w:val="000000" w:themeColor="text1"/>
          <w:sz w:val="24"/>
          <w:highlight w:val="none"/>
          <w14:textFill>
            <w14:solidFill>
              <w14:schemeClr w14:val="tx1"/>
            </w14:solidFill>
          </w14:textFill>
        </w:rPr>
        <w:t>，不得直接或间接投资于未上市公司股权及其受（收）益权。</w:t>
      </w:r>
    </w:p>
    <w:p>
      <w:pPr>
        <w:numPr>
          <w:ilvl w:val="0"/>
          <w:numId w:val="20"/>
        </w:numPr>
        <w:spacing w:line="360" w:lineRule="auto"/>
        <w:ind w:left="0" w:leftChars="0" w:firstLine="482" w:firstLineChars="200"/>
        <w:jc w:val="left"/>
        <w:outlineLvl w:val="2"/>
        <w:rPr>
          <w:rFonts w:hint="eastAsia" w:ascii="宋体" w:hAnsi="宋体" w:cs="宋体"/>
          <w:b/>
          <w:bCs w:val="0"/>
          <w:color w:val="000000" w:themeColor="text1"/>
          <w:sz w:val="24"/>
          <w:highlight w:val="none"/>
          <w14:textFill>
            <w14:solidFill>
              <w14:schemeClr w14:val="tx1"/>
            </w14:solidFill>
          </w14:textFill>
        </w:rPr>
      </w:pPr>
      <w:r>
        <w:rPr>
          <w:rFonts w:hint="eastAsia" w:ascii="宋体" w:hAnsi="宋体" w:cs="宋体"/>
          <w:b/>
          <w:bCs w:val="0"/>
          <w:color w:val="000000" w:themeColor="text1"/>
          <w:sz w:val="24"/>
          <w:highlight w:val="none"/>
          <w:lang w:eastAsia="zh-CN"/>
          <w14:textFill>
            <w14:solidFill>
              <w14:schemeClr w14:val="tx1"/>
            </w14:solidFill>
          </w14:textFill>
        </w:rPr>
        <w:t>拟投资市场、资产的流动性风险评估</w:t>
      </w:r>
    </w:p>
    <w:p>
      <w:pPr>
        <w:numPr>
          <w:ilvl w:val="0"/>
          <w:numId w:val="0"/>
        </w:numPr>
        <w:spacing w:line="360" w:lineRule="auto"/>
        <w:ind w:firstLine="480" w:firstLineChars="200"/>
        <w:jc w:val="left"/>
        <w:rPr>
          <w:rFonts w:hint="eastAsia" w:ascii="宋体" w:hAnsi="宋体" w:cs="宋体"/>
          <w:b w:val="0"/>
          <w:bCs/>
          <w:color w:val="000000" w:themeColor="text1"/>
          <w:sz w:val="24"/>
          <w:highlight w:val="none"/>
          <w:lang w:val="en-US" w:eastAsia="zh-CN"/>
          <w14:textFill>
            <w14:solidFill>
              <w14:schemeClr w14:val="tx1"/>
            </w14:solidFill>
          </w14:textFill>
        </w:rPr>
      </w:pPr>
      <w:r>
        <w:rPr>
          <w:rFonts w:hint="eastAsia" w:ascii="宋体" w:hAnsi="宋体" w:cs="宋体"/>
          <w:b w:val="0"/>
          <w:bCs/>
          <w:color w:val="000000" w:themeColor="text1"/>
          <w:sz w:val="24"/>
          <w:highlight w:val="none"/>
          <w:lang w:eastAsia="zh-CN"/>
          <w14:textFill>
            <w14:solidFill>
              <w14:schemeClr w14:val="tx1"/>
            </w14:solidFill>
          </w14:textFill>
        </w:rPr>
        <w:t>本理财计划</w:t>
      </w:r>
      <w:r>
        <w:rPr>
          <w:rFonts w:hint="eastAsia" w:ascii="宋体" w:hAnsi="宋体" w:cs="宋体"/>
          <w:b w:val="0"/>
          <w:bCs/>
          <w:color w:val="000000" w:themeColor="text1"/>
          <w:sz w:val="24"/>
          <w:highlight w:val="none"/>
          <w:lang w:val="en-US" w:eastAsia="zh-CN"/>
          <w14:textFill>
            <w14:solidFill>
              <w14:schemeClr w14:val="tx1"/>
            </w14:solidFill>
          </w14:textFill>
        </w:rPr>
        <w:t>拟投资市场可能面临的流动性风险如下：</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投资于</w:t>
      </w:r>
      <w:r>
        <w:rPr>
          <w:rFonts w:hint="eastAsia" w:ascii="宋体" w:hAnsi="宋体" w:cs="宋体"/>
          <w:bCs/>
          <w:color w:val="000000" w:themeColor="text1"/>
          <w:sz w:val="24"/>
          <w:highlight w:val="none"/>
          <w:lang w:val="en-US" w:eastAsia="zh-CN"/>
          <w14:textFill>
            <w14:solidFill>
              <w14:schemeClr w14:val="tx1"/>
            </w14:solidFill>
          </w14:textFill>
        </w:rPr>
        <w:t>标准化固收类资产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3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投资于权益类、其他类资产的可能流动性风险（如有）：权益类、其他类资产包括但不限于上市公司普通股、上市公司优先股、股票基金、股票定向增发、未上市公司股权等，受国家政策、经济周期、利率、汇率、股票发行人经营情况、大宗商品等因素导致的市场风险，可能导致流通与转让限制、市场参与者交易意愿降低、停牌、退市等情形，从而进一步引发流动性风险。</w:t>
      </w:r>
    </w:p>
    <w:p>
      <w:pPr>
        <w:numPr>
          <w:ilvl w:val="0"/>
          <w:numId w:val="0"/>
        </w:num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以上风险仅为列举性质，未能详尽列明拟投资市场和资产面临的全部流动性风险</w:t>
      </w:r>
      <w:r>
        <w:rPr>
          <w:rFonts w:hint="default" w:ascii="宋体" w:hAnsi="宋体" w:cs="宋体"/>
          <w:bCs/>
          <w:color w:val="000000" w:themeColor="text1"/>
          <w:sz w:val="24"/>
          <w:highlight w:val="none"/>
          <w:lang w:val="en-US" w:eastAsia="zh-CN"/>
          <w14:textFill>
            <w14:solidFill>
              <w14:schemeClr w14:val="tx1"/>
            </w14:solidFill>
          </w14:textFill>
        </w:rPr>
        <w:t>可能导致投资者投资本金及收益损失</w:t>
      </w:r>
      <w:r>
        <w:rPr>
          <w:rFonts w:hint="eastAsia" w:ascii="宋体" w:hAnsi="宋体" w:cs="宋体"/>
          <w:bCs/>
          <w:color w:val="000000" w:themeColor="text1"/>
          <w:sz w:val="24"/>
          <w:highlight w:val="none"/>
          <w:lang w:val="en-US" w:eastAsia="zh-CN"/>
          <w14:textFill>
            <w14:solidFill>
              <w14:schemeClr w14:val="tx1"/>
            </w14:solidFill>
          </w14:textFill>
        </w:rPr>
        <w:t>或延期兑付</w:t>
      </w:r>
      <w:r>
        <w:rPr>
          <w:rFonts w:hint="default" w:ascii="宋体" w:hAnsi="宋体" w:cs="宋体"/>
          <w:bCs/>
          <w:color w:val="000000" w:themeColor="text1"/>
          <w:sz w:val="24"/>
          <w:highlight w:val="none"/>
          <w:lang w:val="en-US" w:eastAsia="zh-CN"/>
          <w14:textFill>
            <w14:solidFill>
              <w14:schemeClr w14:val="tx1"/>
            </w14:solidFill>
          </w14:textFill>
        </w:rPr>
        <w:t>的所有因素</w:t>
      </w:r>
      <w:r>
        <w:rPr>
          <w:rFonts w:hint="eastAsia" w:ascii="宋体" w:hAnsi="宋体" w:cs="宋体"/>
          <w:bCs/>
          <w:color w:val="000000" w:themeColor="text1"/>
          <w:sz w:val="24"/>
          <w:highlight w:val="none"/>
          <w:lang w:val="en-US" w:eastAsia="zh-CN"/>
          <w14:textFill>
            <w14:solidFill>
              <w14:schemeClr w14:val="tx1"/>
            </w14:solidFill>
          </w14:textFill>
        </w:rPr>
        <w:t>。管理人会进行标的的分散化投资并结合对各类标的资产的预期流动性合理进行资产配置，最大程度防范流动性风险。</w:t>
      </w:r>
    </w:p>
    <w:p>
      <w:pPr>
        <w:numPr>
          <w:ilvl w:val="0"/>
          <w:numId w:val="0"/>
        </w:num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合作机构及主要职责</w:t>
      </w:r>
    </w:p>
    <w:p>
      <w:pPr>
        <w:numPr>
          <w:ilvl w:val="0"/>
          <w:numId w:val="32"/>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托管人</w:t>
      </w:r>
    </w:p>
    <w:tbl>
      <w:tblPr>
        <w:tblStyle w:val="11"/>
        <w:tblW w:w="7530"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托管人名称</w:t>
            </w:r>
          </w:p>
        </w:tc>
        <w:tc>
          <w:tcPr>
            <w:tcW w:w="5790" w:type="dxa"/>
            <w:noWrap w:val="0"/>
            <w:vAlign w:val="top"/>
          </w:tcPr>
          <w:p>
            <w:pPr>
              <w:spacing w:line="360" w:lineRule="auto"/>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托管人住所</w:t>
            </w:r>
          </w:p>
        </w:tc>
        <w:tc>
          <w:tcPr>
            <w:tcW w:w="5790" w:type="dxa"/>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杭州市</w:t>
            </w:r>
            <w:r>
              <w:rPr>
                <w:rFonts w:hint="eastAsia" w:ascii="宋体" w:hAnsi="宋体" w:cs="宋体"/>
                <w:bCs/>
                <w:color w:val="000000" w:themeColor="text1"/>
                <w:sz w:val="21"/>
                <w:szCs w:val="21"/>
                <w:highlight w:val="none"/>
                <w:lang w:val="en-US" w:eastAsia="zh-CN"/>
                <w14:textFill>
                  <w14:solidFill>
                    <w14:schemeClr w14:val="tx1"/>
                  </w14:solidFill>
                </w14:textFill>
              </w:rPr>
              <w:t>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托管人职责</w:t>
            </w:r>
          </w:p>
        </w:tc>
        <w:tc>
          <w:tcPr>
            <w:tcW w:w="5790" w:type="dxa"/>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主要提供包括账户开立、资金保管、资金结算、估值核对等理财产品托管服务。</w:t>
            </w:r>
          </w:p>
        </w:tc>
      </w:tr>
    </w:tbl>
    <w:p>
      <w:pPr>
        <w:numPr>
          <w:ilvl w:val="0"/>
          <w:numId w:val="33"/>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销售机构</w:t>
      </w:r>
    </w:p>
    <w:tbl>
      <w:tblPr>
        <w:tblStyle w:val="11"/>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销售机构信息</w:t>
            </w:r>
          </w:p>
        </w:tc>
        <w:tc>
          <w:tcPr>
            <w:tcW w:w="2475" w:type="dxa"/>
            <w:vMerge w:val="restart"/>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杭州银行股份有限公司</w:t>
            </w:r>
          </w:p>
        </w:tc>
        <w:tc>
          <w:tcPr>
            <w:tcW w:w="1155"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杭州市</w:t>
            </w:r>
            <w:r>
              <w:rPr>
                <w:rFonts w:hint="eastAsia" w:ascii="宋体" w:hAnsi="宋体" w:cs="宋体"/>
                <w:bCs/>
                <w:color w:val="000000" w:themeColor="text1"/>
                <w:sz w:val="21"/>
                <w:szCs w:val="21"/>
                <w:highlight w:val="none"/>
                <w:lang w:val="en-US" w:eastAsia="zh-CN"/>
                <w14:textFill>
                  <w14:solidFill>
                    <w14:schemeClr w14:val="tx1"/>
                  </w14:solidFill>
                </w14:textFill>
              </w:rPr>
              <w:t>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p>
        </w:tc>
        <w:tc>
          <w:tcPr>
            <w:tcW w:w="1155"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95398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restart"/>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厦门银行股份有限公司</w:t>
            </w: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福建省厦门市思明区湖滨北路101号厦门银行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大陆地区客服热线：400-858-8888；台湾地区客服热线：0080-186-3155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restart"/>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深圳前海微众银行股份有限公司</w:t>
            </w: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广东省深圳市前海深港合作区南山街道金港街88号微众银行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hint="default"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pPr>
            <w:r>
              <w:rPr>
                <w:rFonts w:hint="eastAsia" w:ascii="宋体" w:hAnsi="宋体" w:cs="宋体"/>
                <w:bCs/>
                <w:i w:val="0"/>
                <w:color w:val="000000" w:themeColor="text1"/>
                <w:kern w:val="2"/>
                <w:sz w:val="21"/>
                <w:szCs w:val="21"/>
                <w:highlight w:val="none"/>
                <w:u w:val="none"/>
                <w:lang w:val="en-US" w:eastAsia="zh-CN" w:bidi="ar"/>
                <w14:textFill>
                  <w14:solidFill>
                    <w14:schemeClr w14:val="tx1"/>
                  </w14:solidFill>
                </w14:textFill>
              </w:rPr>
              <w:t>95384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restart"/>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杭银理财有限责任公司</w:t>
            </w: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住所</w:t>
            </w:r>
          </w:p>
        </w:tc>
        <w:tc>
          <w:tcPr>
            <w:tcW w:w="3210"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浙江省杭州市拱墅区庆春路38号金龙财富中心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p>
        </w:tc>
        <w:tc>
          <w:tcPr>
            <w:tcW w:w="2475" w:type="dxa"/>
            <w:vMerge w:val="continue"/>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p>
        </w:tc>
        <w:tc>
          <w:tcPr>
            <w:tcW w:w="1155"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客服热线</w:t>
            </w:r>
          </w:p>
        </w:tc>
        <w:tc>
          <w:tcPr>
            <w:tcW w:w="3210" w:type="dxa"/>
            <w:noWrap w:val="0"/>
            <w:vAlign w:val="center"/>
          </w:tcPr>
          <w:p>
            <w:pPr>
              <w:spacing w:line="360" w:lineRule="auto"/>
              <w:jc w:val="center"/>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eastAsia="宋体" w:cs="宋体"/>
                <w:bCs/>
                <w:i w:val="0"/>
                <w:color w:val="000000" w:themeColor="text1"/>
                <w:kern w:val="2"/>
                <w:sz w:val="21"/>
                <w:szCs w:val="21"/>
                <w:highlight w:val="none"/>
                <w:u w:val="none"/>
                <w:lang w:val="en-US" w:eastAsia="zh-CN" w:bidi="ar"/>
                <w14:textFill>
                  <w14:solidFill>
                    <w14:schemeClr w14:val="tx1"/>
                  </w14:solidFill>
                </w14:textFill>
              </w:rPr>
              <w:t>400-8950-999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销售机构职责</w:t>
            </w:r>
          </w:p>
        </w:tc>
        <w:tc>
          <w:tcPr>
            <w:tcW w:w="6840" w:type="dxa"/>
            <w:gridSpan w:val="3"/>
            <w:noWrap w:val="0"/>
            <w:vAlign w:val="top"/>
          </w:tcPr>
          <w:p>
            <w:pPr>
              <w:spacing w:line="360" w:lineRule="auto"/>
              <w:jc w:val="left"/>
              <w:rPr>
                <w:rFonts w:hint="eastAsia"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主要负责理财计划推广、投资者风险承受能力评估、投资者适当性管理、理财计划份额认购、申购及赎回办理。</w:t>
            </w:r>
          </w:p>
          <w:p>
            <w:pPr>
              <w:spacing w:line="360" w:lineRule="auto"/>
              <w:jc w:val="left"/>
              <w:rPr>
                <w:rFonts w:ascii="宋体" w:hAnsi="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14:textFill>
                  <w14:solidFill>
                    <w14:schemeClr w14:val="tx1"/>
                  </w14:solidFill>
                </w14:textFill>
              </w:rPr>
              <w:t>协助管理人负责与投资者签订理财计划合同、与投资者沟通及进行信息披露、接受投资者咨询和维护等销售服务。</w:t>
            </w:r>
          </w:p>
        </w:tc>
      </w:tr>
    </w:tbl>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本理财计划后续如新增/减少销售机构或销售机构信息变更，请以管理人最新公告</w:t>
      </w:r>
      <w:r>
        <w:rPr>
          <w:rFonts w:hint="eastAsia" w:ascii="宋体" w:hAnsi="宋体" w:cs="宋体"/>
          <w:bCs/>
          <w:color w:val="000000" w:themeColor="text1"/>
          <w:sz w:val="24"/>
          <w:highlight w:val="none"/>
          <w:lang w:eastAsia="zh-CN"/>
          <w14:textFill>
            <w14:solidFill>
              <w14:schemeClr w14:val="tx1"/>
            </w14:solidFill>
          </w14:textFill>
        </w:rPr>
        <w:t>或官方网站展示</w:t>
      </w:r>
      <w:r>
        <w:rPr>
          <w:rFonts w:hint="eastAsia" w:ascii="宋体" w:hAnsi="宋体" w:cs="宋体"/>
          <w:bCs/>
          <w:color w:val="000000" w:themeColor="text1"/>
          <w:sz w:val="24"/>
          <w:highlight w:val="none"/>
          <w14:textFill>
            <w14:solidFill>
              <w14:schemeClr w14:val="tx1"/>
            </w14:solidFill>
          </w14:textFill>
        </w:rPr>
        <w:t>为准。</w:t>
      </w:r>
    </w:p>
    <w:p>
      <w:pPr>
        <w:spacing w:line="360" w:lineRule="auto"/>
        <w:jc w:val="left"/>
        <w:rPr>
          <w:rFonts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估值日</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本理财计划估值日为每个</w:t>
      </w:r>
      <w:r>
        <w:rPr>
          <w:rFonts w:hint="eastAsia" w:ascii="宋体" w:hAnsi="宋体" w:cs="宋体"/>
          <w:bCs/>
          <w:color w:val="000000" w:themeColor="text1"/>
          <w:sz w:val="24"/>
          <w:highlight w:val="none"/>
          <w:lang w:eastAsia="zh-CN"/>
          <w14:textFill>
            <w14:solidFill>
              <w14:schemeClr w14:val="tx1"/>
            </w14:solidFill>
          </w14:textFill>
        </w:rPr>
        <w:t>工作日</w:t>
      </w:r>
      <w:r>
        <w:rPr>
          <w:rFonts w:hint="eastAsia" w:ascii="宋体" w:hAnsi="宋体" w:cs="宋体"/>
          <w:bCs/>
          <w:color w:val="000000" w:themeColor="text1"/>
          <w:sz w:val="24"/>
          <w:highlight w:val="none"/>
          <w14:textFill>
            <w14:solidFill>
              <w14:schemeClr w14:val="tx1"/>
            </w14:solidFill>
          </w14:textFill>
        </w:rPr>
        <w:t>，定期由理财管理人和理财托管人核对估值结果并向投资者披露，具体日期以管理人公告为准。</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估值对象</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本理财计划所投资的所有资产及负债。</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估值目的</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客观、准确反映理财计划的价值。</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估值方法</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理财计划所投资各类资产按照会计准则和监管要求进行会计分类，并按如下规则进行计量：</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货币市场工具类资产</w:t>
      </w:r>
    </w:p>
    <w:p>
      <w:pPr>
        <w:pStyle w:val="17"/>
        <w:adjustRightInd/>
        <w:spacing w:line="360" w:lineRule="auto"/>
        <w:ind w:firstLine="480" w:firstLineChars="200"/>
        <w:rPr>
          <w:rFonts w:hint="eastAsia" w:ascii="宋体" w:hAnsi="宋体" w:eastAsia="宋体" w:cs="宋体"/>
          <w:bCs/>
          <w:color w:val="000000" w:themeColor="text1"/>
          <w:kern w:val="2"/>
          <w:highlight w:val="none"/>
          <w:lang w:eastAsia="zh-CN"/>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银行存款</w:t>
      </w:r>
      <w:r>
        <w:rPr>
          <w:rFonts w:hint="eastAsia" w:ascii="宋体" w:hAnsi="宋体" w:cs="宋体"/>
          <w:bCs/>
          <w:color w:val="000000" w:themeColor="text1"/>
          <w:kern w:val="2"/>
          <w:highlight w:val="none"/>
          <w14:textFill>
            <w14:solidFill>
              <w14:schemeClr w14:val="tx1"/>
            </w14:solidFill>
          </w14:textFill>
        </w:rPr>
        <w:t>及回购，以本金列示，按商定利率在实际持有期间内逐日计提利息。</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w:t>
      </w:r>
      <w:r>
        <w:rPr>
          <w:rFonts w:hint="eastAsia" w:ascii="宋体" w:hAnsi="宋体" w:cs="宋体"/>
          <w:bCs/>
          <w:color w:val="000000" w:themeColor="text1"/>
          <w:sz w:val="24"/>
          <w:highlight w:val="none"/>
          <w:lang w:eastAsia="zh-CN"/>
          <w14:textFill>
            <w14:solidFill>
              <w14:schemeClr w14:val="tx1"/>
            </w14:solidFill>
          </w14:textFill>
        </w:rPr>
        <w:t>及同业存单类</w:t>
      </w:r>
      <w:r>
        <w:rPr>
          <w:rFonts w:hint="eastAsia" w:ascii="宋体" w:hAnsi="宋体" w:cs="宋体"/>
          <w:bCs/>
          <w:color w:val="000000" w:themeColor="text1"/>
          <w:sz w:val="24"/>
          <w:highlight w:val="none"/>
          <w14:textFill>
            <w14:solidFill>
              <w14:schemeClr w14:val="tx1"/>
            </w14:solidFill>
          </w14:textFill>
        </w:rPr>
        <w:t>资产</w:t>
      </w:r>
    </w:p>
    <w:p>
      <w:pPr>
        <w:numPr>
          <w:ilvl w:val="0"/>
          <w:numId w:val="0"/>
        </w:numPr>
        <w:spacing w:line="360" w:lineRule="auto"/>
        <w:ind w:firstLine="480" w:firstLineChars="200"/>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债券及同业存单类资产，按市价法估值。市价法不能确定公允价值的，采用估值技术进行估值。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债权类</w:t>
      </w:r>
      <w:r>
        <w:rPr>
          <w:rFonts w:hint="eastAsia" w:ascii="宋体" w:hAnsi="宋体" w:cs="宋体"/>
          <w:bCs/>
          <w:color w:val="000000" w:themeColor="text1"/>
          <w:sz w:val="24"/>
          <w:highlight w:val="none"/>
          <w14:textFill>
            <w14:solidFill>
              <w14:schemeClr w14:val="tx1"/>
            </w14:solidFill>
          </w14:textFill>
        </w:rPr>
        <w:t>资产</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债权类资产，按市价法估值。市价法不能确定其公允价值的，采用估值技术进行估值。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股权类</w:t>
      </w:r>
      <w:r>
        <w:rPr>
          <w:rFonts w:hint="eastAsia" w:ascii="宋体" w:hAnsi="宋体" w:cs="宋体"/>
          <w:bCs/>
          <w:color w:val="000000" w:themeColor="text1"/>
          <w:sz w:val="24"/>
          <w:highlight w:val="none"/>
          <w14:textFill>
            <w14:solidFill>
              <w14:schemeClr w14:val="tx1"/>
            </w14:solidFill>
          </w14:textFill>
        </w:rPr>
        <w:t>资产</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上</w:t>
      </w:r>
      <w:r>
        <w:rPr>
          <w:rFonts w:hint="eastAsia" w:ascii="宋体" w:hAnsi="宋体" w:cs="宋体"/>
          <w:bCs/>
          <w:color w:val="000000" w:themeColor="text1"/>
          <w:sz w:val="24"/>
          <w:highlight w:val="none"/>
          <w14:textFill>
            <w14:solidFill>
              <w14:schemeClr w14:val="tx1"/>
            </w14:solidFill>
          </w14:textFill>
        </w:rPr>
        <w:t>市流通股票按估值日其所在证券交易所的收盘价估值；估值日无交易，且最近交易日后未发生影响公允价值计量的重大事件的，以最近交易日的收盘价估值。</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未上市股票的估值：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olor w:val="000000" w:themeColor="text1"/>
          <w:sz w:val="24"/>
          <w:highlight w:val="none"/>
          <w14:textFill>
            <w14:solidFill>
              <w14:schemeClr w14:val="tx1"/>
            </w14:solidFill>
          </w14:textFill>
        </w:rPr>
        <w:t>送股、转增股、配股和公开增发新股等发行未上市的股票，按估值日在证券交易所挂牌的同一股票的市价估值；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2）</w:t>
      </w:r>
      <w:r>
        <w:rPr>
          <w:rFonts w:hint="eastAsia" w:ascii="宋体" w:hAnsi="宋体"/>
          <w:color w:val="000000" w:themeColor="text1"/>
          <w:sz w:val="24"/>
          <w:highlight w:val="none"/>
          <w14:textFill>
            <w14:solidFill>
              <w14:schemeClr w14:val="tx1"/>
            </w14:solidFill>
          </w14:textFill>
        </w:rPr>
        <w:t>首次公开发行有明确锁定期的股票，同一股票在交易所上市后，按交易所上市的同一股票的市价估值；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3）</w:t>
      </w:r>
      <w:r>
        <w:rPr>
          <w:rFonts w:hint="eastAsia" w:ascii="宋体" w:hAnsi="宋体"/>
          <w:color w:val="000000" w:themeColor="text1"/>
          <w:sz w:val="24"/>
          <w:highlight w:val="none"/>
          <w14:textFill>
            <w14:solidFill>
              <w14:schemeClr w14:val="tx1"/>
            </w14:solidFill>
          </w14:textFill>
        </w:rPr>
        <w:t>首次发行未上市的股票，按发行价格进行估值；</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4）</w:t>
      </w:r>
      <w:r>
        <w:rPr>
          <w:rFonts w:hint="eastAsia" w:ascii="宋体" w:hAnsi="宋体"/>
          <w:color w:val="000000" w:themeColor="text1"/>
          <w:sz w:val="24"/>
          <w:highlight w:val="none"/>
          <w14:textFill>
            <w14:solidFill>
              <w14:schemeClr w14:val="tx1"/>
            </w14:solidFill>
          </w14:textFill>
        </w:rPr>
        <w:t>因持有股票而享有的配股权，采用估值技术确定公允价值。</w:t>
      </w:r>
    </w:p>
    <w:p>
      <w:pPr>
        <w:numPr>
          <w:ilvl w:val="0"/>
          <w:numId w:val="36"/>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非上市股权的估值：</w:t>
      </w:r>
    </w:p>
    <w:p>
      <w:pPr>
        <w:numPr>
          <w:ilvl w:val="0"/>
          <w:numId w:val="0"/>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非上市股权类资产，按照国家最新规定，采用合理的估值技术进行估值。</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基金、资产管理计划类</w:t>
      </w:r>
      <w:r>
        <w:rPr>
          <w:rFonts w:hint="eastAsia" w:ascii="宋体" w:hAnsi="宋体" w:cs="宋体"/>
          <w:bCs/>
          <w:color w:val="000000" w:themeColor="text1"/>
          <w:sz w:val="24"/>
          <w:highlight w:val="none"/>
          <w14:textFill>
            <w14:solidFill>
              <w14:schemeClr w14:val="tx1"/>
            </w14:solidFill>
          </w14:textFill>
        </w:rPr>
        <w:t>资产</w:t>
      </w:r>
    </w:p>
    <w:p>
      <w:pPr>
        <w:numPr>
          <w:ilvl w:val="0"/>
          <w:numId w:val="0"/>
        </w:num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若合同约定估值方案，以基金、信托计划、资产管理计划的管理人提供的最新报价估值。报价包括资产的单位净值、每万份收益以及其他形式的投资收益。</w:t>
      </w:r>
    </w:p>
    <w:p>
      <w:pPr>
        <w:numPr>
          <w:ilvl w:val="0"/>
          <w:numId w:val="0"/>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35"/>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其他资产的估值方法</w:t>
      </w:r>
    </w:p>
    <w:p>
      <w:pPr>
        <w:pStyle w:val="17"/>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其他资产存在公允价值的，按照监管要求进行公允价值估值，公允价值不能确定的按国家最新规定进行估值。</w:t>
      </w:r>
    </w:p>
    <w:p>
      <w:pPr>
        <w:pStyle w:val="17"/>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摊余成本法计量的资产，按照会计准则规定采用合理的减值计量模型或第三方减值计量结果进行减值计提。计提减值不等同于金融资产已发生损失，仅为对未来风险的审慎预期。</w:t>
      </w:r>
    </w:p>
    <w:p>
      <w:pPr>
        <w:pStyle w:val="17"/>
        <w:tabs>
          <w:tab w:val="left" w:pos="0"/>
        </w:tabs>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当理财计划管理人或托管人认为按上述方法对理财计划进行估值不能客观反映其公允价值的，可以在满足监管要求的前提下协商一致后，</w:t>
      </w:r>
      <w:r>
        <w:rPr>
          <w:rFonts w:hint="eastAsia" w:ascii="宋体" w:hAnsi="宋体" w:cs="宋体"/>
          <w:bCs/>
          <w:color w:val="000000" w:themeColor="text1"/>
          <w:kern w:val="2"/>
          <w:highlight w:val="none"/>
          <w:lang w:eastAsia="zh-CN"/>
          <w14:textFill>
            <w14:solidFill>
              <w14:schemeClr w14:val="tx1"/>
            </w14:solidFill>
          </w14:textFill>
        </w:rPr>
        <w:t>按最能反映公允价值的价格估值，</w:t>
      </w:r>
      <w:r>
        <w:rPr>
          <w:rFonts w:hint="eastAsia" w:ascii="宋体" w:hAnsi="宋体" w:cs="宋体"/>
          <w:bCs/>
          <w:color w:val="000000" w:themeColor="text1"/>
          <w:kern w:val="2"/>
          <w:highlight w:val="none"/>
          <w14:textFill>
            <w14:solidFill>
              <w14:schemeClr w14:val="tx1"/>
            </w14:solidFill>
          </w14:textFill>
        </w:rPr>
        <w:t>并自协商一致日后执行。</w:t>
      </w:r>
    </w:p>
    <w:p>
      <w:pPr>
        <w:pStyle w:val="17"/>
        <w:tabs>
          <w:tab w:val="left" w:pos="0"/>
        </w:tabs>
        <w:spacing w:line="360" w:lineRule="auto"/>
        <w:ind w:firstLine="480" w:firstLineChars="200"/>
        <w:rPr>
          <w:rFonts w:hint="eastAsia" w:ascii="宋体" w:hAnsi="宋体" w:cs="宋体"/>
          <w:bCs/>
          <w:color w:val="000000" w:themeColor="text1"/>
          <w:kern w:val="2"/>
          <w:highlight w:val="none"/>
          <w14:textFill>
            <w14:solidFill>
              <w14:schemeClr w14:val="tx1"/>
            </w14:solidFill>
          </w14:textFill>
        </w:rPr>
      </w:pPr>
      <w:r>
        <w:rPr>
          <w:rFonts w:hint="eastAsia" w:ascii="宋体" w:hAnsi="宋体" w:cs="宋体"/>
          <w:bCs/>
          <w:color w:val="000000" w:themeColor="text1"/>
          <w:kern w:val="2"/>
          <w:highlight w:val="none"/>
          <w14:textFill>
            <w14:solidFill>
              <w14:schemeClr w14:val="tx1"/>
            </w14:solidFill>
          </w14:textFill>
        </w:rPr>
        <w:t>如在本理财计划发行、募集、管理期间，有权管理机关对财务报告准则、估值核算方法标准进行调整，管理人有权根据相关机关要求对本理财计划的估值方法进行相应修改。</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估值差错处理</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暂停估值情形</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理财计划投资所涉及的交易市场遇法定节假日或因其他原因暂停营业时暂停估值，该种情况理财计划估值日期</w:t>
      </w:r>
      <w:r>
        <w:rPr>
          <w:rFonts w:hint="eastAsia" w:ascii="宋体" w:hAnsi="宋体" w:cs="宋体"/>
          <w:bCs/>
          <w:color w:val="000000" w:themeColor="text1"/>
          <w:sz w:val="24"/>
          <w:highlight w:val="none"/>
          <w:lang w:eastAsia="zh-CN"/>
          <w14:textFill>
            <w14:solidFill>
              <w14:schemeClr w14:val="tx1"/>
            </w14:solidFill>
          </w14:textFill>
        </w:rPr>
        <w:t>提前到上</w:t>
      </w:r>
      <w:r>
        <w:rPr>
          <w:rFonts w:hint="eastAsia" w:ascii="宋体" w:hAnsi="宋体" w:cs="宋体"/>
          <w:bCs/>
          <w:color w:val="000000" w:themeColor="text1"/>
          <w:sz w:val="24"/>
          <w:highlight w:val="none"/>
          <w14:textFill>
            <w14:solidFill>
              <w14:schemeClr w14:val="tx1"/>
            </w14:solidFill>
          </w14:textFill>
        </w:rPr>
        <w:t>一交易日。</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因不可抗力或其他情形致使理财计划管理人、理财计划托管人无法准确评估资产价值时。</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当</w:t>
      </w:r>
      <w:r>
        <w:rPr>
          <w:rFonts w:hint="eastAsia" w:ascii="宋体" w:hAnsi="宋体" w:cs="宋体"/>
          <w:bCs/>
          <w:color w:val="000000" w:themeColor="text1"/>
          <w:sz w:val="24"/>
          <w:highlight w:val="none"/>
          <w:lang w:val="en-US" w:eastAsia="zh-CN"/>
          <w14:textFill>
            <w14:solidFill>
              <w14:schemeClr w14:val="tx1"/>
            </w14:solidFill>
          </w14:textFill>
        </w:rPr>
        <w:t>前一估值日理财计划资产净值50%以上的资产不具备活跃交易市场或者在活跃市场中无报价，且不能采用估值技术可靠计量公允价值时，管理人应当暂停该理财计划估值，并按照监管规定采取</w:t>
      </w:r>
      <w:r>
        <w:rPr>
          <w:rFonts w:hint="eastAsia" w:ascii="宋体" w:hAnsi="宋体" w:cs="宋体"/>
          <w:bCs/>
          <w:color w:val="000000" w:themeColor="text1"/>
          <w:sz w:val="24"/>
          <w:highlight w:val="none"/>
          <w14:textFill>
            <w14:solidFill>
              <w14:schemeClr w14:val="tx1"/>
            </w14:solidFill>
          </w14:textFill>
        </w:rPr>
        <w:t>延缓支付赎回款项或暂停接受理财</w:t>
      </w:r>
      <w:r>
        <w:rPr>
          <w:rFonts w:hint="eastAsia" w:ascii="宋体" w:hAnsi="宋体" w:cs="宋体"/>
          <w:bCs/>
          <w:color w:val="000000" w:themeColor="text1"/>
          <w:sz w:val="24"/>
          <w:highlight w:val="none"/>
          <w:lang w:eastAsia="zh-CN"/>
          <w14:textFill>
            <w14:solidFill>
              <w14:schemeClr w14:val="tx1"/>
            </w14:solidFill>
          </w14:textFill>
        </w:rPr>
        <w:t>计划</w:t>
      </w:r>
      <w:r>
        <w:rPr>
          <w:rFonts w:hint="eastAsia" w:ascii="宋体" w:hAnsi="宋体" w:cs="宋体"/>
          <w:bCs/>
          <w:color w:val="000000" w:themeColor="text1"/>
          <w:sz w:val="24"/>
          <w:highlight w:val="none"/>
          <w14:textFill>
            <w14:solidFill>
              <w14:schemeClr w14:val="tx1"/>
            </w14:solidFill>
          </w14:textFill>
        </w:rPr>
        <w:t>认购、赎回申请等</w:t>
      </w:r>
      <w:r>
        <w:rPr>
          <w:rFonts w:hint="eastAsia" w:ascii="宋体" w:hAnsi="宋体" w:cs="宋体"/>
          <w:bCs/>
          <w:color w:val="000000" w:themeColor="text1"/>
          <w:sz w:val="24"/>
          <w:highlight w:val="none"/>
          <w:lang w:val="en-US" w:eastAsia="zh-CN"/>
          <w14:textFill>
            <w14:solidFill>
              <w14:schemeClr w14:val="tx1"/>
            </w14:solidFill>
          </w14:textFill>
        </w:rPr>
        <w:t>措施。</w:t>
      </w:r>
    </w:p>
    <w:p>
      <w:pPr>
        <w:numPr>
          <w:ilvl w:val="0"/>
          <w:numId w:val="37"/>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理财计划管理人、托管人有合理理由认为将影响本理财计划估值的其他情形发生。</w:t>
      </w:r>
    </w:p>
    <w:p>
      <w:pPr>
        <w:numPr>
          <w:ilvl w:val="0"/>
          <w:numId w:val="3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资产账册的建立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费用及税收</w:t>
      </w:r>
    </w:p>
    <w:p>
      <w:pPr>
        <w:numPr>
          <w:ilvl w:val="0"/>
          <w:numId w:val="3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费用种类</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w:t>
      </w:r>
      <w:r>
        <w:rPr>
          <w:rFonts w:hint="eastAsia" w:ascii="宋体" w:hAnsi="宋体" w:cs="宋体"/>
          <w:bCs/>
          <w:color w:val="000000" w:themeColor="text1"/>
          <w:sz w:val="24"/>
          <w:highlight w:val="none"/>
          <w:lang w:eastAsia="zh-CN"/>
          <w14:textFill>
            <w14:solidFill>
              <w14:schemeClr w14:val="tx1"/>
            </w14:solidFill>
          </w14:textFill>
        </w:rPr>
        <w:t>涉及</w:t>
      </w:r>
      <w:r>
        <w:rPr>
          <w:rFonts w:hint="eastAsia" w:ascii="宋体" w:hAnsi="宋体" w:cs="宋体"/>
          <w:bCs/>
          <w:color w:val="000000" w:themeColor="text1"/>
          <w:sz w:val="24"/>
          <w:highlight w:val="none"/>
          <w14:textFill>
            <w14:solidFill>
              <w14:schemeClr w14:val="tx1"/>
            </w14:solidFill>
          </w14:textFill>
        </w:rPr>
        <w:t>费用包括</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、托管费、固定管理费、认购费、申购费、赎回费、浮动管理费以及理财计划运作和清算中产生的其他费用等。</w:t>
      </w:r>
    </w:p>
    <w:p>
      <w:pPr>
        <w:numPr>
          <w:ilvl w:val="0"/>
          <w:numId w:val="3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费用计提方法、标准及支付方式</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销售服务费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A份额</w:t>
      </w:r>
      <w:r>
        <w:rPr>
          <w:rFonts w:hint="eastAsia" w:ascii="宋体" w:hAnsi="宋体" w:cs="宋体"/>
          <w:bCs/>
          <w:color w:val="000000" w:themeColor="text1"/>
          <w:sz w:val="24"/>
          <w:highlight w:val="none"/>
          <w14:textFill>
            <w14:solidFill>
              <w14:schemeClr w14:val="tx1"/>
            </w14:solidFill>
          </w14:textFill>
        </w:rPr>
        <w:t>〗为例</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理财计划财产的年化</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率为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0.30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0.30%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w:t>
      </w:r>
      <w:r>
        <w:rPr>
          <w:rFonts w:hint="eastAsia" w:ascii="宋体" w:hAnsi="宋体" w:cs="宋体"/>
          <w:bCs/>
          <w:color w:val="000000" w:themeColor="text1"/>
          <w:sz w:val="24"/>
          <w:highlight w:val="none"/>
          <w:lang w:eastAsia="zh-CN"/>
          <w14:textFill>
            <w14:solidFill>
              <w14:schemeClr w14:val="tx1"/>
            </w14:solidFill>
          </w14:textFill>
        </w:rPr>
        <w:t>销售服务费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w:t>
      </w:r>
      <w:r>
        <w:rPr>
          <w:rFonts w:hint="eastAsia" w:ascii="宋体" w:hAnsi="宋体" w:cs="宋体"/>
          <w:bCs/>
          <w:color w:val="000000" w:themeColor="text1"/>
          <w:sz w:val="24"/>
          <w:highlight w:val="none"/>
          <w:lang w:val="en-US" w:eastAsia="zh-CN"/>
          <w14:textFill>
            <w14:solidFill>
              <w14:schemeClr w14:val="tx1"/>
            </w14:solidFill>
          </w14:textFill>
        </w:rPr>
        <w:t>份额</w:t>
      </w:r>
      <w:r>
        <w:rPr>
          <w:rFonts w:hint="eastAsia" w:ascii="宋体" w:hAnsi="宋体" w:cs="宋体"/>
          <w:bCs/>
          <w:color w:val="000000" w:themeColor="text1"/>
          <w:sz w:val="24"/>
          <w:highlight w:val="none"/>
          <w14:textFill>
            <w14:solidFill>
              <w14:schemeClr w14:val="tx1"/>
            </w14:solidFill>
          </w14:textFill>
        </w:rPr>
        <w:t>前一日资产净值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原则上按日计提。</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托管费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理财计划财产的年化托管费为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0.025</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0.025</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H为每日应计提的托管费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E为本理财计划前一日资产净值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托管费原则上按日计提。</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固定管理费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以</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A份额</w:t>
      </w:r>
      <w:r>
        <w:rPr>
          <w:rFonts w:hint="eastAsia" w:ascii="宋体" w:hAnsi="宋体" w:cs="宋体"/>
          <w:bCs/>
          <w:color w:val="000000" w:themeColor="text1"/>
          <w:sz w:val="24"/>
          <w:highlight w:val="none"/>
          <w14:textFill>
            <w14:solidFill>
              <w14:schemeClr w14:val="tx1"/>
            </w14:solidFill>
          </w14:textFill>
        </w:rPr>
        <w:t>〗为例</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理财计划财产的年化固定管理费率为</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0.40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，计算方法如下：</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H＝E×</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0.40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365</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H为每日应计提的</w:t>
      </w:r>
      <w:r>
        <w:rPr>
          <w:rFonts w:hint="eastAsia" w:ascii="宋体" w:hAnsi="宋体" w:cs="宋体"/>
          <w:bCs/>
          <w:color w:val="000000" w:themeColor="text1"/>
          <w:sz w:val="24"/>
          <w:highlight w:val="none"/>
          <w:lang w:eastAsia="zh-CN"/>
          <w14:textFill>
            <w14:solidFill>
              <w14:schemeClr w14:val="tx1"/>
            </w14:solidFill>
          </w14:textFill>
        </w:rPr>
        <w:t>固定</w:t>
      </w:r>
      <w:r>
        <w:rPr>
          <w:rFonts w:hint="eastAsia" w:ascii="宋体" w:hAnsi="宋体" w:cs="宋体"/>
          <w:bCs/>
          <w:color w:val="000000" w:themeColor="text1"/>
          <w:sz w:val="24"/>
          <w:highlight w:val="none"/>
          <w14:textFill>
            <w14:solidFill>
              <w14:schemeClr w14:val="tx1"/>
            </w14:solidFill>
          </w14:textFill>
        </w:rPr>
        <w:t>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E为本理财计划</w:t>
      </w:r>
      <w:r>
        <w:rPr>
          <w:rFonts w:hint="eastAsia" w:ascii="宋体" w:hAnsi="宋体" w:cs="宋体"/>
          <w:bCs/>
          <w:color w:val="000000" w:themeColor="text1"/>
          <w:sz w:val="24"/>
          <w:highlight w:val="none"/>
          <w:lang w:val="en-US" w:eastAsia="zh-CN"/>
          <w14:textFill>
            <w14:solidFill>
              <w14:schemeClr w14:val="tx1"/>
            </w14:solidFill>
          </w14:textFill>
        </w:rPr>
        <w:t>份额</w:t>
      </w:r>
      <w:r>
        <w:rPr>
          <w:rFonts w:hint="eastAsia" w:ascii="宋体" w:hAnsi="宋体" w:cs="宋体"/>
          <w:bCs/>
          <w:color w:val="000000" w:themeColor="text1"/>
          <w:sz w:val="24"/>
          <w:highlight w:val="none"/>
          <w14:textFill>
            <w14:solidFill>
              <w14:schemeClr w14:val="tx1"/>
            </w14:solidFill>
          </w14:textFill>
        </w:rPr>
        <w:t>前一日资产净值</w:t>
      </w:r>
    </w:p>
    <w:p>
      <w:pPr>
        <w:spacing w:line="360" w:lineRule="auto"/>
        <w:ind w:firstLine="480" w:firstLineChars="200"/>
        <w:jc w:val="left"/>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固定管理费原则上按日计提</w:t>
      </w:r>
      <w:r>
        <w:rPr>
          <w:rFonts w:hint="eastAsia" w:ascii="宋体" w:hAnsi="宋体" w:cs="宋体"/>
          <w:bCs/>
          <w:color w:val="000000" w:themeColor="text1"/>
          <w:sz w:val="24"/>
          <w:highlight w:val="none"/>
          <w:lang w:eastAsia="zh-CN"/>
          <w14:textFill>
            <w14:solidFill>
              <w14:schemeClr w14:val="tx1"/>
            </w14:solidFill>
          </w14:textFill>
        </w:rPr>
        <w:t>，管理人有权</w:t>
      </w:r>
      <w:r>
        <w:rPr>
          <w:rFonts w:hint="eastAsia" w:ascii="宋体" w:hAnsi="宋体" w:cs="宋体"/>
          <w:bCs/>
          <w:color w:val="000000" w:themeColor="text1"/>
          <w:sz w:val="24"/>
          <w:highlight w:val="none"/>
          <w:lang w:val="en-US" w:eastAsia="zh-CN"/>
          <w14:textFill>
            <w14:solidFill>
              <w14:schemeClr w14:val="tx1"/>
            </w14:solidFill>
          </w14:textFill>
        </w:rPr>
        <w:t>根据实际运作情况</w:t>
      </w:r>
      <w:r>
        <w:rPr>
          <w:rFonts w:hint="eastAsia" w:ascii="宋体" w:hAnsi="宋体" w:cs="宋体"/>
          <w:bCs/>
          <w:color w:val="000000" w:themeColor="text1"/>
          <w:sz w:val="24"/>
          <w:highlight w:val="none"/>
          <w:lang w:eastAsia="zh-CN"/>
          <w14:textFill>
            <w14:solidFill>
              <w14:schemeClr w14:val="tx1"/>
            </w14:solidFill>
          </w14:textFill>
        </w:rPr>
        <w:t>减免固定管理费。</w:t>
      </w:r>
    </w:p>
    <w:p>
      <w:pPr>
        <w:numPr>
          <w:ilvl w:val="0"/>
          <w:numId w:val="39"/>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本理财计划免除认购费。</w:t>
      </w:r>
    </w:p>
    <w:p>
      <w:pPr>
        <w:numPr>
          <w:ilvl w:val="0"/>
          <w:numId w:val="40"/>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申购费</w:t>
      </w:r>
    </w:p>
    <w:p>
      <w:pPr>
        <w:spacing w:line="360" w:lineRule="auto"/>
        <w:ind w:firstLine="480" w:firstLineChars="200"/>
        <w:jc w:val="left"/>
        <w:rPr>
          <w:rFonts w:hint="eastAsia" w:ascii="宋体" w:hAnsi="宋体" w:eastAsia="宋体" w:cs="宋体"/>
          <w:b/>
          <w:color w:val="000000" w:themeColor="text1"/>
          <w:sz w:val="24"/>
          <w:highlight w:val="none"/>
          <w:lang w:eastAsia="zh-CN"/>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本理财计划免除申购费。</w:t>
      </w:r>
    </w:p>
    <w:p>
      <w:pPr>
        <w:numPr>
          <w:ilvl w:val="0"/>
          <w:numId w:val="40"/>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赎回费</w:t>
      </w:r>
    </w:p>
    <w:p>
      <w:pPr>
        <w:spacing w:line="360" w:lineRule="auto"/>
        <w:ind w:firstLine="480"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本理财计划免除赎回费。</w:t>
      </w:r>
    </w:p>
    <w:p>
      <w:pPr>
        <w:numPr>
          <w:ilvl w:val="0"/>
          <w:numId w:val="41"/>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浮动管理费</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bookmarkStart w:id="1" w:name="OLE_LINK13"/>
      <w:r>
        <w:rPr>
          <w:rFonts w:hint="eastAsia" w:ascii="宋体" w:hAnsi="宋体" w:cs="宋体"/>
          <w:bCs/>
          <w:color w:val="000000" w:themeColor="text1"/>
          <w:sz w:val="24"/>
          <w:highlight w:val="none"/>
          <w14:textFill>
            <w14:solidFill>
              <w14:schemeClr w14:val="tx1"/>
            </w14:solidFill>
          </w14:textFill>
        </w:rPr>
        <w:t>本理财计划免除浮动管理费。</w:t>
      </w:r>
      <w:bookmarkEnd w:id="1"/>
      <w:bookmarkStart w:id="2" w:name="OLE_LINK11"/>
      <w:bookmarkStart w:id="3" w:name="OLE_LINK2"/>
    </w:p>
    <w:bookmarkEnd w:id="2"/>
    <w:bookmarkEnd w:id="3"/>
    <w:p>
      <w:pPr>
        <w:numPr>
          <w:ilvl w:val="0"/>
          <w:numId w:val="42"/>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其他费用</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除上述费用外，由受托管理资产承担的费用包括但不限于：</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财产管理、运用或处分过程中发生的税费。</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代理机构手续费、管理费、财务顾问费、保管费。</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审计费、律师费、公证费等费用。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管理人自行或委托第三方向本理财计划所投资产所涉及相关主体进行追偿所发生的费用（包括但不限于诉讼费、仲裁费、律师费、保全费等全部费用）。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理财计划的交易费用（包括但不限于交易佣金、相关账户费用等）及投资其他资管产品的费用。</w:t>
      </w:r>
    </w:p>
    <w:p>
      <w:pPr>
        <w:numPr>
          <w:ilvl w:val="0"/>
          <w:numId w:val="4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监管规定的其他费用。</w:t>
      </w:r>
    </w:p>
    <w:p>
      <w:pPr>
        <w:spacing w:line="360" w:lineRule="auto"/>
        <w:ind w:firstLine="482"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4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税收说明</w:t>
      </w:r>
    </w:p>
    <w:p>
      <w:pPr>
        <w:numPr>
          <w:ilvl w:val="0"/>
          <w:numId w:val="45"/>
        </w:numPr>
        <w:spacing w:line="360" w:lineRule="auto"/>
        <w:ind w:firstLine="480" w:firstLineChars="200"/>
        <w:jc w:val="left"/>
        <w:rPr>
          <w:color w:val="000000" w:themeColor="text1"/>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45"/>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除法律法规特别要求外，投资者应缴纳的税收由投资者自行缴纳，理财计划管理人不承担代扣代缴或纳税的义务。</w:t>
      </w:r>
    </w:p>
    <w:p>
      <w:pPr>
        <w:numPr>
          <w:ilvl w:val="0"/>
          <w:numId w:val="45"/>
        </w:num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后续国家法律法规如对相关税收政策进行调整，理财计划管理人有权根据税收政策相应调整理财计划运营过程中发生的税费计算及缴纳方式。</w:t>
      </w:r>
    </w:p>
    <w:p>
      <w:pPr>
        <w:spacing w:line="360" w:lineRule="auto"/>
        <w:jc w:val="left"/>
        <w:rPr>
          <w:rFonts w:hint="eastAsia"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收益计算</w:t>
      </w:r>
    </w:p>
    <w:p>
      <w:pPr>
        <w:numPr>
          <w:ilvl w:val="0"/>
          <w:numId w:val="46"/>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计算公式</w:t>
      </w:r>
    </w:p>
    <w:p>
      <w:pPr>
        <w:spacing w:line="360" w:lineRule="auto"/>
        <w:ind w:firstLine="480" w:firstLineChars="200"/>
        <w:jc w:val="left"/>
        <w:rPr>
          <w:rFonts w:hint="default" w:ascii="宋体" w:hAnsi="宋体" w:eastAsia="宋体" w:cs="宋体"/>
          <w:bCs/>
          <w:color w:val="000000" w:themeColor="text1"/>
          <w:sz w:val="24"/>
          <w:highlight w:val="none"/>
          <w:lang w:val="en-US" w:eastAsia="zh-CN"/>
          <w14:textFill>
            <w14:solidFill>
              <w14:schemeClr w14:val="tx1"/>
            </w14:solidFill>
          </w14:textFill>
        </w:rPr>
      </w:pPr>
      <w:bookmarkStart w:id="4" w:name="OLE_LINK1"/>
      <w:r>
        <w:rPr>
          <w:rFonts w:hint="eastAsia" w:ascii="宋体" w:hAnsi="宋体" w:cs="宋体"/>
          <w:bCs/>
          <w:color w:val="000000" w:themeColor="text1"/>
          <w:sz w:val="24"/>
          <w:highlight w:val="none"/>
          <w14:textFill>
            <w14:solidFill>
              <w14:schemeClr w14:val="tx1"/>
            </w14:solidFill>
          </w14:textFill>
        </w:rPr>
        <w:t>投资者理财收益＝赎回份额×赎回确认日（提前终止日）</w:t>
      </w:r>
      <w:r>
        <w:rPr>
          <w:rFonts w:hint="eastAsia" w:ascii="宋体" w:hAnsi="宋体" w:cs="宋体"/>
          <w:bCs/>
          <w:color w:val="000000" w:themeColor="text1"/>
          <w:sz w:val="24"/>
          <w:highlight w:val="none"/>
          <w:lang w:val="en-US" w:eastAsia="zh-CN"/>
          <w14:textFill>
            <w14:solidFill>
              <w14:schemeClr w14:val="tx1"/>
            </w14:solidFill>
          </w14:textFill>
        </w:rPr>
        <w:t>前一日</w:t>
      </w:r>
      <w:r>
        <w:rPr>
          <w:rFonts w:hint="eastAsia" w:ascii="宋体" w:hAnsi="宋体" w:cs="宋体"/>
          <w:bCs/>
          <w:color w:val="000000" w:themeColor="text1"/>
          <w:sz w:val="24"/>
          <w:highlight w:val="none"/>
          <w14:textFill>
            <w14:solidFill>
              <w14:schemeClr w14:val="tx1"/>
            </w14:solidFill>
          </w14:textFill>
        </w:rPr>
        <w:t>单位净值-认购或申购金额+份额持有期间累计分红（如有）</w:t>
      </w:r>
      <w:r>
        <w:rPr>
          <w:rFonts w:hint="eastAsia" w:ascii="宋体" w:hAnsi="宋体" w:cs="宋体"/>
          <w:bCs/>
          <w:color w:val="000000" w:themeColor="text1"/>
          <w:sz w:val="24"/>
          <w:highlight w:val="none"/>
          <w:lang w:val="en-US" w:eastAsia="zh-CN"/>
          <w14:textFill>
            <w14:solidFill>
              <w14:schemeClr w14:val="tx1"/>
            </w14:solidFill>
          </w14:textFill>
        </w:rPr>
        <w:t>-浮动管理费（如有）</w:t>
      </w:r>
    </w:p>
    <w:bookmarkEnd w:id="4"/>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份额=认购或申购金额</w:t>
      </w:r>
      <w:r>
        <w:rPr>
          <w:rFonts w:hint="eastAsia" w:ascii="宋体" w:hAnsi="宋体" w:cs="宋体"/>
          <w:bCs/>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认购或申购确认日</w:t>
      </w:r>
      <w:r>
        <w:rPr>
          <w:rFonts w:hint="eastAsia" w:ascii="宋体" w:hAnsi="宋体" w:cs="宋体"/>
          <w:bCs/>
          <w:color w:val="000000" w:themeColor="text1"/>
          <w:sz w:val="24"/>
          <w:highlight w:val="none"/>
          <w:lang w:val="en-US" w:eastAsia="zh-CN"/>
          <w14:textFill>
            <w14:solidFill>
              <w14:schemeClr w14:val="tx1"/>
            </w14:solidFill>
          </w14:textFill>
        </w:rPr>
        <w:t>前一日</w:t>
      </w:r>
      <w:r>
        <w:rPr>
          <w:rFonts w:hint="eastAsia" w:ascii="宋体" w:hAnsi="宋体" w:cs="宋体"/>
          <w:bCs/>
          <w:color w:val="000000" w:themeColor="text1"/>
          <w:sz w:val="24"/>
          <w:highlight w:val="none"/>
          <w14:textFill>
            <w14:solidFill>
              <w14:schemeClr w14:val="tx1"/>
            </w14:solidFill>
          </w14:textFill>
        </w:rPr>
        <w:t>单位净值。</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赎回确认日（提前终止日）</w:t>
      </w:r>
      <w:r>
        <w:rPr>
          <w:rFonts w:hint="eastAsia" w:ascii="宋体" w:hAnsi="宋体" w:cs="宋体"/>
          <w:bCs/>
          <w:color w:val="000000" w:themeColor="text1"/>
          <w:sz w:val="24"/>
          <w:highlight w:val="none"/>
          <w:lang w:val="en-US" w:eastAsia="zh-CN"/>
          <w14:textFill>
            <w14:solidFill>
              <w14:schemeClr w14:val="tx1"/>
            </w14:solidFill>
          </w14:textFill>
        </w:rPr>
        <w:t>前一日的</w:t>
      </w:r>
      <w:r>
        <w:rPr>
          <w:rFonts w:hint="eastAsia" w:ascii="宋体" w:hAnsi="宋体" w:cs="宋体"/>
          <w:bCs/>
          <w:color w:val="000000" w:themeColor="text1"/>
          <w:sz w:val="24"/>
          <w:highlight w:val="none"/>
          <w14:textFill>
            <w14:solidFill>
              <w14:schemeClr w14:val="tx1"/>
            </w14:solidFill>
          </w14:textFill>
        </w:rPr>
        <w:t>单位净值为提取相关费用及税费后的单位理财计划份额净值。</w:t>
      </w:r>
    </w:p>
    <w:p>
      <w:pPr>
        <w:numPr>
          <w:ilvl w:val="0"/>
          <w:numId w:val="46"/>
        </w:numPr>
        <w:spacing w:line="360" w:lineRule="auto"/>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示例说明</w:t>
      </w:r>
    </w:p>
    <w:p>
      <w:pPr>
        <w:numPr>
          <w:ilvl w:val="0"/>
          <w:numId w:val="0"/>
        </w:numPr>
        <w:spacing w:line="360" w:lineRule="auto"/>
        <w:ind w:left="420" w:leftChars="0"/>
        <w:jc w:val="left"/>
        <w:outlineLvl w:val="2"/>
        <w:rPr>
          <w:rFonts w:hint="eastAsia" w:ascii="宋体" w:hAnsi="宋体" w:cs="宋体"/>
          <w:bCs/>
          <w:color w:val="000000" w:themeColor="text1"/>
          <w:sz w:val="24"/>
          <w:highlight w:val="none"/>
          <w14:textFill>
            <w14:solidFill>
              <w14:schemeClr w14:val="tx1"/>
            </w14:solidFill>
          </w14:textFill>
        </w:rPr>
      </w:pPr>
      <w:r>
        <w:rPr>
          <w:rFonts w:hint="eastAsia" w:ascii="宋体" w:hAnsi="宋体" w:eastAsia="宋体" w:cs="宋体"/>
          <w:bCs/>
          <w:color w:val="000000" w:themeColor="text1"/>
          <w:sz w:val="24"/>
          <w:highlight w:val="none"/>
          <w:lang w:val="en-US" w:eastAsia="zh-CN"/>
          <w14:textFill>
            <w14:solidFill>
              <w14:schemeClr w14:val="tx1"/>
            </w14:solidFill>
          </w14:textFill>
        </w:rPr>
        <w:t>以下示例均为假设情况，不构成业绩预测，不代表本理财计划实际投资业绩。</w:t>
      </w:r>
    </w:p>
    <w:p>
      <w:pPr>
        <w:numPr>
          <w:ilvl w:val="0"/>
          <w:numId w:val="47"/>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w:t>
      </w:r>
      <w:r>
        <w:rPr>
          <w:rFonts w:hint="eastAsia" w:ascii="宋体" w:hAnsi="宋体" w:cs="宋体"/>
          <w:b/>
          <w:color w:val="000000" w:themeColor="text1"/>
          <w:sz w:val="24"/>
          <w:highlight w:val="none"/>
          <w:lang w:eastAsia="zh-CN"/>
          <w14:textFill>
            <w14:solidFill>
              <w14:schemeClr w14:val="tx1"/>
            </w14:solidFill>
          </w14:textFill>
        </w:rPr>
        <w:t>一</w:t>
      </w:r>
    </w:p>
    <w:p>
      <w:pPr>
        <w:spacing w:line="360" w:lineRule="auto"/>
        <w:ind w:firstLine="482"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扣除托管费、固定管理费、</w:t>
      </w:r>
      <w:r>
        <w:rPr>
          <w:rFonts w:hint="eastAsia" w:ascii="宋体" w:hAnsi="宋体" w:cs="宋体"/>
          <w:b/>
          <w:color w:val="000000" w:themeColor="text1"/>
          <w:sz w:val="24"/>
          <w:highlight w:val="none"/>
          <w:lang w:eastAsia="zh-CN"/>
          <w14:textFill>
            <w14:solidFill>
              <w14:schemeClr w14:val="tx1"/>
            </w14:solidFill>
          </w14:textFill>
        </w:rPr>
        <w:t>销售服务费</w:t>
      </w:r>
      <w:r>
        <w:rPr>
          <w:rFonts w:hint="eastAsia" w:ascii="宋体" w:hAnsi="宋体" w:cs="宋体"/>
          <w:b/>
          <w:color w:val="000000" w:themeColor="text1"/>
          <w:sz w:val="24"/>
          <w:highlight w:val="none"/>
          <w14:textFill>
            <w14:solidFill>
              <w14:schemeClr w14:val="tx1"/>
            </w14:solidFill>
          </w14:textFill>
        </w:rPr>
        <w:t>（如有）后，投资</w:t>
      </w:r>
      <w:r>
        <w:rPr>
          <w:rFonts w:hint="eastAsia" w:ascii="宋体" w:hAnsi="宋体" w:cs="宋体"/>
          <w:b/>
          <w:color w:val="000000" w:themeColor="text1"/>
          <w:sz w:val="24"/>
          <w:highlight w:val="none"/>
          <w:lang w:val="en-US" w:eastAsia="zh-CN"/>
          <w14:textFill>
            <w14:solidFill>
              <w14:schemeClr w14:val="tx1"/>
            </w14:solidFill>
          </w14:textFill>
        </w:rPr>
        <w:t>产生盈利</w:t>
      </w:r>
      <w:r>
        <w:rPr>
          <w:rFonts w:hint="eastAsia" w:ascii="宋体" w:hAnsi="宋体" w:cs="宋体"/>
          <w:b/>
          <w:color w:val="000000" w:themeColor="text1"/>
          <w:sz w:val="24"/>
          <w:highlight w:val="none"/>
          <w14:textFill>
            <w14:solidFill>
              <w14:schemeClr w14:val="tx1"/>
            </w14:solidFill>
          </w14:textFill>
        </w:rPr>
        <w:t>。</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以某投资者投资10万元为例，假设购买时理财计划净值为1.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00元，折算份额为100,000.00份，假设投资理财计划362天。到期时扣除托管费、固定管理费、</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（如有）后，如理财计划净值为1.0426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期间无分红，</w:t>
      </w:r>
      <w:r>
        <w:rPr>
          <w:rFonts w:hint="eastAsia" w:ascii="宋体" w:hAnsi="宋体" w:cs="宋体"/>
          <w:bCs/>
          <w:color w:val="000000" w:themeColor="text1"/>
          <w:sz w:val="24"/>
          <w:highlight w:val="none"/>
          <w14:textFill>
            <w14:solidFill>
              <w14:schemeClr w14:val="tx1"/>
            </w14:solidFill>
          </w14:textFill>
        </w:rPr>
        <w:t>此时，(1.0426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÷1.00</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-1)×365÷362=4.30%，即投资</w:t>
      </w:r>
      <w:r>
        <w:rPr>
          <w:rFonts w:hint="eastAsia" w:ascii="宋体" w:hAnsi="宋体" w:cs="宋体"/>
          <w:bCs/>
          <w:color w:val="000000" w:themeColor="text1"/>
          <w:sz w:val="24"/>
          <w:highlight w:val="none"/>
          <w:lang w:val="en-US" w:eastAsia="zh-CN"/>
          <w14:textFill>
            <w14:solidFill>
              <w14:schemeClr w14:val="tx1"/>
            </w14:solidFill>
          </w14:textFill>
        </w:rPr>
        <w:t>收益达到年化4.30%</w:t>
      </w:r>
      <w:r>
        <w:rPr>
          <w:rFonts w:hint="eastAsia" w:ascii="宋体" w:hAnsi="宋体" w:cs="宋体"/>
          <w:bCs/>
          <w:color w:val="000000" w:themeColor="text1"/>
          <w:sz w:val="24"/>
          <w:highlight w:val="none"/>
          <w14:textFill>
            <w14:solidFill>
              <w14:schemeClr w14:val="tx1"/>
            </w14:solidFill>
          </w14:textFill>
        </w:rPr>
        <w:t>，投资者最终收益为：100,000.00×(1.0426</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-1.00</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）=4,260.00（元）</w:t>
      </w:r>
    </w:p>
    <w:p>
      <w:pPr>
        <w:numPr>
          <w:ilvl w:val="0"/>
          <w:numId w:val="47"/>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示例</w:t>
      </w:r>
      <w:r>
        <w:rPr>
          <w:rFonts w:hint="eastAsia" w:ascii="宋体" w:hAnsi="宋体" w:cs="宋体"/>
          <w:b/>
          <w:color w:val="000000" w:themeColor="text1"/>
          <w:sz w:val="24"/>
          <w:highlight w:val="none"/>
          <w:lang w:val="en-US" w:eastAsia="zh-CN"/>
          <w14:textFill>
            <w14:solidFill>
              <w14:schemeClr w14:val="tx1"/>
            </w14:solidFill>
          </w14:textFill>
        </w:rPr>
        <w:t>二</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扣除托管费、固定管理费、</w:t>
      </w:r>
      <w:r>
        <w:rPr>
          <w:rFonts w:hint="eastAsia" w:ascii="宋体" w:hAnsi="宋体" w:cs="宋体"/>
          <w:b/>
          <w:color w:val="000000" w:themeColor="text1"/>
          <w:sz w:val="24"/>
          <w:highlight w:val="none"/>
          <w:lang w:eastAsia="zh-CN"/>
          <w14:textFill>
            <w14:solidFill>
              <w14:schemeClr w14:val="tx1"/>
            </w14:solidFill>
          </w14:textFill>
        </w:rPr>
        <w:t>销售服务费</w:t>
      </w:r>
      <w:r>
        <w:rPr>
          <w:rFonts w:hint="eastAsia" w:ascii="宋体" w:hAnsi="宋体" w:cs="宋体"/>
          <w:b/>
          <w:color w:val="000000" w:themeColor="text1"/>
          <w:sz w:val="24"/>
          <w:highlight w:val="none"/>
          <w14:textFill>
            <w14:solidFill>
              <w14:schemeClr w14:val="tx1"/>
            </w14:solidFill>
          </w14:textFill>
        </w:rPr>
        <w:t>（如有）后，投资发生亏损。</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以某投资者投资10万元为例，假设购买时理财计划净值为1.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00元，折算份额为100,000.00份，假设投资理财计划362天。到期时扣除托管费、固定管理费、</w:t>
      </w:r>
      <w:r>
        <w:rPr>
          <w:rFonts w:hint="eastAsia" w:ascii="宋体" w:hAnsi="宋体" w:cs="宋体"/>
          <w:bCs/>
          <w:color w:val="000000" w:themeColor="text1"/>
          <w:sz w:val="24"/>
          <w:highlight w:val="none"/>
          <w:lang w:eastAsia="zh-CN"/>
          <w14:textFill>
            <w14:solidFill>
              <w14:schemeClr w14:val="tx1"/>
            </w14:solidFill>
          </w14:textFill>
        </w:rPr>
        <w:t>销售服务费</w:t>
      </w:r>
      <w:r>
        <w:rPr>
          <w:rFonts w:hint="eastAsia" w:ascii="宋体" w:hAnsi="宋体" w:cs="宋体"/>
          <w:bCs/>
          <w:color w:val="000000" w:themeColor="text1"/>
          <w:sz w:val="24"/>
          <w:highlight w:val="none"/>
          <w14:textFill>
            <w14:solidFill>
              <w14:schemeClr w14:val="tx1"/>
            </w14:solidFill>
          </w14:textFill>
        </w:rPr>
        <w:t>（如有）后，如理财计划净值为0.9975</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w:t>
      </w:r>
      <w:r>
        <w:rPr>
          <w:rFonts w:hint="eastAsia" w:ascii="宋体" w:hAnsi="宋体" w:cs="宋体"/>
          <w:bCs/>
          <w:color w:val="000000" w:themeColor="text1"/>
          <w:sz w:val="24"/>
          <w:highlight w:val="none"/>
          <w:lang w:val="en-US" w:eastAsia="zh-CN"/>
          <w14:textFill>
            <w14:solidFill>
              <w14:schemeClr w14:val="tx1"/>
            </w14:solidFill>
          </w14:textFill>
        </w:rPr>
        <w:t>期间无分红，</w:t>
      </w:r>
      <w:r>
        <w:rPr>
          <w:rFonts w:hint="eastAsia" w:ascii="宋体" w:hAnsi="宋体" w:cs="宋体"/>
          <w:bCs/>
          <w:color w:val="000000" w:themeColor="text1"/>
          <w:sz w:val="24"/>
          <w:highlight w:val="none"/>
          <w14:textFill>
            <w14:solidFill>
              <w14:schemeClr w14:val="tx1"/>
            </w14:solidFill>
          </w14:textFill>
        </w:rPr>
        <w:t>投资者最终收益为：100,000.00×（0.9975</w:t>
      </w:r>
      <w:r>
        <w:rPr>
          <w:rFonts w:hint="eastAsia" w:ascii="宋体" w:hAnsi="宋体" w:cs="宋体"/>
          <w:bCs/>
          <w:color w:val="000000" w:themeColor="text1"/>
          <w:sz w:val="24"/>
          <w:highlight w:val="none"/>
          <w:lang w:val="en-US" w:eastAsia="zh-CN"/>
          <w14:textFill>
            <w14:solidFill>
              <w14:schemeClr w14:val="tx1"/>
            </w14:solidFill>
          </w14:textFill>
        </w:rPr>
        <w:t>00</w:t>
      </w:r>
      <w:r>
        <w:rPr>
          <w:rFonts w:hint="eastAsia" w:ascii="宋体" w:hAnsi="宋体" w:cs="宋体"/>
          <w:bCs/>
          <w:color w:val="000000" w:themeColor="text1"/>
          <w:sz w:val="24"/>
          <w:highlight w:val="none"/>
          <w14:textFill>
            <w14:solidFill>
              <w14:schemeClr w14:val="tx1"/>
            </w14:solidFill>
          </w14:textFill>
        </w:rPr>
        <w:t>-1.</w:t>
      </w:r>
      <w:r>
        <w:rPr>
          <w:rFonts w:hint="eastAsia" w:ascii="宋体" w:hAnsi="宋体" w:cs="宋体"/>
          <w:bCs/>
          <w:color w:val="000000" w:themeColor="text1"/>
          <w:sz w:val="24"/>
          <w:highlight w:val="none"/>
          <w:lang w:val="en-US" w:eastAsia="zh-CN"/>
          <w14:textFill>
            <w14:solidFill>
              <w14:schemeClr w14:val="tx1"/>
            </w14:solidFill>
          </w14:textFill>
        </w:rPr>
        <w:t>0000</w:t>
      </w:r>
      <w:r>
        <w:rPr>
          <w:rFonts w:hint="eastAsia" w:ascii="宋体" w:hAnsi="宋体" w:cs="宋体"/>
          <w:bCs/>
          <w:color w:val="000000" w:themeColor="text1"/>
          <w:sz w:val="24"/>
          <w:highlight w:val="none"/>
          <w14:textFill>
            <w14:solidFill>
              <w14:schemeClr w14:val="tx1"/>
            </w14:solidFill>
          </w14:textFill>
        </w:rPr>
        <w:t>00）=-250.00（元）。</w:t>
      </w:r>
    </w:p>
    <w:p>
      <w:pPr>
        <w:numPr>
          <w:ilvl w:val="0"/>
          <w:numId w:val="46"/>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最不利情况分析</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由于市场波动导致投资资产贬值或者投资资产发生信用风险导致相应损失，使理财计划</w:t>
      </w:r>
      <w:r>
        <w:rPr>
          <w:rFonts w:hint="eastAsia" w:ascii="宋体" w:hAnsi="宋体" w:cs="宋体"/>
          <w:bCs/>
          <w:color w:val="000000" w:themeColor="text1"/>
          <w:sz w:val="24"/>
          <w:highlight w:val="none"/>
          <w:lang w:eastAsia="zh-CN"/>
          <w14:textFill>
            <w14:solidFill>
              <w14:schemeClr w14:val="tx1"/>
            </w14:solidFill>
          </w14:textFill>
        </w:rPr>
        <w:t>赎回或</w:t>
      </w:r>
      <w:r>
        <w:rPr>
          <w:rFonts w:hint="eastAsia" w:ascii="宋体" w:hAnsi="宋体" w:cs="宋体"/>
          <w:bCs/>
          <w:color w:val="000000" w:themeColor="text1"/>
          <w:sz w:val="24"/>
          <w:highlight w:val="none"/>
          <w14:textFill>
            <w14:solidFill>
              <w14:schemeClr w14:val="tx1"/>
            </w14:solidFill>
          </w14:textFill>
        </w:rPr>
        <w:t>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交易规则</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r>
        <w:rPr>
          <w:rFonts w:hint="eastAsia" w:ascii="宋体" w:hAnsi="宋体" w:cs="宋体"/>
          <w:bCs/>
          <w:color w:val="000000" w:themeColor="text1"/>
          <w:sz w:val="24"/>
          <w:highlight w:val="none"/>
          <w:lang w:eastAsia="zh-CN"/>
          <w14:textFill>
            <w14:solidFill>
              <w14:schemeClr w14:val="tx1"/>
            </w14:solidFill>
          </w14:textFill>
        </w:rPr>
        <w:t>（具体以销售机构要求为准）</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理财计划认购期内，投资者可以对本理财计划进行认购、追加、撤单，相应投资资金将在投资者指定账户中冻结。</w:t>
      </w:r>
    </w:p>
    <w:p>
      <w:pPr>
        <w:numPr>
          <w:ilvl w:val="0"/>
          <w:numId w:val="49"/>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如新增认</w:t>
      </w:r>
      <w:r>
        <w:rPr>
          <w:rFonts w:hint="eastAsia" w:ascii="宋体" w:hAnsi="宋体" w:cs="宋体"/>
          <w:bCs/>
          <w:color w:val="000000" w:themeColor="text1"/>
          <w:sz w:val="24"/>
          <w:highlight w:val="none"/>
          <w:lang w:val="en-US" w:eastAsia="zh-CN"/>
          <w14:textFill>
            <w14:solidFill>
              <w14:schemeClr w14:val="tx1"/>
            </w14:solidFill>
          </w14:textFill>
        </w:rPr>
        <w:t>购使得单一投资者持有份额比例超过理财计划总份额的50％，管理人将不再接受超出部分的认购申请。非因投资管理人主观因素导致突破前款规定比例限制的，在单一投资者持有比例降至50％以下之前，管理人将不再接受该投资者对该理财计划的认购申请。投资者持有份额的计算以管理人登记为准。</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成立</w:t>
      </w:r>
    </w:p>
    <w:p>
      <w:pPr>
        <w:numPr>
          <w:ilvl w:val="0"/>
          <w:numId w:val="50"/>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销售机构有权以投资者的投资金额为限从投资者理财账户中进行资金扣划，无需投资者另行授权。</w:t>
      </w:r>
    </w:p>
    <w:p>
      <w:pPr>
        <w:numPr>
          <w:ilvl w:val="0"/>
          <w:numId w:val="50"/>
        </w:numPr>
        <w:spacing w:line="360" w:lineRule="auto"/>
        <w:ind w:firstLine="480"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管理人将在理财计划成立日对认购期的认购及追加申请进行确认和划款。</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申购及赎回</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交易确认及时间</w:t>
      </w:r>
    </w:p>
    <w:p>
      <w:pPr>
        <w:numPr>
          <w:ilvl w:val="0"/>
          <w:numId w:val="52"/>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本理财计划在每个开放期的开放日工作时间可进行申购，申购申请将在申购确认日进行确认，即申购开放期后的第〖1〗个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进行确认。</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满足最低持有期后，</w:t>
      </w:r>
      <w:r>
        <w:rPr>
          <w:rFonts w:hint="eastAsia" w:ascii="宋体" w:hAnsi="宋体" w:cs="宋体"/>
          <w:bCs/>
          <w:color w:val="000000" w:themeColor="text1"/>
          <w:sz w:val="24"/>
          <w:highlight w:val="none"/>
          <w14:textFill>
            <w14:solidFill>
              <w14:schemeClr w14:val="tx1"/>
            </w14:solidFill>
          </w14:textFill>
        </w:rPr>
        <w:t>本理财计划在每个开放期的开放日工作时间可进行赎回，赎回申请将在赎回确认日进行确认，即赎回开放期后的第〖1〗个</w:t>
      </w:r>
      <w:r>
        <w:rPr>
          <w:rFonts w:hint="eastAsia" w:ascii="宋体" w:hAnsi="宋体" w:cs="宋体"/>
          <w:b w:val="0"/>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进行确认。</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工作时间为每个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上午〖9:00〗至下午〖17:00〗。</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52"/>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如新增申</w:t>
      </w:r>
      <w:r>
        <w:rPr>
          <w:rFonts w:hint="eastAsia" w:ascii="宋体" w:hAnsi="宋体" w:cs="宋体"/>
          <w:bCs/>
          <w:color w:val="000000" w:themeColor="text1"/>
          <w:sz w:val="24"/>
          <w:highlight w:val="none"/>
          <w:lang w:val="en-US" w:eastAsia="zh-CN"/>
          <w14:textFill>
            <w14:solidFill>
              <w14:schemeClr w14:val="tx1"/>
            </w14:solidFill>
          </w14:textFill>
        </w:rPr>
        <w:t>购使得单一投资者持有份额比例超过理财计划总份额的50％，管理人将不再接受超出部分的申购申请。非因投资管理人主观因素导致突破前款规定比例限制的，在单一投资者持有比例降至50％以下之前，管理人将不再接受该投资者对该理财计划的申购申请。投资者持有份额的计算以管理人登记为准。</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到账时间</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赎回资金确认后，最快</w:t>
      </w:r>
      <w:r>
        <w:rPr>
          <w:rFonts w:hint="eastAsia" w:ascii="宋体" w:hAnsi="宋体" w:cs="宋体"/>
          <w:bCs/>
          <w:color w:val="000000" w:themeColor="text1"/>
          <w:sz w:val="24"/>
          <w:highlight w:val="none"/>
          <w:lang w:val="en-US" w:eastAsia="zh-CN"/>
          <w14:textFill>
            <w14:solidFill>
              <w14:schemeClr w14:val="tx1"/>
            </w14:solidFill>
          </w14:textFill>
        </w:rPr>
        <w:t>确认日当日</w:t>
      </w:r>
      <w:r>
        <w:rPr>
          <w:rFonts w:hint="eastAsia" w:ascii="宋体" w:hAnsi="宋体" w:cs="宋体"/>
          <w:bCs/>
          <w:color w:val="000000" w:themeColor="text1"/>
          <w:sz w:val="24"/>
          <w:highlight w:val="none"/>
          <w14:textFill>
            <w14:solidFill>
              <w14:schemeClr w14:val="tx1"/>
            </w14:solidFill>
          </w14:textFill>
        </w:rPr>
        <w:t>，最晚〖</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内（遇节假日顺延）支付。如遇资金在途或法定工作日调整，实际资金到账日以公告为准。</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巨额赎回处理</w:t>
      </w:r>
    </w:p>
    <w:p>
      <w:pPr>
        <w:numPr>
          <w:ilvl w:val="0"/>
          <w:numId w:val="53"/>
        </w:num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巨额赎回认定</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理财计划存续期内，若理财计划开放日净赎回申请份额超过上一日日终理财计划总份额〖10%〗时，即构成巨额赎回。</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巨额赎回处理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当出现巨额赎回时，管理人可以根据资产组合状况决定采取全额赎回或拒绝超出部分的赎回申请。</w:t>
      </w:r>
      <w:r>
        <w:rPr>
          <w:rFonts w:hint="eastAsia" w:ascii="宋体" w:hAnsi="宋体" w:cs="宋体"/>
          <w:bCs/>
          <w:color w:val="000000" w:themeColor="text1"/>
          <w:sz w:val="24"/>
          <w:highlight w:val="none"/>
          <w:lang w:val="en-US" w:eastAsia="zh-CN"/>
          <w14:textFill>
            <w14:solidFill>
              <w14:schemeClr w14:val="tx1"/>
            </w14:solidFill>
          </w14:textFill>
        </w:rPr>
        <w:t>如连续2日（含）以上开放日发生巨额赎回，对于已经接受的赎回申请，管理人可以延缓支付赎回款项，但延缓期限不得超过20个工作日。</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全部赎回</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当管理人认为全额兑付投资者的赎回申请将不会对本理财计划净值造成较大波动或给本理财计划造成重大损失时，按正常赎回程序执行。</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拒绝超出部分的赎回申请</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53"/>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在</w:t>
      </w:r>
      <w:r>
        <w:rPr>
          <w:rFonts w:hint="eastAsia" w:ascii="宋体" w:hAnsi="宋体" w:cs="宋体"/>
          <w:bCs/>
          <w:color w:val="000000" w:themeColor="text1"/>
          <w:sz w:val="24"/>
          <w:highlight w:val="none"/>
          <w14:textFill>
            <w14:solidFill>
              <w14:schemeClr w14:val="tx1"/>
            </w14:solidFill>
          </w14:textFill>
        </w:rPr>
        <w:t>理财计划存续期内，管理人有权根据市场情况调整巨额赎回金额比例，并及时进行对外公告。</w:t>
      </w:r>
    </w:p>
    <w:p>
      <w:pPr>
        <w:numPr>
          <w:ilvl w:val="0"/>
          <w:numId w:val="51"/>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暂停申购、赎回及延期支付赎回的情形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发生以下情形，管理人可暂停接受全部或部分投资者的申购申请：</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w:t>
      </w:r>
      <w:r>
        <w:rPr>
          <w:rFonts w:hint="eastAsia" w:ascii="宋体" w:hAnsi="宋体" w:cs="宋体"/>
          <w:bCs/>
          <w:color w:val="000000" w:themeColor="text1"/>
          <w:sz w:val="24"/>
          <w:highlight w:val="none"/>
          <w:lang w:val="en-US" w:eastAsia="zh-CN"/>
          <w14:textFill>
            <w14:solidFill>
              <w14:schemeClr w14:val="tx1"/>
            </w14:solidFill>
          </w14:textFill>
        </w:rPr>
        <w:t>资产规模过大，继续接受申购可能对理财计划业绩产生负面影响，从而损害现有份额持有人利益的情形时</w:t>
      </w:r>
      <w:r>
        <w:rPr>
          <w:rFonts w:hint="eastAsia" w:ascii="宋体" w:hAnsi="宋体" w:cs="宋体"/>
          <w:bCs/>
          <w:color w:val="000000" w:themeColor="text1"/>
          <w:sz w:val="24"/>
          <w:highlight w:val="none"/>
          <w14:textFill>
            <w14:solidFill>
              <w14:schemeClr w14:val="tx1"/>
            </w14:solidFill>
          </w14:textFill>
        </w:rPr>
        <w:t>。</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当</w:t>
      </w:r>
      <w:r>
        <w:rPr>
          <w:rFonts w:hint="eastAsia" w:ascii="宋体" w:hAnsi="宋体" w:cs="宋体"/>
          <w:bCs/>
          <w:color w:val="000000" w:themeColor="text1"/>
          <w:sz w:val="24"/>
          <w:highlight w:val="none"/>
          <w:lang w:val="en-US" w:eastAsia="zh-CN"/>
          <w14:textFill>
            <w14:solidFill>
              <w14:schemeClr w14:val="tx1"/>
            </w14:solidFill>
          </w14:textFill>
        </w:rPr>
        <w:t>管理人认为某笔申购申请会有损于其他份额持有人利益的情形时。</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发生产品说明书约定的暂停估值的情形时。</w:t>
      </w:r>
    </w:p>
    <w:p>
      <w:pPr>
        <w:numPr>
          <w:ilvl w:val="0"/>
          <w:numId w:val="54"/>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法律</w:t>
      </w:r>
      <w:r>
        <w:rPr>
          <w:rFonts w:hint="eastAsia" w:ascii="宋体" w:hAnsi="宋体" w:cs="宋体"/>
          <w:bCs/>
          <w:color w:val="000000" w:themeColor="text1"/>
          <w:sz w:val="24"/>
          <w:highlight w:val="none"/>
          <w:lang w:val="en-US" w:eastAsia="zh-CN"/>
          <w14:textFill>
            <w14:solidFill>
              <w14:schemeClr w14:val="tx1"/>
            </w14:solidFill>
          </w14:textFill>
        </w:rPr>
        <w:t>法规规定或监管机构认定的其他情形。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发生以下情形，对超出前一日终理财产品总份额10%的赎回申请，管理人可暂停接受全部或部分、延期办理投资者的赎回申请：</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理财计划发生巨额赎回情形时。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当继续</w:t>
      </w:r>
      <w:r>
        <w:rPr>
          <w:rFonts w:hint="default" w:ascii="宋体" w:hAnsi="宋体" w:cs="宋体"/>
          <w:bCs/>
          <w:color w:val="000000" w:themeColor="text1"/>
          <w:sz w:val="24"/>
          <w:highlight w:val="none"/>
          <w:lang w:val="en-US" w:eastAsia="zh-CN"/>
          <w14:textFill>
            <w14:solidFill>
              <w14:schemeClr w14:val="tx1"/>
            </w14:solidFill>
          </w14:textFill>
        </w:rPr>
        <w:t>接受赎回申请将损害存量投资者利益的情形</w:t>
      </w:r>
      <w:r>
        <w:rPr>
          <w:rFonts w:hint="eastAsia" w:ascii="宋体" w:hAnsi="宋体" w:cs="宋体"/>
          <w:bCs/>
          <w:color w:val="000000" w:themeColor="text1"/>
          <w:sz w:val="24"/>
          <w:highlight w:val="none"/>
          <w:lang w:val="en-US" w:eastAsia="zh-CN"/>
          <w14:textFill>
            <w14:solidFill>
              <w14:schemeClr w14:val="tx1"/>
            </w14:solidFill>
          </w14:textFill>
        </w:rPr>
        <w:t>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w:t>
      </w:r>
      <w:r>
        <w:rPr>
          <w:rFonts w:hint="default" w:ascii="宋体" w:hAnsi="宋体" w:cs="宋体"/>
          <w:bCs/>
          <w:color w:val="000000" w:themeColor="text1"/>
          <w:sz w:val="24"/>
          <w:highlight w:val="none"/>
          <w:lang w:val="en-US" w:eastAsia="zh-CN"/>
          <w14:textFill>
            <w14:solidFill>
              <w14:schemeClr w14:val="tx1"/>
            </w14:solidFill>
          </w14:textFill>
        </w:rPr>
        <w:t>前一估值日</w:t>
      </w:r>
      <w:r>
        <w:rPr>
          <w:rFonts w:hint="eastAsia" w:ascii="宋体" w:hAnsi="宋体" w:cs="宋体"/>
          <w:bCs/>
          <w:color w:val="000000" w:themeColor="text1"/>
          <w:sz w:val="24"/>
          <w:highlight w:val="none"/>
          <w:lang w:val="en-US" w:eastAsia="zh-CN"/>
          <w14:textFill>
            <w14:solidFill>
              <w14:schemeClr w14:val="tx1"/>
            </w14:solidFill>
          </w14:textFill>
        </w:rPr>
        <w:t>理财计划</w:t>
      </w:r>
      <w:r>
        <w:rPr>
          <w:rFonts w:hint="default" w:ascii="宋体" w:hAnsi="宋体" w:cs="宋体"/>
          <w:bCs/>
          <w:color w:val="000000" w:themeColor="text1"/>
          <w:sz w:val="24"/>
          <w:highlight w:val="none"/>
          <w:lang w:val="en-US" w:eastAsia="zh-CN"/>
          <w14:textFill>
            <w14:solidFill>
              <w14:schemeClr w14:val="tx1"/>
            </w14:solidFill>
          </w14:textFill>
        </w:rPr>
        <w:t>资产净值50%以上的资产不具备活跃交易市场或者在活跃市场中无报价，且不能采用估值技术可靠计量公允价值</w:t>
      </w:r>
      <w:r>
        <w:rPr>
          <w:rFonts w:hint="eastAsia" w:ascii="宋体" w:hAnsi="宋体" w:cs="宋体"/>
          <w:bCs/>
          <w:color w:val="000000" w:themeColor="text1"/>
          <w:sz w:val="24"/>
          <w:highlight w:val="none"/>
          <w:lang w:val="en-US" w:eastAsia="zh-CN"/>
          <w14:textFill>
            <w14:solidFill>
              <w14:schemeClr w14:val="tx1"/>
            </w14:solidFill>
          </w14:textFill>
        </w:rPr>
        <w:t>的情形</w:t>
      </w:r>
      <w:r>
        <w:rPr>
          <w:rFonts w:hint="default" w:ascii="宋体" w:hAnsi="宋体" w:cs="宋体"/>
          <w:bCs/>
          <w:color w:val="000000" w:themeColor="text1"/>
          <w:sz w:val="24"/>
          <w:highlight w:val="none"/>
          <w:lang w:val="en-US"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w:t>
      </w:r>
      <w:r>
        <w:rPr>
          <w:rFonts w:hint="eastAsia" w:ascii="宋体" w:hAnsi="宋体" w:cs="宋体"/>
          <w:bCs/>
          <w:color w:val="000000" w:themeColor="text1"/>
          <w:sz w:val="24"/>
          <w:highlight w:val="none"/>
          <w:lang w:eastAsia="zh-CN"/>
          <w14:textFill>
            <w14:solidFill>
              <w14:schemeClr w14:val="tx1"/>
            </w14:solidFill>
          </w14:textFill>
        </w:rPr>
        <w:t>产品说明书约定的暂停估值的情形时。</w:t>
      </w:r>
    </w:p>
    <w:p>
      <w:pPr>
        <w:numPr>
          <w:ilvl w:val="0"/>
          <w:numId w:val="55"/>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法律</w:t>
      </w:r>
      <w:r>
        <w:rPr>
          <w:rFonts w:hint="eastAsia" w:ascii="宋体" w:hAnsi="宋体" w:cs="宋体"/>
          <w:bCs/>
          <w:color w:val="000000" w:themeColor="text1"/>
          <w:sz w:val="24"/>
          <w:highlight w:val="none"/>
          <w:lang w:val="en-US" w:eastAsia="zh-CN"/>
          <w14:textFill>
            <w14:solidFill>
              <w14:schemeClr w14:val="tx1"/>
            </w14:solidFill>
          </w14:textFill>
        </w:rPr>
        <w:t>法规规定或监管机构认定的其他情形。</w:t>
      </w:r>
    </w:p>
    <w:p>
      <w:pPr>
        <w:spacing w:line="360" w:lineRule="auto"/>
        <w:ind w:firstLine="480" w:firstLineChars="200"/>
        <w:jc w:val="left"/>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发生以下情形，管理人对已接受的赎回申请，可延期支付赎回款项：</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eastAsia="zh-CN"/>
          <w14:textFill>
            <w14:solidFill>
              <w14:schemeClr w14:val="tx1"/>
            </w14:solidFill>
          </w14:textFill>
        </w:rPr>
        <w:t>因</w:t>
      </w:r>
      <w:r>
        <w:rPr>
          <w:rFonts w:hint="eastAsia" w:ascii="宋体" w:hAnsi="宋体" w:cs="宋体"/>
          <w:bCs/>
          <w:color w:val="000000" w:themeColor="text1"/>
          <w:sz w:val="24"/>
          <w:highlight w:val="none"/>
          <w:lang w:val="en-US" w:eastAsia="zh-CN"/>
          <w14:textFill>
            <w14:solidFill>
              <w14:schemeClr w14:val="tx1"/>
            </w14:solidFill>
          </w14:textFill>
        </w:rPr>
        <w:t>不可抗力等原因，导致管理人接受赎回申请后无法及时兑付的情形时。</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连续</w:t>
      </w:r>
      <w:r>
        <w:rPr>
          <w:rFonts w:hint="default"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lang w:val="en-US" w:eastAsia="zh-CN"/>
          <w14:textFill>
            <w14:solidFill>
              <w14:schemeClr w14:val="tx1"/>
            </w14:solidFill>
          </w14:textFill>
        </w:rPr>
        <w:t>日</w:t>
      </w:r>
      <w:r>
        <w:rPr>
          <w:rFonts w:hint="default" w:ascii="宋体" w:hAnsi="宋体" w:cs="宋体"/>
          <w:bCs/>
          <w:color w:val="000000" w:themeColor="text1"/>
          <w:sz w:val="24"/>
          <w:highlight w:val="none"/>
          <w:lang w:val="en-US" w:eastAsia="zh-CN"/>
          <w14:textFill>
            <w14:solidFill>
              <w14:schemeClr w14:val="tx1"/>
            </w14:solidFill>
          </w14:textFill>
        </w:rPr>
        <w:t>（含）以上开放日发生巨额赎回的</w:t>
      </w:r>
      <w:r>
        <w:rPr>
          <w:rFonts w:hint="eastAsia" w:ascii="宋体" w:hAnsi="宋体" w:cs="宋体"/>
          <w:bCs/>
          <w:color w:val="000000" w:themeColor="text1"/>
          <w:sz w:val="24"/>
          <w:highlight w:val="none"/>
          <w:lang w:val="en-US" w:eastAsia="zh-CN"/>
          <w14:textFill>
            <w14:solidFill>
              <w14:schemeClr w14:val="tx1"/>
            </w14:solidFill>
          </w14:textFill>
        </w:rPr>
        <w:t>情形时。</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当前</w:t>
      </w:r>
      <w:r>
        <w:rPr>
          <w:rFonts w:hint="default" w:ascii="宋体" w:hAnsi="宋体" w:cs="宋体"/>
          <w:bCs/>
          <w:color w:val="000000" w:themeColor="text1"/>
          <w:sz w:val="24"/>
          <w:highlight w:val="none"/>
          <w:lang w:val="en-US" w:eastAsia="zh-CN"/>
          <w14:textFill>
            <w14:solidFill>
              <w14:schemeClr w14:val="tx1"/>
            </w14:solidFill>
          </w14:textFill>
        </w:rPr>
        <w:t>一估值日</w:t>
      </w:r>
      <w:r>
        <w:rPr>
          <w:rFonts w:hint="eastAsia" w:ascii="宋体" w:hAnsi="宋体" w:cs="宋体"/>
          <w:bCs/>
          <w:color w:val="000000" w:themeColor="text1"/>
          <w:sz w:val="24"/>
          <w:highlight w:val="none"/>
          <w:lang w:val="en-US" w:eastAsia="zh-CN"/>
          <w14:textFill>
            <w14:solidFill>
              <w14:schemeClr w14:val="tx1"/>
            </w14:solidFill>
          </w14:textFill>
        </w:rPr>
        <w:t>理财计划</w:t>
      </w:r>
      <w:r>
        <w:rPr>
          <w:rFonts w:hint="default" w:ascii="宋体" w:hAnsi="宋体" w:cs="宋体"/>
          <w:bCs/>
          <w:color w:val="000000" w:themeColor="text1"/>
          <w:sz w:val="24"/>
          <w:highlight w:val="none"/>
          <w:lang w:val="en-US" w:eastAsia="zh-CN"/>
          <w14:textFill>
            <w14:solidFill>
              <w14:schemeClr w14:val="tx1"/>
            </w14:solidFill>
          </w14:textFill>
        </w:rPr>
        <w:t>资产净值50%以上的资产不具备活跃交易市场或者在活跃市场中无报价，且不能采用估值技术可靠计量公允价值</w:t>
      </w:r>
      <w:r>
        <w:rPr>
          <w:rFonts w:hint="eastAsia" w:ascii="宋体" w:hAnsi="宋体" w:cs="宋体"/>
          <w:bCs/>
          <w:color w:val="000000" w:themeColor="text1"/>
          <w:sz w:val="24"/>
          <w:highlight w:val="none"/>
          <w:lang w:val="en-US" w:eastAsia="zh-CN"/>
          <w14:textFill>
            <w14:solidFill>
              <w14:schemeClr w14:val="tx1"/>
            </w14:solidFill>
          </w14:textFill>
        </w:rPr>
        <w:t>的情形</w:t>
      </w:r>
      <w:r>
        <w:rPr>
          <w:rFonts w:hint="default" w:ascii="宋体" w:hAnsi="宋体" w:cs="宋体"/>
          <w:bCs/>
          <w:color w:val="000000" w:themeColor="text1"/>
          <w:sz w:val="24"/>
          <w:highlight w:val="none"/>
          <w:lang w:val="en-US" w:eastAsia="zh-CN"/>
          <w14:textFill>
            <w14:solidFill>
              <w14:schemeClr w14:val="tx1"/>
            </w14:solidFill>
          </w14:textFill>
        </w:rPr>
        <w:t>时</w:t>
      </w:r>
      <w:r>
        <w:rPr>
          <w:rFonts w:hint="eastAsia" w:ascii="宋体" w:hAnsi="宋体" w:cs="宋体"/>
          <w:bCs/>
          <w:color w:val="000000" w:themeColor="text1"/>
          <w:sz w:val="24"/>
          <w:highlight w:val="none"/>
          <w:lang w:val="en-US" w:eastAsia="zh-CN"/>
          <w14:textFill>
            <w14:solidFill>
              <w14:schemeClr w14:val="tx1"/>
            </w14:solidFill>
          </w14:textFill>
        </w:rPr>
        <w:t>。</w:t>
      </w:r>
    </w:p>
    <w:p>
      <w:pPr>
        <w:numPr>
          <w:ilvl w:val="0"/>
          <w:numId w:val="56"/>
        </w:num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法律法规规定或监管机构认定的其他情形。</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到期清算</w:t>
      </w:r>
    </w:p>
    <w:p>
      <w:pPr>
        <w:spacing w:line="360" w:lineRule="auto"/>
        <w:ind w:firstLine="480" w:firstLineChars="200"/>
        <w:jc w:val="lef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正常到期清算：本理财计划终止后，管理人将按照清算后的资产净值按持有份额比例对投资者进行分配，并通过销售机构最快〖</w:t>
      </w:r>
      <w:r>
        <w:rPr>
          <w:rFonts w:hint="eastAsia" w:ascii="宋体" w:hAnsi="宋体" w:cs="宋体"/>
          <w:bCs/>
          <w:color w:val="000000" w:themeColor="text1"/>
          <w:sz w:val="24"/>
          <w:highlight w:val="none"/>
          <w:lang w:val="en-US" w:eastAsia="zh-CN"/>
          <w14:textFill>
            <w14:solidFill>
              <w14:schemeClr w14:val="tx1"/>
            </w14:solidFill>
          </w14:textFill>
        </w:rPr>
        <w:t>1</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、最晚〖</w:t>
      </w:r>
      <w:r>
        <w:rPr>
          <w:rFonts w:hint="eastAsia" w:ascii="宋体" w:hAnsi="宋体" w:cs="宋体"/>
          <w:bCs/>
          <w:color w:val="000000" w:themeColor="text1"/>
          <w:sz w:val="24"/>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交易日</w:t>
      </w:r>
      <w:r>
        <w:rPr>
          <w:rFonts w:hint="eastAsia" w:ascii="宋体" w:hAnsi="宋体" w:cs="宋体"/>
          <w:bCs/>
          <w:color w:val="000000" w:themeColor="text1"/>
          <w:sz w:val="24"/>
          <w:highlight w:val="none"/>
          <w14:textFill>
            <w14:solidFill>
              <w14:schemeClr w14:val="tx1"/>
            </w14:solidFill>
          </w14:textFill>
        </w:rPr>
        <w:t>内（遇节假日顺延）将资金按规定的要求划入投资者授权指定的理财账户。</w:t>
      </w:r>
      <w:r>
        <w:rPr>
          <w:rFonts w:hint="eastAsia" w:ascii="宋体" w:hAnsi="宋体" w:cs="宋体"/>
          <w:color w:val="000000" w:themeColor="text1"/>
          <w:kern w:val="0"/>
          <w:sz w:val="24"/>
          <w:szCs w:val="24"/>
          <w:highlight w:val="none"/>
          <w14:textFill>
            <w14:solidFill>
              <w14:schemeClr w14:val="tx1"/>
            </w14:solidFill>
          </w14:textFill>
        </w:rPr>
        <w:t>（具体以销售机构规定为准）</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提前终止</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在理财计划期限内，管理人根据投资情况有提前终止权，于本理财计划提前终止日前</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2〗个〖工作日〗通过管理人或销售机构发布提前终止公告，并于终止日后</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bCs/>
          <w:color w:val="000000" w:themeColor="text1"/>
          <w:sz w:val="24"/>
          <w:highlight w:val="none"/>
          <w14:textFill>
            <w14:solidFill>
              <w14:schemeClr w14:val="tx1"/>
            </w14:solidFill>
          </w14:textFill>
        </w:rPr>
        <w:t>〗个</w:t>
      </w:r>
      <w:r>
        <w:rPr>
          <w:rFonts w:hint="eastAsia" w:ascii="宋体" w:hAnsi="宋体" w:cs="宋体"/>
          <w:bCs/>
          <w:color w:val="000000" w:themeColor="text1"/>
          <w:sz w:val="24"/>
          <w:highlight w:val="none"/>
          <w:lang w:val="en-US" w:eastAsia="zh-CN"/>
          <w14:textFill>
            <w14:solidFill>
              <w14:schemeClr w14:val="tx1"/>
            </w14:solidFill>
          </w14:textFill>
        </w:rPr>
        <w:t>交易</w:t>
      </w:r>
      <w:r>
        <w:rPr>
          <w:rFonts w:hint="eastAsia" w:ascii="宋体" w:hAnsi="宋体" w:cs="宋体"/>
          <w:bCs/>
          <w:color w:val="000000" w:themeColor="text1"/>
          <w:sz w:val="24"/>
          <w:highlight w:val="none"/>
          <w14:textFill>
            <w14:solidFill>
              <w14:schemeClr w14:val="tx1"/>
            </w14:solidFill>
          </w14:textFill>
        </w:rPr>
        <w:t>日内将可兑付款项按规定的要求划入投资者授权指定的理财账户。终止日至资金实际到账日之间，投资者资金不计息。</w:t>
      </w:r>
    </w:p>
    <w:p>
      <w:p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如发生以下事项时，管理人可对本理财计划行使全部</w:t>
      </w:r>
      <w:r>
        <w:rPr>
          <w:rFonts w:hint="eastAsia" w:ascii="宋体" w:hAnsi="宋体" w:cs="宋体"/>
          <w:b/>
          <w:color w:val="000000" w:themeColor="text1"/>
          <w:sz w:val="24"/>
          <w:highlight w:val="none"/>
          <w:lang w:eastAsia="zh-CN"/>
          <w14:textFill>
            <w14:solidFill>
              <w14:schemeClr w14:val="tx1"/>
            </w14:solidFill>
          </w14:textFill>
        </w:rPr>
        <w:t>或部分</w:t>
      </w:r>
      <w:r>
        <w:rPr>
          <w:rFonts w:hint="eastAsia" w:ascii="宋体" w:hAnsi="宋体" w:cs="宋体"/>
          <w:b/>
          <w:color w:val="000000" w:themeColor="text1"/>
          <w:sz w:val="24"/>
          <w:highlight w:val="none"/>
          <w14:textFill>
            <w14:solidFill>
              <w14:schemeClr w14:val="tx1"/>
            </w14:solidFill>
          </w14:textFill>
        </w:rPr>
        <w:t>提前终止权：</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如因本理财计划资产运作模式等与法律法规、规章的规定或者监管部门的要求等存在冲突导致理财计划必须提前终止的。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国家有关法律、法规、规章、政策的改变、紧急措施的出台、理财市场环境发生重大变化等导致理财计划必须提前终止的。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因不可抗力因素导致本理财计划必须提前终止的。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理财计划的投资策略已不适合当前的市场环境的。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lang w:eastAsia="zh-CN"/>
          <w14:textFill>
            <w14:solidFill>
              <w14:schemeClr w14:val="tx1"/>
            </w14:solidFill>
          </w14:textFill>
        </w:rPr>
        <w:t>融资人行使提前到期或还款权利的。</w:t>
      </w:r>
    </w:p>
    <w:p>
      <w:pPr>
        <w:numPr>
          <w:ilvl w:val="0"/>
          <w:numId w:val="57"/>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管理人认为应该提前终止的其他情形。</w:t>
      </w:r>
    </w:p>
    <w:p>
      <w:pPr>
        <w:numPr>
          <w:ilvl w:val="0"/>
          <w:numId w:val="48"/>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延期</w:t>
      </w:r>
    </w:p>
    <w:p>
      <w:pPr>
        <w:spacing w:line="360" w:lineRule="auto"/>
        <w:ind w:firstLine="480" w:firstLineChars="200"/>
        <w:jc w:val="lef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预计在理财计划预计到期日，理财计划资产因市场风险、信用风险等原因无法全部变现。</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预计理财计划所投资的信托计划、资管计划、私募基金的受托人或管理人不能按时向管理人划付理财计划的本金和收益。</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理财计划财产涉及诉讼或仲裁，且预计诉讼或仲裁执行程序于理财计划到期日尚未终结。</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管理人与托管人、销售机构协商一致决定延期。</w:t>
      </w:r>
    </w:p>
    <w:p>
      <w:pPr>
        <w:numPr>
          <w:ilvl w:val="0"/>
          <w:numId w:val="58"/>
        </w:numPr>
        <w:spacing w:line="360" w:lineRule="auto"/>
        <w:ind w:firstLine="482" w:firstLineChars="200"/>
        <w:jc w:val="left"/>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法律法规规定的或管理人认为有必要延期的其他情形。</w:t>
      </w:r>
    </w:p>
    <w:p>
      <w:pPr>
        <w:spacing w:line="360" w:lineRule="auto"/>
        <w:jc w:val="left"/>
        <w:rPr>
          <w:rFonts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信息披露</w:t>
      </w:r>
    </w:p>
    <w:p>
      <w:pPr>
        <w:numPr>
          <w:ilvl w:val="0"/>
          <w:numId w:val="59"/>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披露内容及时间</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认购信息披露</w:t>
      </w:r>
    </w:p>
    <w:p>
      <w:pPr>
        <w:numPr>
          <w:ilvl w:val="0"/>
          <w:numId w:val="61"/>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理财计划合同：管理人应在正式办理理财计划份额认购前披露，包括但不限于</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风险揭示书、</w:t>
      </w:r>
      <w:r>
        <w:rPr>
          <w:rFonts w:hint="eastAsia" w:ascii="宋体" w:hAnsi="宋体" w:cs="宋体"/>
          <w:bCs/>
          <w:color w:val="000000" w:themeColor="text1"/>
          <w:sz w:val="24"/>
          <w:highlight w:val="none"/>
          <w:lang w:eastAsia="zh-CN"/>
          <w14:textFill>
            <w14:solidFill>
              <w14:schemeClr w14:val="tx1"/>
            </w14:solidFill>
          </w14:textFill>
        </w:rPr>
        <w:t>理财计划</w:t>
      </w:r>
      <w:r>
        <w:rPr>
          <w:rFonts w:hint="eastAsia" w:ascii="宋体" w:hAnsi="宋体" w:cs="宋体"/>
          <w:bCs/>
          <w:color w:val="000000" w:themeColor="text1"/>
          <w:sz w:val="24"/>
          <w:highlight w:val="none"/>
          <w14:textFill>
            <w14:solidFill>
              <w14:schemeClr w14:val="tx1"/>
            </w14:solidFill>
          </w14:textFill>
        </w:rPr>
        <w:t>产品说明书、投资者权益须知</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Cs/>
          <w:color w:val="000000" w:themeColor="text1"/>
          <w:sz w:val="24"/>
          <w:highlight w:val="none"/>
          <w14:textFill>
            <w14:solidFill>
              <w14:schemeClr w14:val="tx1"/>
            </w14:solidFill>
          </w14:textFill>
        </w:rPr>
        <w:t>理财计划投资协议书</w:t>
      </w:r>
      <w:r>
        <w:rPr>
          <w:rFonts w:hint="eastAsia" w:ascii="宋体" w:hAnsi="宋体" w:cs="宋体"/>
          <w:bCs/>
          <w:color w:val="000000" w:themeColor="text1"/>
          <w:sz w:val="24"/>
          <w:highlight w:val="none"/>
          <w:lang w:eastAsia="zh-CN"/>
          <w14:textFill>
            <w14:solidFill>
              <w14:schemeClr w14:val="tx1"/>
            </w14:solidFill>
          </w14:textFill>
        </w:rPr>
        <w:t>以及理财计划销售协议书</w:t>
      </w:r>
      <w:r>
        <w:rPr>
          <w:rFonts w:hint="eastAsia" w:ascii="宋体" w:hAnsi="宋体" w:cs="宋体"/>
          <w:bCs/>
          <w:color w:val="000000" w:themeColor="text1"/>
          <w:sz w:val="24"/>
          <w:highlight w:val="none"/>
          <w14:textFill>
            <w14:solidFill>
              <w14:schemeClr w14:val="tx1"/>
            </w14:solidFill>
          </w14:textFill>
        </w:rPr>
        <w:t>。</w:t>
      </w:r>
    </w:p>
    <w:p>
      <w:pPr>
        <w:numPr>
          <w:ilvl w:val="0"/>
          <w:numId w:val="61"/>
        </w:numPr>
        <w:spacing w:line="360" w:lineRule="auto"/>
        <w:ind w:firstLine="480" w:firstLineChars="200"/>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发行公告：管理人应在理财计划成立日后</w:t>
      </w:r>
      <w:r>
        <w:rPr>
          <w:rFonts w:hint="eastAsia" w:ascii="宋体" w:hAnsi="宋体" w:cs="宋体"/>
          <w:bCs/>
          <w:color w:val="000000" w:themeColor="text1"/>
          <w:sz w:val="24"/>
          <w:highlight w:val="none"/>
          <w:lang w:val="en-US" w:eastAsia="zh-CN"/>
          <w14:textFill>
            <w14:solidFill>
              <w14:schemeClr w14:val="tx1"/>
            </w14:solidFill>
          </w14:textFill>
        </w:rPr>
        <w:t>5</w:t>
      </w:r>
      <w:r>
        <w:rPr>
          <w:rFonts w:hint="eastAsia" w:ascii="宋体" w:hAnsi="宋体" w:cs="宋体"/>
          <w:bCs/>
          <w:color w:val="000000" w:themeColor="text1"/>
          <w:sz w:val="24"/>
          <w:highlight w:val="none"/>
          <w14:textFill>
            <w14:solidFill>
              <w14:schemeClr w14:val="tx1"/>
            </w14:solidFill>
          </w14:textFill>
        </w:rPr>
        <w:t>个工作日内披露，包括成立日期、募集规模等信息。</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运作信息披露</w:t>
      </w:r>
    </w:p>
    <w:p>
      <w:pPr>
        <w:numPr>
          <w:ilvl w:val="0"/>
          <w:numId w:val="62"/>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理财计划净值：管理人应在理财计划成立后，每个开放确认日后</w:t>
      </w:r>
      <w:r>
        <w:rPr>
          <w:rFonts w:hint="eastAsia" w:ascii="宋体" w:hAnsi="宋体" w:cs="宋体"/>
          <w:bCs/>
          <w:color w:val="000000" w:themeColor="text1"/>
          <w:sz w:val="24"/>
          <w:highlight w:val="none"/>
          <w:lang w:val="en-US" w:eastAsia="zh-CN"/>
          <w14:textFill>
            <w14:solidFill>
              <w14:schemeClr w14:val="tx1"/>
            </w14:solidFill>
          </w14:textFill>
        </w:rPr>
        <w:t>2</w:t>
      </w:r>
      <w:r>
        <w:rPr>
          <w:rFonts w:hint="eastAsia" w:ascii="宋体" w:hAnsi="宋体" w:cs="宋体"/>
          <w:bCs/>
          <w:color w:val="000000" w:themeColor="text1"/>
          <w:sz w:val="24"/>
          <w:highlight w:val="none"/>
          <w14:textFill>
            <w14:solidFill>
              <w14:schemeClr w14:val="tx1"/>
            </w14:solidFill>
          </w14:textFill>
        </w:rPr>
        <w:t>个工作日内披露本理财计划净值。</w:t>
      </w:r>
    </w:p>
    <w:p>
      <w:pPr>
        <w:numPr>
          <w:ilvl w:val="0"/>
          <w:numId w:val="62"/>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r>
        <w:rPr>
          <w:rFonts w:hint="eastAsia" w:ascii="宋体" w:hAnsi="宋体" w:cs="宋体"/>
          <w:bCs/>
          <w:color w:val="000000" w:themeColor="text1"/>
          <w:sz w:val="24"/>
          <w:highlight w:val="none"/>
          <w:lang w:eastAsia="zh-CN"/>
          <w14:textFill>
            <w14:solidFill>
              <w14:schemeClr w14:val="tx1"/>
            </w14:solidFill>
          </w14:textFill>
        </w:rPr>
        <w:t>。如本理财计划成立不足</w:t>
      </w:r>
      <w:r>
        <w:rPr>
          <w:rFonts w:hint="eastAsia" w:ascii="宋体" w:hAnsi="宋体" w:cs="宋体"/>
          <w:bCs/>
          <w:color w:val="000000" w:themeColor="text1"/>
          <w:sz w:val="24"/>
          <w:highlight w:val="none"/>
          <w:lang w:val="en-US" w:eastAsia="zh-CN"/>
          <w14:textFill>
            <w14:solidFill>
              <w14:schemeClr w14:val="tx1"/>
            </w14:solidFill>
          </w14:textFill>
        </w:rPr>
        <w:t>90个工作日或剩余存续期不超过90个工作日的，管理人可不编制当期的季度、半年和年度报告等运行报告。</w:t>
      </w:r>
    </w:p>
    <w:p>
      <w:pPr>
        <w:numPr>
          <w:ilvl w:val="0"/>
          <w:numId w:val="62"/>
        </w:num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到期报告：管理人应在理财计划到期后5个工作日内披露，包括存续期限、到期兑付净值、收益分配情况等信息。</w:t>
      </w:r>
    </w:p>
    <w:p>
      <w:pPr>
        <w:numPr>
          <w:ilvl w:val="0"/>
          <w:numId w:val="60"/>
        </w:numPr>
        <w:spacing w:line="360" w:lineRule="auto"/>
        <w:ind w:firstLine="482" w:firstLineChars="200"/>
        <w:jc w:val="left"/>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临时信息披露</w:t>
      </w:r>
    </w:p>
    <w:p>
      <w:pPr>
        <w:numPr>
          <w:ilvl w:val="0"/>
          <w:numId w:val="63"/>
        </w:num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重大事项公告：</w:t>
      </w:r>
      <w:r>
        <w:rPr>
          <w:rFonts w:hint="eastAsia" w:ascii="宋体" w:hAnsi="宋体" w:cs="宋体"/>
          <w:bCs/>
          <w:color w:val="000000" w:themeColor="text1"/>
          <w:sz w:val="24"/>
          <w:highlight w:val="none"/>
          <w:lang w:eastAsia="zh-CN"/>
          <w14:textFill>
            <w14:solidFill>
              <w14:schemeClr w14:val="tx1"/>
            </w14:solidFill>
          </w14:textFill>
        </w:rPr>
        <w:t>管理人应在运用</w:t>
      </w:r>
      <w:r>
        <w:rPr>
          <w:rFonts w:hint="eastAsia" w:ascii="宋体" w:hAnsi="宋体" w:cs="宋体"/>
          <w:bCs/>
          <w:color w:val="000000" w:themeColor="text1"/>
          <w:sz w:val="24"/>
          <w:highlight w:val="none"/>
          <w14:textFill>
            <w14:solidFill>
              <w14:schemeClr w14:val="tx1"/>
            </w14:solidFill>
          </w14:textFill>
        </w:rPr>
        <w:t>收取短期赎回费、摆动定价等措施后，3个交易日内</w:t>
      </w:r>
      <w:r>
        <w:rPr>
          <w:rFonts w:hint="eastAsia" w:ascii="宋体" w:hAnsi="宋体" w:cs="宋体"/>
          <w:bCs/>
          <w:color w:val="000000" w:themeColor="text1"/>
          <w:sz w:val="24"/>
          <w:highlight w:val="none"/>
          <w:lang w:eastAsia="zh-CN"/>
          <w14:textFill>
            <w14:solidFill>
              <w14:schemeClr w14:val="tx1"/>
            </w14:solidFill>
          </w14:textFill>
        </w:rPr>
        <w:t>发布相关事项公告；应在</w:t>
      </w:r>
      <w:r>
        <w:rPr>
          <w:rFonts w:hint="eastAsia" w:ascii="宋体" w:hAnsi="宋体" w:cs="宋体"/>
          <w:bCs/>
          <w:color w:val="000000" w:themeColor="text1"/>
          <w:sz w:val="24"/>
          <w:highlight w:val="none"/>
          <w:lang w:val="en-US" w:eastAsia="zh-CN"/>
          <w14:textFill>
            <w14:solidFill>
              <w14:schemeClr w14:val="tx1"/>
            </w14:solidFill>
          </w14:textFill>
        </w:rPr>
        <w:t>运用暂停认购、延期办理巨额赎回申请、暂停接受赎回申请、延缓支付赎回款项、暂停理财产品估值等措施后，</w:t>
      </w:r>
      <w:r>
        <w:rPr>
          <w:rFonts w:hint="eastAsia" w:ascii="宋体" w:hAnsi="宋体" w:cs="宋体"/>
          <w:bCs/>
          <w:color w:val="000000" w:themeColor="text1"/>
          <w:sz w:val="24"/>
          <w:highlight w:val="none"/>
          <w14:textFill>
            <w14:solidFill>
              <w14:schemeClr w14:val="tx1"/>
            </w14:solidFill>
          </w14:textFill>
        </w:rPr>
        <w:t>3个交易日内</w:t>
      </w:r>
      <w:r>
        <w:rPr>
          <w:rFonts w:hint="eastAsia" w:ascii="宋体" w:hAnsi="宋体" w:cs="宋体"/>
          <w:bCs/>
          <w:color w:val="000000" w:themeColor="text1"/>
          <w:sz w:val="24"/>
          <w:highlight w:val="none"/>
          <w:lang w:eastAsia="zh-CN"/>
          <w14:textFill>
            <w14:solidFill>
              <w14:schemeClr w14:val="tx1"/>
            </w14:solidFill>
          </w14:textFill>
        </w:rPr>
        <w:t>发布相关事项公告，</w:t>
      </w:r>
      <w:r>
        <w:rPr>
          <w:rFonts w:hint="eastAsia" w:ascii="宋体" w:hAnsi="宋体" w:cs="宋体"/>
          <w:bCs/>
          <w:color w:val="000000" w:themeColor="text1"/>
          <w:sz w:val="24"/>
          <w:highlight w:val="none"/>
          <w:lang w:val="en-US" w:eastAsia="zh-CN"/>
          <w14:textFill>
            <w14:solidFill>
              <w14:schemeClr w14:val="tx1"/>
            </w14:solidFill>
          </w14:textFill>
        </w:rPr>
        <w:t>说明运用相关措施的原因、拟采取的应对安排等；</w:t>
      </w:r>
      <w:r>
        <w:rPr>
          <w:rFonts w:hint="eastAsia" w:ascii="宋体" w:hAnsi="宋体" w:cs="宋体"/>
          <w:bCs/>
          <w:color w:val="000000" w:themeColor="text1"/>
          <w:sz w:val="24"/>
          <w:highlight w:val="none"/>
          <w:lang w:eastAsia="zh-CN"/>
          <w14:textFill>
            <w14:solidFill>
              <w14:schemeClr w14:val="tx1"/>
            </w14:solidFill>
          </w14:textFill>
        </w:rPr>
        <w:t>应在发生可能对理财计划投资者或者理财计划收益产</w:t>
      </w:r>
      <w:r>
        <w:rPr>
          <w:rFonts w:hint="eastAsia" w:ascii="宋体" w:hAnsi="宋体" w:cs="宋体"/>
          <w:bCs/>
          <w:color w:val="000000" w:themeColor="text1"/>
          <w:sz w:val="24"/>
          <w:highlight w:val="none"/>
          <w14:textFill>
            <w14:solidFill>
              <w14:schemeClr w14:val="tx1"/>
            </w14:solidFill>
          </w14:textFill>
        </w:rPr>
        <w:t>生重大事项的事件后2个工作日内发布重大事项公告。</w:t>
      </w:r>
    </w:p>
    <w:p>
      <w:pPr>
        <w:numPr>
          <w:ilvl w:val="0"/>
          <w:numId w:val="63"/>
        </w:num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临时公告：管理人应当及时披露除重大事项以外的其他信息，包括但不限于理财计划终止、更</w:t>
      </w:r>
      <w:r>
        <w:rPr>
          <w:rFonts w:hint="eastAsia" w:ascii="宋体" w:hAnsi="宋体" w:cs="宋体"/>
          <w:bCs/>
          <w:color w:val="000000" w:themeColor="text1"/>
          <w:sz w:val="24"/>
          <w:highlight w:val="none"/>
          <w:lang w:eastAsia="zh-CN"/>
          <w14:textFill>
            <w14:solidFill>
              <w14:schemeClr w14:val="tx1"/>
            </w14:solidFill>
          </w14:textFill>
        </w:rPr>
        <w:t>换</w:t>
      </w:r>
      <w:r>
        <w:rPr>
          <w:rFonts w:hint="eastAsia" w:ascii="宋体" w:hAnsi="宋体" w:cs="宋体"/>
          <w:bCs/>
          <w:color w:val="000000" w:themeColor="text1"/>
          <w:sz w:val="24"/>
          <w:highlight w:val="none"/>
          <w14:textFill>
            <w14:solidFill>
              <w14:schemeClr w14:val="tx1"/>
            </w14:solidFill>
          </w14:textFill>
        </w:rPr>
        <w:t>理财计划管理人和托管人、涉及理财计划管理业务的重大诉讼、涉及费率相关事项的变动、理财计划延期兑付等。</w:t>
      </w:r>
    </w:p>
    <w:p>
      <w:pPr>
        <w:numPr>
          <w:ilvl w:val="0"/>
          <w:numId w:val="59"/>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披露方式</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hint="eastAsia" w:ascii="宋体" w:hAnsi="宋体" w:cs="宋体"/>
          <w:b/>
          <w:color w:val="000000" w:themeColor="text1"/>
          <w:sz w:val="24"/>
          <w:highlight w:val="none"/>
          <w14:textFill>
            <w14:solidFill>
              <w14:schemeClr w14:val="tx1"/>
            </w14:solidFill>
          </w14:textFill>
        </w:rPr>
      </w:pPr>
    </w:p>
    <w:p>
      <w:pPr>
        <w:numPr>
          <w:ilvl w:val="0"/>
          <w:numId w:val="31"/>
        </w:numPr>
        <w:spacing w:line="360" w:lineRule="auto"/>
        <w:ind w:firstLine="482" w:firstLineChars="200"/>
        <w:jc w:val="left"/>
        <w:outlineLvl w:val="1"/>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其他</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追索条款</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若本理财计划所投资的金融资产到期不能全部偿付导致资产减值甚至本金大幅损失，则本公司将以管理人名义，代表投资者利益行使诉讼权利或者实施其他法律行为。</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信息安全</w:t>
      </w:r>
    </w:p>
    <w:p>
      <w:pPr>
        <w:spacing w:line="360" w:lineRule="auto"/>
        <w:ind w:firstLine="480"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管理人应就理财计划销售过程中获知的投资者信息承担保密义务。非经投资者事先许可，不得向第三方披露，但法律法规或监管规定另有要求的除外。</w:t>
      </w:r>
      <w:r>
        <w:rPr>
          <w:rFonts w:hint="eastAsia" w:ascii="宋体" w:hAnsi="宋体" w:cs="宋体"/>
          <w:b/>
          <w:bCs w:val="0"/>
          <w:color w:val="000000" w:themeColor="text1"/>
          <w:sz w:val="24"/>
          <w:highlight w:val="none"/>
          <w14:textFill>
            <w14:solidFill>
              <w14:schemeClr w14:val="tx1"/>
            </w14:solidFill>
          </w14:textFill>
        </w:rPr>
        <w:t>投资者在此同意并授权，管理人可根据监管要求，为理财计划登记等需要，向登记部门或监管机构提供投资者相关信息</w:t>
      </w:r>
      <w:r>
        <w:rPr>
          <w:rFonts w:hint="eastAsia" w:ascii="宋体" w:hAnsi="宋体" w:cs="宋体"/>
          <w:b/>
          <w:bCs w:val="0"/>
          <w:color w:val="000000" w:themeColor="text1"/>
          <w:sz w:val="24"/>
          <w:highlight w:val="none"/>
          <w:lang w:eastAsia="zh-CN"/>
          <w14:textFill>
            <w14:solidFill>
              <w14:schemeClr w14:val="tx1"/>
            </w14:solidFill>
          </w14:textFill>
        </w:rPr>
        <w:t>，</w:t>
      </w:r>
      <w:r>
        <w:rPr>
          <w:rFonts w:hint="eastAsia" w:ascii="宋体" w:hAnsi="宋体" w:cs="宋体"/>
          <w:b/>
          <w:bCs w:val="0"/>
          <w:color w:val="000000" w:themeColor="text1"/>
          <w:sz w:val="24"/>
          <w:highlight w:val="none"/>
          <w:lang w:val="en-US" w:eastAsia="zh-CN"/>
          <w14:textFill>
            <w14:solidFill>
              <w14:schemeClr w14:val="tx1"/>
            </w14:solidFill>
          </w14:textFill>
        </w:rPr>
        <w:t>授权使用时限与履行相关法律法规和监管要求的必要时限一致</w:t>
      </w:r>
      <w:r>
        <w:rPr>
          <w:rFonts w:hint="eastAsia" w:ascii="宋体" w:hAnsi="宋体" w:cs="宋体"/>
          <w:b/>
          <w:bCs w:val="0"/>
          <w:color w:val="000000" w:themeColor="text1"/>
          <w:sz w:val="24"/>
          <w:highlight w:val="none"/>
          <w14:textFill>
            <w14:solidFill>
              <w14:schemeClr w14:val="tx1"/>
            </w14:solidFill>
          </w14:textFill>
        </w:rPr>
        <w:t>。</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争议解决</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themeColor="text1"/>
          <w:sz w:val="24"/>
          <w:highlight w:val="none"/>
          <w:lang w:val="en-US" w:eastAsia="zh-CN"/>
          <w14:textFill>
            <w14:solidFill>
              <w14:schemeClr w14:val="tx1"/>
            </w14:solidFill>
          </w14:textFill>
        </w:rPr>
        <w:t>被告人</w:t>
      </w:r>
      <w:r>
        <w:rPr>
          <w:rFonts w:hint="eastAsia" w:ascii="宋体" w:hAnsi="宋体" w:cs="宋体"/>
          <w:bCs/>
          <w:color w:val="000000" w:themeColor="text1"/>
          <w:sz w:val="24"/>
          <w:highlight w:val="none"/>
          <w14:textFill>
            <w14:solidFill>
              <w14:schemeClr w14:val="tx1"/>
            </w14:solidFill>
          </w14:textFill>
        </w:rPr>
        <w:t>所在地有管辖权的人民法院诉讼解决。</w:t>
      </w:r>
    </w:p>
    <w:p>
      <w:pPr>
        <w:numPr>
          <w:ilvl w:val="0"/>
          <w:numId w:val="64"/>
        </w:numPr>
        <w:spacing w:line="360" w:lineRule="auto"/>
        <w:ind w:firstLine="482" w:firstLineChars="200"/>
        <w:jc w:val="left"/>
        <w:outlineLvl w:val="2"/>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特别提示</w:t>
      </w:r>
    </w:p>
    <w:p>
      <w:pPr>
        <w:spacing w:line="360" w:lineRule="auto"/>
        <w:ind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spacing w:line="360" w:lineRule="auto"/>
        <w:jc w:val="center"/>
        <w:outlineLvl w:val="0"/>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br w:type="page"/>
      </w:r>
      <w:r>
        <w:rPr>
          <w:rFonts w:hint="eastAsia" w:ascii="宋体" w:hAnsi="宋体" w:cs="宋体"/>
          <w:b/>
          <w:bCs/>
          <w:color w:val="000000" w:themeColor="text1"/>
          <w:sz w:val="44"/>
          <w:szCs w:val="44"/>
          <w:highlight w:val="none"/>
          <w14:textFill>
            <w14:solidFill>
              <w14:schemeClr w14:val="tx1"/>
            </w14:solidFill>
          </w14:textFill>
        </w:rPr>
        <w:t>杭银理财投资者权益须知</w:t>
      </w:r>
    </w:p>
    <w:p>
      <w:pPr>
        <w:jc w:val="center"/>
        <w:rPr>
          <w:rFonts w:hint="eastAsia" w:ascii="宋体" w:hAnsi="宋体" w:cs="宋体"/>
          <w:b/>
          <w:bCs/>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center"/>
        <w:rPr>
          <w:rFonts w:hint="eastAsia" w:ascii="宋体" w:hAnsi="宋体" w:cs="宋体"/>
          <w:b/>
          <w:bCs/>
          <w:color w:val="000000" w:themeColor="text1"/>
          <w:sz w:val="24"/>
          <w:highlight w:val="none"/>
          <w:u w:val="singl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尊敬的投资者：</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感谢您对杭银理财有限责任公司(以下简称“杭银理财”)作为管理人发行的理财计划的支持与信任。为了保护您的合法权益，请在投资理财计划前仔细阅读以下内容。如对理财计划合同或购买流程等有不明之处，请及时向销售机构相关人员进行咨询；在购买理财计划后，请关注理财计划的信息披露情况，及时获取相关信息；如对理财计划有任何意见或建议，请关注理财计划管理人相关联络方式并予以反馈，或通过销售机构转达。</w:t>
      </w:r>
    </w:p>
    <w:p>
      <w:pPr>
        <w:numPr>
          <w:ilvl w:val="0"/>
          <w:numId w:val="65"/>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理财计划办理流程</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首次在销售机构购买理财的投资者须开立或持有销售机构账户，提供真实身份信息并确认正确的联系方式；该账户用于本理财计划的资金划转及兑付，您应确保持有本理财计划期间指定账户不做销户。</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首次在销售机构购买杭银理财理财计划的个人投资者须接受并完成销售机构对您的风险承受能力评估，并确认风险承受能力等级不低于本理财计划风险评级。</w:t>
      </w:r>
      <w:r>
        <w:rPr>
          <w:rFonts w:hint="eastAsia" w:ascii="宋体" w:hAnsi="宋体" w:cs="宋体"/>
          <w:color w:val="000000" w:themeColor="text1"/>
          <w:kern w:val="0"/>
          <w:sz w:val="24"/>
          <w:highlight w:val="none"/>
          <w:lang w:val="en-US" w:eastAsia="zh-CN"/>
          <w14:textFill>
            <w14:solidFill>
              <w14:schemeClr w14:val="tx1"/>
            </w14:solidFill>
          </w14:textFill>
        </w:rPr>
        <w:t>如销售机构对于机构投资者的风险承受能力评估有要求的，则参照销售机构相关评估标准或代理销售协议书执行。</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投资者应仔细阅读本理财计划完整合同（包括但不限于</w:t>
      </w:r>
      <w:r>
        <w:rPr>
          <w:rFonts w:hint="eastAsia" w:ascii="宋体" w:hAnsi="宋体" w:cs="宋体"/>
          <w:color w:val="000000" w:themeColor="text1"/>
          <w:kern w:val="0"/>
          <w:sz w:val="24"/>
          <w:highlight w:val="none"/>
          <w:lang w:eastAsia="zh-CN"/>
          <w14:textFill>
            <w14:solidFill>
              <w14:schemeClr w14:val="tx1"/>
            </w14:solidFill>
          </w14:textFill>
        </w:rPr>
        <w:t>理财计划</w:t>
      </w:r>
      <w:r>
        <w:rPr>
          <w:rFonts w:hint="eastAsia" w:ascii="宋体" w:hAnsi="宋体" w:cs="宋体"/>
          <w:color w:val="000000" w:themeColor="text1"/>
          <w:kern w:val="0"/>
          <w:sz w:val="24"/>
          <w:highlight w:val="none"/>
          <w14:textFill>
            <w14:solidFill>
              <w14:schemeClr w14:val="tx1"/>
            </w14:solidFill>
          </w14:textFill>
        </w:rPr>
        <w:t>风险揭示书、理财计划产品说明书、投资者权益须知</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理财计划投资协议书</w:t>
      </w:r>
      <w:r>
        <w:rPr>
          <w:rFonts w:hint="eastAsia" w:ascii="宋体" w:hAnsi="宋体" w:cs="宋体"/>
          <w:color w:val="000000" w:themeColor="text1"/>
          <w:kern w:val="0"/>
          <w:sz w:val="24"/>
          <w:highlight w:val="none"/>
          <w:lang w:eastAsia="zh-CN"/>
          <w14:textFill>
            <w14:solidFill>
              <w14:schemeClr w14:val="tx1"/>
            </w14:solidFill>
          </w14:textFill>
        </w:rPr>
        <w:t>和理财计划销售协议书</w:t>
      </w:r>
      <w:r>
        <w:rPr>
          <w:rFonts w:hint="eastAsia" w:ascii="宋体" w:hAnsi="宋体" w:cs="宋体"/>
          <w:color w:val="000000" w:themeColor="text1"/>
          <w:kern w:val="0"/>
          <w:sz w:val="24"/>
          <w:highlight w:val="none"/>
          <w14:textFill>
            <w14:solidFill>
              <w14:schemeClr w14:val="tx1"/>
            </w14:solidFill>
          </w14:textFill>
        </w:rPr>
        <w:t>）等相关协议文件，确认对理财计划条款及风险理解并无疑问和异议后，自主作出认（申）购和赎回决定，独立抄录风险确认语句并签署相关销售文件，办理理财计划交易手续，自主承担投资风险。</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投资者如需要认定为合格投资者，除阅读理财计划风险揭示书（三、其他信息提示）中的合格投资者要求并独立抄录确认外，还需配合销售机构提供投资者信息、金融资产证明或纳税凭证等相关证明材料。</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如在银行营业场所购买杭银理财理财计划，销售机构需对每笔理财计划销售过程同步录音录像。</w:t>
      </w:r>
    </w:p>
    <w:p>
      <w:pPr>
        <w:numPr>
          <w:ilvl w:val="0"/>
          <w:numId w:val="66"/>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投资者确定交易金额，完成交易申请，并在确认份额后进行查询。</w:t>
      </w:r>
    </w:p>
    <w:p>
      <w:pPr>
        <w:numPr>
          <w:ilvl w:val="0"/>
          <w:numId w:val="67"/>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杭银理财产品风险评级</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产品类型按照风险由低到高依次划分为低风险（R1）、中低风险（R2）、中风险（R3）、中高风险（R4）和高风险（R5）五个级别，杭银理财根据产品投资组合、实际的风险控制情况、投资运作情况等确定产品归属的风险等级，并在产品说明书中对产品风险等级及其适合销售的投资者范围进行披露，属于杭银理财内部评级，仅供投资者参考，不具有任何法律约束力。各级产品的风险特性如下：</w:t>
      </w:r>
    </w:p>
    <w:tbl>
      <w:tblPr>
        <w:tblStyle w:val="11"/>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5"/>
        <w:gridCol w:w="4287"/>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产品风险等级</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风险等级说明</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适合销售的投资者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R1</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产品总体风险程度低，收益波动小，产品本金安全性高，收益不能实现的可能性很小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机构投资者及保守型、稳健型、平衡型、成长型、进取型的个人投资者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R2</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产品总体风险程度较低，收益波动较小，虽然存在一些可能对产品本金和收益安全产生不利影响的因素，但产品本金出现损失的可能性较小</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机构投资者及稳健型、平衡型、成长型、进取型的个人投资者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R3</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产品总体风险程度适中，收益存在一定的波动，产品本金出现损失的可能性不容忽视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机构投资者及平衡型、成长型、进取型的个人投资者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R4</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产品总体风险程度较高，收益波动较明显，产品本金出现损失的可能性高</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机构投资者及成长型、进取型的个人投资者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R5</w:t>
            </w:r>
          </w:p>
        </w:tc>
        <w:tc>
          <w:tcPr>
            <w:tcW w:w="42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olor w:val="000000" w:themeColor="text1"/>
                <w:kern w:val="0"/>
                <w:sz w:val="24"/>
                <w:highlight w:val="none"/>
                <w14:textFill>
                  <w14:solidFill>
                    <w14:schemeClr w14:val="tx1"/>
                  </w14:solidFill>
                </w14:textFill>
              </w:rPr>
              <w:t>产品总体风险程度高，收益波动明显，产品本金出现损失的可能性很高，产品本金出现全部损失的可能性不容忽视</w:t>
            </w:r>
          </w:p>
        </w:tc>
        <w:tc>
          <w:tcPr>
            <w:tcW w:w="24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机构投资者及进取型的个人投资者</w:t>
            </w:r>
          </w:p>
        </w:tc>
      </w:tr>
    </w:tbl>
    <w:p>
      <w:pPr>
        <w:numPr>
          <w:ilvl w:val="0"/>
          <w:numId w:val="0"/>
        </w:numPr>
        <w:spacing w:line="360" w:lineRule="auto"/>
        <w:ind w:left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Cs/>
          <w:color w:val="000000" w:themeColor="text1"/>
          <w:kern w:val="2"/>
          <w:highlight w:val="none"/>
          <w:lang w:eastAsia="zh-CN"/>
          <w14:textFill>
            <w14:solidFill>
              <w14:schemeClr w14:val="tx1"/>
            </w14:solidFill>
          </w14:textFill>
        </w:rPr>
        <w:t>投资者风险承受能力评级水平以销售机构评估为准。</w:t>
      </w:r>
    </w:p>
    <w:p>
      <w:pPr>
        <w:numPr>
          <w:ilvl w:val="0"/>
          <w:numId w:val="68"/>
        </w:num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投资者风险承受能力评估</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理财计划销售工作及投资者适当性评估由销售机构负责。个人投资者首次通过销售机构购买杭银理财理财计划，须与销售机构签署相关协议，并按照该协议约定在销售机构进行风险承受能力评估，风险承受能力评估依据至少应当包括投资者年龄、财务状况、投资经验、投资目的、收益预期、风险偏好、流动性要求、风险认识及风险损失承受程度等。</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个人投资者风险承受能力评估结果有效期为一年，如风险承受能力评估时效已超过一年，或影响风险承受能力的因素发生变化，请及时完成风险承受能力的重新评估。</w:t>
      </w:r>
    </w:p>
    <w:p>
      <w:pPr>
        <w:numPr>
          <w:ilvl w:val="0"/>
          <w:numId w:val="69"/>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个人投资者风险承受能力评估流程（详询销售机构工作人员）</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个人投资者在销售机构进行风险承受能力评估；</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填写销售机构个人投资者风险承受能力测试问卷；</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生成相应的个人投资者风险承受能力评估结果；</w:t>
      </w:r>
    </w:p>
    <w:p>
      <w:pPr>
        <w:numPr>
          <w:ilvl w:val="0"/>
          <w:numId w:val="7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投资者对评估结果进行确认。</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风险承受能力评估结果将作为评价个人投资者是否适合购买理财计划的重要因素，风险承受能力评级越高适合购买的理财计划风险评级越高，适合购买的理财计划类型越丰富。</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代销机构应当根据本机构的方式和方法，独立审慎地对理财计划进行销售评级，如销售评级与本公司产品评级结果不一致的，代理销售机构应当采用对应较高风险等级的评级结果并予以披露。在代销过程中，应充分揭示风险，确保个人投资者的风险承受能力等级不低于本理财计划最终披露的风险评级。如本理财计划通过代理销售机构渠道销售的，理财产品评级应当以代理销售机构最终披露的评级结果为准。</w:t>
      </w:r>
    </w:p>
    <w:p>
      <w:pPr>
        <w:numPr>
          <w:ilvl w:val="0"/>
          <w:numId w:val="71"/>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机构投资者购买理财计划前无须进行风险评估能力测试。机构投资者不适用个人投资者的风险承受能力评估，请机构投资者根据自身财务状况、投资风格、资金需求等要素，并在阅读本权益须知、</w:t>
      </w:r>
      <w:r>
        <w:rPr>
          <w:rFonts w:hint="eastAsia" w:ascii="宋体" w:hAnsi="宋体" w:cs="宋体"/>
          <w:color w:val="000000" w:themeColor="text1"/>
          <w:kern w:val="0"/>
          <w:sz w:val="24"/>
          <w:highlight w:val="none"/>
          <w:lang w:eastAsia="zh-CN"/>
          <w14:textFill>
            <w14:solidFill>
              <w14:schemeClr w14:val="tx1"/>
            </w14:solidFill>
          </w14:textFill>
        </w:rPr>
        <w:t>理财计划风险揭示书、理财计划</w:t>
      </w:r>
      <w:r>
        <w:rPr>
          <w:rFonts w:hint="eastAsia" w:ascii="宋体" w:hAnsi="宋体" w:cs="宋体"/>
          <w:color w:val="000000" w:themeColor="text1"/>
          <w:kern w:val="0"/>
          <w:sz w:val="24"/>
          <w:highlight w:val="none"/>
          <w14:textFill>
            <w14:solidFill>
              <w14:schemeClr w14:val="tx1"/>
            </w14:solidFill>
          </w14:textFill>
        </w:rPr>
        <w:t>产品说明书</w:t>
      </w:r>
      <w:r>
        <w:rPr>
          <w:rFonts w:hint="eastAsia" w:ascii="宋体" w:hAnsi="宋体" w:cs="宋体"/>
          <w:color w:val="000000" w:themeColor="text1"/>
          <w:kern w:val="0"/>
          <w:sz w:val="24"/>
          <w:highlight w:val="none"/>
          <w:lang w:eastAsia="zh-CN"/>
          <w14:textFill>
            <w14:solidFill>
              <w14:schemeClr w14:val="tx1"/>
            </w14:solidFill>
          </w14:textFill>
        </w:rPr>
        <w:t>、理财计划投资协议书和理财计划销售协议书</w:t>
      </w:r>
      <w:r>
        <w:rPr>
          <w:rFonts w:hint="eastAsia" w:ascii="宋体" w:hAnsi="宋体" w:cs="宋体"/>
          <w:color w:val="000000" w:themeColor="text1"/>
          <w:kern w:val="0"/>
          <w:sz w:val="24"/>
          <w:highlight w:val="none"/>
          <w14:textFill>
            <w14:solidFill>
              <w14:schemeClr w14:val="tx1"/>
            </w14:solidFill>
          </w14:textFill>
        </w:rPr>
        <w:t>的基础上，充分认识投资本理财计划需要承担的风险。</w:t>
      </w:r>
      <w:r>
        <w:rPr>
          <w:rFonts w:hint="eastAsia" w:ascii="宋体" w:hAnsi="宋体" w:cs="宋体"/>
          <w:color w:val="000000" w:themeColor="text1"/>
          <w:kern w:val="0"/>
          <w:sz w:val="24"/>
          <w:highlight w:val="none"/>
          <w:lang w:val="en-US" w:eastAsia="zh-CN"/>
          <w14:textFill>
            <w14:solidFill>
              <w14:schemeClr w14:val="tx1"/>
            </w14:solidFill>
          </w14:textFill>
        </w:rPr>
        <w:t>如销售机构对于机构投资者的风险承受能力评估有要求的，则参照销售机构相关评估标准或代理销售协议书执行。</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四、理财计划信息披露</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理财计划相关信息的披露方式、渠道和频率，您可以在理财计划说明书“信息披露”章节中查找到相关约定，并可通过本公司网站或销售机构（包括但不限于营业网点、门户网站、电子销售渠道等）查询具体披露信息。相关信息在发布或发出之日视为通知送达，请您及时查询。</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五、投资者信息管理</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销售机构应当根据反洗钱、反恐怖融资及非居民金融账户涉税信息尽职调查等相关法律法规要求识别客户身份。投资者通过公司认可的销售机构购买本公司理财的，视为同意公司获取投资者相关理财业务资料及信息。</w:t>
      </w:r>
    </w:p>
    <w:p>
      <w:p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本公司及销售机构收集、使用个人信息，应当按照法律法规规定，遵循正当、必要原则，保证信息采集、处理及使用的安全性和合法性。未经客户专门授权，不得将投资者信息及相关理财计划销售信息提供其他第三方机构和个人，法律、行政法规和国务院银行业监督管理机构另有规定的除外。</w:t>
      </w:r>
    </w:p>
    <w:p>
      <w:pPr>
        <w:spacing w:line="360" w:lineRule="auto"/>
        <w:ind w:firstLine="482" w:firstLineChars="200"/>
        <w:outlineLvl w:val="1"/>
        <w:rPr>
          <w:rFonts w:hint="eastAsia" w:ascii="宋体" w:hAnsi="宋体" w:cs="宋体"/>
          <w:b/>
          <w:color w:val="000000" w:themeColor="text1"/>
          <w:kern w:val="0"/>
          <w:sz w:val="24"/>
          <w:highlight w:val="none"/>
          <w14:textFill>
            <w14:solidFill>
              <w14:schemeClr w14:val="tx1"/>
            </w14:solidFill>
          </w14:textFill>
        </w:rPr>
      </w:pPr>
      <w:r>
        <w:rPr>
          <w:rFonts w:hint="eastAsia" w:ascii="宋体" w:hAnsi="宋体" w:cs="宋体"/>
          <w:b/>
          <w:color w:val="000000" w:themeColor="text1"/>
          <w:kern w:val="0"/>
          <w:sz w:val="24"/>
          <w:highlight w:val="none"/>
          <w14:textFill>
            <w14:solidFill>
              <w14:schemeClr w14:val="tx1"/>
            </w14:solidFill>
          </w14:textFill>
        </w:rPr>
        <w:t>六、投诉与建议</w:t>
      </w:r>
    </w:p>
    <w:p>
      <w:pPr>
        <w:numPr>
          <w:ilvl w:val="0"/>
          <w:numId w:val="72"/>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投资者如认为理财</w:t>
      </w:r>
      <w:r>
        <w:rPr>
          <w:rFonts w:hint="eastAsia" w:ascii="宋体" w:hAnsi="宋体" w:cs="宋体"/>
          <w:color w:val="000000" w:themeColor="text1"/>
          <w:kern w:val="0"/>
          <w:sz w:val="24"/>
          <w:highlight w:val="none"/>
          <w:lang w:val="en-US" w:eastAsia="zh-CN"/>
          <w14:textFill>
            <w14:solidFill>
              <w14:schemeClr w14:val="tx1"/>
            </w14:solidFill>
          </w14:textFill>
        </w:rPr>
        <w:t>计划</w:t>
      </w:r>
      <w:r>
        <w:rPr>
          <w:rFonts w:hint="eastAsia" w:ascii="宋体" w:hAnsi="宋体" w:cs="宋体"/>
          <w:color w:val="000000" w:themeColor="text1"/>
          <w:kern w:val="0"/>
          <w:sz w:val="24"/>
          <w:highlight w:val="none"/>
          <w14:textFill>
            <w14:solidFill>
              <w14:schemeClr w14:val="tx1"/>
            </w14:solidFill>
          </w14:textFill>
        </w:rPr>
        <w:t>推介销售材料及过程中有不实或未尽风险告知职责或其它疑义事项，或对理财计划、销售机构及理财计划管理人服务有任何意见或建议，可通过拨打销售机构</w:t>
      </w:r>
      <w:r>
        <w:rPr>
          <w:rFonts w:hint="eastAsia" w:ascii="宋体" w:hAnsi="宋体" w:cs="宋体"/>
          <w:color w:val="000000" w:themeColor="text1"/>
          <w:kern w:val="0"/>
          <w:sz w:val="24"/>
          <w:highlight w:val="none"/>
          <w:lang w:val="en-US" w:eastAsia="zh-CN"/>
          <w14:textFill>
            <w14:solidFill>
              <w14:schemeClr w14:val="tx1"/>
            </w14:solidFill>
          </w14:textFill>
        </w:rPr>
        <w:t>或管理人</w:t>
      </w:r>
      <w:r>
        <w:rPr>
          <w:rFonts w:hint="eastAsia" w:ascii="宋体" w:hAnsi="宋体" w:cs="宋体"/>
          <w:color w:val="000000" w:themeColor="text1"/>
          <w:kern w:val="0"/>
          <w:sz w:val="24"/>
          <w:highlight w:val="none"/>
          <w14:textFill>
            <w14:solidFill>
              <w14:schemeClr w14:val="tx1"/>
            </w14:solidFill>
          </w14:textFill>
        </w:rPr>
        <w:t>热线或客服电话进行反馈</w:t>
      </w:r>
      <w:r>
        <w:rPr>
          <w:rFonts w:hint="eastAsia" w:ascii="宋体" w:hAnsi="宋体" w:cs="宋体"/>
          <w:color w:val="000000" w:themeColor="text1"/>
          <w:kern w:val="0"/>
          <w:sz w:val="24"/>
          <w:highlight w:val="none"/>
          <w:lang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将由专人接听、记录您的意见建议，并由双方协商共同解决。</w:t>
      </w:r>
    </w:p>
    <w:p>
      <w:pPr>
        <w:numPr>
          <w:ilvl w:val="0"/>
          <w:numId w:val="72"/>
        </w:numPr>
        <w:spacing w:line="360" w:lineRule="auto"/>
        <w:ind w:firstLine="480" w:firstLineChars="200"/>
        <w:outlineLvl w:val="2"/>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联络方式</w:t>
      </w:r>
    </w:p>
    <w:p>
      <w:pPr>
        <w:numPr>
          <w:ilvl w:val="0"/>
          <w:numId w:val="73"/>
        </w:numPr>
        <w:spacing w:line="360" w:lineRule="auto"/>
        <w:ind w:left="0" w:leftChars="0"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杭银理财联络方式：</w:t>
      </w:r>
    </w:p>
    <w:p>
      <w:pPr>
        <w:numPr>
          <w:ilvl w:val="0"/>
          <w:numId w:val="0"/>
        </w:numPr>
        <w:spacing w:line="360" w:lineRule="auto"/>
        <w:ind w:firstLine="480" w:firstLineChars="200"/>
        <w:rPr>
          <w:rFonts w:hint="eastAsia" w:ascii="宋体" w:hAnsi="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bCs/>
          <w:color w:val="000000" w:themeColor="text1"/>
          <w:kern w:val="2"/>
          <w:highlight w:val="none"/>
          <w:u w:val="none"/>
          <w:lang w:val="en-US" w:eastAsia="zh-CN"/>
          <w14:textFill>
            <w14:solidFill>
              <w14:schemeClr w14:val="tx1"/>
            </w14:solidFill>
          </w14:textFill>
        </w:rPr>
        <w:t>https://</w:t>
      </w:r>
      <w:r>
        <w:rPr>
          <w:rStyle w:val="14"/>
          <w:rFonts w:hint="eastAsia" w:ascii="宋体" w:hAnsi="宋体" w:cs="宋体"/>
          <w:color w:val="000000" w:themeColor="text1"/>
          <w:kern w:val="0"/>
          <w:sz w:val="24"/>
          <w:szCs w:val="22"/>
          <w:highlight w:val="none"/>
          <w:u w:val="none"/>
          <w:lang w:val="en-US" w:eastAsia="zh-CN"/>
          <w14:textFill>
            <w14:solidFill>
              <w14:schemeClr w14:val="tx1"/>
            </w14:solidFill>
          </w14:textFill>
        </w:rPr>
        <w:t>www.hzbankwealth.com.cn</w:t>
      </w:r>
    </w:p>
    <w:p>
      <w:pPr>
        <w:numPr>
          <w:ilvl w:val="0"/>
          <w:numId w:val="0"/>
        </w:numPr>
        <w:spacing w:line="360" w:lineRule="auto"/>
        <w:ind w:firstLine="480" w:firstLineChars="200"/>
        <w:rPr>
          <w:rFonts w:hint="default" w:ascii="宋体" w:hAnsi="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客户服务热线：400-8950-999</w:t>
      </w:r>
    </w:p>
    <w:p>
      <w:pPr>
        <w:numPr>
          <w:ilvl w:val="0"/>
          <w:numId w:val="0"/>
        </w:numPr>
        <w:spacing w:line="360" w:lineRule="auto"/>
        <w:ind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公司地址：</w:t>
      </w:r>
      <w:r>
        <w:rPr>
          <w:rFonts w:hint="eastAsia" w:ascii="宋体" w:hAnsi="宋体" w:cs="宋体"/>
          <w:color w:val="000000" w:themeColor="text1"/>
          <w:kern w:val="0"/>
          <w:sz w:val="24"/>
          <w:highlight w:val="none"/>
          <w14:textFill>
            <w14:solidFill>
              <w14:schemeClr w14:val="tx1"/>
            </w14:solidFill>
          </w14:textFill>
        </w:rPr>
        <w:t>杭州市拱墅区庆春路38号金龙财富中心6楼</w:t>
      </w:r>
    </w:p>
    <w:p>
      <w:pPr>
        <w:numPr>
          <w:ilvl w:val="0"/>
          <w:numId w:val="0"/>
        </w:numPr>
        <w:spacing w:line="360" w:lineRule="auto"/>
        <w:ind w:firstLine="480" w:firstLineChars="200"/>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若</w:t>
      </w:r>
      <w:r>
        <w:rPr>
          <w:rFonts w:hint="eastAsia" w:ascii="宋体" w:hAnsi="宋体" w:cs="宋体"/>
          <w:color w:val="000000" w:themeColor="text1"/>
          <w:kern w:val="0"/>
          <w:sz w:val="24"/>
          <w:highlight w:val="none"/>
          <w14:textFill>
            <w14:solidFill>
              <w14:schemeClr w14:val="tx1"/>
            </w14:solidFill>
          </w14:textFill>
        </w:rPr>
        <w:t>上述联系方式变更，杭银理财将提前通过</w:t>
      </w: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color w:val="000000" w:themeColor="text1"/>
          <w:kern w:val="0"/>
          <w:sz w:val="24"/>
          <w:highlight w:val="none"/>
          <w14:textFill>
            <w14:solidFill>
              <w14:schemeClr w14:val="tx1"/>
            </w14:solidFill>
          </w14:textFill>
        </w:rPr>
        <w:t>及时告知投资者。</w:t>
      </w:r>
    </w:p>
    <w:p>
      <w:pPr>
        <w:numPr>
          <w:ilvl w:val="0"/>
          <w:numId w:val="73"/>
        </w:numPr>
        <w:spacing w:line="360" w:lineRule="auto"/>
        <w:ind w:left="0" w:leftChars="0" w:firstLine="480" w:firstLineChars="200"/>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杭州银行</w:t>
      </w:r>
      <w:r>
        <w:rPr>
          <w:rFonts w:hint="eastAsia" w:ascii="宋体" w:hAnsi="宋体" w:cs="宋体"/>
          <w:color w:val="000000" w:themeColor="text1"/>
          <w:kern w:val="0"/>
          <w:sz w:val="24"/>
          <w:highlight w:val="none"/>
          <w14:textFill>
            <w14:solidFill>
              <w14:schemeClr w14:val="tx1"/>
            </w14:solidFill>
          </w14:textFill>
        </w:rPr>
        <w:t>（作为销售机构）</w:t>
      </w:r>
      <w:r>
        <w:rPr>
          <w:rFonts w:hint="eastAsia" w:ascii="宋体" w:hAnsi="宋体" w:cs="宋体"/>
          <w:color w:val="000000" w:themeColor="text1"/>
          <w:kern w:val="0"/>
          <w:sz w:val="24"/>
          <w:highlight w:val="none"/>
          <w:lang w:eastAsia="zh-CN"/>
          <w14:textFill>
            <w14:solidFill>
              <w14:schemeClr w14:val="tx1"/>
            </w14:solidFill>
          </w14:textFill>
        </w:rPr>
        <w:t>联络方式：</w:t>
      </w:r>
    </w:p>
    <w:p>
      <w:pPr>
        <w:spacing w:line="360" w:lineRule="auto"/>
        <w:ind w:firstLine="480" w:firstLineChars="200"/>
        <w:rPr>
          <w:rFonts w:hint="eastAsia" w:ascii="宋体" w:hAnsi="宋体" w:cs="宋体"/>
          <w:color w:val="000000" w:themeColor="text1"/>
          <w:kern w:val="0"/>
          <w:sz w:val="24"/>
          <w:highlight w:val="none"/>
          <w:u w:val="single"/>
          <w:lang w:val="en-US"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官方网站</w:t>
      </w: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begin"/>
      </w:r>
      <w:r>
        <w:rPr>
          <w:rFonts w:hint="eastAsia" w:ascii="宋体" w:hAnsi="宋体" w:cs="宋体"/>
          <w:color w:val="000000" w:themeColor="text1"/>
          <w:kern w:val="0"/>
          <w:sz w:val="24"/>
          <w:highlight w:val="none"/>
          <w:u w:val="none"/>
          <w:lang w:val="en-US" w:eastAsia="zh-CN"/>
          <w14:textFill>
            <w14:solidFill>
              <w14:schemeClr w14:val="tx1"/>
            </w14:solidFill>
          </w14:textFill>
        </w:rPr>
        <w:instrText xml:space="preserve"> HYPERLINK "http://www.hzbankwealth.cn" </w:instrTex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separate"/>
      </w:r>
      <w:r>
        <w:rPr>
          <w:rStyle w:val="14"/>
          <w:rFonts w:hint="eastAsia" w:ascii="宋体" w:hAnsi="宋体" w:cs="宋体"/>
          <w:color w:val="000000" w:themeColor="text1"/>
          <w:kern w:val="0"/>
          <w:sz w:val="24"/>
          <w:highlight w:val="none"/>
          <w:u w:val="none"/>
          <w:lang w:val="en-US" w:eastAsia="zh-CN"/>
          <w14:textFill>
            <w14:solidFill>
              <w14:schemeClr w14:val="tx1"/>
            </w14:solidFill>
          </w14:textFill>
        </w:rPr>
        <w:t>www.hzbank.com.cn</w:t>
      </w:r>
      <w:r>
        <w:rPr>
          <w:rFonts w:hint="eastAsia" w:ascii="宋体" w:hAnsi="宋体" w:cs="宋体"/>
          <w:color w:val="000000" w:themeColor="text1"/>
          <w:kern w:val="0"/>
          <w:sz w:val="24"/>
          <w:highlight w:val="none"/>
          <w:u w:val="none"/>
          <w:lang w:val="en-US" w:eastAsia="zh-CN"/>
          <w14:textFill>
            <w14:solidFill>
              <w14:schemeClr w14:val="tx1"/>
            </w14:solidFill>
          </w14:textFill>
        </w:rPr>
        <w:fldChar w:fldCharType="end"/>
      </w:r>
    </w:p>
    <w:p>
      <w:pPr>
        <w:spacing w:line="360" w:lineRule="auto"/>
        <w:ind w:firstLine="480" w:firstLineChars="200"/>
        <w:rPr>
          <w:rFonts w:hint="default" w:ascii="宋体" w:hAnsi="宋体" w:eastAsia="宋体" w:cs="宋体"/>
          <w:color w:val="000000" w:themeColor="text1"/>
          <w:kern w:val="0"/>
          <w:sz w:val="24"/>
          <w:highlight w:val="none"/>
          <w:u w:val="none"/>
          <w:lang w:val="en-US" w:eastAsia="zh-CN"/>
          <w14:textFill>
            <w14:solidFill>
              <w14:schemeClr w14:val="tx1"/>
            </w14:solidFill>
          </w14:textFill>
        </w:rPr>
      </w:pPr>
      <w:r>
        <w:rPr>
          <w:rFonts w:hint="eastAsia" w:ascii="宋体" w:hAnsi="宋体" w:cs="宋体"/>
          <w:color w:val="000000" w:themeColor="text1"/>
          <w:kern w:val="0"/>
          <w:sz w:val="24"/>
          <w:highlight w:val="none"/>
          <w:u w:val="none"/>
          <w:lang w:val="en-US" w:eastAsia="zh-CN"/>
          <w14:textFill>
            <w14:solidFill>
              <w14:schemeClr w14:val="tx1"/>
            </w14:solidFill>
          </w14:textFill>
        </w:rPr>
        <w:t>客户服务热线：95398、</w:t>
      </w:r>
      <w:r>
        <w:rPr>
          <w:rFonts w:hint="eastAsia" w:ascii="宋体" w:hAnsi="宋体" w:cs="宋体"/>
          <w:color w:val="000000" w:themeColor="text1"/>
          <w:kern w:val="0"/>
          <w:sz w:val="24"/>
          <w:highlight w:val="none"/>
          <w14:textFill>
            <w14:solidFill>
              <w14:schemeClr w14:val="tx1"/>
            </w14:solidFill>
          </w14:textFill>
        </w:rPr>
        <w:t>4008888508</w:t>
      </w:r>
    </w:p>
    <w:p>
      <w:pPr>
        <w:spacing w:line="360" w:lineRule="auto"/>
        <w:ind w:firstLine="480" w:firstLineChars="200"/>
        <w:jc w:val="left"/>
        <w:rPr>
          <w:rFonts w:hint="eastAsia" w:ascii="宋体" w:hAnsi="宋体" w:eastAsia="宋体" w:cs="宋体"/>
          <w:color w:val="000000" w:themeColor="text1"/>
          <w:kern w:val="0"/>
          <w:sz w:val="24"/>
          <w:highlight w:val="none"/>
          <w:lang w:eastAsia="zh-CN"/>
          <w14:textFill>
            <w14:solidFill>
              <w14:schemeClr w14:val="tx1"/>
            </w14:solidFill>
          </w14:textFill>
        </w:rPr>
      </w:pPr>
      <w:r>
        <w:rPr>
          <w:rFonts w:hint="eastAsia" w:ascii="宋体" w:hAnsi="宋体" w:cs="宋体"/>
          <w:color w:val="000000" w:themeColor="text1"/>
          <w:kern w:val="0"/>
          <w:sz w:val="24"/>
          <w:highlight w:val="none"/>
          <w:lang w:eastAsia="zh-CN"/>
          <w14:textFill>
            <w14:solidFill>
              <w14:schemeClr w14:val="tx1"/>
            </w14:solidFill>
          </w14:textFill>
        </w:rPr>
        <w:t>在</w:t>
      </w:r>
      <w:r>
        <w:rPr>
          <w:rFonts w:hint="eastAsia" w:ascii="宋体" w:hAnsi="宋体" w:cs="宋体"/>
          <w:color w:val="000000" w:themeColor="text1"/>
          <w:kern w:val="0"/>
          <w:sz w:val="24"/>
          <w:highlight w:val="none"/>
          <w14:textFill>
            <w14:solidFill>
              <w14:schemeClr w14:val="tx1"/>
            </w14:solidFill>
          </w14:textFill>
        </w:rPr>
        <w:t>其他销售机构购买理财计划的，请联系其他销售机构，联系方式以其披露为准。</w:t>
      </w:r>
    </w:p>
    <w:p>
      <w:pPr>
        <w:spacing w:line="360" w:lineRule="auto"/>
        <w:jc w:val="center"/>
        <w:outlineLvl w:val="0"/>
        <w:rPr>
          <w:rFonts w:hint="eastAsia"/>
          <w:b/>
          <w:color w:val="000000" w:themeColor="text1"/>
          <w:sz w:val="44"/>
          <w:szCs w:val="44"/>
          <w:highlight w:val="none"/>
          <w14:textFill>
            <w14:solidFill>
              <w14:schemeClr w14:val="tx1"/>
            </w14:solidFill>
          </w14:textFill>
        </w:rPr>
      </w:pPr>
      <w:r>
        <w:rPr>
          <w:rFonts w:hint="eastAsia"/>
          <w:b/>
          <w:color w:val="000000" w:themeColor="text1"/>
          <w:sz w:val="44"/>
          <w:szCs w:val="44"/>
          <w:highlight w:val="none"/>
          <w14:textFill>
            <w14:solidFill>
              <w14:schemeClr w14:val="tx1"/>
            </w14:solidFill>
          </w14:textFill>
        </w:rPr>
        <w:br w:type="page"/>
      </w:r>
      <w:r>
        <w:rPr>
          <w:rFonts w:hint="eastAsia"/>
          <w:b/>
          <w:color w:val="000000" w:themeColor="text1"/>
          <w:sz w:val="44"/>
          <w:szCs w:val="44"/>
          <w:highlight w:val="none"/>
          <w14:textFill>
            <w14:solidFill>
              <w14:schemeClr w14:val="tx1"/>
            </w14:solidFill>
          </w14:textFill>
        </w:rPr>
        <w:t>杭银理财理财计划投资协议书</w:t>
      </w:r>
    </w:p>
    <w:p>
      <w:pPr>
        <w:jc w:val="center"/>
        <w:rPr>
          <w:rFonts w:hint="eastAsia"/>
          <w:b/>
          <w:color w:val="000000" w:themeColor="text1"/>
          <w:sz w:val="44"/>
          <w:szCs w:val="44"/>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cs="宋体"/>
          <w:color w:val="000000" w:themeColor="text1"/>
          <w:sz w:val="28"/>
          <w:szCs w:val="28"/>
          <w:highlight w:val="none"/>
          <w14:textFill>
            <w14:solidFill>
              <w14:schemeClr w14:val="tx1"/>
            </w14:solidFill>
          </w14:textFill>
        </w:rPr>
        <w:t>版）</w:t>
      </w:r>
    </w:p>
    <w:p>
      <w:pPr>
        <w:spacing w:line="360" w:lineRule="auto"/>
        <w:jc w:val="center"/>
        <w:rPr>
          <w:rFonts w:hint="eastAsia"/>
          <w:b/>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spacing w:line="360" w:lineRule="auto"/>
        <w:ind w:firstLine="482" w:firstLineChars="200"/>
        <w:rPr>
          <w:rFonts w:hint="eastAsia"/>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特别提示：杭银理财理财计划投资协议书与</w:t>
      </w:r>
      <w:r>
        <w:rPr>
          <w:rFonts w:hint="eastAsia"/>
          <w:b/>
          <w:bCs/>
          <w:color w:val="000000" w:themeColor="text1"/>
          <w:sz w:val="24"/>
          <w:highlight w:val="none"/>
          <w:lang w:eastAsia="zh-CN"/>
          <w14:textFill>
            <w14:solidFill>
              <w14:schemeClr w14:val="tx1"/>
            </w14:solidFill>
          </w14:textFill>
        </w:rPr>
        <w:t>理财计划风险揭示书、理财计划产品说明书、</w:t>
      </w:r>
      <w:r>
        <w:rPr>
          <w:rFonts w:hint="eastAsia"/>
          <w:b/>
          <w:bCs/>
          <w:color w:val="000000" w:themeColor="text1"/>
          <w:sz w:val="24"/>
          <w:highlight w:val="none"/>
          <w14:textFill>
            <w14:solidFill>
              <w14:schemeClr w14:val="tx1"/>
            </w14:solidFill>
          </w14:textFill>
        </w:rPr>
        <w:t>投资者权益须知</w:t>
      </w:r>
      <w:r>
        <w:rPr>
          <w:rFonts w:hint="eastAsia"/>
          <w:b/>
          <w:bCs/>
          <w:color w:val="000000" w:themeColor="text1"/>
          <w:sz w:val="24"/>
          <w:highlight w:val="none"/>
          <w:lang w:eastAsia="zh-CN"/>
          <w14:textFill>
            <w14:solidFill>
              <w14:schemeClr w14:val="tx1"/>
            </w14:solidFill>
          </w14:textFill>
        </w:rPr>
        <w:t>及理财计划销售协议书</w:t>
      </w:r>
      <w:r>
        <w:rPr>
          <w:rFonts w:hint="eastAsia"/>
          <w:b/>
          <w:bCs/>
          <w:color w:val="000000" w:themeColor="text1"/>
          <w:sz w:val="24"/>
          <w:highlight w:val="none"/>
          <w14:textFill>
            <w14:solidFill>
              <w14:schemeClr w14:val="tx1"/>
            </w14:solidFill>
          </w14:textFill>
        </w:rPr>
        <w:t>共同构成完整且不可分割的理财计划合同。杭银理财有限责任公司（以下简称“杭银理财”）建议投资者在购买理财计划前认真阅读理财计划合同，投资者签署协议书（含电子渠道签署）即视为已详细阅读理财计划合同并知悉相关风险，自愿投资购买理财计划、遵守合同约定并承担相应风险。</w:t>
      </w:r>
    </w:p>
    <w:p>
      <w:pPr>
        <w:spacing w:line="360" w:lineRule="auto"/>
        <w:ind w:firstLine="480" w:firstLineChars="200"/>
        <w:rPr>
          <w:rFonts w:hint="eastAsia"/>
          <w:color w:val="000000" w:themeColor="text1"/>
          <w:sz w:val="24"/>
          <w:highlight w:val="none"/>
          <w14:textFill>
            <w14:solidFill>
              <w14:schemeClr w14:val="tx1"/>
            </w14:solidFill>
          </w14:textFill>
        </w:rPr>
      </w:pPr>
      <w:r>
        <w:rPr>
          <w:rFonts w:hint="eastAsia"/>
          <w:color w:val="000000" w:themeColor="text1"/>
          <w:sz w:val="24"/>
          <w:highlight w:val="none"/>
          <w14:textFill>
            <w14:solidFill>
              <w14:schemeClr w14:val="tx1"/>
            </w14:solidFill>
          </w14:textFill>
        </w:rPr>
        <w:t>投资者与管理人（即杭银理财有限责任公司）经平等友好协商，本着自愿、诚实信用原则，就投资者购买管理人发行的理财计划有关事宜达成如下协议（以下简称“本协议”）：</w:t>
      </w:r>
    </w:p>
    <w:p>
      <w:pPr>
        <w:spacing w:line="360" w:lineRule="auto"/>
        <w:ind w:firstLine="480" w:firstLineChars="200"/>
        <w:rPr>
          <w:rFonts w:hint="eastAsia"/>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ascii="宋体" w:hAnsi="宋体"/>
          <w:b/>
          <w:bCs/>
          <w:color w:val="000000" w:themeColor="text1"/>
          <w:sz w:val="24"/>
          <w:highlight w:val="none"/>
          <w14:textFill>
            <w14:solidFill>
              <w14:schemeClr w14:val="tx1"/>
            </w14:solidFill>
          </w14:textFill>
        </w:rPr>
      </w:pPr>
      <w:r>
        <w:rPr>
          <w:rFonts w:hint="eastAsia"/>
          <w:b/>
          <w:bCs/>
          <w:color w:val="000000" w:themeColor="text1"/>
          <w:sz w:val="24"/>
          <w:highlight w:val="none"/>
          <w14:textFill>
            <w14:solidFill>
              <w14:schemeClr w14:val="tx1"/>
            </w14:solidFill>
          </w14:textFill>
        </w:rPr>
        <w:t>名词释义</w:t>
      </w:r>
    </w:p>
    <w:p>
      <w:pPr>
        <w:spacing w:line="360" w:lineRule="auto"/>
        <w:ind w:firstLine="480" w:firstLineChars="200"/>
        <w:rPr>
          <w:rFonts w:hint="eastAsia"/>
          <w:bCs/>
          <w:color w:val="000000" w:themeColor="text1"/>
          <w:sz w:val="24"/>
          <w:highlight w:val="none"/>
          <w14:textFill>
            <w14:solidFill>
              <w14:schemeClr w14:val="tx1"/>
            </w14:solidFill>
          </w14:textFill>
        </w:rPr>
      </w:pPr>
      <w:r>
        <w:rPr>
          <w:rFonts w:hint="eastAsia"/>
          <w:bCs/>
          <w:color w:val="000000" w:themeColor="text1"/>
          <w:sz w:val="24"/>
          <w:highlight w:val="none"/>
          <w14:textFill>
            <w14:solidFill>
              <w14:schemeClr w14:val="tx1"/>
            </w14:solidFill>
          </w14:textFill>
        </w:rPr>
        <w:t>详见理财计划说明书“释义”部分。</w:t>
      </w:r>
    </w:p>
    <w:p>
      <w:pPr>
        <w:spacing w:line="360" w:lineRule="auto"/>
        <w:ind w:firstLine="480" w:firstLineChars="200"/>
        <w:rPr>
          <w:rFonts w:hint="eastAsia"/>
          <w:bCs/>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投资者权利与义务</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cs="宋体"/>
          <w:color w:val="000000" w:themeColor="text1"/>
          <w:kern w:val="0"/>
          <w:sz w:val="24"/>
          <w:highlight w:val="none"/>
          <w14:textFill>
            <w14:solidFill>
              <w14:schemeClr w14:val="tx1"/>
            </w14:solidFill>
          </w14:textFill>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投资者保证自身完全了解理财投资的性质，投资所涉及的风险以及自身风险承受能力，在慎重考虑后独立作出交易决定。</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投资者保证其有权利签署本协议和履行本协议所述的义务，并已为此采取一切所需的行为。</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保证执行及交付任何文件或履行本协议项下的义务，均不会违反任何适用法律、法规、法令或法律限制，任何法院或其他政府机关所作出的适用于投资者或投资者任何资产的指令或判决；对投资者或投资者任何资产有约束力的任何重大协议条款。投资者应在签署本协议的同时在授权指定账户存入足额的资金以确保账户余额大于或等于认/申购金额。</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如因有权机关依法采取强制措施导致理财份额、理财账户、授权指定账户被冻结或扣划的，管理人对此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在本理财计划存续期内，如有权机关要求管理人配合对投资者理财份额、理财账户、授权指定账户进行查封、冻结或扣划的，管理人有权根据实际情况采取如下措施，包括但不限于全额或部分终止理财交易、停止向投资者支付投资本金及投资收益。由于提前终止交易而产生的一切损失及费用将由投资者承担，管理人有权将此损失及费用从投资者的授权指定账户、理财本金及收益中扣除。管理人对上述后果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本协议终止前，投资者不得将授权指定账户销户。若发生因投资者注销授权指定账户造成理财计划无法正常兑付的，管理人不承担任何责任。</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应确保其提供的所有资料真实、完整、合法、有效，如果有任何变更，投资者应及时通知管理人并办理变更手续。如因投资者未及时通知管理人并办理相应的变更手续，由此导致的一切后果由投资者自行承担，管理人对此不承担任何责任。 </w:t>
      </w:r>
    </w:p>
    <w:p>
      <w:pPr>
        <w:widowControl/>
        <w:numPr>
          <w:ilvl w:val="0"/>
          <w:numId w:val="75"/>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投资者进行投资时，应严格遵守反洗钱相关法规的规定，切实履行反洗钱及反恐怖融资义务。 </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管理人权利与义务</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管理人应当诚实守信、勤勉尽责地履行受人之托、代人理财职责。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管理人应当按照理财计划销售文件的约定收取管理费用、确定收益分配方案、向投资者分配收益。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管理人应当按照理财计划销售文件的约定履行风险揭示及信息披露义务。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管理人应当确保理财业务与其他业务相分离，理财计划之间相分离，理财业务操作与其他业务操作相分离。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ascii="宋体" w:hAnsi="宋体"/>
          <w:color w:val="000000" w:themeColor="text1"/>
          <w:sz w:val="24"/>
          <w:highlight w:val="none"/>
          <w14:textFill>
            <w14:solidFill>
              <w14:schemeClr w14:val="tx1"/>
            </w14:solidFill>
          </w14:textFill>
        </w:rPr>
        <w:t>管理人不得将理财</w:t>
      </w:r>
      <w:r>
        <w:rPr>
          <w:rFonts w:hint="eastAsia" w:ascii="宋体" w:hAnsi="宋体"/>
          <w:color w:val="000000" w:themeColor="text1"/>
          <w:sz w:val="24"/>
          <w:highlight w:val="none"/>
          <w14:textFill>
            <w14:solidFill>
              <w14:schemeClr w14:val="tx1"/>
            </w14:solidFill>
          </w14:textFill>
        </w:rPr>
        <w:t>计划</w:t>
      </w:r>
      <w:r>
        <w:rPr>
          <w:rFonts w:ascii="宋体" w:hAnsi="宋体"/>
          <w:color w:val="000000" w:themeColor="text1"/>
          <w:sz w:val="24"/>
          <w:highlight w:val="none"/>
          <w14:textFill>
            <w14:solidFill>
              <w14:schemeClr w14:val="tx1"/>
            </w14:solidFill>
          </w14:textFill>
        </w:rPr>
        <w:t>财产归入其自有资产</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因依法解散</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被依法撤销或者被依法宣告破产等原因进行清算的</w:t>
      </w:r>
      <w:r>
        <w:rPr>
          <w:rFonts w:hint="eastAsia" w:ascii="宋体" w:hAnsi="宋体"/>
          <w:color w:val="000000" w:themeColor="text1"/>
          <w:sz w:val="24"/>
          <w:highlight w:val="none"/>
          <w14:textFill>
            <w14:solidFill>
              <w14:schemeClr w14:val="tx1"/>
            </w14:solidFill>
          </w14:textFill>
        </w:rPr>
        <w:t>，</w:t>
      </w:r>
      <w:r>
        <w:rPr>
          <w:rFonts w:ascii="宋体" w:hAnsi="宋体"/>
          <w:color w:val="000000" w:themeColor="text1"/>
          <w:sz w:val="24"/>
          <w:highlight w:val="none"/>
          <w14:textFill>
            <w14:solidFill>
              <w14:schemeClr w14:val="tx1"/>
            </w14:solidFill>
          </w14:textFill>
        </w:rPr>
        <w:t>理财</w:t>
      </w:r>
      <w:r>
        <w:rPr>
          <w:rFonts w:hint="eastAsia" w:ascii="宋体" w:hAnsi="宋体"/>
          <w:color w:val="000000" w:themeColor="text1"/>
          <w:sz w:val="24"/>
          <w:highlight w:val="none"/>
          <w14:textFill>
            <w14:solidFill>
              <w14:schemeClr w14:val="tx1"/>
            </w14:solidFill>
          </w14:textFill>
        </w:rPr>
        <w:t>计划</w:t>
      </w:r>
      <w:r>
        <w:rPr>
          <w:rFonts w:ascii="宋体" w:hAnsi="宋体"/>
          <w:color w:val="000000" w:themeColor="text1"/>
          <w:sz w:val="24"/>
          <w:highlight w:val="none"/>
          <w14:textFill>
            <w14:solidFill>
              <w14:schemeClr w14:val="tx1"/>
            </w14:solidFill>
          </w14:textFill>
        </w:rPr>
        <w:t>财产不属于其清算财产</w:t>
      </w:r>
      <w:r>
        <w:rPr>
          <w:rFonts w:hint="eastAsia" w:ascii="宋体" w:hAnsi="宋体"/>
          <w:color w:val="000000" w:themeColor="text1"/>
          <w:sz w:val="24"/>
          <w:highlight w:val="none"/>
          <w14:textFill>
            <w14:solidFill>
              <w14:schemeClr w14:val="tx1"/>
            </w14:solidFill>
          </w14:textFill>
        </w:rPr>
        <w:t>。</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管理人应当选择具有证券投资基金托管业务资格的金融机构、银行业理财登记托管机构或者国务院银行业监督管理机构认可的其他机构托管理财计划。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作为理财计划管理人，全权负责理财计划资金的运用和理财计划资产的管理，管理人有权并代表投资者利益，按照法律法规和监管部门相关规定对理财计划投资产生的风险资产进行多种方式的处置，包括但不限于转让、重组、债转股、资产证券化、催收、抵债资产收取与处置、破产重整等。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管理人</w:t>
      </w:r>
      <w:r>
        <w:rPr>
          <w:rFonts w:hint="eastAsia" w:ascii="宋体" w:hAnsi="宋体" w:cs="宋体"/>
          <w:bCs/>
          <w:color w:val="000000" w:themeColor="text1"/>
          <w:sz w:val="24"/>
          <w:highlight w:val="none"/>
          <w14:textFill>
            <w14:solidFill>
              <w14:schemeClr w14:val="tx1"/>
            </w14:solidFill>
          </w14:textFill>
        </w:rPr>
        <w:t>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r>
        <w:rPr>
          <w:rFonts w:hint="eastAsia" w:ascii="宋体" w:hAnsi="宋体" w:cs="宋体"/>
          <w:bCs/>
          <w:color w:val="000000" w:themeColor="text1"/>
          <w:sz w:val="24"/>
          <w:highlight w:val="none"/>
          <w:lang w:eastAsia="zh-CN"/>
          <w14:textFill>
            <w14:solidFill>
              <w14:schemeClr w14:val="tx1"/>
            </w14:solidFill>
          </w14:textFill>
        </w:rPr>
        <w:t>，</w:t>
      </w:r>
      <w:r>
        <w:rPr>
          <w:rFonts w:hint="eastAsia" w:ascii="宋体" w:hAnsi="宋体" w:cs="宋体"/>
          <w:b w:val="0"/>
          <w:bCs/>
          <w:color w:val="000000" w:themeColor="text1"/>
          <w:sz w:val="24"/>
          <w:highlight w:val="none"/>
          <w:lang w:val="en-US" w:eastAsia="zh-CN"/>
          <w14:textFill>
            <w14:solidFill>
              <w14:schemeClr w14:val="tx1"/>
            </w14:solidFill>
          </w14:textFill>
        </w:rPr>
        <w:t>授权使用时限与履行相关法律法规和监管要求的必要时限一致</w:t>
      </w:r>
      <w:r>
        <w:rPr>
          <w:rFonts w:hint="eastAsia" w:ascii="宋体" w:hAnsi="宋体" w:cs="宋体"/>
          <w:b w:val="0"/>
          <w:bCs/>
          <w:color w:val="000000" w:themeColor="text1"/>
          <w:sz w:val="24"/>
          <w:highlight w:val="none"/>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 xml:space="preserve"> </w:t>
      </w:r>
    </w:p>
    <w:p>
      <w:pPr>
        <w:widowControl/>
        <w:numPr>
          <w:ilvl w:val="0"/>
          <w:numId w:val="76"/>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管理人在此特别披露：若理财计划管理人的关联方担任理财计划的代销机构、托管人、合作机构的，理财计划管理人将按照法律法规和监管要求履行相应程序，投资者认购或申购理财计划即视为同意该等安排。 </w:t>
      </w:r>
    </w:p>
    <w:p>
      <w:pPr>
        <w:spacing w:line="360" w:lineRule="auto"/>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理财计划认（申）购、赎回及终止</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理财计划认/申购办理流程：参照《投资者权益须知》约定。 </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理财计划认/申购确认：通过杭银理财直销渠道认/申购理财计划的，投资者须指定账户用于认/申购交易和赎回资金清算，投资者购买及扣划时应确保足额资金；如投资者通过代销渠道认/申购理财计划的，管理人仅根据代销渠道提供的交易信息及资金划付对投资者相应认/申购进行确认。</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不成立：若在募集期结束日，本理财计划发行规模未能达到对应期次的《理财计划产品说明书》规定的要求，则本理财计划不成立，管理人将按对应期次的《理财计划产品说明书》约定条款向投资者进行公告，并将及时解除对投资者授权指定账户中认购资金的冻结。 </w:t>
      </w:r>
    </w:p>
    <w:p>
      <w:pPr>
        <w:widowControl/>
        <w:numPr>
          <w:ilvl w:val="0"/>
          <w:numId w:val="77"/>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理财计划投资品种、投资起点金额、收益支付方式：参照对应期次的《理财计划产品说明书》中的条款约定。 </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理财计划赎回/终止兑付：在正常情况下，管理人和代销机构将按照对应期次的《理财计划产品说明书》相关约定，将兑付款项划入投资者授权杭银理财理财计划销售文件指定账户。如出现不可抗力、市场停市或管制等异常事件、交易对手违约或其他非管理人主导、仅能被动接受的外部事件或客观情形，导致理财计划无法按约定日清算时，或根据产品说明书约定管理人对理财计划进行延期或转换时，管理人将于原约定清算日前通过信息披露途径及时通知，并根据实际情况进行后续处理。</w:t>
      </w:r>
    </w:p>
    <w:p>
      <w:pPr>
        <w:widowControl/>
        <w:numPr>
          <w:ilvl w:val="0"/>
          <w:numId w:val="77"/>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资金清算：通过管理人直销渠道认申购理财份额的，理财计划终止或份额赎回时，清算资金将直接划入投资者指定账户；通过代销渠道认申购理财份额的，理财计划终止或份额赎回时，管理人按理财计划合同约定划付至代销机构清算账户后，由代销机构向投资者划付投资者应得资金。如因投资者清算账户余额不足，或代销机构未及时足额划付资金，或代销机构清算账户内资金被依法冻结或扣划，或代销机构清算账户处于被挂失、冻结、注销或其他非正常状态等原因而导致交易失败。对于因上述原因导致的交易失败可能带来的任何损失及预期损失，投资者须自行承担或向代销机构依法主张。</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税收处理</w:t>
      </w:r>
    </w:p>
    <w:p>
      <w:pPr>
        <w:widowControl/>
        <w:spacing w:line="360" w:lineRule="auto"/>
        <w:ind w:firstLine="480" w:firstLineChars="200"/>
        <w:contextualSpacing/>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根据税收相关法律、法规及政策规定，理财计划运营过程中发生的增值税应税行为，以管理人为纳税人；理财计划运营过程中产生的应缴增值税及附加税费由理财计划财产承担。投资者因投资理财计划获得收益的应纳税款由投资者自行申报缴纳。</w:t>
      </w:r>
    </w:p>
    <w:p>
      <w:pPr>
        <w:widowControl/>
        <w:spacing w:line="360" w:lineRule="auto"/>
        <w:ind w:firstLine="480" w:firstLineChars="200"/>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违约责任及免责条款</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若因投资人原因导致司法或行政机构采取强制措施对其理财本金、收益进行部分或全部被扣划，均视投资者本人就全部理财本金违约进行了提前</w:t>
      </w:r>
      <w:r>
        <w:rPr>
          <w:rFonts w:hint="eastAsia" w:ascii="宋体" w:hAnsi="宋体"/>
          <w:color w:val="000000" w:themeColor="text1"/>
          <w:sz w:val="24"/>
          <w:highlight w:val="none"/>
          <w:lang w:eastAsia="zh-CN"/>
          <w14:textFill>
            <w14:solidFill>
              <w14:schemeClr w14:val="tx1"/>
            </w14:solidFill>
          </w14:textFill>
        </w:rPr>
        <w:t>赎回</w:t>
      </w:r>
      <w:r>
        <w:rPr>
          <w:rFonts w:hint="eastAsia" w:ascii="宋体" w:hAnsi="宋体"/>
          <w:color w:val="000000" w:themeColor="text1"/>
          <w:sz w:val="24"/>
          <w:highlight w:val="none"/>
          <w14:textFill>
            <w14:solidFill>
              <w14:schemeClr w14:val="tx1"/>
            </w14:solidFill>
          </w14:textFill>
        </w:rPr>
        <w:t>，本合同自动终止。因提前终止而产生的损失及相关费用由投资者承担。本合同前述情况终止的，理财本金不计付</w:t>
      </w:r>
      <w:r>
        <w:rPr>
          <w:rFonts w:hint="eastAsia" w:ascii="宋体" w:hAnsi="宋体"/>
          <w:color w:val="000000" w:themeColor="text1"/>
          <w:sz w:val="24"/>
          <w:highlight w:val="none"/>
          <w:lang w:eastAsia="zh-CN"/>
          <w14:textFill>
            <w14:solidFill>
              <w14:schemeClr w14:val="tx1"/>
            </w14:solidFill>
          </w14:textFill>
        </w:rPr>
        <w:t>赎回</w:t>
      </w:r>
      <w:r>
        <w:rPr>
          <w:rFonts w:hint="eastAsia" w:ascii="宋体" w:hAnsi="宋体"/>
          <w:color w:val="000000" w:themeColor="text1"/>
          <w:sz w:val="24"/>
          <w:highlight w:val="none"/>
          <w14:textFill>
            <w14:solidFill>
              <w14:schemeClr w14:val="tx1"/>
            </w14:solidFill>
          </w14:textFill>
        </w:rPr>
        <w:t>日前的理财收益，也不计付存款利息。</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违反本协议第二条内容，应承担相应违约责任。管理人对由此导致的理财业务交易延误、中断、终止及投资人损失不承担任何责任，并有权单方终止双方理财业务关系。因投资人违反双方约定解除本协议给管理人或全体投资者造成损失的，投资人应承担相应的赔偿责任。</w:t>
      </w:r>
    </w:p>
    <w:p>
      <w:pPr>
        <w:widowControl/>
        <w:numPr>
          <w:ilvl w:val="0"/>
          <w:numId w:val="78"/>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若由于管理人过错导致理财计划资产发生损失，管理人应按其过错承担赔偿责任，管理人赔偿的款项计入本理财计划的资产和收益，由所有投资者按理财本金比例分配。</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由于地震、火灾、战争等不可抗力或突发重大卫生公共事件等不可预测事件造成的交易中断、延误等风险及损失，管理人不承担责任；但管理人应在上述情况发生时在条件允许时及时通知投资人并采取一切必要且可能的措施阻止损失扩大。</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因国家有关法律、法规、规章、政策的修改或新的法律、法规、规章、政策颁布以及紧急措施的出台导致的风险及损失，管理人不承担责任。</w:t>
      </w:r>
    </w:p>
    <w:p>
      <w:pPr>
        <w:widowControl/>
        <w:numPr>
          <w:ilvl w:val="0"/>
          <w:numId w:val="78"/>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管理人若严格按照产品说明书相关规定进行投资运作，给投资者造成损失的，应免除管理人责任。</w:t>
      </w:r>
    </w:p>
    <w:p>
      <w:pPr>
        <w:widowControl/>
        <w:spacing w:line="360" w:lineRule="auto"/>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适用法律与争议解决</w:t>
      </w:r>
    </w:p>
    <w:p>
      <w:pPr>
        <w:widowControl/>
        <w:spacing w:line="360" w:lineRule="auto"/>
        <w:ind w:firstLine="480" w:firstLineChars="200"/>
        <w:contextualSpacing/>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本合同适用</w:t>
      </w:r>
      <w:r>
        <w:rPr>
          <w:rFonts w:hint="eastAsia" w:ascii="宋体" w:hAnsi="宋体" w:cs="宋体"/>
          <w:bCs/>
          <w:color w:val="000000" w:themeColor="text1"/>
          <w:sz w:val="24"/>
          <w:highlight w:val="none"/>
          <w14:textFill>
            <w14:solidFill>
              <w14:schemeClr w14:val="tx1"/>
            </w14:solidFill>
          </w14:textFill>
        </w:rPr>
        <w:t>中华人民共和国（仅为明确本合同适用法律规则，不含香港特别行政区、澳门特别行政区及中国台湾地区）</w:t>
      </w:r>
      <w:r>
        <w:rPr>
          <w:rFonts w:hint="eastAsia" w:ascii="宋体" w:hAnsi="宋体"/>
          <w:color w:val="000000" w:themeColor="text1"/>
          <w:sz w:val="24"/>
          <w:highlight w:val="none"/>
          <w14:textFill>
            <w14:solidFill>
              <w14:schemeClr w14:val="tx1"/>
            </w14:solidFill>
          </w14:textFill>
        </w:rPr>
        <w:t>的法律和行政法规。本合同项下的及与之有关的一切争议，投资者与管理人双方应首先协商解决，协商不成的，应提交</w:t>
      </w:r>
      <w:r>
        <w:rPr>
          <w:rFonts w:hint="eastAsia" w:ascii="宋体" w:hAnsi="宋体"/>
          <w:color w:val="000000" w:themeColor="text1"/>
          <w:sz w:val="24"/>
          <w:highlight w:val="none"/>
          <w:lang w:val="en-US" w:eastAsia="zh-CN"/>
          <w14:textFill>
            <w14:solidFill>
              <w14:schemeClr w14:val="tx1"/>
            </w14:solidFill>
          </w14:textFill>
        </w:rPr>
        <w:t>被告人</w:t>
      </w:r>
      <w:r>
        <w:rPr>
          <w:rFonts w:hint="eastAsia" w:ascii="宋体" w:hAnsi="宋体"/>
          <w:color w:val="000000" w:themeColor="text1"/>
          <w:sz w:val="24"/>
          <w:highlight w:val="none"/>
          <w14:textFill>
            <w14:solidFill>
              <w14:schemeClr w14:val="tx1"/>
            </w14:solidFill>
          </w14:textFill>
        </w:rPr>
        <w:t>所在地人民法院司法裁决。诉讼期间，未涉及争议的条款仍需继续履行。</w:t>
      </w:r>
    </w:p>
    <w:p>
      <w:pPr>
        <w:spacing w:line="360" w:lineRule="auto"/>
        <w:ind w:left="482"/>
        <w:rPr>
          <w:b/>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rFonts w:hint="eastAsia"/>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协议生效和终止</w:t>
      </w:r>
    </w:p>
    <w:p>
      <w:pPr>
        <w:widowControl/>
        <w:numPr>
          <w:ilvl w:val="0"/>
          <w:numId w:val="79"/>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 xml:space="preserve">投资者和管理人双方认可本协议可以纸质或电子数据等形式提交、订立或确认。 </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本协议书以纸质书面形式订立的，自投资者</w:t>
      </w:r>
      <w:r>
        <w:rPr>
          <w:rFonts w:hint="eastAsia" w:ascii="宋体" w:hAnsi="宋体"/>
          <w:color w:val="000000" w:themeColor="text1"/>
          <w:sz w:val="24"/>
          <w:highlight w:val="none"/>
          <w:lang w:val="en-US" w:eastAsia="zh-CN"/>
          <w14:textFill>
            <w14:solidFill>
              <w14:schemeClr w14:val="tx1"/>
            </w14:solidFill>
          </w14:textFill>
        </w:rPr>
        <w:t>签署（如投资者为个人，应签字；如投资者为机构，应法定代表人或授权代理人签字或盖章并加盖公章或有效授权印章）并经管理人系统确认购买理财计划份额</w:t>
      </w:r>
      <w:r>
        <w:rPr>
          <w:rFonts w:hint="eastAsia" w:ascii="宋体" w:hAnsi="宋体"/>
          <w:color w:val="000000" w:themeColor="text1"/>
          <w:sz w:val="24"/>
          <w:highlight w:val="none"/>
          <w14:textFill>
            <w14:solidFill>
              <w14:schemeClr w14:val="tx1"/>
            </w14:solidFill>
          </w14:textFill>
        </w:rPr>
        <w:t>之后立即生效。协议一式</w:t>
      </w:r>
      <w:r>
        <w:rPr>
          <w:rFonts w:hint="eastAsia" w:ascii="宋体" w:hAnsi="宋体"/>
          <w:color w:val="000000" w:themeColor="text1"/>
          <w:sz w:val="24"/>
          <w:highlight w:val="none"/>
          <w:lang w:eastAsia="zh-CN"/>
          <w14:textFill>
            <w14:solidFill>
              <w14:schemeClr w14:val="tx1"/>
            </w14:solidFill>
          </w14:textFill>
        </w:rPr>
        <w:t>贰</w:t>
      </w:r>
      <w:r>
        <w:rPr>
          <w:rFonts w:hint="eastAsia" w:ascii="宋体" w:hAnsi="宋体"/>
          <w:color w:val="000000" w:themeColor="text1"/>
          <w:sz w:val="24"/>
          <w:highlight w:val="none"/>
          <w14:textFill>
            <w14:solidFill>
              <w14:schemeClr w14:val="tx1"/>
            </w14:solidFill>
          </w14:textFill>
        </w:rPr>
        <w:t>份，投资者和管理人双方各执</w:t>
      </w:r>
      <w:r>
        <w:rPr>
          <w:rFonts w:hint="eastAsia" w:ascii="宋体" w:hAnsi="宋体"/>
          <w:color w:val="000000" w:themeColor="text1"/>
          <w:sz w:val="24"/>
          <w:highlight w:val="none"/>
          <w:lang w:eastAsia="zh-CN"/>
          <w14:textFill>
            <w14:solidFill>
              <w14:schemeClr w14:val="tx1"/>
            </w14:solidFill>
          </w14:textFill>
        </w:rPr>
        <w:t>壹</w:t>
      </w:r>
      <w:r>
        <w:rPr>
          <w:rFonts w:hint="eastAsia" w:ascii="宋体" w:hAnsi="宋体"/>
          <w:color w:val="000000" w:themeColor="text1"/>
          <w:sz w:val="24"/>
          <w:highlight w:val="none"/>
          <w14:textFill>
            <w14:solidFill>
              <w14:schemeClr w14:val="tx1"/>
            </w14:solidFill>
          </w14:textFill>
        </w:rPr>
        <w:t xml:space="preserve">份，具有同等法律效力。 </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协议书以数据电文形式订立的，投资者在销售机构的电子银行（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widowControl/>
        <w:numPr>
          <w:ilvl w:val="0"/>
          <w:numId w:val="79"/>
        </w:numPr>
        <w:spacing w:line="360" w:lineRule="auto"/>
        <w:ind w:firstLine="480" w:firstLineChars="200"/>
        <w:contextualSpacing/>
        <w:outlineLvl w:val="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投资者和管理人双方在本协议及对应期次的《理财计划产品说明书》项下权利义务履行完毕之日，本协议自动终止。</w:t>
      </w:r>
    </w:p>
    <w:p>
      <w:pPr>
        <w:widowControl/>
        <w:spacing w:line="360" w:lineRule="auto"/>
        <w:ind w:left="6"/>
        <w:contextualSpacing/>
        <w:rPr>
          <w:rFonts w:ascii="宋体" w:hAnsi="宋体"/>
          <w:color w:val="000000" w:themeColor="text1"/>
          <w:sz w:val="24"/>
          <w:highlight w:val="none"/>
          <w14:textFill>
            <w14:solidFill>
              <w14:schemeClr w14:val="tx1"/>
            </w14:solidFill>
          </w14:textFill>
        </w:rPr>
      </w:pPr>
    </w:p>
    <w:p>
      <w:pPr>
        <w:numPr>
          <w:ilvl w:val="0"/>
          <w:numId w:val="74"/>
        </w:numPr>
        <w:spacing w:line="360" w:lineRule="auto"/>
        <w:ind w:firstLine="482" w:firstLineChars="200"/>
        <w:outlineLvl w:val="1"/>
        <w:rPr>
          <w:b/>
          <w:color w:val="000000" w:themeColor="text1"/>
          <w:sz w:val="24"/>
          <w:highlight w:val="none"/>
          <w14:textFill>
            <w14:solidFill>
              <w14:schemeClr w14:val="tx1"/>
            </w14:solidFill>
          </w14:textFill>
        </w:rPr>
      </w:pPr>
      <w:r>
        <w:rPr>
          <w:rFonts w:hint="eastAsia"/>
          <w:b/>
          <w:color w:val="000000" w:themeColor="text1"/>
          <w:sz w:val="24"/>
          <w:highlight w:val="none"/>
          <w14:textFill>
            <w14:solidFill>
              <w14:schemeClr w14:val="tx1"/>
            </w14:solidFill>
          </w14:textFill>
        </w:rPr>
        <w:t>附则</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投资者与管理人之间存在多份理财计划协议书，则每一份协议书分别与其所对应的产品说明书等销售文本单独构成一个理财计划交易合同，各个合同之间互相独立，每一合同的效力及履行情况均独立于其他合同。</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如果由于任何原因使本合同下的任何条款或内容成为无效或被依法撤销，本合同其他条款或内容的合法性、有效性和可执行性不受影响。</w:t>
      </w:r>
    </w:p>
    <w:p>
      <w:pPr>
        <w:widowControl/>
        <w:numPr>
          <w:ilvl w:val="0"/>
          <w:numId w:val="80"/>
        </w:numPr>
        <w:spacing w:line="360" w:lineRule="auto"/>
        <w:ind w:firstLine="480" w:firstLineChars="200"/>
        <w:contextualSpacing/>
        <w:outlineLvl w:val="2"/>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在理财计划存续期内，如因监管政策或法律法规发生变化，在不损害投资者利益的前提下，管理人有权单方对理财计划合同进行修订。</w:t>
      </w: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spacing w:line="360" w:lineRule="auto"/>
        <w:ind w:firstLine="480" w:firstLineChars="200"/>
        <w:rPr>
          <w:rFonts w:ascii="宋体" w:hAnsi="宋体" w:cs="宋体"/>
          <w:bCs/>
          <w:color w:val="000000" w:themeColor="text1"/>
          <w:sz w:val="24"/>
          <w:highlight w:val="none"/>
          <w14:textFill>
            <w14:solidFill>
              <w14:schemeClr w14:val="tx1"/>
            </w14:solidFill>
          </w14:textFill>
        </w:rPr>
      </w:pPr>
    </w:p>
    <w:p>
      <w:pPr>
        <w:pStyle w:val="9"/>
        <w:widowControl/>
        <w:spacing w:line="360" w:lineRule="auto"/>
        <w:jc w:val="right"/>
        <w:rPr>
          <w:rFonts w:hint="eastAsia" w:ascii="宋体" w:hAnsi="Wingdings" w:cs="宋体"/>
          <w:color w:val="000000" w:themeColor="text1"/>
          <w:kern w:val="0"/>
          <w:highlight w:val="none"/>
          <w14:textFill>
            <w14:solidFill>
              <w14:schemeClr w14:val="tx1"/>
            </w14:solidFill>
          </w14:textFill>
        </w:rPr>
      </w:pPr>
      <w:r>
        <w:rPr>
          <w:rFonts w:hint="eastAsia" w:ascii="宋体" w:hAnsi="宋体" w:cs="宋体"/>
          <w:color w:val="000000" w:themeColor="text1"/>
          <w:kern w:val="0"/>
          <w:highlight w:val="none"/>
          <w14:textFill>
            <w14:solidFill>
              <w14:schemeClr w14:val="tx1"/>
            </w14:solidFill>
          </w14:textFill>
        </w:rPr>
        <w:t>杭银理财有限责任公司</w:t>
      </w:r>
    </w:p>
    <w:p>
      <w:pPr>
        <w:spacing w:line="360" w:lineRule="auto"/>
        <w:outlineLvl w:val="9"/>
        <w:rPr>
          <w:rFonts w:ascii="宋体" w:hAnsi="宋体" w:cs="宋体"/>
          <w:bCs/>
          <w:color w:val="000000" w:themeColor="text1"/>
          <w:sz w:val="24"/>
          <w:highlight w:val="none"/>
          <w14:textFill>
            <w14:solidFill>
              <w14:schemeClr w14:val="tx1"/>
            </w14:solidFill>
          </w14:textFill>
        </w:rPr>
      </w:pPr>
    </w:p>
    <w:p>
      <w:pPr>
        <w:spacing w:line="360" w:lineRule="auto"/>
        <w:outlineLvl w:val="9"/>
        <w:rPr>
          <w:rFonts w:ascii="宋体" w:hAnsi="宋体" w:cs="宋体"/>
          <w:bCs/>
          <w:color w:val="000000" w:themeColor="text1"/>
          <w:sz w:val="24"/>
          <w:highlight w:val="none"/>
          <w14:textFill>
            <w14:solidFill>
              <w14:schemeClr w14:val="tx1"/>
            </w14:solidFill>
          </w14:textFill>
        </w:rPr>
      </w:pPr>
    </w:p>
    <w:p>
      <w:pPr>
        <w:spacing w:line="360" w:lineRule="auto"/>
        <w:outlineLvl w:val="9"/>
        <w:rPr>
          <w:rFonts w:ascii="宋体" w:hAnsi="宋体" w:cs="宋体"/>
          <w:bCs/>
          <w:color w:val="000000" w:themeColor="text1"/>
          <w:sz w:val="24"/>
          <w:highlight w:val="none"/>
          <w14:textFill>
            <w14:solidFill>
              <w14:schemeClr w14:val="tx1"/>
            </w14:solidFill>
          </w14:textFill>
        </w:rPr>
      </w:pPr>
    </w:p>
    <w:p>
      <w:pPr>
        <w:jc w:val="center"/>
        <w:outlineLvl w:val="9"/>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pPr>
    </w:p>
    <w:p>
      <w:pPr>
        <w:spacing w:line="360" w:lineRule="auto"/>
        <w:outlineLvl w:val="9"/>
        <w:rPr>
          <w:rFonts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t>本页为纸质形式（如有）</w:t>
      </w:r>
      <w:r>
        <w:rPr>
          <w:rFonts w:hint="eastAsia" w:ascii="宋体" w:hAnsi="宋体"/>
          <w:color w:val="000000" w:themeColor="text1"/>
          <w:sz w:val="24"/>
          <w:highlight w:val="none"/>
          <w:lang w:val="en-US" w:eastAsia="zh-CN"/>
          <w14:textFill>
            <w14:solidFill>
              <w14:schemeClr w14:val="tx1"/>
            </w14:solidFill>
          </w14:textFill>
        </w:rPr>
        <w:t>投资</w:t>
      </w:r>
      <w:r>
        <w:rPr>
          <w:rFonts w:hint="eastAsia" w:ascii="宋体" w:hAnsi="宋体"/>
          <w:color w:val="000000" w:themeColor="text1"/>
          <w:sz w:val="24"/>
          <w:highlight w:val="none"/>
          <w14:textFill>
            <w14:solidFill>
              <w14:schemeClr w14:val="tx1"/>
            </w14:solidFill>
          </w14:textFill>
        </w:rPr>
        <w:t>协议书签章页</w:t>
      </w: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color w:val="000000" w:themeColor="text1"/>
          <w:sz w:val="24"/>
          <w:highlight w:val="none"/>
          <w14:textFill>
            <w14:solidFill>
              <w14:schemeClr w14:val="tx1"/>
            </w14:solidFill>
          </w14:textFill>
        </w:rPr>
      </w:pPr>
    </w:p>
    <w:p>
      <w:pPr>
        <w:spacing w:line="360" w:lineRule="auto"/>
        <w:outlineLvl w:val="9"/>
        <w:rPr>
          <w:rFonts w:hint="eastAsia" w:ascii="宋体" w:hAnsi="宋体"/>
          <w:b/>
          <w:bCs/>
          <w:color w:val="000000" w:themeColor="text1"/>
          <w:sz w:val="24"/>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投资者（签字</w:t>
      </w:r>
      <w:r>
        <w:rPr>
          <w:rFonts w:hint="eastAsia" w:ascii="宋体" w:hAnsi="宋体" w:eastAsia="宋体" w:cs="黑体"/>
          <w:b/>
          <w:bCs/>
          <w:color w:val="000000" w:themeColor="text1"/>
          <w:sz w:val="24"/>
          <w:highlight w:val="none"/>
          <w:lang w:eastAsia="zh-CN"/>
          <w14:textFill>
            <w14:solidFill>
              <w14:schemeClr w14:val="tx1"/>
            </w14:solidFill>
          </w14:textFill>
        </w:rPr>
        <w:t>或签章</w:t>
      </w:r>
      <w:r>
        <w:rPr>
          <w:rFonts w:hint="eastAsia" w:ascii="宋体" w:hAnsi="宋体"/>
          <w:b/>
          <w:bCs/>
          <w:color w:val="000000" w:themeColor="text1"/>
          <w:sz w:val="24"/>
          <w:highlight w:val="none"/>
          <w14:textFill>
            <w14:solidFill>
              <w14:schemeClr w14:val="tx1"/>
            </w14:solidFill>
          </w14:textFill>
        </w:rPr>
        <w:t>）：</w:t>
      </w:r>
    </w:p>
    <w:p>
      <w:pPr>
        <w:spacing w:line="360" w:lineRule="auto"/>
        <w:outlineLvl w:val="9"/>
        <w:rPr>
          <w:rFonts w:hint="eastAsia" w:ascii="宋体" w:hAnsi="宋体"/>
          <w:b/>
          <w:bCs/>
          <w:color w:val="000000" w:themeColor="text1"/>
          <w:sz w:val="24"/>
          <w:highlight w:val="none"/>
          <w14:textFill>
            <w14:solidFill>
              <w14:schemeClr w14:val="tx1"/>
            </w14:solidFill>
          </w14:textFill>
        </w:rPr>
      </w:pPr>
    </w:p>
    <w:p>
      <w:pPr>
        <w:spacing w:line="360" w:lineRule="auto"/>
        <w:outlineLvl w:val="9"/>
        <w:rPr>
          <w:rFonts w:hint="eastAsia" w:ascii="宋体" w:hAnsi="宋体"/>
          <w:b/>
          <w:bCs/>
          <w:color w:val="000000" w:themeColor="text1"/>
          <w:sz w:val="24"/>
          <w:highlight w:val="none"/>
          <w14:textFill>
            <w14:solidFill>
              <w14:schemeClr w14:val="tx1"/>
            </w14:solidFill>
          </w14:textFill>
        </w:rPr>
      </w:pPr>
    </w:p>
    <w:p>
      <w:pPr>
        <w:spacing w:before="156" w:beforeLines="50" w:after="156" w:afterLines="50" w:line="360" w:lineRule="auto"/>
        <w:ind w:firstLine="4800" w:firstLineChars="2000"/>
        <w:jc w:val="right"/>
        <w:outlineLvl w:val="9"/>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jc w:val="left"/>
        <w:outlineLvl w:val="9"/>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pPr>
    </w:p>
    <w:p>
      <w:pPr>
        <w:jc w:val="center"/>
        <w:outlineLvl w:val="0"/>
        <w:rPr>
          <w:rFonts w:hint="eastAsia" w:ascii="Calibri" w:hAnsi="Calibri" w:eastAsia="宋体" w:cs="黑体"/>
          <w:b/>
          <w:bCs w:val="0"/>
          <w:color w:val="000000" w:themeColor="text1"/>
          <w:sz w:val="44"/>
          <w:szCs w:val="44"/>
          <w:highlight w:val="none"/>
          <w14:textFill>
            <w14:solidFill>
              <w14:schemeClr w14:val="tx1"/>
            </w14:solidFill>
          </w14:textFill>
        </w:rPr>
      </w:pPr>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br w:type="page"/>
      </w:r>
      <w:r>
        <w:rPr>
          <w:rFonts w:hint="eastAsia" w:ascii="Calibri" w:hAnsi="Calibri" w:eastAsia="宋体" w:cs="黑体"/>
          <w:b/>
          <w:bCs w:val="0"/>
          <w:color w:val="000000" w:themeColor="text1"/>
          <w:sz w:val="44"/>
          <w:szCs w:val="44"/>
          <w:highlight w:val="none"/>
          <w:lang w:val="en-US" w:eastAsia="zh-CN"/>
          <w14:textFill>
            <w14:solidFill>
              <w14:schemeClr w14:val="tx1"/>
            </w14:solidFill>
          </w14:textFill>
        </w:rPr>
        <w:t>杭银理财理财计划</w:t>
      </w:r>
      <w:r>
        <w:rPr>
          <w:rFonts w:hint="eastAsia" w:ascii="Calibri" w:hAnsi="Calibri" w:eastAsia="宋体" w:cs="黑体"/>
          <w:b/>
          <w:bCs w:val="0"/>
          <w:color w:val="000000" w:themeColor="text1"/>
          <w:sz w:val="44"/>
          <w:szCs w:val="44"/>
          <w:highlight w:val="none"/>
          <w14:textFill>
            <w14:solidFill>
              <w14:schemeClr w14:val="tx1"/>
            </w14:solidFill>
          </w14:textFill>
        </w:rPr>
        <w:t>销售协议书</w:t>
      </w:r>
    </w:p>
    <w:p>
      <w:pPr>
        <w:jc w:val="center"/>
        <w:rPr>
          <w:rFonts w:hint="eastAsia" w:ascii="宋体" w:hAnsi="宋体" w:eastAsia="宋体" w:cs="宋体"/>
          <w:b w:val="0"/>
          <w:bCs w:val="0"/>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sz w:val="28"/>
          <w:szCs w:val="28"/>
          <w:highlight w:val="none"/>
          <w:lang w:eastAsia="zh-CN"/>
          <w14:textFill>
            <w14:solidFill>
              <w14:schemeClr w14:val="tx1"/>
            </w14:solidFill>
          </w14:textFill>
        </w:rPr>
        <w:t>202501</w:t>
      </w:r>
      <w:r>
        <w:rPr>
          <w:rFonts w:hint="eastAsia" w:ascii="宋体" w:hAnsi="宋体" w:eastAsia="宋体" w:cs="宋体"/>
          <w:color w:val="000000" w:themeColor="text1"/>
          <w:sz w:val="28"/>
          <w:szCs w:val="28"/>
          <w:highlight w:val="none"/>
          <w14:textFill>
            <w14:solidFill>
              <w14:schemeClr w14:val="tx1"/>
            </w14:solidFill>
          </w14:textFill>
        </w:rPr>
        <w:t>版）</w:t>
      </w:r>
    </w:p>
    <w:p>
      <w:pPr>
        <w:spacing w:line="360" w:lineRule="auto"/>
        <w:jc w:val="center"/>
        <w:rPr>
          <w:rFonts w:hint="default"/>
          <w:color w:val="000000" w:themeColor="text1"/>
          <w:sz w:val="32"/>
          <w:szCs w:val="40"/>
          <w:highlight w:val="none"/>
          <w:lang w:val="en-US" w:eastAsia="zh-CN"/>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理财非存款、产品有风险、投资须谨慎</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eastAsia" w:ascii="Calibri" w:hAnsi="Calibri" w:eastAsia="宋体" w:cs="黑体"/>
          <w:b/>
          <w:bCs/>
          <w:color w:val="000000" w:themeColor="text1"/>
          <w:sz w:val="24"/>
          <w:highlight w:val="none"/>
          <w14:textFill>
            <w14:solidFill>
              <w14:schemeClr w14:val="tx1"/>
            </w14:solidFill>
          </w14:textFill>
        </w:rPr>
      </w:pPr>
      <w:r>
        <w:rPr>
          <w:rFonts w:hint="eastAsia" w:ascii="Calibri" w:hAnsi="Calibri" w:eastAsia="宋体" w:cs="黑体"/>
          <w:b/>
          <w:bCs/>
          <w:color w:val="000000" w:themeColor="text1"/>
          <w:sz w:val="24"/>
          <w:highlight w:val="none"/>
          <w14:textFill>
            <w14:solidFill>
              <w14:schemeClr w14:val="tx1"/>
            </w14:solidFill>
          </w14:textFill>
        </w:rPr>
        <w:t>特别提示：</w:t>
      </w:r>
      <w:r>
        <w:rPr>
          <w:rFonts w:hint="eastAsia" w:ascii="Calibri" w:hAnsi="Calibri" w:eastAsia="宋体" w:cs="黑体"/>
          <w:b/>
          <w:bCs/>
          <w:color w:val="000000" w:themeColor="text1"/>
          <w:sz w:val="24"/>
          <w:highlight w:val="none"/>
          <w:lang w:eastAsia="zh-CN"/>
          <w14:textFill>
            <w14:solidFill>
              <w14:schemeClr w14:val="tx1"/>
            </w14:solidFill>
          </w14:textFill>
        </w:rPr>
        <w:t>《</w:t>
      </w:r>
      <w:r>
        <w:rPr>
          <w:rFonts w:hint="eastAsia" w:ascii="Calibri" w:hAnsi="Calibri" w:eastAsia="宋体" w:cs="黑体"/>
          <w:b/>
          <w:bCs/>
          <w:color w:val="000000" w:themeColor="text1"/>
          <w:sz w:val="24"/>
          <w:highlight w:val="none"/>
          <w14:textFill>
            <w14:solidFill>
              <w14:schemeClr w14:val="tx1"/>
            </w14:solidFill>
          </w14:textFill>
        </w:rPr>
        <w:t>杭银理财</w:t>
      </w:r>
      <w:r>
        <w:rPr>
          <w:rFonts w:hint="eastAsia" w:ascii="Calibri" w:hAnsi="Calibri" w:eastAsia="宋体" w:cs="黑体"/>
          <w:b/>
          <w:bCs/>
          <w:color w:val="000000" w:themeColor="text1"/>
          <w:sz w:val="24"/>
          <w:highlight w:val="none"/>
          <w:lang w:val="en-US" w:eastAsia="zh-CN"/>
          <w14:textFill>
            <w14:solidFill>
              <w14:schemeClr w14:val="tx1"/>
            </w14:solidFill>
          </w14:textFill>
        </w:rPr>
        <w:t>理财计划销售协议书</w:t>
      </w:r>
      <w:r>
        <w:rPr>
          <w:rFonts w:hint="eastAsia" w:ascii="宋体" w:hAnsi="宋体" w:eastAsia="宋体" w:cs="宋体"/>
          <w:b/>
          <w:bCs/>
          <w:color w:val="000000" w:themeColor="text1"/>
          <w:sz w:val="24"/>
          <w:highlight w:val="none"/>
          <w:lang w:val="en-US" w:eastAsia="zh-CN"/>
          <w14:textFill>
            <w14:solidFill>
              <w14:schemeClr w14:val="tx1"/>
            </w14:solidFill>
          </w14:textFill>
        </w:rPr>
        <w:t>（202</w:t>
      </w:r>
      <w:r>
        <w:rPr>
          <w:rFonts w:hint="eastAsia" w:ascii="宋体" w:hAnsi="宋体" w:cs="宋体"/>
          <w:b/>
          <w:bCs/>
          <w:color w:val="000000" w:themeColor="text1"/>
          <w:sz w:val="24"/>
          <w:highlight w:val="none"/>
          <w:lang w:val="en-US" w:eastAsia="zh-CN"/>
          <w14:textFill>
            <w14:solidFill>
              <w14:schemeClr w14:val="tx1"/>
            </w14:solidFill>
          </w14:textFill>
        </w:rPr>
        <w:t>5</w:t>
      </w:r>
      <w:r>
        <w:rPr>
          <w:rFonts w:hint="eastAsia" w:ascii="宋体" w:hAnsi="宋体" w:eastAsia="宋体" w:cs="宋体"/>
          <w:b/>
          <w:bCs/>
          <w:color w:val="000000" w:themeColor="text1"/>
          <w:sz w:val="24"/>
          <w:highlight w:val="none"/>
          <w:lang w:val="en-US" w:eastAsia="zh-CN"/>
          <w14:textFill>
            <w14:solidFill>
              <w14:schemeClr w14:val="tx1"/>
            </w14:solidFill>
          </w14:textFill>
        </w:rPr>
        <w:t>01版）</w:t>
      </w:r>
      <w:r>
        <w:rPr>
          <w:rFonts w:hint="eastAsia" w:ascii="Calibri" w:hAnsi="Calibri" w:eastAsia="宋体" w:cs="黑体"/>
          <w:b/>
          <w:bCs/>
          <w:color w:val="000000" w:themeColor="text1"/>
          <w:sz w:val="24"/>
          <w:highlight w:val="none"/>
          <w:lang w:eastAsia="zh-CN"/>
          <w14:textFill>
            <w14:solidFill>
              <w14:schemeClr w14:val="tx1"/>
            </w14:solidFill>
          </w14:textFill>
        </w:rPr>
        <w:t>》</w:t>
      </w:r>
      <w:r>
        <w:rPr>
          <w:rFonts w:hint="eastAsia" w:ascii="Calibri" w:hAnsi="Calibri" w:eastAsia="宋体" w:cs="黑体"/>
          <w:b/>
          <w:bCs/>
          <w:color w:val="000000" w:themeColor="text1"/>
          <w:sz w:val="24"/>
          <w:highlight w:val="none"/>
          <w:lang w:val="en-US" w:eastAsia="zh-CN"/>
          <w14:textFill>
            <w14:solidFill>
              <w14:schemeClr w14:val="tx1"/>
            </w14:solidFill>
          </w14:textFill>
        </w:rPr>
        <w:t>与对应期次的</w:t>
      </w:r>
      <w:r>
        <w:rPr>
          <w:rFonts w:hint="eastAsia" w:eastAsia="宋体" w:cs="黑体"/>
          <w:b/>
          <w:bCs/>
          <w:color w:val="000000" w:themeColor="text1"/>
          <w:sz w:val="24"/>
          <w:highlight w:val="none"/>
          <w:lang w:val="en-US" w:eastAsia="zh-CN"/>
          <w14:textFill>
            <w14:solidFill>
              <w14:schemeClr w14:val="tx1"/>
            </w14:solidFill>
          </w14:textFill>
        </w:rPr>
        <w:t>理财计划风险揭示书、理财计划产品说明书、投资者权益须知及</w:t>
      </w:r>
      <w:r>
        <w:rPr>
          <w:rFonts w:hint="eastAsia" w:ascii="Calibri" w:hAnsi="Calibri" w:eastAsia="宋体" w:cs="黑体"/>
          <w:b/>
          <w:bCs/>
          <w:color w:val="000000" w:themeColor="text1"/>
          <w:sz w:val="24"/>
          <w:highlight w:val="none"/>
          <w14:textFill>
            <w14:solidFill>
              <w14:schemeClr w14:val="tx1"/>
            </w14:solidFill>
          </w14:textFill>
        </w:rPr>
        <w:t>理财计划投资协议书共同构成完整且不可分割的理财计划</w:t>
      </w:r>
      <w:r>
        <w:rPr>
          <w:rFonts w:hint="eastAsia" w:ascii="Calibri" w:hAnsi="Calibri" w:eastAsia="宋体" w:cs="黑体"/>
          <w:b/>
          <w:bCs/>
          <w:color w:val="000000" w:themeColor="text1"/>
          <w:sz w:val="24"/>
          <w:highlight w:val="none"/>
          <w:lang w:val="en-US" w:eastAsia="zh-CN"/>
          <w14:textFill>
            <w14:solidFill>
              <w14:schemeClr w14:val="tx1"/>
            </w14:solidFill>
          </w14:textFill>
        </w:rPr>
        <w:t>合同</w:t>
      </w:r>
      <w:r>
        <w:rPr>
          <w:rFonts w:hint="eastAsia" w:ascii="Calibri" w:hAnsi="Calibri" w:eastAsia="宋体" w:cs="黑体"/>
          <w:b/>
          <w:bCs/>
          <w:color w:val="000000" w:themeColor="text1"/>
          <w:sz w:val="24"/>
          <w:highlight w:val="none"/>
          <w14:textFill>
            <w14:solidFill>
              <w14:schemeClr w14:val="tx1"/>
            </w14:solidFill>
          </w14:textFill>
        </w:rPr>
        <w:t>。杭银理财有限责任公司（以下简称“杭银理财”）建议投资者在购买理财计划前认真阅读</w:t>
      </w:r>
      <w:r>
        <w:rPr>
          <w:rFonts w:hint="eastAsia" w:ascii="Calibri" w:hAnsi="Calibri" w:eastAsia="宋体" w:cs="黑体"/>
          <w:b/>
          <w:bCs/>
          <w:color w:val="000000" w:themeColor="text1"/>
          <w:sz w:val="24"/>
          <w:highlight w:val="none"/>
          <w:lang w:val="en-US" w:eastAsia="zh-CN"/>
          <w14:textFill>
            <w14:solidFill>
              <w14:schemeClr w14:val="tx1"/>
            </w14:solidFill>
          </w14:textFill>
        </w:rPr>
        <w:t>全套</w:t>
      </w:r>
      <w:r>
        <w:rPr>
          <w:rFonts w:hint="eastAsia" w:ascii="Calibri" w:hAnsi="Calibri" w:eastAsia="宋体" w:cs="黑体"/>
          <w:b/>
          <w:bCs/>
          <w:color w:val="000000" w:themeColor="text1"/>
          <w:sz w:val="24"/>
          <w:highlight w:val="none"/>
          <w14:textFill>
            <w14:solidFill>
              <w14:schemeClr w14:val="tx1"/>
            </w14:solidFill>
          </w14:textFill>
        </w:rPr>
        <w:t>理财计划</w:t>
      </w:r>
      <w:r>
        <w:rPr>
          <w:rFonts w:hint="eastAsia" w:ascii="Calibri" w:hAnsi="Calibri" w:eastAsia="宋体" w:cs="黑体"/>
          <w:b/>
          <w:bCs/>
          <w:color w:val="000000" w:themeColor="text1"/>
          <w:sz w:val="24"/>
          <w:highlight w:val="none"/>
          <w:lang w:val="en-US" w:eastAsia="zh-CN"/>
          <w14:textFill>
            <w14:solidFill>
              <w14:schemeClr w14:val="tx1"/>
            </w14:solidFill>
          </w14:textFill>
        </w:rPr>
        <w:t>合同</w:t>
      </w:r>
      <w:r>
        <w:rPr>
          <w:rFonts w:hint="eastAsia" w:ascii="Calibri" w:hAnsi="Calibri" w:eastAsia="宋体" w:cs="黑体"/>
          <w:b/>
          <w:bCs/>
          <w:color w:val="000000" w:themeColor="text1"/>
          <w:sz w:val="24"/>
          <w:highlight w:val="none"/>
          <w14:textFill>
            <w14:solidFill>
              <w14:schemeClr w14:val="tx1"/>
            </w14:solidFill>
          </w14:textFill>
        </w:rPr>
        <w:t>，投资者签署</w:t>
      </w:r>
      <w:r>
        <w:rPr>
          <w:rFonts w:hint="eastAsia" w:ascii="Calibri" w:hAnsi="Calibri" w:eastAsia="宋体" w:cs="黑体"/>
          <w:b/>
          <w:bCs/>
          <w:color w:val="000000" w:themeColor="text1"/>
          <w:sz w:val="24"/>
          <w:highlight w:val="none"/>
          <w:lang w:val="en-US" w:eastAsia="zh-CN"/>
          <w14:textFill>
            <w14:solidFill>
              <w14:schemeClr w14:val="tx1"/>
            </w14:solidFill>
          </w14:textFill>
        </w:rPr>
        <w:t>本</w:t>
      </w:r>
      <w:r>
        <w:rPr>
          <w:rFonts w:hint="eastAsia" w:ascii="Calibri" w:hAnsi="Calibri" w:eastAsia="宋体" w:cs="黑体"/>
          <w:b/>
          <w:bCs/>
          <w:color w:val="000000" w:themeColor="text1"/>
          <w:sz w:val="24"/>
          <w:highlight w:val="none"/>
          <w14:textFill>
            <w14:solidFill>
              <w14:schemeClr w14:val="tx1"/>
            </w14:solidFill>
          </w14:textFill>
        </w:rPr>
        <w:t>协议书（含电子渠道签署）即视为已详细阅读理财计划合同并知悉相关风险，自愿投资购买理财计划、遵守合同约定并承担相应风险。</w:t>
      </w:r>
    </w:p>
    <w:p>
      <w:pPr>
        <w:keepNext w:val="0"/>
        <w:keepLines w:val="0"/>
        <w:pageBreakBefore w:val="0"/>
        <w:kinsoku/>
        <w:wordWrap/>
        <w:overflowPunct/>
        <w:topLinePunct w:val="0"/>
        <w:autoSpaceDE/>
        <w:autoSpaceDN/>
        <w:bidi w:val="0"/>
        <w:adjustRightInd/>
        <w:snapToGrid/>
        <w:spacing w:line="360" w:lineRule="auto"/>
        <w:ind w:firstLine="482" w:firstLineChars="200"/>
        <w:textAlignment w:val="auto"/>
        <w:rPr>
          <w:rFonts w:hint="default" w:ascii="Calibri" w:hAnsi="Calibri" w:eastAsia="宋体" w:cs="黑体"/>
          <w:b/>
          <w:bCs/>
          <w:color w:val="000000" w:themeColor="text1"/>
          <w:sz w:val="24"/>
          <w:highlight w:val="none"/>
          <w:lang w:val="en-US" w:eastAsia="zh-CN"/>
          <w14:textFill>
            <w14:solidFill>
              <w14:schemeClr w14:val="tx1"/>
            </w14:solidFill>
          </w14:textFill>
        </w:rPr>
      </w:pPr>
      <w:r>
        <w:rPr>
          <w:rFonts w:hint="eastAsia" w:ascii="Calibri" w:hAnsi="Calibri" w:eastAsia="宋体" w:cs="黑体"/>
          <w:b/>
          <w:bCs/>
          <w:color w:val="000000" w:themeColor="text1"/>
          <w:sz w:val="24"/>
          <w:highlight w:val="none"/>
          <w:lang w:val="en-US" w:eastAsia="zh-CN"/>
          <w14:textFill>
            <w14:solidFill>
              <w14:schemeClr w14:val="tx1"/>
            </w14:solidFill>
          </w14:textFill>
        </w:rPr>
        <w:t>理财非存款、产品有风险、投资须谨慎，理财计划过往业绩不代表其未来表现，不等于理财计划实际收益。</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r>
        <w:rPr>
          <w:rFonts w:hint="eastAsia" w:ascii="Calibri" w:hAnsi="Calibri" w:eastAsia="宋体" w:cs="黑体"/>
          <w:color w:val="000000" w:themeColor="text1"/>
          <w:sz w:val="24"/>
          <w:highlight w:val="none"/>
          <w:lang w:val="en-US" w:eastAsia="zh-CN"/>
          <w14:textFill>
            <w14:solidFill>
              <w14:schemeClr w14:val="tx1"/>
            </w14:solidFill>
          </w14:textFill>
        </w:rPr>
        <w:t>理财计划销售的相关法律主体为发行理财计划的理财公司、</w:t>
      </w:r>
      <w:r>
        <w:rPr>
          <w:rFonts w:hint="eastAsia" w:eastAsia="宋体" w:cs="黑体"/>
          <w:color w:val="000000" w:themeColor="text1"/>
          <w:sz w:val="24"/>
          <w:highlight w:val="none"/>
          <w:lang w:val="en-US" w:eastAsia="zh-CN"/>
          <w14:textFill>
            <w14:solidFill>
              <w14:schemeClr w14:val="tx1"/>
            </w14:solidFill>
          </w14:textFill>
        </w:rPr>
        <w:t>理财公司自有销售渠道以及</w:t>
      </w:r>
      <w:r>
        <w:rPr>
          <w:rFonts w:hint="eastAsia" w:ascii="Calibri" w:hAnsi="Calibri" w:eastAsia="宋体" w:cs="黑体"/>
          <w:color w:val="000000" w:themeColor="text1"/>
          <w:sz w:val="24"/>
          <w:highlight w:val="none"/>
          <w:lang w:val="en-US" w:eastAsia="zh-CN"/>
          <w14:textFill>
            <w14:solidFill>
              <w14:schemeClr w14:val="tx1"/>
            </w14:solidFill>
          </w14:textFill>
        </w:rPr>
        <w:t>接受理财公司委托销售其发行理财计划的代理销售机构（以下简称“销售机构”）和投资者三方。理财公司是理财计划的设计发行方与管理人，</w:t>
      </w:r>
      <w:r>
        <w:rPr>
          <w:rFonts w:hint="eastAsia" w:eastAsia="宋体" w:cs="黑体"/>
          <w:color w:val="000000" w:themeColor="text1"/>
          <w:sz w:val="24"/>
          <w:highlight w:val="none"/>
          <w:lang w:val="en-US" w:eastAsia="zh-CN"/>
          <w14:textFill>
            <w14:solidFill>
              <w14:schemeClr w14:val="tx1"/>
            </w14:solidFill>
          </w14:textFill>
        </w:rPr>
        <w:t>理财公司和</w:t>
      </w:r>
      <w:r>
        <w:rPr>
          <w:rFonts w:hint="eastAsia" w:ascii="Calibri" w:hAnsi="Calibri" w:eastAsia="宋体" w:cs="黑体"/>
          <w:color w:val="000000" w:themeColor="text1"/>
          <w:sz w:val="24"/>
          <w:highlight w:val="none"/>
          <w:lang w:val="en-US" w:eastAsia="zh-CN"/>
          <w14:textFill>
            <w14:solidFill>
              <w14:schemeClr w14:val="tx1"/>
            </w14:solidFill>
          </w14:textFill>
        </w:rPr>
        <w:t>销售机构面向投资者实施销售行为，两方共同承担理财计划的合规销售和投资者合法权益保护义务。</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r>
        <w:rPr>
          <w:rFonts w:hint="eastAsia" w:ascii="Calibri" w:hAnsi="Calibri" w:eastAsia="宋体" w:cs="黑体"/>
          <w:color w:val="000000" w:themeColor="text1"/>
          <w:sz w:val="24"/>
          <w:highlight w:val="none"/>
          <w:lang w:val="en-US" w:eastAsia="zh-CN"/>
          <w14:textFill>
            <w14:solidFill>
              <w14:schemeClr w14:val="tx1"/>
            </w14:solidFill>
          </w14:textFill>
        </w:rPr>
        <w:t>投资者与销售机构经平等友好协商，本着自愿、诚实信用原则，就投资者购买销售机构代理销售的理财计划有关事宜达成如下协议（以下简称“本协议”）：</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Calibri" w:hAnsi="Calibri" w:eastAsia="宋体" w:cs="黑体"/>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第一条 </w:t>
      </w:r>
      <w:r>
        <w:rPr>
          <w:rFonts w:hint="eastAsia" w:ascii="Calibri" w:hAnsi="Calibri" w:eastAsia="宋体" w:cs="黑体"/>
          <w:b/>
          <w:bCs/>
          <w:color w:val="000000" w:themeColor="text1"/>
          <w:sz w:val="24"/>
          <w:highlight w:val="none"/>
          <w:lang w:val="en-US" w:eastAsia="zh-CN"/>
          <w14:textFill>
            <w14:solidFill>
              <w14:schemeClr w14:val="tx1"/>
            </w14:solidFill>
          </w14:textFill>
        </w:rPr>
        <w:t>名词释义</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color w:val="000000" w:themeColor="text1"/>
          <w:sz w:val="24"/>
          <w:highlight w:val="none"/>
          <w:lang w:val="en-US" w:eastAsia="zh-CN"/>
          <w14:textFill>
            <w14:solidFill>
              <w14:schemeClr w14:val="tx1"/>
            </w14:solidFill>
          </w14:textFill>
        </w:rPr>
      </w:pPr>
      <w:r>
        <w:rPr>
          <w:rFonts w:hint="eastAsia" w:ascii="Calibri" w:hAnsi="Calibri" w:eastAsia="宋体" w:cs="黑体"/>
          <w:bCs/>
          <w:color w:val="000000" w:themeColor="text1"/>
          <w:sz w:val="24"/>
          <w:highlight w:val="none"/>
          <w:lang w:val="en-US" w:eastAsia="zh-CN"/>
          <w14:textFill>
            <w14:solidFill>
              <w14:schemeClr w14:val="tx1"/>
            </w14:solidFill>
          </w14:textFill>
        </w:rPr>
        <w:t>详见对应期次的理财计划产品说明书“释义”部分。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Calibri" w:hAnsi="Calibri" w:eastAsia="宋体" w:cs="黑体"/>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jc w:val="left"/>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第二条 </w:t>
      </w:r>
      <w:r>
        <w:rPr>
          <w:rFonts w:hint="eastAsia" w:ascii="Calibri" w:hAnsi="Calibri" w:eastAsia="宋体" w:cs="黑体"/>
          <w:b/>
          <w:bCs/>
          <w:color w:val="000000" w:themeColor="text1"/>
          <w:sz w:val="24"/>
          <w:highlight w:val="none"/>
          <w:lang w:val="en-US" w:eastAsia="zh-CN"/>
          <w14:textFill>
            <w14:solidFill>
              <w14:schemeClr w14:val="tx1"/>
            </w14:solidFill>
          </w14:textFill>
        </w:rPr>
        <w:t>投资者权利与义务</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应当保证其理财资金为合法拥有的自有资金，不存在涉嫌洗钱、恶意逃避税收征收管理等违法违规行为。投资者不得使用贷款、发行债券等方式筹集的非自有资金购买理财计划。投资者将其自有资金用作本理财计划投资协议书条款项下理财交易并不违反相关法律、法规、规章、规定、</w:t>
      </w:r>
      <w:r>
        <w:rPr>
          <w:rFonts w:hint="eastAsia" w:ascii="宋体" w:hAnsi="宋体" w:eastAsia="宋体" w:cs="黑体"/>
          <w:color w:val="000000" w:themeColor="text1"/>
          <w:kern w:val="2"/>
          <w:sz w:val="24"/>
          <w:highlight w:val="none"/>
          <w14:textFill>
            <w14:solidFill>
              <w14:schemeClr w14:val="tx1"/>
            </w14:solidFill>
          </w14:textFill>
        </w:rPr>
        <w:t xml:space="preserve">法院裁定或命令的要求，投资者具有完全民事行为能力，能够自行识别、判断和承担理财计划的相关风险；不存在法律法规、有权机关或主管机关禁止或限制购买理财计划的各种情形。投资者按其投资金额在本理财计划投资协议书中享有相应的权利，承担相应的义务和风险。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投资者保证自身完全了解理财投资的性质，投资所涉及的风险以及自身风险承受能力，在慎重考虑后独立作出交易决定。</w:t>
      </w:r>
    </w:p>
    <w:p>
      <w:pPr>
        <w:widowControl/>
        <w:numPr>
          <w:ilvl w:val="0"/>
          <w:numId w:val="81"/>
        </w:numPr>
        <w:spacing w:line="360" w:lineRule="auto"/>
        <w:ind w:left="0" w:leftChars="0" w:firstLine="482"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投资者购买</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lang w:eastAsia="zh-CN"/>
          <w14:textFill>
            <w14:solidFill>
              <w14:schemeClr w14:val="tx1"/>
            </w14:solidFill>
          </w14:textFill>
        </w:rPr>
        <w:t>代理销售</w:t>
      </w:r>
      <w:r>
        <w:rPr>
          <w:rFonts w:hint="eastAsia" w:ascii="宋体" w:hAnsi="宋体" w:eastAsia="宋体" w:cs="黑体"/>
          <w:b/>
          <w:bCs/>
          <w:color w:val="000000" w:themeColor="text1"/>
          <w:sz w:val="24"/>
          <w:highlight w:val="none"/>
          <w14:textFill>
            <w14:solidFill>
              <w14:schemeClr w14:val="tx1"/>
            </w14:solidFill>
          </w14:textFill>
        </w:rPr>
        <w:t>的私募</w:t>
      </w:r>
      <w:r>
        <w:rPr>
          <w:rFonts w:hint="eastAsia" w:ascii="宋体" w:hAnsi="宋体" w:eastAsia="宋体" w:cs="黑体"/>
          <w:b/>
          <w:bCs/>
          <w:color w:val="000000" w:themeColor="text1"/>
          <w:sz w:val="24"/>
          <w:highlight w:val="none"/>
          <w:lang w:eastAsia="zh-CN"/>
          <w14:textFill>
            <w14:solidFill>
              <w14:schemeClr w14:val="tx1"/>
            </w14:solidFill>
          </w14:textFill>
        </w:rPr>
        <w:t>理财计划</w:t>
      </w:r>
      <w:r>
        <w:rPr>
          <w:rFonts w:hint="eastAsia" w:ascii="宋体" w:hAnsi="宋体" w:eastAsia="宋体" w:cs="黑体"/>
          <w:b/>
          <w:bCs/>
          <w:color w:val="000000" w:themeColor="text1"/>
          <w:sz w:val="24"/>
          <w:highlight w:val="none"/>
          <w14:textFill>
            <w14:solidFill>
              <w14:schemeClr w14:val="tx1"/>
            </w14:solidFill>
          </w14:textFill>
        </w:rPr>
        <w:t>后，可以享有24 小时的投资冷静期，在投资冷静期内，如</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改变投资决定，应提出解除相应理财</w:t>
      </w:r>
      <w:r>
        <w:rPr>
          <w:rFonts w:hint="eastAsia" w:ascii="宋体" w:hAnsi="宋体" w:eastAsia="宋体" w:cs="黑体"/>
          <w:b/>
          <w:bCs/>
          <w:color w:val="000000" w:themeColor="text1"/>
          <w:sz w:val="24"/>
          <w:highlight w:val="none"/>
          <w:lang w:val="en-US" w:eastAsia="zh-CN"/>
          <w14:textFill>
            <w14:solidFill>
              <w14:schemeClr w14:val="tx1"/>
            </w14:solidFill>
          </w14:textFill>
        </w:rPr>
        <w:t>计划合同</w:t>
      </w:r>
      <w:r>
        <w:rPr>
          <w:rFonts w:hint="eastAsia" w:ascii="宋体" w:hAnsi="宋体" w:eastAsia="宋体" w:cs="黑体"/>
          <w:b/>
          <w:bCs/>
          <w:color w:val="000000" w:themeColor="text1"/>
          <w:sz w:val="24"/>
          <w:highlight w:val="none"/>
          <w14:textFill>
            <w14:solidFill>
              <w14:schemeClr w14:val="tx1"/>
            </w14:solidFill>
          </w14:textFill>
        </w:rPr>
        <w:t>文件申请，</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14:textFill>
            <w14:solidFill>
              <w14:schemeClr w14:val="tx1"/>
            </w14:solidFill>
          </w14:textFill>
        </w:rPr>
        <w:t>将及时退还</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的全部投资款项。</w:t>
      </w:r>
      <w:r>
        <w:rPr>
          <w:rFonts w:hint="eastAsia" w:ascii="宋体" w:hAnsi="宋体" w:eastAsia="宋体" w:cs="黑体"/>
          <w:color w:val="000000" w:themeColor="text1"/>
          <w:sz w:val="24"/>
          <w:highlight w:val="none"/>
          <w14:textFill>
            <w14:solidFill>
              <w14:schemeClr w14:val="tx1"/>
            </w14:solidFill>
          </w14:textFill>
        </w:rPr>
        <w:t>投资冷静期相关约定详见</w:t>
      </w:r>
      <w:r>
        <w:rPr>
          <w:rFonts w:hint="eastAsia" w:ascii="宋体" w:hAnsi="宋体" w:eastAsia="宋体" w:cs="黑体"/>
          <w:color w:val="000000" w:themeColor="text1"/>
          <w:sz w:val="24"/>
          <w:highlight w:val="none"/>
          <w:lang w:val="en-US" w:eastAsia="zh-CN"/>
          <w14:textFill>
            <w14:solidFill>
              <w14:schemeClr w14:val="tx1"/>
            </w14:solidFill>
          </w14:textFill>
        </w:rPr>
        <w:t>理财计划产品</w:t>
      </w:r>
      <w:r>
        <w:rPr>
          <w:rFonts w:hint="eastAsia" w:ascii="宋体" w:hAnsi="宋体" w:eastAsia="宋体" w:cs="黑体"/>
          <w:color w:val="000000" w:themeColor="text1"/>
          <w:sz w:val="24"/>
          <w:highlight w:val="none"/>
          <w14:textFill>
            <w14:solidFill>
              <w14:schemeClr w14:val="tx1"/>
            </w14:solidFill>
          </w14:textFill>
        </w:rPr>
        <w:t>说明书</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投资者保证其有权利签署本协议和履行本协议所述的义务，并已为此采取一切所需的行为。</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投资者保证执行及交付任何文件或履行本协议项下的义务，均不会违反任何适用法律、法规、法令或法律限制</w:t>
      </w:r>
      <w:r>
        <w:rPr>
          <w:rFonts w:hint="eastAsia" w:ascii="宋体" w:hAnsi="宋体" w:eastAsia="宋体" w:cs="黑体"/>
          <w:color w:val="000000" w:themeColor="text1"/>
          <w:sz w:val="24"/>
          <w:highlight w:val="none"/>
          <w:lang w:eastAsia="zh-CN"/>
          <w14:textFill>
            <w14:solidFill>
              <w14:schemeClr w14:val="tx1"/>
            </w14:solidFill>
          </w14:textFill>
        </w:rPr>
        <w:t>；</w:t>
      </w:r>
      <w:r>
        <w:rPr>
          <w:rFonts w:hint="eastAsia" w:ascii="宋体" w:hAnsi="宋体" w:eastAsia="宋体" w:cs="黑体"/>
          <w:color w:val="000000" w:themeColor="text1"/>
          <w:sz w:val="24"/>
          <w:highlight w:val="none"/>
          <w14:textFill>
            <w14:solidFill>
              <w14:schemeClr w14:val="tx1"/>
            </w14:solidFill>
          </w14:textFill>
        </w:rPr>
        <w:t>不会违反任何法院或政府机关所作出的适用于投资者或投资者任何资产的判决或指令；不会违反对投资者或投资者任何资产有约束力的任何重大协议条款。投资者应在签署本协议的同时在</w:t>
      </w:r>
      <w:r>
        <w:rPr>
          <w:rFonts w:hint="eastAsia" w:ascii="宋体" w:hAnsi="宋体" w:eastAsia="宋体" w:cs="黑体"/>
          <w:color w:val="000000" w:themeColor="text1"/>
          <w:sz w:val="24"/>
          <w:highlight w:val="none"/>
          <w:lang w:val="en-US" w:eastAsia="zh-CN"/>
          <w14:textFill>
            <w14:solidFill>
              <w14:schemeClr w14:val="tx1"/>
            </w14:solidFill>
          </w14:textFill>
        </w:rPr>
        <w:t>其</w:t>
      </w:r>
      <w:r>
        <w:rPr>
          <w:rFonts w:hint="eastAsia" w:ascii="宋体" w:hAnsi="宋体" w:eastAsia="宋体" w:cs="黑体"/>
          <w:color w:val="000000" w:themeColor="text1"/>
          <w:sz w:val="24"/>
          <w:highlight w:val="none"/>
          <w14:textFill>
            <w14:solidFill>
              <w14:schemeClr w14:val="tx1"/>
            </w14:solidFill>
          </w14:textFill>
        </w:rPr>
        <w:t>授权指定</w:t>
      </w:r>
      <w:r>
        <w:rPr>
          <w:rFonts w:hint="eastAsia" w:ascii="宋体" w:hAnsi="宋体" w:eastAsia="宋体" w:cs="黑体"/>
          <w:color w:val="000000" w:themeColor="text1"/>
          <w:sz w:val="24"/>
          <w:highlight w:val="none"/>
          <w:lang w:val="en-US" w:eastAsia="zh-CN"/>
          <w14:textFill>
            <w14:solidFill>
              <w14:schemeClr w14:val="tx1"/>
            </w14:solidFill>
          </w14:textFill>
        </w:rPr>
        <w:t>的</w:t>
      </w:r>
      <w:r>
        <w:rPr>
          <w:rFonts w:hint="eastAsia" w:ascii="宋体" w:hAnsi="宋体" w:eastAsia="宋体" w:cs="黑体"/>
          <w:color w:val="000000" w:themeColor="text1"/>
          <w:sz w:val="24"/>
          <w:highlight w:val="none"/>
          <w14:textFill>
            <w14:solidFill>
              <w14:schemeClr w14:val="tx1"/>
            </w14:solidFill>
          </w14:textFill>
        </w:rPr>
        <w:t>账户</w:t>
      </w:r>
      <w:r>
        <w:rPr>
          <w:rFonts w:hint="eastAsia" w:ascii="宋体" w:hAnsi="宋体" w:eastAsia="宋体" w:cs="黑体"/>
          <w:color w:val="000000" w:themeColor="text1"/>
          <w:sz w:val="24"/>
          <w:highlight w:val="none"/>
          <w:lang w:val="en-US" w:eastAsia="zh-CN"/>
          <w14:textFill>
            <w14:solidFill>
              <w14:schemeClr w14:val="tx1"/>
            </w14:solidFill>
          </w14:textFill>
        </w:rPr>
        <w:t>中（以下简称“授权指定账户”）</w:t>
      </w:r>
      <w:r>
        <w:rPr>
          <w:rFonts w:hint="eastAsia" w:ascii="宋体" w:hAnsi="宋体" w:eastAsia="宋体" w:cs="黑体"/>
          <w:color w:val="000000" w:themeColor="text1"/>
          <w:sz w:val="24"/>
          <w:highlight w:val="none"/>
          <w14:textFill>
            <w14:solidFill>
              <w14:schemeClr w14:val="tx1"/>
            </w14:solidFill>
          </w14:textFill>
        </w:rPr>
        <w:t>存入足额的资金以确保账户余额大于或等于认/申购金额。</w:t>
      </w:r>
    </w:p>
    <w:p>
      <w:pPr>
        <w:widowControl/>
        <w:numPr>
          <w:ilvl w:val="0"/>
          <w:numId w:val="81"/>
        </w:numPr>
        <w:spacing w:line="360" w:lineRule="auto"/>
        <w:ind w:left="0" w:leftChars="0" w:firstLine="482"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在此确认</w:t>
      </w:r>
      <w:r>
        <w:rPr>
          <w:rFonts w:hint="eastAsia" w:ascii="宋体" w:hAnsi="宋体" w:eastAsia="宋体" w:cs="黑体"/>
          <w:b/>
          <w:bCs/>
          <w:color w:val="000000" w:themeColor="text1"/>
          <w:sz w:val="24"/>
          <w:highlight w:val="none"/>
          <w:lang w:val="en-US" w:eastAsia="zh-CN"/>
          <w14:textFill>
            <w14:solidFill>
              <w14:schemeClr w14:val="tx1"/>
            </w14:solidFill>
          </w14:textFill>
        </w:rPr>
        <w:t>销售机构</w:t>
      </w:r>
      <w:r>
        <w:rPr>
          <w:rFonts w:hint="eastAsia" w:ascii="宋体" w:hAnsi="宋体" w:eastAsia="宋体" w:cs="黑体"/>
          <w:b/>
          <w:bCs/>
          <w:color w:val="000000" w:themeColor="text1"/>
          <w:sz w:val="24"/>
          <w:highlight w:val="none"/>
          <w14:textFill>
            <w14:solidFill>
              <w14:schemeClr w14:val="tx1"/>
            </w14:solidFill>
          </w14:textFill>
        </w:rPr>
        <w:t>的系统记录以及录音、录像构成对</w:t>
      </w:r>
      <w:r>
        <w:rPr>
          <w:rFonts w:hint="eastAsia" w:ascii="宋体" w:hAnsi="宋体" w:eastAsia="宋体" w:cs="黑体"/>
          <w:b/>
          <w:bCs/>
          <w:color w:val="000000" w:themeColor="text1"/>
          <w:sz w:val="24"/>
          <w:highlight w:val="none"/>
          <w:lang w:val="en-US" w:eastAsia="zh-CN"/>
          <w14:textFill>
            <w14:solidFill>
              <w14:schemeClr w14:val="tx1"/>
            </w14:solidFill>
          </w14:textFill>
        </w:rPr>
        <w:t>投资者</w:t>
      </w:r>
      <w:r>
        <w:rPr>
          <w:rFonts w:hint="eastAsia" w:ascii="宋体" w:hAnsi="宋体" w:eastAsia="宋体" w:cs="黑体"/>
          <w:b/>
          <w:bCs/>
          <w:color w:val="000000" w:themeColor="text1"/>
          <w:sz w:val="24"/>
          <w:highlight w:val="none"/>
          <w14:textFill>
            <w14:solidFill>
              <w14:schemeClr w14:val="tx1"/>
            </w14:solidFill>
          </w14:textFill>
        </w:rPr>
        <w:t>操作行为（包括但不限于购买、赎回、撤单）的有效证据，并且在</w:t>
      </w:r>
      <w:r>
        <w:rPr>
          <w:rFonts w:hint="eastAsia" w:ascii="宋体" w:hAnsi="宋体" w:eastAsia="宋体" w:cs="黑体"/>
          <w:b/>
          <w:bCs/>
          <w:color w:val="000000" w:themeColor="text1"/>
          <w:sz w:val="24"/>
          <w:highlight w:val="none"/>
          <w:lang w:val="en-US" w:eastAsia="zh-CN"/>
          <w14:textFill>
            <w14:solidFill>
              <w14:schemeClr w14:val="tx1"/>
            </w14:solidFill>
          </w14:textFill>
        </w:rPr>
        <w:t>双</w:t>
      </w:r>
      <w:r>
        <w:rPr>
          <w:rFonts w:hint="eastAsia" w:ascii="宋体" w:hAnsi="宋体" w:eastAsia="宋体" w:cs="黑体"/>
          <w:b/>
          <w:bCs/>
          <w:color w:val="000000" w:themeColor="text1"/>
          <w:sz w:val="24"/>
          <w:highlight w:val="none"/>
          <w14:textFill>
            <w14:solidFill>
              <w14:schemeClr w14:val="tx1"/>
            </w14:solidFill>
          </w14:textFill>
        </w:rPr>
        <w:t>方发生争议时可以作为合法有效的证据使用</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终止前，投资者应保证其“授权指定账户”处于正常状态，投资者授权指定账户发生资金余额不足、挂失、换卡、长期不动户等特殊情况或被有权机关采取冻结、扣划、强制措施等变更或异常情形导致认/申购不成功，以及在本理财计划存续期内因有权机关依法采取强制措施导致理财份额、理财账户、授权指定账户被冻结或扣划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在本理财计划存续期内，如有权机关要求</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配合对投资者理财份额、理财账户、授权指定账户进行查封、冻结或扣划的，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有权根据实际情况采取</w:t>
      </w:r>
      <w:r>
        <w:rPr>
          <w:rFonts w:hint="eastAsia" w:ascii="宋体" w:hAnsi="宋体" w:eastAsia="宋体" w:cs="黑体"/>
          <w:color w:val="000000" w:themeColor="text1"/>
          <w:sz w:val="24"/>
          <w:highlight w:val="none"/>
          <w:lang w:val="en-US" w:eastAsia="zh-CN"/>
          <w14:textFill>
            <w14:solidFill>
              <w14:schemeClr w14:val="tx1"/>
            </w14:solidFill>
          </w14:textFill>
        </w:rPr>
        <w:t>相应</w:t>
      </w:r>
      <w:r>
        <w:rPr>
          <w:rFonts w:hint="eastAsia" w:ascii="宋体" w:hAnsi="宋体" w:eastAsia="宋体" w:cs="黑体"/>
          <w:color w:val="000000" w:themeColor="text1"/>
          <w:sz w:val="24"/>
          <w:highlight w:val="none"/>
          <w14:textFill>
            <w14:solidFill>
              <w14:schemeClr w14:val="tx1"/>
            </w14:solidFill>
          </w14:textFill>
        </w:rPr>
        <w:t>措施。</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对上述后果不承担任何责任。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本协议终止前，投资者不得将授权指定账户销户。若发生因投资者注销授权指定账户造成理财计划无法正常兑付的，</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不承担任何责任。</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投资者应确保其提供的所有资料真实、完整、合法、有效，如果有任何变更，投资者应及时通知</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并办理变更手续。如因投资者未及时通知</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并办理相应的变更手续，由此导致的一切后果由投资者自行承担，</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对此不承担任何责任。 </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对本协议及其条款负有保密义务，未经</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书面许可，不得向任何组织、个人提供或泄露与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有关的业务资料及信息，但法律、法规另有规定的除外</w:t>
      </w:r>
      <w:r>
        <w:rPr>
          <w:rFonts w:hint="eastAsia" w:ascii="宋体" w:hAnsi="宋体" w:eastAsia="宋体" w:cs="黑体"/>
          <w:color w:val="000000" w:themeColor="text1"/>
          <w:sz w:val="24"/>
          <w:highlight w:val="none"/>
          <w:lang w:eastAsia="zh-CN"/>
          <w14:textFill>
            <w14:solidFill>
              <w14:schemeClr w14:val="tx1"/>
            </w14:solidFill>
          </w14:textFill>
        </w:rPr>
        <w:t>。</w:t>
      </w:r>
    </w:p>
    <w:p>
      <w:pPr>
        <w:widowControl/>
        <w:numPr>
          <w:ilvl w:val="0"/>
          <w:numId w:val="81"/>
        </w:numPr>
        <w:spacing w:line="360" w:lineRule="auto"/>
        <w:ind w:left="0" w:leftChars="0" w:firstLine="480" w:firstLineChars="200"/>
        <w:contextualSpacing/>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投资者进行投资时，应严格遵守反洗钱相关法规的规定，切实履行反洗钱及反恐怖融资义务。</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投资者个人信息授权</w:t>
      </w:r>
    </w:p>
    <w:p>
      <w:pPr>
        <w:widowControl/>
        <w:numPr>
          <w:ilvl w:val="0"/>
          <w:numId w:val="0"/>
        </w:numPr>
        <w:spacing w:line="360" w:lineRule="auto"/>
        <w:ind w:left="0" w:leftChars="0" w:firstLine="482" w:firstLineChars="200"/>
        <w:contextualSpacing/>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基于销售机构履行本协议、进行服务管理和风险管理、报送监管信息等需要，履行反洗钱、投资者资质审核和销售适当性等法律法规和监管要求的义务，投资者在此同意并授权销售机构在业务办理或履行过程中收集、存储、使用、加工、传输包括但不限于下述投资者个人信息：个人身份信息、联络方式、财产信息、账户信息、风险偏好与投资目标、其他与业务相关的个人信息以及法律法规规定的其他必要信息。</w:t>
      </w:r>
    </w:p>
    <w:p>
      <w:pPr>
        <w:widowControl/>
        <w:numPr>
          <w:ilvl w:val="0"/>
          <w:numId w:val="81"/>
        </w:numPr>
        <w:spacing w:line="360" w:lineRule="auto"/>
        <w:ind w:left="0" w:leftChars="0" w:firstLine="482" w:firstLineChars="200"/>
        <w:contextualSpacing/>
        <w:outlineLvl w:val="2"/>
        <w:rPr>
          <w:rFonts w:hint="eastAsia" w:ascii="宋体" w:hAnsi="宋体" w:eastAsia="宋体" w:cs="黑体"/>
          <w:b/>
          <w:bCs/>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投</w:t>
      </w:r>
      <w:r>
        <w:rPr>
          <w:rFonts w:hint="eastAsia" w:ascii="宋体" w:hAnsi="宋体"/>
          <w:b/>
          <w:bCs/>
          <w:color w:val="000000" w:themeColor="text1"/>
          <w:sz w:val="24"/>
          <w:highlight w:val="none"/>
          <w14:textFill>
            <w14:solidFill>
              <w14:schemeClr w14:val="tx1"/>
            </w14:solidFill>
          </w14:textFill>
        </w:rPr>
        <w:t>资者同意关于杭银理财发行且被评定为中高风险及以上的理财计划，可通过经杭银理财认可的销售渠道（含线上渠道和线下渠道等）进行交易。如通过线上渠道办理，投资者知晓并确认自身对于上述理财计划的特性及风险有充分的了解与判断。如销售机构有相关规定的，则应以销售机构的要求为准。</w:t>
      </w:r>
    </w:p>
    <w:p>
      <w:pPr>
        <w:widowControl/>
        <w:numPr>
          <w:ilvl w:val="0"/>
          <w:numId w:val="0"/>
        </w:numPr>
        <w:spacing w:line="360" w:lineRule="auto"/>
        <w:ind w:left="0" w:leftChars="0" w:firstLine="482" w:firstLineChars="200"/>
        <w:contextualSpacing/>
        <w:rPr>
          <w:rFonts w:hint="default"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第三条 </w:t>
      </w:r>
      <w:r>
        <w:rPr>
          <w:rFonts w:hint="eastAsia" w:ascii="Calibri" w:hAnsi="Calibri" w:eastAsia="宋体" w:cs="黑体"/>
          <w:b/>
          <w:bCs/>
          <w:color w:val="000000" w:themeColor="text1"/>
          <w:sz w:val="24"/>
          <w:highlight w:val="none"/>
          <w:lang w:val="en-US" w:eastAsia="zh-CN"/>
          <w14:textFill>
            <w14:solidFill>
              <w14:schemeClr w14:val="tx1"/>
            </w14:solidFill>
          </w14:textFill>
        </w:rPr>
        <w:t>销售机构的权利与义务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对拟销售的理财计划开展尽职调查，承担审批职责，并纳入本机构统一专门名单管理，不得仅以管理人相关产品资料或其出具意见作为审批依据。销售机构应当根据本机构的方式和方法，独立、审慎地对代理销售的理财计划进行销售评级。销售评级与管理人产品评级结果不一致的，销售机构应当采用对应较高风险等级的评级结果并予以披露。</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2"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b/>
          <w:bCs/>
          <w:color w:val="000000" w:themeColor="text1"/>
          <w:sz w:val="24"/>
          <w:highlight w:val="none"/>
          <w:lang w:val="en-US" w:eastAsia="zh-CN"/>
          <w14:textFill>
            <w14:solidFill>
              <w14:schemeClr w14:val="tx1"/>
            </w14:solidFill>
          </w14:textFill>
        </w:rPr>
        <w:t>代理销售机构非本计划的发行、管理机构，对本计划的业绩不承担任何保证和其他经济责任，不承担本计划的投资、兑付和风险管理责任</w:t>
      </w:r>
      <w:r>
        <w:rPr>
          <w:rFonts w:hint="eastAsia" w:ascii="宋体" w:hAnsi="宋体" w:eastAsia="宋体" w:cs="黑体"/>
          <w:color w:val="000000" w:themeColor="text1"/>
          <w:sz w:val="24"/>
          <w:highlight w:val="none"/>
          <w:lang w:val="en-US" w:eastAsia="zh-CN"/>
          <w14:textFill>
            <w14:solidFill>
              <w14:schemeClr w14:val="tx1"/>
            </w14:solidFill>
          </w14:textFill>
        </w:rPr>
        <w:t>。</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销售机构应定期对购买其代理销售的理财计划的非机构投资者进行有效风险承受能力评估，并保证向投资者推介及销售与其风险承受能力匹配的产品。</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对于通过营业网点向非机构投资者销售理财计划的，销售机构应按照监管规定实施理财计划销售专区管理，对销售专区设置明显标识，并在销售专区内对每只理财计划销售过程进行录音录像。除非与非机构投资者当面书面约定，评级为四级以上理财计划的销售，应当在营业网点进行。</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both"/>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销售机构不得擅自使用未经管理人授权或审核同意的理财计划宣传推介材料，在全国银行业理财信息登记系统对理财计划进行登记并获得登记编码前，不得发布理财计划宣传推介材料或办理理财计划销售业务。</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销售机构应建立健全上岗资格、持续培训、信息公示与查询核实等制度并有效执行。未经销售机构进行上岗资格认定并签订劳动合同，任何人员不得从事理财计划销售业务活动。</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销售机构应对所有销售人员信息进行登记和公示。销售人员在向投资者宣传销售理财计划前进行自我介绍并告知信息查询和核实渠道，便于投资者查询核实，防止伪冒身份和虚假宣传。</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销售机构对投资者负有信息保密义务，未经投资者书面许可，销售机构不得向任何组织、个人提供或泄露与投资者有关的业务资料及信息，但法律、法规、监管机构另有规定的除外。</w:t>
      </w:r>
    </w:p>
    <w:p>
      <w:pPr>
        <w:keepNext w:val="0"/>
        <w:keepLines w:val="0"/>
        <w:pageBreakBefore w:val="0"/>
        <w:widowControl/>
        <w:numPr>
          <w:ilvl w:val="0"/>
          <w:numId w:val="82"/>
        </w:numPr>
        <w:kinsoku/>
        <w:wordWrap/>
        <w:overflowPunct/>
        <w:topLinePunct w:val="0"/>
        <w:autoSpaceDE/>
        <w:autoSpaceDN/>
        <w:bidi w:val="0"/>
        <w:adjustRightInd/>
        <w:snapToGrid/>
        <w:spacing w:line="360" w:lineRule="auto"/>
        <w:ind w:left="0" w:leftChars="0"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销售机构应按照法律法规、监管规定、理财计划合同的约定收取销售费用，并如实核算、记账。未经载明，不得对不同投资者适用不同费率。</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理财计划销售结算资金属于理财计划投资者，销售机构不得挪用理财计划销售结算资金或将理财计划销售结算资金归入自有资产。</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销售机构应遵守相关法律、法规、监管规定及理财计划合同约定，诚实守信、勤勉尽责，向购买理财计划的投资者充分传递管理人披露的产品相关信息并进行充分的风险揭示。</w:t>
      </w:r>
    </w:p>
    <w:p>
      <w:pPr>
        <w:keepNext w:val="0"/>
        <w:keepLines w:val="0"/>
        <w:pageBreakBefore w:val="0"/>
        <w:widowControl/>
        <w:numPr>
          <w:ilvl w:val="0"/>
          <w:numId w:val="76"/>
        </w:numPr>
        <w:kinsoku/>
        <w:wordWrap/>
        <w:overflowPunct/>
        <w:topLinePunct w:val="0"/>
        <w:autoSpaceDE/>
        <w:autoSpaceDN/>
        <w:bidi w:val="0"/>
        <w:adjustRightInd/>
        <w:snapToGrid/>
        <w:spacing w:line="360" w:lineRule="auto"/>
        <w:ind w:firstLine="480" w:firstLineChars="200"/>
        <w:contextualSpacing/>
        <w:jc w:val="left"/>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销售机构应当充分利用科技手段，加强对伪冒网站、伪冒产品等监测，有效防范各类欺诈风险。</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82" w:firstLine="0"/>
        <w:contextualSpacing/>
        <w:jc w:val="left"/>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第四条 </w:t>
      </w:r>
      <w:r>
        <w:rPr>
          <w:rFonts w:hint="eastAsia" w:ascii="Calibri" w:hAnsi="Calibri" w:eastAsia="宋体" w:cs="黑体"/>
          <w:b/>
          <w:bCs/>
          <w:color w:val="000000" w:themeColor="text1"/>
          <w:sz w:val="24"/>
          <w:highlight w:val="none"/>
          <w:lang w:val="en-US" w:eastAsia="zh-CN"/>
          <w14:textFill>
            <w14:solidFill>
              <w14:schemeClr w14:val="tx1"/>
            </w14:solidFill>
          </w14:textFill>
        </w:rPr>
        <w:t>理财计划认（申）购、赎回及终止</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 xml:space="preserve">理财计划认/申购办理流程：参照投资者权益须知约定。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理财计划认/申购确认：管理人根据</w:t>
      </w:r>
      <w:r>
        <w:rPr>
          <w:rFonts w:hint="eastAsia" w:ascii="宋体" w:hAnsi="宋体" w:eastAsia="宋体" w:cs="黑体"/>
          <w:color w:val="000000" w:themeColor="text1"/>
          <w:sz w:val="24"/>
          <w:highlight w:val="none"/>
          <w:lang w:eastAsia="zh-CN"/>
          <w14:textFill>
            <w14:solidFill>
              <w14:schemeClr w14:val="tx1"/>
            </w14:solidFill>
          </w14:textFill>
        </w:rPr>
        <w:t>销售</w:t>
      </w:r>
      <w:r>
        <w:rPr>
          <w:rFonts w:hint="eastAsia" w:ascii="宋体" w:hAnsi="宋体" w:eastAsia="宋体" w:cs="黑体"/>
          <w:color w:val="000000" w:themeColor="text1"/>
          <w:sz w:val="24"/>
          <w:highlight w:val="none"/>
          <w14:textFill>
            <w14:solidFill>
              <w14:schemeClr w14:val="tx1"/>
            </w14:solidFill>
          </w14:textFill>
        </w:rPr>
        <w:t>渠道提供的交易信息及资金划付对投资者相应认/申购进行确认。</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理财计划不成立：若在募集期结束日，本理财计划发行规模未能达到对应期次的理财计划产品说明书规定的要求，则本理财计划不成立，</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将按对应期次的理财计划产品说明书约定条款向投资者进行公告，并将及时解除对投资者授权指定账户中认购资金的冻结。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 xml:space="preserve">理财计划投资品种、投资起点金额、收益支付方式：参照对应期次的理财计划产品说明书中的条款约定。 </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理财计划赎回/终止兑付：在正常情况下，管理人和</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将按照对应期次的理财计划产品说明书相关约定，将兑付款项划入投资者授权指定账户。如出现不可抗力、市场停市或管制等异常事件、交易对手违约或其他非管理人主导、仅能被动接受的外部事件或客观情形，导致理财计划无法按约定日清算时，或根据</w:t>
      </w:r>
      <w:r>
        <w:rPr>
          <w:rFonts w:hint="eastAsia" w:ascii="宋体" w:hAnsi="宋体" w:eastAsia="宋体" w:cs="黑体"/>
          <w:color w:val="000000" w:themeColor="text1"/>
          <w:sz w:val="24"/>
          <w:highlight w:val="none"/>
          <w:lang w:val="en-US" w:eastAsia="zh-CN"/>
          <w14:textFill>
            <w14:solidFill>
              <w14:schemeClr w14:val="tx1"/>
            </w14:solidFill>
          </w14:textFill>
        </w:rPr>
        <w:t>理财计划</w:t>
      </w:r>
      <w:r>
        <w:rPr>
          <w:rFonts w:hint="eastAsia" w:ascii="宋体" w:hAnsi="宋体" w:eastAsia="宋体" w:cs="黑体"/>
          <w:color w:val="000000" w:themeColor="text1"/>
          <w:sz w:val="24"/>
          <w:highlight w:val="none"/>
          <w14:textFill>
            <w14:solidFill>
              <w14:schemeClr w14:val="tx1"/>
            </w14:solidFill>
          </w14:textFill>
        </w:rPr>
        <w:t>产品说明书约定管理人对理财计划进行延期或转换时，</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将于原约定清算日前通过信息披露途径及时通知，并根据实际情况进行后续处理。</w:t>
      </w:r>
    </w:p>
    <w:p>
      <w:pPr>
        <w:keepNext w:val="0"/>
        <w:keepLines w:val="0"/>
        <w:pageBreakBefore w:val="0"/>
        <w:widowControl/>
        <w:numPr>
          <w:ilvl w:val="0"/>
          <w:numId w:val="83"/>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资金清算：理财计划终止或份额赎回时，管理人按理财计划合同约定划付至</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清算账户后，由</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向投资者划付投资者应得资金。如因投资者清算账户余额不足，或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未及时足额划付资金，或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清算账户内资金被依法冻结或扣划，或</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清算账户处于被挂失、冻结、注销或其他非正常状态等原因而导致交易失败</w:t>
      </w:r>
      <w:r>
        <w:rPr>
          <w:rFonts w:hint="eastAsia" w:ascii="宋体" w:hAnsi="宋体" w:eastAsia="宋体" w:cs="黑体"/>
          <w:color w:val="000000" w:themeColor="text1"/>
          <w:sz w:val="24"/>
          <w:highlight w:val="none"/>
          <w:lang w:eastAsia="zh-CN"/>
          <w14:textFill>
            <w14:solidFill>
              <w14:schemeClr w14:val="tx1"/>
            </w14:solidFill>
          </w14:textFill>
        </w:rPr>
        <w:t>，</w:t>
      </w:r>
      <w:r>
        <w:rPr>
          <w:rFonts w:hint="eastAsia" w:ascii="宋体" w:hAnsi="宋体" w:eastAsia="宋体" w:cs="黑体"/>
          <w:color w:val="000000" w:themeColor="text1"/>
          <w:sz w:val="24"/>
          <w:highlight w:val="none"/>
          <w14:textFill>
            <w14:solidFill>
              <w14:schemeClr w14:val="tx1"/>
            </w14:solidFill>
          </w14:textFill>
        </w:rPr>
        <w:t>对于因上述原因导致的交易失败可能带来的任何损失及预期损失，投资者须自行承担或向</w:t>
      </w:r>
      <w:r>
        <w:rPr>
          <w:rFonts w:hint="eastAsia" w:ascii="宋体" w:hAnsi="宋体" w:eastAsia="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依法主张。</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204" w:leftChars="85" w:firstLine="0" w:firstLineChars="0"/>
        <w:contextualSpacing/>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第五条 </w:t>
      </w:r>
      <w:r>
        <w:rPr>
          <w:rFonts w:hint="eastAsia" w:ascii="Calibri" w:hAnsi="Calibri" w:eastAsia="宋体" w:cs="黑体"/>
          <w:b/>
          <w:bCs/>
          <w:color w:val="000000" w:themeColor="text1"/>
          <w:sz w:val="24"/>
          <w:highlight w:val="none"/>
          <w:lang w:val="en-US" w:eastAsia="zh-CN"/>
          <w14:textFill>
            <w14:solidFill>
              <w14:schemeClr w14:val="tx1"/>
            </w14:solidFill>
          </w14:textFill>
        </w:rPr>
        <w:t>违约责任及免责条款</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若因</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原因导致司法或行政</w:t>
      </w:r>
      <w:r>
        <w:rPr>
          <w:rFonts w:hint="eastAsia" w:ascii="宋体" w:hAnsi="宋体" w:eastAsia="宋体" w:cs="黑体"/>
          <w:color w:val="000000" w:themeColor="text1"/>
          <w:sz w:val="24"/>
          <w:highlight w:val="none"/>
          <w:lang w:eastAsia="zh-CN"/>
          <w14:textFill>
            <w14:solidFill>
              <w14:schemeClr w14:val="tx1"/>
            </w14:solidFill>
          </w14:textFill>
        </w:rPr>
        <w:t>等有权机关</w:t>
      </w:r>
      <w:r>
        <w:rPr>
          <w:rFonts w:hint="eastAsia" w:ascii="宋体" w:hAnsi="宋体" w:eastAsia="宋体" w:cs="黑体"/>
          <w:color w:val="000000" w:themeColor="text1"/>
          <w:sz w:val="24"/>
          <w:highlight w:val="none"/>
          <w14:textFill>
            <w14:solidFill>
              <w14:schemeClr w14:val="tx1"/>
            </w14:solidFill>
          </w14:textFill>
        </w:rPr>
        <w:t>采取强制措施对其理财本金、收益进行部分或全部被扣划，均视投资者本人就全部理财本金进行了提前</w:t>
      </w:r>
      <w:r>
        <w:rPr>
          <w:rFonts w:hint="eastAsia" w:ascii="宋体" w:hAnsi="宋体" w:eastAsia="宋体" w:cs="黑体"/>
          <w:color w:val="000000" w:themeColor="text1"/>
          <w:sz w:val="24"/>
          <w:highlight w:val="none"/>
          <w:lang w:eastAsia="zh-CN"/>
          <w14:textFill>
            <w14:solidFill>
              <w14:schemeClr w14:val="tx1"/>
            </w14:solidFill>
          </w14:textFill>
        </w:rPr>
        <w:t>赎回</w:t>
      </w:r>
      <w:r>
        <w:rPr>
          <w:rFonts w:hint="eastAsia" w:ascii="宋体" w:hAnsi="宋体" w:eastAsia="宋体" w:cs="黑体"/>
          <w:color w:val="000000" w:themeColor="text1"/>
          <w:sz w:val="24"/>
          <w:highlight w:val="none"/>
          <w14:textFill>
            <w14:solidFill>
              <w14:schemeClr w14:val="tx1"/>
            </w14:solidFill>
          </w14:textFill>
        </w:rPr>
        <w:t>，本</w:t>
      </w:r>
      <w:r>
        <w:rPr>
          <w:rFonts w:hint="eastAsia" w:ascii="宋体" w:hAnsi="宋体" w:eastAsia="宋体" w:cs="黑体"/>
          <w:color w:val="000000" w:themeColor="text1"/>
          <w:sz w:val="24"/>
          <w:highlight w:val="none"/>
          <w:lang w:eastAsia="zh-CN"/>
          <w14:textFill>
            <w14:solidFill>
              <w14:schemeClr w14:val="tx1"/>
            </w14:solidFill>
          </w14:textFill>
        </w:rPr>
        <w:t>协议</w:t>
      </w:r>
      <w:r>
        <w:rPr>
          <w:rFonts w:hint="eastAsia" w:ascii="宋体" w:hAnsi="宋体" w:eastAsia="宋体" w:cs="黑体"/>
          <w:color w:val="000000" w:themeColor="text1"/>
          <w:sz w:val="24"/>
          <w:highlight w:val="none"/>
          <w14:textFill>
            <w14:solidFill>
              <w14:schemeClr w14:val="tx1"/>
            </w14:solidFill>
          </w14:textFill>
        </w:rPr>
        <w:t>自动终止。因提前终止而产生的损失及相关费用由投资者承担。本</w:t>
      </w:r>
      <w:r>
        <w:rPr>
          <w:rFonts w:hint="eastAsia" w:ascii="宋体" w:hAnsi="宋体" w:eastAsia="宋体" w:cs="黑体"/>
          <w:color w:val="000000" w:themeColor="text1"/>
          <w:sz w:val="24"/>
          <w:highlight w:val="none"/>
          <w:lang w:eastAsia="zh-CN"/>
          <w14:textFill>
            <w14:solidFill>
              <w14:schemeClr w14:val="tx1"/>
            </w14:solidFill>
          </w14:textFill>
        </w:rPr>
        <w:t>协议因</w:t>
      </w:r>
      <w:r>
        <w:rPr>
          <w:rFonts w:hint="eastAsia" w:ascii="宋体" w:hAnsi="宋体" w:eastAsia="宋体" w:cs="黑体"/>
          <w:color w:val="000000" w:themeColor="text1"/>
          <w:sz w:val="24"/>
          <w:highlight w:val="none"/>
          <w14:textFill>
            <w14:solidFill>
              <w14:schemeClr w14:val="tx1"/>
            </w14:solidFill>
          </w14:textFill>
        </w:rPr>
        <w:t>前述情况终止的，理财本金不计付</w:t>
      </w:r>
      <w:r>
        <w:rPr>
          <w:rFonts w:hint="eastAsia" w:ascii="宋体" w:hAnsi="宋体" w:eastAsia="宋体" w:cs="黑体"/>
          <w:color w:val="000000" w:themeColor="text1"/>
          <w:sz w:val="24"/>
          <w:highlight w:val="none"/>
          <w:lang w:eastAsia="zh-CN"/>
          <w14:textFill>
            <w14:solidFill>
              <w14:schemeClr w14:val="tx1"/>
            </w14:solidFill>
          </w14:textFill>
        </w:rPr>
        <w:t>赎回</w:t>
      </w:r>
      <w:r>
        <w:rPr>
          <w:rFonts w:hint="eastAsia" w:ascii="宋体" w:hAnsi="宋体" w:eastAsia="宋体" w:cs="黑体"/>
          <w:color w:val="000000" w:themeColor="text1"/>
          <w:sz w:val="24"/>
          <w:highlight w:val="none"/>
          <w14:textFill>
            <w14:solidFill>
              <w14:schemeClr w14:val="tx1"/>
            </w14:solidFill>
          </w14:textFill>
        </w:rPr>
        <w:t>日前的理财收益，也不计付存款利息。</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投资者违反本协议第二条内容，应承担相应违约责任。</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对由此导致的理财业务交易延误、中断、终止及</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损失不承担任何责任，并有权单方终止双方理财业务关系。因</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违反双方约定给</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或全体投资者造成损失的，</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应承担相应的赔偿责任。</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若由于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过错导致理财计划资产发生损失，</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应按其过错承担赔偿责任，</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赔偿的款项计入理财计划的资产和收益。</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由于地震、火灾、战争等不可抗力或突发重大卫生公共事件等不可预测事件造成的交易中断、延误等风险及损失，</w:t>
      </w:r>
      <w:r>
        <w:rPr>
          <w:rFonts w:hint="eastAsia" w:ascii="宋体" w:hAnsi="宋体" w:cs="黑体"/>
          <w:color w:val="000000" w:themeColor="text1"/>
          <w:sz w:val="24"/>
          <w:highlight w:val="none"/>
          <w:lang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不承担责任；但</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应在上述情况发生</w:t>
      </w:r>
      <w:r>
        <w:rPr>
          <w:rFonts w:hint="eastAsia" w:ascii="宋体" w:hAnsi="宋体" w:eastAsia="宋体" w:cs="黑体"/>
          <w:color w:val="000000" w:themeColor="text1"/>
          <w:sz w:val="24"/>
          <w:highlight w:val="none"/>
          <w:lang w:eastAsia="zh-CN"/>
          <w14:textFill>
            <w14:solidFill>
              <w14:schemeClr w14:val="tx1"/>
            </w14:solidFill>
          </w14:textFill>
        </w:rPr>
        <w:t>后</w:t>
      </w:r>
      <w:r>
        <w:rPr>
          <w:rFonts w:hint="eastAsia" w:ascii="宋体" w:hAnsi="宋体" w:eastAsia="宋体" w:cs="黑体"/>
          <w:color w:val="000000" w:themeColor="text1"/>
          <w:sz w:val="24"/>
          <w:highlight w:val="none"/>
          <w14:textFill>
            <w14:solidFill>
              <w14:schemeClr w14:val="tx1"/>
            </w14:solidFill>
          </w14:textFill>
        </w:rPr>
        <w:t>在条件允许时及时通知</w:t>
      </w:r>
      <w:r>
        <w:rPr>
          <w:rFonts w:hint="eastAsia" w:ascii="宋体" w:hAnsi="宋体" w:eastAsia="宋体" w:cs="黑体"/>
          <w:color w:val="000000" w:themeColor="text1"/>
          <w:sz w:val="24"/>
          <w:highlight w:val="none"/>
          <w:lang w:eastAsia="zh-CN"/>
          <w14:textFill>
            <w14:solidFill>
              <w14:schemeClr w14:val="tx1"/>
            </w14:solidFill>
          </w14:textFill>
        </w:rPr>
        <w:t>投资者</w:t>
      </w:r>
      <w:r>
        <w:rPr>
          <w:rFonts w:hint="eastAsia" w:ascii="宋体" w:hAnsi="宋体" w:eastAsia="宋体" w:cs="黑体"/>
          <w:color w:val="000000" w:themeColor="text1"/>
          <w:sz w:val="24"/>
          <w:highlight w:val="none"/>
          <w14:textFill>
            <w14:solidFill>
              <w14:schemeClr w14:val="tx1"/>
            </w14:solidFill>
          </w14:textFill>
        </w:rPr>
        <w:t>并采取一切必要且可能的措施阻止损失扩大。</w:t>
      </w:r>
    </w:p>
    <w:p>
      <w:pPr>
        <w:keepNext w:val="0"/>
        <w:keepLines w:val="0"/>
        <w:pageBreakBefore w:val="0"/>
        <w:widowControl/>
        <w:numPr>
          <w:ilvl w:val="0"/>
          <w:numId w:val="84"/>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因国家有关法律、法规、规章、政策的修改或新的法律、法规、规章、政策颁布以及紧急措施的出台导致的风险及损失，</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不承担责任。</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b/>
          <w:bCs/>
          <w:color w:val="000000" w:themeColor="text1"/>
          <w:sz w:val="24"/>
          <w:highlight w:val="none"/>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第六条 </w:t>
      </w:r>
      <w:r>
        <w:rPr>
          <w:rFonts w:hint="eastAsia" w:ascii="Calibri" w:hAnsi="Calibri" w:eastAsia="宋体" w:cs="黑体"/>
          <w:b/>
          <w:bCs/>
          <w:color w:val="000000" w:themeColor="text1"/>
          <w:sz w:val="24"/>
          <w:highlight w:val="none"/>
          <w:lang w:val="en-US" w:eastAsia="zh-CN"/>
          <w14:textFill>
            <w14:solidFill>
              <w14:schemeClr w14:val="tx1"/>
            </w14:solidFill>
          </w14:textFill>
        </w:rPr>
        <w:t>适用法律与争议解决</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contextualSpacing/>
        <w:textAlignment w:val="auto"/>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lang w:val="en-US" w:eastAsia="zh-CN"/>
          <w14:textFill>
            <w14:solidFill>
              <w14:schemeClr w14:val="tx1"/>
            </w14:solidFill>
          </w14:textFill>
        </w:rPr>
        <w:t>本协议适用中华人民共和国（仅为明确本合同适用法律规则，不含香港特别行政区、澳门特别行政区及中国台湾地区）的法律和行政法规。本协议项下的及与之有关的一切争议，投资者与销售机构双方应首先协商解决，协商不成的，应提交</w:t>
      </w:r>
      <w:r>
        <w:rPr>
          <w:rFonts w:hint="eastAsia" w:ascii="宋体" w:hAnsi="宋体" w:cs="黑体"/>
          <w:color w:val="000000" w:themeColor="text1"/>
          <w:sz w:val="24"/>
          <w:highlight w:val="none"/>
          <w:lang w:val="en-US" w:eastAsia="zh-CN"/>
          <w14:textFill>
            <w14:solidFill>
              <w14:schemeClr w14:val="tx1"/>
            </w14:solidFill>
          </w14:textFill>
        </w:rPr>
        <w:t>被告人</w:t>
      </w:r>
      <w:r>
        <w:rPr>
          <w:rFonts w:hint="eastAsia" w:ascii="宋体" w:hAnsi="宋体" w:eastAsia="宋体" w:cs="黑体"/>
          <w:color w:val="000000" w:themeColor="text1"/>
          <w:sz w:val="24"/>
          <w:highlight w:val="none"/>
          <w:lang w:val="en-US" w:eastAsia="zh-CN"/>
          <w14:textFill>
            <w14:solidFill>
              <w14:schemeClr w14:val="tx1"/>
            </w14:solidFill>
          </w14:textFill>
        </w:rPr>
        <w:t>所在地人民法院诉讼解决。诉讼期间，未涉及争议的条款仍需继续履行。</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2" w:firstLineChars="200"/>
        <w:contextualSpacing/>
        <w:textAlignment w:val="auto"/>
        <w:rPr>
          <w:rFonts w:hint="eastAsia" w:ascii="宋体" w:hAnsi="宋体" w:eastAsia="宋体" w:cs="黑体"/>
          <w:b/>
          <w:bCs/>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color w:val="000000" w:themeColor="text1"/>
          <w:sz w:val="24"/>
          <w:highlight w:val="none"/>
          <w:lang w:val="en-US" w:eastAsia="zh-CN"/>
          <w14:textFill>
            <w14:solidFill>
              <w14:schemeClr w14:val="tx1"/>
            </w14:solidFill>
          </w14:textFill>
        </w:rPr>
      </w:pPr>
      <w:r>
        <w:rPr>
          <w:rFonts w:hint="eastAsia" w:eastAsia="宋体" w:cs="黑体"/>
          <w:b/>
          <w:bCs/>
          <w:color w:val="000000" w:themeColor="text1"/>
          <w:sz w:val="24"/>
          <w:highlight w:val="none"/>
          <w:lang w:val="en-US" w:eastAsia="zh-CN"/>
          <w14:textFill>
            <w14:solidFill>
              <w14:schemeClr w14:val="tx1"/>
            </w14:solidFill>
          </w14:textFill>
        </w:rPr>
        <w:t xml:space="preserve">第七条 </w:t>
      </w:r>
      <w:r>
        <w:rPr>
          <w:rFonts w:hint="eastAsia" w:ascii="Calibri" w:hAnsi="Calibri" w:eastAsia="宋体" w:cs="黑体"/>
          <w:b/>
          <w:bCs/>
          <w:color w:val="000000" w:themeColor="text1"/>
          <w:sz w:val="24"/>
          <w:highlight w:val="none"/>
          <w:lang w:val="en-US" w:eastAsia="zh-CN"/>
          <w14:textFill>
            <w14:solidFill>
              <w14:schemeClr w14:val="tx1"/>
            </w14:solidFill>
          </w14:textFill>
        </w:rPr>
        <w:t>协议生效和终止</w:t>
      </w:r>
    </w:p>
    <w:p>
      <w:pPr>
        <w:keepNext w:val="0"/>
        <w:keepLines w:val="0"/>
        <w:pageBreakBefore w:val="0"/>
        <w:widowControl/>
        <w:numPr>
          <w:ilvl w:val="0"/>
          <w:numId w:val="85"/>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投资者和</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 xml:space="preserve">双方认可本协议可以纸质或电子数据等形式提交、订立或确认。 </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本协议书</w:t>
      </w:r>
      <w:r>
        <w:rPr>
          <w:rFonts w:hint="eastAsia" w:ascii="宋体" w:hAnsi="宋体"/>
          <w:color w:val="000000" w:themeColor="text1"/>
          <w:sz w:val="24"/>
          <w:highlight w:val="none"/>
          <w14:textFill>
            <w14:solidFill>
              <w14:schemeClr w14:val="tx1"/>
            </w14:solidFill>
          </w14:textFill>
        </w:rPr>
        <w:t>以纸质书面形式订立的，自投资者签</w:t>
      </w:r>
      <w:r>
        <w:rPr>
          <w:rFonts w:hint="eastAsia" w:ascii="宋体" w:hAnsi="宋体"/>
          <w:color w:val="000000" w:themeColor="text1"/>
          <w:sz w:val="24"/>
          <w:highlight w:val="none"/>
          <w:lang w:val="en-US" w:eastAsia="zh-CN"/>
          <w14:textFill>
            <w14:solidFill>
              <w14:schemeClr w14:val="tx1"/>
            </w14:solidFill>
          </w14:textFill>
        </w:rPr>
        <w:t>署（如投资者为个人，应签字；如投资者为机构，应法定代表人或授权代理人签字或盖章并加盖公章或有效授权印章）</w:t>
      </w:r>
      <w:r>
        <w:rPr>
          <w:rFonts w:hint="eastAsia" w:ascii="宋体" w:hAnsi="宋体"/>
          <w:color w:val="000000" w:themeColor="text1"/>
          <w:sz w:val="24"/>
          <w:highlight w:val="none"/>
          <w14:textFill>
            <w14:solidFill>
              <w14:schemeClr w14:val="tx1"/>
            </w14:solidFill>
          </w14:textFill>
        </w:rPr>
        <w:t>和</w:t>
      </w:r>
      <w:r>
        <w:rPr>
          <w:rFonts w:hint="eastAsia" w:ascii="宋体" w:hAnsi="宋体"/>
          <w:color w:val="000000" w:themeColor="text1"/>
          <w:sz w:val="24"/>
          <w:highlight w:val="none"/>
          <w:lang w:eastAsia="zh-CN"/>
          <w14:textFill>
            <w14:solidFill>
              <w14:schemeClr w14:val="tx1"/>
            </w14:solidFill>
          </w14:textFill>
        </w:rPr>
        <w:t>销售机构</w:t>
      </w:r>
      <w:r>
        <w:rPr>
          <w:rFonts w:hint="eastAsia" w:ascii="宋体" w:hAnsi="宋体"/>
          <w:color w:val="000000" w:themeColor="text1"/>
          <w:sz w:val="24"/>
          <w:highlight w:val="none"/>
          <w14:textFill>
            <w14:solidFill>
              <w14:schemeClr w14:val="tx1"/>
            </w14:solidFill>
          </w14:textFill>
        </w:rPr>
        <w:t>签章之后立即生效。协议一式叁份，投资者、管理人和</w:t>
      </w:r>
      <w:r>
        <w:rPr>
          <w:rFonts w:hint="eastAsia" w:ascii="宋体" w:hAnsi="宋体"/>
          <w:color w:val="000000" w:themeColor="text1"/>
          <w:sz w:val="24"/>
          <w:highlight w:val="none"/>
          <w:lang w:eastAsia="zh-CN"/>
          <w14:textFill>
            <w14:solidFill>
              <w14:schemeClr w14:val="tx1"/>
            </w14:solidFill>
          </w14:textFill>
        </w:rPr>
        <w:t>销售机构</w:t>
      </w:r>
      <w:r>
        <w:rPr>
          <w:rFonts w:hint="eastAsia" w:ascii="宋体" w:hAnsi="宋体"/>
          <w:color w:val="000000" w:themeColor="text1"/>
          <w:sz w:val="24"/>
          <w:highlight w:val="none"/>
          <w14:textFill>
            <w14:solidFill>
              <w14:schemeClr w14:val="tx1"/>
            </w14:solidFill>
          </w14:textFill>
        </w:rPr>
        <w:t>各执壹份，具有同等法律效力。</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本协议书以数据电文形式订立的，投资者在销售机构的电子银行</w:t>
      </w:r>
      <w:r>
        <w:rPr>
          <w:rFonts w:hint="eastAsia" w:ascii="宋体" w:hAnsi="宋体" w:eastAsia="宋体" w:cs="黑体"/>
          <w:color w:val="000000" w:themeColor="text1"/>
          <w:sz w:val="24"/>
          <w:highlight w:val="none"/>
          <w:lang w:eastAsia="zh-CN"/>
          <w14:textFill>
            <w14:solidFill>
              <w14:schemeClr w14:val="tx1"/>
            </w14:solidFill>
          </w14:textFill>
        </w:rPr>
        <w:t>渠道</w:t>
      </w:r>
      <w:r>
        <w:rPr>
          <w:rFonts w:hint="eastAsia" w:ascii="宋体" w:hAnsi="宋体" w:eastAsia="宋体" w:cs="黑体"/>
          <w:color w:val="000000" w:themeColor="text1"/>
          <w:sz w:val="24"/>
          <w:highlight w:val="none"/>
          <w14:textFill>
            <w14:solidFill>
              <w14:schemeClr w14:val="tx1"/>
            </w14:solidFill>
          </w14:textFill>
        </w:rPr>
        <w:t>（包括但不限于网上银行、手机银行或监管机构认可的其他销售渠道）点击购买理财计划，投资者使用的身份认证要素或其他安全措施完成的一切交易视为投资者本人所为，同时表示投资者已阅读本协议所有条款，并对本协议条款的含义及相应的法律后果已全部知晓并充分理解，同意接受本协议约束。本协议自投资者点击确认且销售机构电子银行提示交易成功之时生效。交易成功仅指认/申购申请提交成功，认/申购是否成功以管理人另行提供的确认为准。</w:t>
      </w:r>
    </w:p>
    <w:p>
      <w:pPr>
        <w:keepNext w:val="0"/>
        <w:keepLines w:val="0"/>
        <w:pageBreakBefore w:val="0"/>
        <w:widowControl/>
        <w:numPr>
          <w:ilvl w:val="0"/>
          <w:numId w:val="86"/>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lang w:val="en-US" w:eastAsia="zh-CN"/>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投资者和</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双方在本协议及对应期次的理财计划产品说明书项下权利义务履行完毕之日，本协议自动终止。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420" w:firstLine="0"/>
        <w:contextualSpacing/>
        <w:textAlignment w:val="auto"/>
        <w:rPr>
          <w:rFonts w:hint="eastAsia" w:ascii="宋体" w:hAnsi="宋体" w:eastAsia="宋体" w:cs="黑体"/>
          <w:color w:val="000000" w:themeColor="text1"/>
          <w:sz w:val="24"/>
          <w:highlight w:val="none"/>
          <w:lang w:val="en-US" w:eastAsia="zh-CN"/>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2" w:firstLineChars="200"/>
        <w:textAlignment w:val="auto"/>
        <w:outlineLvl w:val="1"/>
        <w:rPr>
          <w:rFonts w:hint="eastAsia" w:ascii="Calibri" w:hAnsi="Calibri" w:eastAsia="宋体" w:cs="黑体"/>
          <w:b/>
          <w:bCs w:val="0"/>
          <w:color w:val="000000" w:themeColor="text1"/>
          <w:sz w:val="24"/>
          <w:highlight w:val="none"/>
          <w:lang w:val="en-US" w:eastAsia="zh-CN"/>
          <w14:textFill>
            <w14:solidFill>
              <w14:schemeClr w14:val="tx1"/>
            </w14:solidFill>
          </w14:textFill>
        </w:rPr>
      </w:pPr>
      <w:r>
        <w:rPr>
          <w:rFonts w:hint="eastAsia" w:eastAsia="宋体" w:cs="黑体"/>
          <w:b/>
          <w:bCs w:val="0"/>
          <w:color w:val="000000" w:themeColor="text1"/>
          <w:sz w:val="24"/>
          <w:highlight w:val="none"/>
          <w:lang w:val="en-US" w:eastAsia="zh-CN"/>
          <w14:textFill>
            <w14:solidFill>
              <w14:schemeClr w14:val="tx1"/>
            </w14:solidFill>
          </w14:textFill>
        </w:rPr>
        <w:t xml:space="preserve">第八条 </w:t>
      </w:r>
      <w:r>
        <w:rPr>
          <w:rFonts w:hint="eastAsia" w:ascii="Calibri" w:hAnsi="Calibri" w:eastAsia="宋体" w:cs="黑体"/>
          <w:b/>
          <w:bCs w:val="0"/>
          <w:color w:val="000000" w:themeColor="text1"/>
          <w:sz w:val="24"/>
          <w:highlight w:val="none"/>
          <w:lang w:val="en-US" w:eastAsia="zh-CN"/>
          <w14:textFill>
            <w14:solidFill>
              <w14:schemeClr w14:val="tx1"/>
            </w14:solidFill>
          </w14:textFill>
        </w:rPr>
        <w:t xml:space="preserve">附则 </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如果投资者与</w:t>
      </w:r>
      <w:r>
        <w:rPr>
          <w:rFonts w:hint="eastAsia" w:ascii="宋体" w:hAnsi="宋体" w:eastAsia="宋体" w:cs="黑体"/>
          <w:color w:val="000000" w:themeColor="text1"/>
          <w:sz w:val="24"/>
          <w:highlight w:val="none"/>
          <w:lang w:val="en-US" w:eastAsia="zh-CN"/>
          <w14:textFill>
            <w14:solidFill>
              <w14:schemeClr w14:val="tx1"/>
            </w14:solidFill>
          </w14:textFill>
        </w:rPr>
        <w:t>销售机构</w:t>
      </w:r>
      <w:r>
        <w:rPr>
          <w:rFonts w:hint="eastAsia" w:ascii="宋体" w:hAnsi="宋体" w:eastAsia="宋体" w:cs="黑体"/>
          <w:color w:val="000000" w:themeColor="text1"/>
          <w:sz w:val="24"/>
          <w:highlight w:val="none"/>
          <w14:textFill>
            <w14:solidFill>
              <w14:schemeClr w14:val="tx1"/>
            </w14:solidFill>
          </w14:textFill>
        </w:rPr>
        <w:t>之间存在多份理财计划</w:t>
      </w:r>
      <w:r>
        <w:rPr>
          <w:rFonts w:hint="eastAsia" w:ascii="宋体" w:hAnsi="宋体" w:eastAsia="宋体" w:cs="黑体"/>
          <w:color w:val="000000" w:themeColor="text1"/>
          <w:sz w:val="24"/>
          <w:highlight w:val="none"/>
          <w:lang w:val="en-US" w:eastAsia="zh-CN"/>
          <w14:textFill>
            <w14:solidFill>
              <w14:schemeClr w14:val="tx1"/>
            </w14:solidFill>
          </w14:textFill>
        </w:rPr>
        <w:t>销售</w:t>
      </w:r>
      <w:r>
        <w:rPr>
          <w:rFonts w:hint="eastAsia" w:ascii="宋体" w:hAnsi="宋体" w:eastAsia="宋体" w:cs="黑体"/>
          <w:color w:val="000000" w:themeColor="text1"/>
          <w:sz w:val="24"/>
          <w:highlight w:val="none"/>
          <w14:textFill>
            <w14:solidFill>
              <w14:schemeClr w14:val="tx1"/>
            </w14:solidFill>
          </w14:textFill>
        </w:rPr>
        <w:t>协议书，则每一协议书分别与其所对应的</w:t>
      </w:r>
      <w:r>
        <w:rPr>
          <w:rFonts w:hint="eastAsia" w:ascii="宋体" w:hAnsi="宋体" w:eastAsia="宋体" w:cs="黑体"/>
          <w:color w:val="000000" w:themeColor="text1"/>
          <w:sz w:val="24"/>
          <w:highlight w:val="none"/>
          <w:lang w:val="en-US" w:eastAsia="zh-CN"/>
          <w14:textFill>
            <w14:solidFill>
              <w14:schemeClr w14:val="tx1"/>
            </w14:solidFill>
          </w14:textFill>
        </w:rPr>
        <w:t>理财计划</w:t>
      </w:r>
      <w:r>
        <w:rPr>
          <w:rFonts w:hint="eastAsia" w:ascii="宋体" w:hAnsi="宋体" w:eastAsia="宋体" w:cs="黑体"/>
          <w:color w:val="000000" w:themeColor="text1"/>
          <w:sz w:val="24"/>
          <w:highlight w:val="none"/>
          <w14:textFill>
            <w14:solidFill>
              <w14:schemeClr w14:val="tx1"/>
            </w14:solidFill>
          </w14:textFill>
        </w:rPr>
        <w:t>产品说明书等销售文本单独构成一个理财计划合同，各个合同之间互相独立，每一合同的效力及履行情况均独立于其他合同。</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如果由于任何原因使本合同下的任何条款或内容成为无效或被依法撤销，本合同其他条款或内容的合法性、有效性和可执行性不受影响。</w:t>
      </w:r>
    </w:p>
    <w:p>
      <w:pPr>
        <w:keepNext w:val="0"/>
        <w:keepLines w:val="0"/>
        <w:pageBreakBefore w:val="0"/>
        <w:widowControl/>
        <w:numPr>
          <w:ilvl w:val="0"/>
          <w:numId w:val="87"/>
        </w:numPr>
        <w:kinsoku/>
        <w:wordWrap/>
        <w:overflowPunct/>
        <w:topLinePunct w:val="0"/>
        <w:autoSpaceDE/>
        <w:autoSpaceDN/>
        <w:bidi w:val="0"/>
        <w:adjustRightInd/>
        <w:snapToGrid/>
        <w:spacing w:line="360" w:lineRule="auto"/>
        <w:ind w:left="0" w:leftChars="0" w:firstLine="480" w:firstLineChars="200"/>
        <w:contextualSpacing/>
        <w:textAlignment w:val="auto"/>
        <w:outlineLvl w:val="2"/>
        <w:rPr>
          <w:rFonts w:hint="eastAsia" w:ascii="宋体" w:hAnsi="宋体" w:eastAsia="宋体" w:cs="黑体"/>
          <w:color w:val="000000" w:themeColor="text1"/>
          <w:sz w:val="24"/>
          <w:highlight w:val="none"/>
          <w14:textFill>
            <w14:solidFill>
              <w14:schemeClr w14:val="tx1"/>
            </w14:solidFill>
          </w14:textFill>
        </w:rPr>
      </w:pPr>
      <w:r>
        <w:rPr>
          <w:rFonts w:hint="eastAsia" w:ascii="宋体" w:hAnsi="宋体" w:eastAsia="宋体" w:cs="黑体"/>
          <w:color w:val="000000" w:themeColor="text1"/>
          <w:sz w:val="24"/>
          <w:highlight w:val="none"/>
          <w14:textFill>
            <w14:solidFill>
              <w14:schemeClr w14:val="tx1"/>
            </w14:solidFill>
          </w14:textFill>
        </w:rPr>
        <w:t>在理财计划存续期内，如因监管政策或法律法规发生变化，在不损害投资者利益的前提下，</w:t>
      </w:r>
      <w:r>
        <w:rPr>
          <w:rFonts w:hint="eastAsia" w:ascii="宋体" w:hAnsi="宋体" w:eastAsia="宋体" w:cs="黑体"/>
          <w:color w:val="000000" w:themeColor="text1"/>
          <w:sz w:val="24"/>
          <w:highlight w:val="none"/>
          <w:lang w:val="en-US" w:eastAsia="zh-CN"/>
          <w14:textFill>
            <w14:solidFill>
              <w14:schemeClr w14:val="tx1"/>
            </w14:solidFill>
          </w14:textFill>
        </w:rPr>
        <w:t>管理人</w:t>
      </w:r>
      <w:r>
        <w:rPr>
          <w:rFonts w:hint="eastAsia" w:ascii="宋体" w:hAnsi="宋体" w:eastAsia="宋体" w:cs="黑体"/>
          <w:color w:val="000000" w:themeColor="text1"/>
          <w:sz w:val="24"/>
          <w:highlight w:val="none"/>
          <w14:textFill>
            <w14:solidFill>
              <w14:schemeClr w14:val="tx1"/>
            </w14:solidFill>
          </w14:textFill>
        </w:rPr>
        <w:t>有权单方对理财计划</w:t>
      </w:r>
      <w:r>
        <w:rPr>
          <w:rFonts w:hint="default" w:ascii="宋体" w:hAnsi="宋体" w:eastAsia="宋体" w:cs="黑体"/>
          <w:color w:val="000000" w:themeColor="text1"/>
          <w:sz w:val="24"/>
          <w:highlight w:val="none"/>
          <w:lang w:val="en-US"/>
          <w14:textFill>
            <w14:solidFill>
              <w14:schemeClr w14:val="tx1"/>
            </w14:solidFill>
          </w14:textFill>
        </w:rPr>
        <w:t>合同</w:t>
      </w:r>
      <w:r>
        <w:rPr>
          <w:rFonts w:hint="eastAsia" w:ascii="宋体" w:hAnsi="宋体" w:eastAsia="宋体" w:cs="黑体"/>
          <w:color w:val="000000" w:themeColor="text1"/>
          <w:sz w:val="24"/>
          <w:highlight w:val="none"/>
          <w:lang w:val="en-US" w:eastAsia="zh-CN"/>
          <w14:textFill>
            <w14:solidFill>
              <w14:schemeClr w14:val="tx1"/>
            </w14:solidFill>
          </w14:textFill>
        </w:rPr>
        <w:t>销售文件</w:t>
      </w:r>
      <w:r>
        <w:rPr>
          <w:rFonts w:hint="eastAsia" w:ascii="宋体" w:hAnsi="宋体" w:eastAsia="宋体" w:cs="黑体"/>
          <w:color w:val="000000" w:themeColor="text1"/>
          <w:sz w:val="24"/>
          <w:highlight w:val="none"/>
          <w14:textFill>
            <w14:solidFill>
              <w14:schemeClr w14:val="tx1"/>
            </w14:solidFill>
          </w14:textFill>
        </w:rPr>
        <w:t>进行修订。</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contextualSpacing/>
        <w:textAlignment w:val="auto"/>
        <w:rPr>
          <w:rFonts w:hint="eastAsia" w:ascii="宋体" w:hAnsi="宋体" w:eastAsia="宋体" w:cs="黑体"/>
          <w:color w:val="000000" w:themeColor="text1"/>
          <w:sz w:val="24"/>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widowControl/>
        <w:spacing w:line="360" w:lineRule="auto"/>
        <w:jc w:val="right"/>
        <w:rPr>
          <w:rFonts w:hint="eastAsia" w:ascii="宋体" w:hAnsi="Wingdings" w:eastAsia="宋体" w:cs="宋体"/>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bidi="ar-SA"/>
          <w14:textFill>
            <w14:solidFill>
              <w14:schemeClr w14:val="tx1"/>
            </w14:solidFill>
          </w14:textFill>
        </w:rPr>
        <w:t>杭银理财有限责任公司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pPr>
    </w:p>
    <w:p>
      <w:pP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宋体" w:hAnsi="宋体" w:eastAsia="宋体" w:cs="黑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t>本页为</w:t>
      </w:r>
      <w:r>
        <w:rPr>
          <w:rFonts w:hint="eastAsia" w:ascii="宋体" w:hAnsi="宋体" w:eastAsia="宋体" w:cs="黑体"/>
          <w:b w:val="0"/>
          <w:bCs w:val="0"/>
          <w:color w:val="000000" w:themeColor="text1"/>
          <w:sz w:val="24"/>
          <w:szCs w:val="24"/>
          <w:highlight w:val="none"/>
          <w14:textFill>
            <w14:solidFill>
              <w14:schemeClr w14:val="tx1"/>
            </w14:solidFill>
          </w14:textFill>
        </w:rPr>
        <w:t>纸质</w:t>
      </w:r>
      <w:r>
        <w:rPr>
          <w:rFonts w:hint="eastAsia" w:ascii="宋体" w:hAnsi="宋体" w:eastAsia="宋体" w:cs="黑体"/>
          <w:b w:val="0"/>
          <w:bCs w:val="0"/>
          <w:color w:val="000000" w:themeColor="text1"/>
          <w:sz w:val="24"/>
          <w:szCs w:val="24"/>
          <w:highlight w:val="none"/>
          <w:lang w:val="en-US" w:eastAsia="zh-CN"/>
          <w14:textFill>
            <w14:solidFill>
              <w14:schemeClr w14:val="tx1"/>
            </w14:solidFill>
          </w14:textFill>
        </w:rPr>
        <w:t>形式（如有）销售协议书签章页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color w:val="000000" w:themeColor="text1"/>
          <w:sz w:val="24"/>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highlight w:val="none"/>
          <w:lang w:eastAsia="zh-CN"/>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投资者</w:t>
      </w:r>
      <w:r>
        <w:rPr>
          <w:rFonts w:hint="eastAsia" w:ascii="宋体" w:hAnsi="宋体" w:eastAsia="宋体" w:cs="黑体"/>
          <w:b/>
          <w:bCs/>
          <w:color w:val="000000" w:themeColor="text1"/>
          <w:sz w:val="24"/>
          <w:highlight w:val="none"/>
          <w:lang w:eastAsia="zh-CN"/>
          <w14:textFill>
            <w14:solidFill>
              <w14:schemeClr w14:val="tx1"/>
            </w14:solidFill>
          </w14:textFill>
        </w:rPr>
        <w:t>（</w:t>
      </w:r>
      <w:r>
        <w:rPr>
          <w:rFonts w:hint="eastAsia" w:ascii="宋体" w:hAnsi="宋体" w:eastAsia="宋体" w:cs="黑体"/>
          <w:b/>
          <w:bCs/>
          <w:color w:val="000000" w:themeColor="text1"/>
          <w:sz w:val="24"/>
          <w:highlight w:val="none"/>
          <w14:textFill>
            <w14:solidFill>
              <w14:schemeClr w14:val="tx1"/>
            </w14:solidFill>
          </w14:textFill>
        </w:rPr>
        <w:t>签字</w:t>
      </w:r>
      <w:r>
        <w:rPr>
          <w:rFonts w:hint="eastAsia" w:ascii="宋体" w:hAnsi="宋体" w:eastAsia="宋体" w:cs="黑体"/>
          <w:b/>
          <w:bCs/>
          <w:color w:val="000000" w:themeColor="text1"/>
          <w:sz w:val="24"/>
          <w:highlight w:val="none"/>
          <w:lang w:eastAsia="zh-CN"/>
          <w14:textFill>
            <w14:solidFill>
              <w14:schemeClr w14:val="tx1"/>
            </w14:solidFill>
          </w14:textFill>
        </w:rPr>
        <w:t>或签章）</w:t>
      </w:r>
      <w:r>
        <w:rPr>
          <w:rFonts w:hint="eastAsia" w:ascii="宋体" w:hAnsi="宋体" w:eastAsia="宋体" w:cs="黑体"/>
          <w:b/>
          <w:bCs/>
          <w:color w:val="000000" w:themeColor="text1"/>
          <w:sz w:val="24"/>
          <w:szCs w:val="24"/>
          <w:highlight w:val="none"/>
          <w:lang w:eastAsia="zh-CN"/>
          <w14:textFill>
            <w14:solidFill>
              <w14:schemeClr w14:val="tx1"/>
            </w14:solidFill>
          </w14:textFill>
        </w:rPr>
        <w:t>：</w:t>
      </w:r>
    </w:p>
    <w:p>
      <w:pPr>
        <w:spacing w:before="156" w:beforeLines="50" w:after="156" w:afterLines="50" w:line="360" w:lineRule="auto"/>
        <w:ind w:firstLine="4800" w:firstLineChars="2000"/>
        <w:jc w:val="right"/>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r>
        <w:rPr>
          <w:rFonts w:hint="eastAsia" w:ascii="宋体" w:hAnsi="宋体" w:eastAsia="宋体" w:cs="黑体"/>
          <w:b/>
          <w:bCs/>
          <w:color w:val="000000" w:themeColor="text1"/>
          <w:sz w:val="24"/>
          <w:highlight w:val="none"/>
          <w14:textFill>
            <w14:solidFill>
              <w14:schemeClr w14:val="tx1"/>
            </w14:solidFill>
          </w14:textFill>
        </w:rPr>
        <w:t>销售机构签章</w:t>
      </w:r>
      <w:r>
        <w:rPr>
          <w:rFonts w:hint="eastAsia" w:ascii="宋体" w:hAnsi="宋体" w:eastAsia="宋体" w:cs="黑体"/>
          <w:b/>
          <w:bCs/>
          <w:color w:val="000000" w:themeColor="text1"/>
          <w:sz w:val="24"/>
          <w:szCs w:val="24"/>
          <w:highlight w:val="none"/>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黑体"/>
          <w:b/>
          <w:bCs/>
          <w:color w:val="000000" w:themeColor="text1"/>
          <w:sz w:val="24"/>
          <w:szCs w:val="24"/>
          <w:highlight w:val="none"/>
          <w:lang w:eastAsia="zh-CN"/>
          <w14:textFill>
            <w14:solidFill>
              <w14:schemeClr w14:val="tx1"/>
            </w14:solidFill>
          </w14:textFill>
        </w:rPr>
      </w:pPr>
    </w:p>
    <w:p>
      <w:pPr>
        <w:spacing w:before="156" w:beforeLines="50" w:after="156" w:afterLines="50" w:line="360" w:lineRule="auto"/>
        <w:ind w:firstLine="4800" w:firstLineChars="2000"/>
        <w:jc w:val="right"/>
        <w:rPr>
          <w:rFonts w:hint="eastAsia" w:ascii="Arial" w:hAnsi="Arial"/>
          <w:color w:val="000000" w:themeColor="text1"/>
          <w:sz w:val="24"/>
          <w:highlight w:val="none"/>
          <w14:textFill>
            <w14:solidFill>
              <w14:schemeClr w14:val="tx1"/>
            </w14:solidFill>
          </w14:textFill>
        </w:rPr>
      </w:pPr>
      <w:r>
        <w:rPr>
          <w:rFonts w:hint="eastAsia" w:ascii="Arial" w:hAnsi="Arial"/>
          <w:color w:val="000000" w:themeColor="text1"/>
          <w:sz w:val="24"/>
          <w:highlight w:val="none"/>
          <w14:textFill>
            <w14:solidFill>
              <w14:schemeClr w14:val="tx1"/>
            </w14:solidFill>
          </w14:textFill>
        </w:rPr>
        <w:t xml:space="preserve">   年   月   日</w:t>
      </w:r>
    </w:p>
    <w:p>
      <w:pPr>
        <w:spacing w:line="360" w:lineRule="auto"/>
        <w:rPr>
          <w:rFonts w:ascii="宋体" w:hAnsi="宋体" w:cs="宋体"/>
          <w:bCs/>
          <w:color w:val="000000" w:themeColor="text1"/>
          <w:sz w:val="24"/>
          <w:highlight w:val="none"/>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hint="default" w:eastAsia="宋体"/>
        <w:b/>
        <w:bCs/>
        <w:lang w:val="en-US" w:eastAsia="zh-CN"/>
      </w:rPr>
    </w:pP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-585470</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102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025"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r>
      <w:rPr>
        <w:rFonts w:hint="eastAsia"/>
        <w:b/>
        <w:bCs/>
        <w:color w:val="auto"/>
        <w:lang w:eastAsia="zh-CN"/>
      </w:rPr>
      <w:t>理财非存款</w:t>
    </w:r>
    <w:r>
      <w:rPr>
        <w:rFonts w:hint="eastAsia"/>
        <w:b/>
        <w:bCs/>
        <w:color w:val="auto"/>
        <w:lang w:val="en-US" w:eastAsia="zh-CN"/>
      </w:rPr>
      <w:t xml:space="preserve"> 产品有风险 投资须谨慎</w:t>
    </w:r>
    <w:r>
      <w:rPr>
        <w:rFonts w:hint="eastAsia"/>
        <w:b/>
        <w:bCs/>
        <w:color w:val="FF0000"/>
        <w:lang w:val="en-US" w:eastAsia="zh-CN"/>
      </w:rPr>
      <w:t xml:space="preserve">  </w:t>
    </w:r>
    <w:r>
      <w:rPr>
        <w:rFonts w:hint="eastAsia"/>
        <w:b/>
        <w:bCs/>
        <w:color w:val="auto"/>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30DBA53"/>
    <w:multiLevelType w:val="singleLevel"/>
    <w:tmpl w:val="830DBA53"/>
    <w:lvl w:ilvl="0" w:tentative="0">
      <w:start w:val="1"/>
      <w:numFmt w:val="chineseCounting"/>
      <w:suff w:val="nothing"/>
      <w:lvlText w:val="（%1）"/>
      <w:lvlJc w:val="left"/>
      <w:pPr>
        <w:ind w:left="0" w:firstLine="420"/>
      </w:pPr>
      <w:rPr>
        <w:rFonts w:hint="eastAsia"/>
      </w:rPr>
    </w:lvl>
  </w:abstractNum>
  <w:abstractNum w:abstractNumId="2">
    <w:nsid w:val="8493557F"/>
    <w:multiLevelType w:val="singleLevel"/>
    <w:tmpl w:val="8493557F"/>
    <w:lvl w:ilvl="0" w:tentative="0">
      <w:start w:val="2"/>
      <w:numFmt w:val="decimal"/>
      <w:suff w:val="nothing"/>
      <w:lvlText w:val="%1．"/>
      <w:lvlJc w:val="left"/>
      <w:pPr>
        <w:ind w:left="0" w:firstLine="403"/>
      </w:pPr>
      <w:rPr>
        <w:rFonts w:hint="default" w:ascii="宋体" w:hAnsi="宋体" w:eastAsia="宋体" w:cs="宋体"/>
        <w:b w:val="0"/>
        <w:bCs w:val="0"/>
      </w:rPr>
    </w:lvl>
  </w:abstractNum>
  <w:abstractNum w:abstractNumId="3">
    <w:nsid w:val="85460E80"/>
    <w:multiLevelType w:val="singleLevel"/>
    <w:tmpl w:val="85460E80"/>
    <w:lvl w:ilvl="0" w:tentative="0">
      <w:start w:val="1"/>
      <w:numFmt w:val="decimal"/>
      <w:suff w:val="nothing"/>
      <w:lvlText w:val="（%1）"/>
      <w:lvlJc w:val="left"/>
      <w:rPr>
        <w:rFonts w:hint="default"/>
        <w:b w:val="0"/>
        <w:bCs w:val="0"/>
      </w:rPr>
    </w:lvl>
  </w:abstractNum>
  <w:abstractNum w:abstractNumId="4">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5">
    <w:nsid w:val="8906C252"/>
    <w:multiLevelType w:val="singleLevel"/>
    <w:tmpl w:val="8906C252"/>
    <w:lvl w:ilvl="0" w:tentative="0">
      <w:start w:val="1"/>
      <w:numFmt w:val="decimal"/>
      <w:suff w:val="nothing"/>
      <w:lvlText w:val="（%1）"/>
      <w:lvlJc w:val="left"/>
      <w:rPr>
        <w:rFonts w:hint="default"/>
        <w:b w:val="0"/>
        <w:bCs w:val="0"/>
      </w:rPr>
    </w:lvl>
  </w:abstractNum>
  <w:abstractNum w:abstractNumId="6">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7">
    <w:nsid w:val="8CBA9D88"/>
    <w:multiLevelType w:val="singleLevel"/>
    <w:tmpl w:val="8CBA9D88"/>
    <w:lvl w:ilvl="0" w:tentative="0">
      <w:start w:val="1"/>
      <w:numFmt w:val="decimal"/>
      <w:suff w:val="nothing"/>
      <w:lvlText w:val="%1．"/>
      <w:lvlJc w:val="left"/>
      <w:pPr>
        <w:ind w:left="0" w:firstLine="400"/>
      </w:pPr>
      <w:rPr>
        <w:rFonts w:hint="default" w:ascii="宋体" w:hAnsi="宋体" w:eastAsia="宋体" w:cs="宋体"/>
      </w:rPr>
    </w:lvl>
  </w:abstractNum>
  <w:abstractNum w:abstractNumId="8">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9">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10">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11">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12">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3">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4">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5">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6">
    <w:nsid w:val="AC40BB97"/>
    <w:multiLevelType w:val="singleLevel"/>
    <w:tmpl w:val="AC40BB97"/>
    <w:lvl w:ilvl="0" w:tentative="0">
      <w:start w:val="1"/>
      <w:numFmt w:val="chineseCounting"/>
      <w:suff w:val="nothing"/>
      <w:lvlText w:val="%1、"/>
      <w:lvlJc w:val="left"/>
      <w:rPr>
        <w:rFonts w:hint="eastAsia"/>
      </w:rPr>
    </w:lvl>
  </w:abstractNum>
  <w:abstractNum w:abstractNumId="17">
    <w:nsid w:val="AF5FAE6B"/>
    <w:multiLevelType w:val="singleLevel"/>
    <w:tmpl w:val="AF5FAE6B"/>
    <w:lvl w:ilvl="0" w:tentative="0">
      <w:start w:val="1"/>
      <w:numFmt w:val="chineseCounting"/>
      <w:suff w:val="nothing"/>
      <w:lvlText w:val="（%1）"/>
      <w:lvlJc w:val="left"/>
      <w:pPr>
        <w:ind w:left="0" w:firstLine="420"/>
      </w:pPr>
      <w:rPr>
        <w:rFonts w:hint="eastAsia"/>
      </w:rPr>
    </w:lvl>
  </w:abstractNum>
  <w:abstractNum w:abstractNumId="18">
    <w:nsid w:val="B08226EF"/>
    <w:multiLevelType w:val="singleLevel"/>
    <w:tmpl w:val="B08226EF"/>
    <w:lvl w:ilvl="0" w:tentative="0">
      <w:start w:val="1"/>
      <w:numFmt w:val="chineseCounting"/>
      <w:suff w:val="space"/>
      <w:lvlText w:val="第%1条"/>
      <w:lvlJc w:val="left"/>
      <w:rPr>
        <w:rFonts w:hint="eastAsia"/>
      </w:rPr>
    </w:lvl>
  </w:abstractNum>
  <w:abstractNum w:abstractNumId="19">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20">
    <w:nsid w:val="BB4AE6C3"/>
    <w:multiLevelType w:val="singleLevel"/>
    <w:tmpl w:val="BB4AE6C3"/>
    <w:lvl w:ilvl="0" w:tentative="0">
      <w:start w:val="2"/>
      <w:numFmt w:val="decimal"/>
      <w:suff w:val="nothing"/>
      <w:lvlText w:val="%1．"/>
      <w:lvlJc w:val="left"/>
      <w:pPr>
        <w:ind w:left="0" w:firstLine="403"/>
      </w:pPr>
      <w:rPr>
        <w:rFonts w:hint="default"/>
      </w:rPr>
    </w:lvl>
  </w:abstractNum>
  <w:abstractNum w:abstractNumId="21">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22">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23">
    <w:nsid w:val="CEBF199A"/>
    <w:multiLevelType w:val="singleLevel"/>
    <w:tmpl w:val="CEBF199A"/>
    <w:lvl w:ilvl="0" w:tentative="0">
      <w:start w:val="1"/>
      <w:numFmt w:val="chineseCounting"/>
      <w:suff w:val="nothing"/>
      <w:lvlText w:val="（%1）"/>
      <w:lvlJc w:val="left"/>
      <w:pPr>
        <w:ind w:left="0" w:firstLine="420"/>
      </w:pPr>
      <w:rPr>
        <w:rFonts w:hint="eastAsia"/>
      </w:rPr>
    </w:lvl>
  </w:abstractNum>
  <w:abstractNum w:abstractNumId="24">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25">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26">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27">
    <w:nsid w:val="D8D75090"/>
    <w:multiLevelType w:val="singleLevel"/>
    <w:tmpl w:val="D8D75090"/>
    <w:lvl w:ilvl="0" w:tentative="0">
      <w:start w:val="1"/>
      <w:numFmt w:val="decimal"/>
      <w:suff w:val="nothing"/>
      <w:lvlText w:val="（%1）"/>
      <w:lvlJc w:val="left"/>
      <w:rPr>
        <w:rFonts w:hint="default"/>
        <w:b w:val="0"/>
        <w:bCs w:val="0"/>
      </w:rPr>
    </w:lvl>
  </w:abstractNum>
  <w:abstractNum w:abstractNumId="28">
    <w:nsid w:val="DD2251DF"/>
    <w:multiLevelType w:val="singleLevel"/>
    <w:tmpl w:val="DD2251DF"/>
    <w:lvl w:ilvl="0" w:tentative="0">
      <w:start w:val="1"/>
      <w:numFmt w:val="decimal"/>
      <w:suff w:val="nothing"/>
      <w:lvlText w:val="（%1）"/>
      <w:lvlJc w:val="left"/>
      <w:rPr>
        <w:rFonts w:hint="default"/>
        <w:b w:val="0"/>
        <w:bCs w:val="0"/>
      </w:rPr>
    </w:lvl>
  </w:abstractNum>
  <w:abstractNum w:abstractNumId="29">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30">
    <w:nsid w:val="E70DF796"/>
    <w:multiLevelType w:val="singleLevel"/>
    <w:tmpl w:val="E70DF796"/>
    <w:lvl w:ilvl="0" w:tentative="0">
      <w:start w:val="1"/>
      <w:numFmt w:val="decimal"/>
      <w:suff w:val="nothing"/>
      <w:lvlText w:val="（%1）"/>
      <w:lvlJc w:val="left"/>
    </w:lvl>
  </w:abstractNum>
  <w:abstractNum w:abstractNumId="31">
    <w:nsid w:val="EFF37F09"/>
    <w:multiLevelType w:val="singleLevel"/>
    <w:tmpl w:val="EFF37F09"/>
    <w:lvl w:ilvl="0" w:tentative="0">
      <w:start w:val="1"/>
      <w:numFmt w:val="decimal"/>
      <w:suff w:val="nothing"/>
      <w:lvlText w:val="（%1）"/>
      <w:lvlJc w:val="left"/>
      <w:rPr>
        <w:rFonts w:hint="default"/>
        <w:b w:val="0"/>
        <w:bCs w:val="0"/>
      </w:rPr>
    </w:lvl>
  </w:abstractNum>
  <w:abstractNum w:abstractNumId="32">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34">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35">
    <w:nsid w:val="F574F5B6"/>
    <w:multiLevelType w:val="singleLevel"/>
    <w:tmpl w:val="F574F5B6"/>
    <w:lvl w:ilvl="0" w:tentative="0">
      <w:start w:val="1"/>
      <w:numFmt w:val="decimal"/>
      <w:suff w:val="nothing"/>
      <w:lvlText w:val="（%1）"/>
      <w:lvlJc w:val="left"/>
    </w:lvl>
  </w:abstractNum>
  <w:abstractNum w:abstractNumId="36">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37">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8">
    <w:nsid w:val="084A6179"/>
    <w:multiLevelType w:val="singleLevel"/>
    <w:tmpl w:val="084A6179"/>
    <w:lvl w:ilvl="0" w:tentative="0">
      <w:start w:val="1"/>
      <w:numFmt w:val="decimal"/>
      <w:suff w:val="nothing"/>
      <w:lvlText w:val="（%1）"/>
      <w:lvlJc w:val="left"/>
      <w:rPr>
        <w:rFonts w:hint="default"/>
        <w:highlight w:val="none"/>
      </w:rPr>
    </w:lvl>
  </w:abstractNum>
  <w:abstractNum w:abstractNumId="39">
    <w:nsid w:val="0A7F4507"/>
    <w:multiLevelType w:val="singleLevel"/>
    <w:tmpl w:val="0A7F4507"/>
    <w:lvl w:ilvl="0" w:tentative="0">
      <w:start w:val="1"/>
      <w:numFmt w:val="decimal"/>
      <w:suff w:val="nothing"/>
      <w:lvlText w:val="%1．"/>
      <w:lvlJc w:val="left"/>
      <w:pPr>
        <w:ind w:left="0" w:firstLine="400"/>
      </w:pPr>
      <w:rPr>
        <w:rFonts w:hint="default" w:ascii="宋体" w:hAnsi="宋体" w:eastAsia="宋体" w:cs="宋体"/>
      </w:rPr>
    </w:lvl>
  </w:abstractNum>
  <w:abstractNum w:abstractNumId="40">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rPr>
    </w:lvl>
  </w:abstractNum>
  <w:abstractNum w:abstractNumId="41">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43">
    <w:nsid w:val="167B0BB4"/>
    <w:multiLevelType w:val="singleLevel"/>
    <w:tmpl w:val="167B0BB4"/>
    <w:lvl w:ilvl="0" w:tentative="0">
      <w:start w:val="1"/>
      <w:numFmt w:val="decimal"/>
      <w:suff w:val="nothing"/>
      <w:lvlText w:val="（%1）"/>
      <w:lvlJc w:val="left"/>
    </w:lvl>
  </w:abstractNum>
  <w:abstractNum w:abstractNumId="44">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highlight w:val="none"/>
      </w:rPr>
    </w:lvl>
  </w:abstractNum>
  <w:abstractNum w:abstractNumId="45">
    <w:nsid w:val="197A43F5"/>
    <w:multiLevelType w:val="singleLevel"/>
    <w:tmpl w:val="197A43F5"/>
    <w:lvl w:ilvl="0" w:tentative="0">
      <w:start w:val="3"/>
      <w:numFmt w:val="chineseCounting"/>
      <w:suff w:val="nothing"/>
      <w:lvlText w:val="（%1）"/>
      <w:lvlJc w:val="left"/>
      <w:pPr>
        <w:ind w:left="0" w:firstLine="420"/>
      </w:pPr>
      <w:rPr>
        <w:rFonts w:hint="eastAsia"/>
      </w:rPr>
    </w:lvl>
  </w:abstractNum>
  <w:abstractNum w:abstractNumId="4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47">
    <w:nsid w:val="2A987C4E"/>
    <w:multiLevelType w:val="singleLevel"/>
    <w:tmpl w:val="2A987C4E"/>
    <w:lvl w:ilvl="0" w:tentative="0">
      <w:start w:val="5"/>
      <w:numFmt w:val="decimal"/>
      <w:suff w:val="nothing"/>
      <w:lvlText w:val="%1．"/>
      <w:lvlJc w:val="left"/>
      <w:pPr>
        <w:ind w:left="0" w:firstLine="403"/>
      </w:pPr>
      <w:rPr>
        <w:rFonts w:hint="default"/>
      </w:rPr>
    </w:lvl>
  </w:abstractNum>
  <w:abstractNum w:abstractNumId="48">
    <w:nsid w:val="2CB63BE6"/>
    <w:multiLevelType w:val="singleLevel"/>
    <w:tmpl w:val="2CB63BE6"/>
    <w:lvl w:ilvl="0" w:tentative="0">
      <w:start w:val="1"/>
      <w:numFmt w:val="decimal"/>
      <w:suff w:val="nothing"/>
      <w:lvlText w:val="（%1）"/>
      <w:lvlJc w:val="left"/>
      <w:rPr>
        <w:rFonts w:hint="default"/>
        <w:b w:val="0"/>
        <w:bCs w:val="0"/>
      </w:rPr>
    </w:lvl>
  </w:abstractNum>
  <w:abstractNum w:abstractNumId="49">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50">
    <w:nsid w:val="3C550B14"/>
    <w:multiLevelType w:val="singleLevel"/>
    <w:tmpl w:val="3C550B14"/>
    <w:lvl w:ilvl="0" w:tentative="0">
      <w:start w:val="1"/>
      <w:numFmt w:val="decimal"/>
      <w:suff w:val="nothing"/>
      <w:lvlText w:val="%1．"/>
      <w:lvlJc w:val="left"/>
      <w:pPr>
        <w:ind w:left="0" w:firstLine="400"/>
      </w:pPr>
      <w:rPr>
        <w:rFonts w:hint="default"/>
      </w:rPr>
    </w:lvl>
  </w:abstractNum>
  <w:abstractNum w:abstractNumId="51">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52">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53">
    <w:nsid w:val="40727DE8"/>
    <w:multiLevelType w:val="singleLevel"/>
    <w:tmpl w:val="40727DE8"/>
    <w:lvl w:ilvl="0" w:tentative="0">
      <w:start w:val="1"/>
      <w:numFmt w:val="decimal"/>
      <w:suff w:val="nothing"/>
      <w:lvlText w:val="%1．"/>
      <w:lvlJc w:val="left"/>
      <w:pPr>
        <w:ind w:left="0" w:firstLine="400"/>
      </w:pPr>
      <w:rPr>
        <w:rFonts w:hint="default"/>
      </w:rPr>
    </w:lvl>
  </w:abstractNum>
  <w:abstractNum w:abstractNumId="54">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55">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56">
    <w:nsid w:val="4A032168"/>
    <w:multiLevelType w:val="singleLevel"/>
    <w:tmpl w:val="4A032168"/>
    <w:lvl w:ilvl="0" w:tentative="0">
      <w:start w:val="4"/>
      <w:numFmt w:val="decimal"/>
      <w:suff w:val="nothing"/>
      <w:lvlText w:val="%1．"/>
      <w:lvlJc w:val="left"/>
      <w:pPr>
        <w:ind w:left="0" w:firstLine="403"/>
      </w:pPr>
      <w:rPr>
        <w:rFonts w:hint="default"/>
        <w:highlight w:val="none"/>
      </w:rPr>
    </w:lvl>
  </w:abstractNum>
  <w:abstractNum w:abstractNumId="57">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58">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59">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60">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61">
    <w:nsid w:val="5BA91325"/>
    <w:multiLevelType w:val="singleLevel"/>
    <w:tmpl w:val="5BA91325"/>
    <w:lvl w:ilvl="0" w:tentative="0">
      <w:start w:val="1"/>
      <w:numFmt w:val="decimal"/>
      <w:suff w:val="nothing"/>
      <w:lvlText w:val="（%1）"/>
      <w:lvlJc w:val="left"/>
    </w:lvl>
  </w:abstractNum>
  <w:abstractNum w:abstractNumId="62">
    <w:nsid w:val="60C0383C"/>
    <w:multiLevelType w:val="singleLevel"/>
    <w:tmpl w:val="60C0383C"/>
    <w:lvl w:ilvl="0" w:tentative="0">
      <w:start w:val="1"/>
      <w:numFmt w:val="chineseCounting"/>
      <w:suff w:val="nothing"/>
      <w:lvlText w:val="（%1）"/>
      <w:lvlJc w:val="left"/>
      <w:pPr>
        <w:ind w:left="0" w:firstLine="420"/>
      </w:pPr>
      <w:rPr>
        <w:rFonts w:hint="eastAsia"/>
      </w:rPr>
    </w:lvl>
  </w:abstractNum>
  <w:abstractNum w:abstractNumId="63">
    <w:nsid w:val="60C03881"/>
    <w:multiLevelType w:val="singleLevel"/>
    <w:tmpl w:val="60C03881"/>
    <w:lvl w:ilvl="0" w:tentative="0">
      <w:start w:val="1"/>
      <w:numFmt w:val="chineseCounting"/>
      <w:suff w:val="nothing"/>
      <w:lvlText w:val="（%1）"/>
      <w:lvlJc w:val="left"/>
      <w:pPr>
        <w:ind w:left="0" w:firstLine="420"/>
      </w:pPr>
      <w:rPr>
        <w:rFonts w:hint="eastAsia"/>
      </w:rPr>
    </w:lvl>
  </w:abstractNum>
  <w:abstractNum w:abstractNumId="64">
    <w:nsid w:val="60C038C0"/>
    <w:multiLevelType w:val="singleLevel"/>
    <w:tmpl w:val="60C038C0"/>
    <w:lvl w:ilvl="0" w:tentative="0">
      <w:start w:val="1"/>
      <w:numFmt w:val="chineseCounting"/>
      <w:suff w:val="nothing"/>
      <w:lvlText w:val="（%1）"/>
      <w:lvlJc w:val="left"/>
      <w:pPr>
        <w:ind w:left="0" w:firstLine="420"/>
      </w:pPr>
      <w:rPr>
        <w:rFonts w:hint="eastAsia"/>
      </w:rPr>
    </w:lvl>
  </w:abstractNum>
  <w:abstractNum w:abstractNumId="65">
    <w:nsid w:val="60C038EA"/>
    <w:multiLevelType w:val="singleLevel"/>
    <w:tmpl w:val="60C038EA"/>
    <w:lvl w:ilvl="0" w:tentative="0">
      <w:start w:val="1"/>
      <w:numFmt w:val="chineseCounting"/>
      <w:suff w:val="nothing"/>
      <w:lvlText w:val="（%1）"/>
      <w:lvlJc w:val="left"/>
      <w:pPr>
        <w:ind w:left="0" w:firstLine="420"/>
      </w:pPr>
      <w:rPr>
        <w:rFonts w:hint="eastAsia"/>
      </w:rPr>
    </w:lvl>
  </w:abstractNum>
  <w:abstractNum w:abstractNumId="66">
    <w:nsid w:val="60C03912"/>
    <w:multiLevelType w:val="singleLevel"/>
    <w:tmpl w:val="60C03912"/>
    <w:lvl w:ilvl="0" w:tentative="0">
      <w:start w:val="1"/>
      <w:numFmt w:val="chineseCounting"/>
      <w:suff w:val="nothing"/>
      <w:lvlText w:val="（%1）"/>
      <w:lvlJc w:val="left"/>
      <w:pPr>
        <w:ind w:left="0" w:firstLine="420"/>
      </w:pPr>
      <w:rPr>
        <w:rFonts w:hint="eastAsia"/>
      </w:rPr>
    </w:lvl>
  </w:abstractNum>
  <w:abstractNum w:abstractNumId="67">
    <w:nsid w:val="60C03933"/>
    <w:multiLevelType w:val="singleLevel"/>
    <w:tmpl w:val="60C03933"/>
    <w:lvl w:ilvl="0" w:tentative="0">
      <w:start w:val="1"/>
      <w:numFmt w:val="chineseCounting"/>
      <w:suff w:val="nothing"/>
      <w:lvlText w:val="（%1）"/>
      <w:lvlJc w:val="left"/>
      <w:pPr>
        <w:ind w:left="0" w:firstLine="420"/>
      </w:pPr>
      <w:rPr>
        <w:rFonts w:hint="eastAsia"/>
      </w:rPr>
    </w:lvl>
  </w:abstractNum>
  <w:abstractNum w:abstractNumId="68">
    <w:nsid w:val="60C03E3F"/>
    <w:multiLevelType w:val="singleLevel"/>
    <w:tmpl w:val="60C03E3F"/>
    <w:lvl w:ilvl="0" w:tentative="0">
      <w:start w:val="1"/>
      <w:numFmt w:val="chineseCounting"/>
      <w:suff w:val="nothing"/>
      <w:lvlText w:val="（%1）"/>
      <w:lvlJc w:val="left"/>
      <w:pPr>
        <w:ind w:left="0" w:firstLine="420"/>
      </w:pPr>
      <w:rPr>
        <w:rFonts w:hint="eastAsia"/>
      </w:rPr>
    </w:lvl>
  </w:abstractNum>
  <w:abstractNum w:abstractNumId="69">
    <w:nsid w:val="60C03E76"/>
    <w:multiLevelType w:val="singleLevel"/>
    <w:tmpl w:val="60C03E76"/>
    <w:lvl w:ilvl="0" w:tentative="0">
      <w:start w:val="1"/>
      <w:numFmt w:val="chineseCounting"/>
      <w:suff w:val="nothing"/>
      <w:lvlText w:val="%1、"/>
      <w:lvlJc w:val="left"/>
      <w:pPr>
        <w:ind w:left="0" w:firstLine="420"/>
      </w:pPr>
      <w:rPr>
        <w:rFonts w:hint="eastAsia"/>
      </w:rPr>
    </w:lvl>
  </w:abstractNum>
  <w:abstractNum w:abstractNumId="70">
    <w:nsid w:val="60C03E91"/>
    <w:multiLevelType w:val="singleLevel"/>
    <w:tmpl w:val="60C03E91"/>
    <w:lvl w:ilvl="0" w:tentative="0">
      <w:start w:val="2"/>
      <w:numFmt w:val="chineseCounting"/>
      <w:suff w:val="nothing"/>
      <w:lvlText w:val="%1、"/>
      <w:lvlJc w:val="left"/>
      <w:pPr>
        <w:ind w:left="0" w:firstLine="420"/>
      </w:pPr>
      <w:rPr>
        <w:rFonts w:hint="eastAsia"/>
      </w:rPr>
    </w:lvl>
  </w:abstractNum>
  <w:abstractNum w:abstractNumId="71">
    <w:nsid w:val="60C03EC3"/>
    <w:multiLevelType w:val="singleLevel"/>
    <w:tmpl w:val="60C03EC3"/>
    <w:lvl w:ilvl="0" w:tentative="0">
      <w:start w:val="3"/>
      <w:numFmt w:val="chineseCounting"/>
      <w:suff w:val="nothing"/>
      <w:lvlText w:val="%1、"/>
      <w:lvlJc w:val="left"/>
      <w:pPr>
        <w:ind w:left="0" w:firstLine="420"/>
      </w:pPr>
      <w:rPr>
        <w:rFonts w:hint="eastAsia"/>
      </w:rPr>
    </w:lvl>
  </w:abstractNum>
  <w:abstractNum w:abstractNumId="72">
    <w:nsid w:val="60C03ED7"/>
    <w:multiLevelType w:val="singleLevel"/>
    <w:tmpl w:val="60C03ED7"/>
    <w:lvl w:ilvl="0" w:tentative="0">
      <w:start w:val="1"/>
      <w:numFmt w:val="chineseCounting"/>
      <w:suff w:val="nothing"/>
      <w:lvlText w:val="（%1）"/>
      <w:lvlJc w:val="left"/>
      <w:pPr>
        <w:ind w:left="0" w:firstLine="420"/>
      </w:pPr>
      <w:rPr>
        <w:rFonts w:hint="eastAsia"/>
      </w:rPr>
    </w:lvl>
  </w:abstractNum>
  <w:abstractNum w:abstractNumId="73">
    <w:nsid w:val="60C03F05"/>
    <w:multiLevelType w:val="singleLevel"/>
    <w:tmpl w:val="60C03F05"/>
    <w:lvl w:ilvl="0" w:tentative="0">
      <w:start w:val="1"/>
      <w:numFmt w:val="decimal"/>
      <w:suff w:val="nothing"/>
      <w:lvlText w:val="%1．"/>
      <w:lvlJc w:val="left"/>
      <w:pPr>
        <w:ind w:left="0" w:firstLine="400"/>
      </w:pPr>
      <w:rPr>
        <w:rFonts w:hint="default"/>
      </w:rPr>
    </w:lvl>
  </w:abstractNum>
  <w:abstractNum w:abstractNumId="74">
    <w:nsid w:val="60C03F2E"/>
    <w:multiLevelType w:val="singleLevel"/>
    <w:tmpl w:val="60C03F2E"/>
    <w:lvl w:ilvl="0" w:tentative="0">
      <w:start w:val="4"/>
      <w:numFmt w:val="chineseCounting"/>
      <w:suff w:val="nothing"/>
      <w:lvlText w:val="（%1）"/>
      <w:lvlJc w:val="left"/>
      <w:pPr>
        <w:ind w:left="0" w:firstLine="420"/>
      </w:pPr>
      <w:rPr>
        <w:rFonts w:hint="eastAsia"/>
      </w:rPr>
    </w:lvl>
  </w:abstractNum>
  <w:abstractNum w:abstractNumId="75">
    <w:nsid w:val="60C03F4B"/>
    <w:multiLevelType w:val="singleLevel"/>
    <w:tmpl w:val="60C03F4B"/>
    <w:lvl w:ilvl="0" w:tentative="0">
      <w:start w:val="1"/>
      <w:numFmt w:val="chineseCounting"/>
      <w:suff w:val="nothing"/>
      <w:lvlText w:val="（%1）"/>
      <w:lvlJc w:val="left"/>
      <w:pPr>
        <w:ind w:left="0" w:firstLine="420"/>
      </w:pPr>
      <w:rPr>
        <w:rFonts w:hint="eastAsia"/>
      </w:rPr>
    </w:lvl>
  </w:abstractNum>
  <w:abstractNum w:abstractNumId="76">
    <w:nsid w:val="61CBC088"/>
    <w:multiLevelType w:val="singleLevel"/>
    <w:tmpl w:val="61CBC088"/>
    <w:lvl w:ilvl="0" w:tentative="0">
      <w:start w:val="1"/>
      <w:numFmt w:val="chineseCounting"/>
      <w:suff w:val="nothing"/>
      <w:lvlText w:val="（%1）"/>
      <w:lvlJc w:val="left"/>
      <w:pPr>
        <w:ind w:left="0" w:firstLine="420"/>
      </w:pPr>
      <w:rPr>
        <w:rFonts w:hint="eastAsia"/>
      </w:rPr>
    </w:lvl>
  </w:abstractNum>
  <w:abstractNum w:abstractNumId="77">
    <w:nsid w:val="61CBC11F"/>
    <w:multiLevelType w:val="singleLevel"/>
    <w:tmpl w:val="61CBC11F"/>
    <w:lvl w:ilvl="0" w:tentative="0">
      <w:start w:val="1"/>
      <w:numFmt w:val="chineseCounting"/>
      <w:suff w:val="nothing"/>
      <w:lvlText w:val="（%1）"/>
      <w:lvlJc w:val="left"/>
      <w:pPr>
        <w:ind w:left="0" w:firstLine="420"/>
      </w:pPr>
      <w:rPr>
        <w:rFonts w:hint="eastAsia"/>
      </w:rPr>
    </w:lvl>
  </w:abstractNum>
  <w:abstractNum w:abstractNumId="78">
    <w:nsid w:val="61CBC1A0"/>
    <w:multiLevelType w:val="singleLevel"/>
    <w:tmpl w:val="61CBC1A0"/>
    <w:lvl w:ilvl="0" w:tentative="0">
      <w:start w:val="1"/>
      <w:numFmt w:val="chineseCounting"/>
      <w:suff w:val="nothing"/>
      <w:lvlText w:val="（%1）"/>
      <w:lvlJc w:val="left"/>
      <w:pPr>
        <w:ind w:left="0" w:firstLine="420"/>
      </w:pPr>
      <w:rPr>
        <w:rFonts w:hint="eastAsia"/>
      </w:rPr>
    </w:lvl>
  </w:abstractNum>
  <w:abstractNum w:abstractNumId="79">
    <w:nsid w:val="61CBC209"/>
    <w:multiLevelType w:val="singleLevel"/>
    <w:tmpl w:val="61CBC209"/>
    <w:lvl w:ilvl="0" w:tentative="0">
      <w:start w:val="1"/>
      <w:numFmt w:val="chineseCounting"/>
      <w:suff w:val="nothing"/>
      <w:lvlText w:val="（%1）"/>
      <w:lvlJc w:val="left"/>
      <w:pPr>
        <w:ind w:left="0" w:firstLine="420"/>
      </w:pPr>
      <w:rPr>
        <w:rFonts w:hint="eastAsia"/>
      </w:rPr>
    </w:lvl>
  </w:abstractNum>
  <w:abstractNum w:abstractNumId="80">
    <w:nsid w:val="61CBC248"/>
    <w:multiLevelType w:val="singleLevel"/>
    <w:tmpl w:val="61CBC248"/>
    <w:lvl w:ilvl="0" w:tentative="0">
      <w:start w:val="2"/>
      <w:numFmt w:val="chineseCounting"/>
      <w:suff w:val="nothing"/>
      <w:lvlText w:val="（%1）"/>
      <w:lvlJc w:val="left"/>
      <w:pPr>
        <w:ind w:left="0" w:firstLine="420"/>
      </w:pPr>
      <w:rPr>
        <w:rFonts w:hint="eastAsia"/>
      </w:rPr>
    </w:lvl>
  </w:abstractNum>
  <w:abstractNum w:abstractNumId="81">
    <w:nsid w:val="61CBC28E"/>
    <w:multiLevelType w:val="singleLevel"/>
    <w:tmpl w:val="61CBC28E"/>
    <w:lvl w:ilvl="0" w:tentative="0">
      <w:start w:val="1"/>
      <w:numFmt w:val="chineseCounting"/>
      <w:suff w:val="nothing"/>
      <w:lvlText w:val="（%1）"/>
      <w:lvlJc w:val="left"/>
      <w:pPr>
        <w:ind w:left="0" w:firstLine="420"/>
      </w:pPr>
      <w:rPr>
        <w:rFonts w:hint="eastAsia"/>
      </w:rPr>
    </w:lvl>
  </w:abstractNum>
  <w:abstractNum w:abstractNumId="82">
    <w:nsid w:val="61F30F62"/>
    <w:multiLevelType w:val="singleLevel"/>
    <w:tmpl w:val="61F30F62"/>
    <w:lvl w:ilvl="0" w:tentative="0">
      <w:start w:val="1"/>
      <w:numFmt w:val="decimal"/>
      <w:suff w:val="nothing"/>
      <w:lvlText w:val="（%1）"/>
      <w:lvlJc w:val="left"/>
      <w:rPr>
        <w:rFonts w:hint="default"/>
        <w:b w:val="0"/>
        <w:bCs w:val="0"/>
      </w:rPr>
    </w:lvl>
  </w:abstractNum>
  <w:abstractNum w:abstractNumId="83">
    <w:nsid w:val="69C07A9C"/>
    <w:multiLevelType w:val="singleLevel"/>
    <w:tmpl w:val="69C07A9C"/>
    <w:lvl w:ilvl="0" w:tentative="0">
      <w:start w:val="1"/>
      <w:numFmt w:val="lowerLetter"/>
      <w:suff w:val="space"/>
      <w:lvlText w:val="%1."/>
      <w:lvlJc w:val="left"/>
    </w:lvl>
  </w:abstractNum>
  <w:abstractNum w:abstractNumId="84">
    <w:nsid w:val="6BA7AFBC"/>
    <w:multiLevelType w:val="singleLevel"/>
    <w:tmpl w:val="6BA7AFBC"/>
    <w:lvl w:ilvl="0" w:tentative="0">
      <w:start w:val="1"/>
      <w:numFmt w:val="chineseCounting"/>
      <w:suff w:val="nothing"/>
      <w:lvlText w:val="（%1）"/>
      <w:lvlJc w:val="left"/>
      <w:pPr>
        <w:ind w:left="0" w:firstLine="420"/>
      </w:pPr>
      <w:rPr>
        <w:rFonts w:hint="eastAsia"/>
      </w:rPr>
    </w:lvl>
  </w:abstractNum>
  <w:abstractNum w:abstractNumId="85">
    <w:nsid w:val="75D2544F"/>
    <w:multiLevelType w:val="singleLevel"/>
    <w:tmpl w:val="75D2544F"/>
    <w:lvl w:ilvl="0" w:tentative="0">
      <w:start w:val="1"/>
      <w:numFmt w:val="chineseCounting"/>
      <w:suff w:val="nothing"/>
      <w:lvlText w:val="（%1）"/>
      <w:lvlJc w:val="left"/>
      <w:pPr>
        <w:ind w:left="0" w:firstLine="420"/>
      </w:pPr>
      <w:rPr>
        <w:rFonts w:hint="eastAsia"/>
        <w:b/>
        <w:bCs/>
      </w:rPr>
    </w:lvl>
  </w:abstractNum>
  <w:abstractNum w:abstractNumId="86">
    <w:nsid w:val="79A7505F"/>
    <w:multiLevelType w:val="singleLevel"/>
    <w:tmpl w:val="79A7505F"/>
    <w:lvl w:ilvl="0" w:tentative="0">
      <w:start w:val="2"/>
      <w:numFmt w:val="chineseCounting"/>
      <w:suff w:val="nothing"/>
      <w:lvlText w:val="（%1）"/>
      <w:lvlJc w:val="left"/>
      <w:pPr>
        <w:ind w:left="0" w:firstLine="420"/>
      </w:pPr>
      <w:rPr>
        <w:rFonts w:hint="eastAsia"/>
        <w:b/>
        <w:bCs/>
      </w:rPr>
    </w:lvl>
  </w:abstractNum>
  <w:num w:numId="1">
    <w:abstractNumId w:val="16"/>
  </w:num>
  <w:num w:numId="2">
    <w:abstractNumId w:val="1"/>
  </w:num>
  <w:num w:numId="3">
    <w:abstractNumId w:val="53"/>
  </w:num>
  <w:num w:numId="4">
    <w:abstractNumId w:val="45"/>
  </w:num>
  <w:num w:numId="5">
    <w:abstractNumId w:val="23"/>
  </w:num>
  <w:num w:numId="6">
    <w:abstractNumId w:val="85"/>
  </w:num>
  <w:num w:numId="7">
    <w:abstractNumId w:val="39"/>
  </w:num>
  <w:num w:numId="8">
    <w:abstractNumId w:val="86"/>
  </w:num>
  <w:num w:numId="9">
    <w:abstractNumId w:val="59"/>
  </w:num>
  <w:num w:numId="10">
    <w:abstractNumId w:val="55"/>
  </w:num>
  <w:num w:numId="11">
    <w:abstractNumId w:val="36"/>
  </w:num>
  <w:num w:numId="12">
    <w:abstractNumId w:val="33"/>
  </w:num>
  <w:num w:numId="13">
    <w:abstractNumId w:val="41"/>
  </w:num>
  <w:num w:numId="14">
    <w:abstractNumId w:val="32"/>
  </w:num>
  <w:num w:numId="15">
    <w:abstractNumId w:val="24"/>
  </w:num>
  <w:num w:numId="16">
    <w:abstractNumId w:val="13"/>
  </w:num>
  <w:num w:numId="17">
    <w:abstractNumId w:val="20"/>
  </w:num>
  <w:num w:numId="18">
    <w:abstractNumId w:val="10"/>
  </w:num>
  <w:num w:numId="19">
    <w:abstractNumId w:val="11"/>
  </w:num>
  <w:num w:numId="20">
    <w:abstractNumId w:val="9"/>
  </w:num>
  <w:num w:numId="21">
    <w:abstractNumId w:val="40"/>
  </w:num>
  <w:num w:numId="22">
    <w:abstractNumId w:val="7"/>
  </w:num>
  <w:num w:numId="23">
    <w:abstractNumId w:val="2"/>
  </w:num>
  <w:num w:numId="24">
    <w:abstractNumId w:val="54"/>
  </w:num>
  <w:num w:numId="25">
    <w:abstractNumId w:val="35"/>
  </w:num>
  <w:num w:numId="26">
    <w:abstractNumId w:val="56"/>
  </w:num>
  <w:num w:numId="27">
    <w:abstractNumId w:val="61"/>
  </w:num>
  <w:num w:numId="28">
    <w:abstractNumId w:val="83"/>
  </w:num>
  <w:num w:numId="29">
    <w:abstractNumId w:val="47"/>
  </w:num>
  <w:num w:numId="30">
    <w:abstractNumId w:val="22"/>
  </w:num>
  <w:num w:numId="31">
    <w:abstractNumId w:val="46"/>
  </w:num>
  <w:num w:numId="32">
    <w:abstractNumId w:val="26"/>
  </w:num>
  <w:num w:numId="33">
    <w:abstractNumId w:val="8"/>
  </w:num>
  <w:num w:numId="34">
    <w:abstractNumId w:val="58"/>
  </w:num>
  <w:num w:numId="35">
    <w:abstractNumId w:val="6"/>
  </w:num>
  <w:num w:numId="36">
    <w:abstractNumId w:val="38"/>
  </w:num>
  <w:num w:numId="37">
    <w:abstractNumId w:val="44"/>
  </w:num>
  <w:num w:numId="38">
    <w:abstractNumId w:val="84"/>
  </w:num>
  <w:num w:numId="39">
    <w:abstractNumId w:val="37"/>
  </w:num>
  <w:num w:numId="40">
    <w:abstractNumId w:val="25"/>
  </w:num>
  <w:num w:numId="41">
    <w:abstractNumId w:val="49"/>
  </w:num>
  <w:num w:numId="42">
    <w:abstractNumId w:val="0"/>
  </w:num>
  <w:num w:numId="43">
    <w:abstractNumId w:val="28"/>
  </w:num>
  <w:num w:numId="44">
    <w:abstractNumId w:val="52"/>
  </w:num>
  <w:num w:numId="45">
    <w:abstractNumId w:val="4"/>
  </w:num>
  <w:num w:numId="46">
    <w:abstractNumId w:val="29"/>
  </w:num>
  <w:num w:numId="47">
    <w:abstractNumId w:val="19"/>
  </w:num>
  <w:num w:numId="48">
    <w:abstractNumId w:val="57"/>
  </w:num>
  <w:num w:numId="49">
    <w:abstractNumId w:val="42"/>
  </w:num>
  <w:num w:numId="50">
    <w:abstractNumId w:val="21"/>
  </w:num>
  <w:num w:numId="51">
    <w:abstractNumId w:val="34"/>
  </w:num>
  <w:num w:numId="52">
    <w:abstractNumId w:val="30"/>
  </w:num>
  <w:num w:numId="53">
    <w:abstractNumId w:val="31"/>
  </w:num>
  <w:num w:numId="54">
    <w:abstractNumId w:val="82"/>
  </w:num>
  <w:num w:numId="55">
    <w:abstractNumId w:val="48"/>
  </w:num>
  <w:num w:numId="56">
    <w:abstractNumId w:val="3"/>
  </w:num>
  <w:num w:numId="57">
    <w:abstractNumId w:val="60"/>
  </w:num>
  <w:num w:numId="58">
    <w:abstractNumId w:val="14"/>
  </w:num>
  <w:num w:numId="59">
    <w:abstractNumId w:val="12"/>
  </w:num>
  <w:num w:numId="60">
    <w:abstractNumId w:val="15"/>
  </w:num>
  <w:num w:numId="61">
    <w:abstractNumId w:val="43"/>
  </w:num>
  <w:num w:numId="62">
    <w:abstractNumId w:val="27"/>
  </w:num>
  <w:num w:numId="63">
    <w:abstractNumId w:val="5"/>
  </w:num>
  <w:num w:numId="64">
    <w:abstractNumId w:val="51"/>
  </w:num>
  <w:num w:numId="65">
    <w:abstractNumId w:val="69"/>
  </w:num>
  <w:num w:numId="66">
    <w:abstractNumId w:val="68"/>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50"/>
  </w:num>
  <w:num w:numId="74">
    <w:abstractNumId w:val="18"/>
  </w:num>
  <w:num w:numId="75">
    <w:abstractNumId w:val="62"/>
  </w:num>
  <w:num w:numId="76">
    <w:abstractNumId w:val="63"/>
  </w:num>
  <w:num w:numId="77">
    <w:abstractNumId w:val="64"/>
  </w:num>
  <w:num w:numId="78">
    <w:abstractNumId w:val="65"/>
  </w:num>
  <w:num w:numId="79">
    <w:abstractNumId w:val="66"/>
  </w:num>
  <w:num w:numId="80">
    <w:abstractNumId w:val="67"/>
  </w:num>
  <w:num w:numId="81">
    <w:abstractNumId w:val="76"/>
  </w:num>
  <w:num w:numId="82">
    <w:abstractNumId w:val="77"/>
  </w:num>
  <w:num w:numId="83">
    <w:abstractNumId w:val="17"/>
  </w:num>
  <w:num w:numId="84">
    <w:abstractNumId w:val="78"/>
  </w:num>
  <w:num w:numId="85">
    <w:abstractNumId w:val="79"/>
  </w:num>
  <w:num w:numId="86">
    <w:abstractNumId w:val="80"/>
  </w:num>
  <w:num w:numId="87">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ab8c09fc-ebb4-4f15-b49e-3b6144cc8e86"/>
  </w:docVars>
  <w:rsids>
    <w:rsidRoot w:val="00172A27"/>
    <w:rsid w:val="004A3A51"/>
    <w:rsid w:val="01364432"/>
    <w:rsid w:val="01523B8E"/>
    <w:rsid w:val="01DC0FD1"/>
    <w:rsid w:val="01E60817"/>
    <w:rsid w:val="01F454C1"/>
    <w:rsid w:val="036B5FEB"/>
    <w:rsid w:val="040B79D9"/>
    <w:rsid w:val="0449537A"/>
    <w:rsid w:val="04886CA1"/>
    <w:rsid w:val="04A52A8E"/>
    <w:rsid w:val="04A74955"/>
    <w:rsid w:val="050A18A0"/>
    <w:rsid w:val="05C21734"/>
    <w:rsid w:val="05E05E4D"/>
    <w:rsid w:val="05EC08FE"/>
    <w:rsid w:val="063606DF"/>
    <w:rsid w:val="06420CFA"/>
    <w:rsid w:val="06503B59"/>
    <w:rsid w:val="06DF6F6A"/>
    <w:rsid w:val="0752555A"/>
    <w:rsid w:val="07993F2A"/>
    <w:rsid w:val="07E45984"/>
    <w:rsid w:val="081B7D56"/>
    <w:rsid w:val="0828699A"/>
    <w:rsid w:val="082B58DC"/>
    <w:rsid w:val="082E46BF"/>
    <w:rsid w:val="084B0553"/>
    <w:rsid w:val="087B5F6E"/>
    <w:rsid w:val="08E37254"/>
    <w:rsid w:val="097E3F67"/>
    <w:rsid w:val="09851159"/>
    <w:rsid w:val="09B01B43"/>
    <w:rsid w:val="0A1347F5"/>
    <w:rsid w:val="0A2A32B9"/>
    <w:rsid w:val="0B8E27E3"/>
    <w:rsid w:val="0BF71AE2"/>
    <w:rsid w:val="0CA6603D"/>
    <w:rsid w:val="0D0B1B00"/>
    <w:rsid w:val="0D6B1503"/>
    <w:rsid w:val="0DD032F9"/>
    <w:rsid w:val="0E4A4B6F"/>
    <w:rsid w:val="0E670397"/>
    <w:rsid w:val="0EAE473F"/>
    <w:rsid w:val="0EB6095A"/>
    <w:rsid w:val="0EF65480"/>
    <w:rsid w:val="0F692235"/>
    <w:rsid w:val="0F920B86"/>
    <w:rsid w:val="0FE074B0"/>
    <w:rsid w:val="103A21BC"/>
    <w:rsid w:val="10D261C8"/>
    <w:rsid w:val="10E7087B"/>
    <w:rsid w:val="10FA5463"/>
    <w:rsid w:val="11BA058F"/>
    <w:rsid w:val="11C23A9E"/>
    <w:rsid w:val="12081858"/>
    <w:rsid w:val="124C1ED5"/>
    <w:rsid w:val="12B62B3B"/>
    <w:rsid w:val="13031153"/>
    <w:rsid w:val="13181417"/>
    <w:rsid w:val="141530E1"/>
    <w:rsid w:val="142A3D0A"/>
    <w:rsid w:val="14C57FED"/>
    <w:rsid w:val="150C5665"/>
    <w:rsid w:val="153D4CD7"/>
    <w:rsid w:val="159302CA"/>
    <w:rsid w:val="15C56302"/>
    <w:rsid w:val="15D419A2"/>
    <w:rsid w:val="160940BB"/>
    <w:rsid w:val="1659752C"/>
    <w:rsid w:val="16E43A7F"/>
    <w:rsid w:val="185A3DA1"/>
    <w:rsid w:val="18E6578A"/>
    <w:rsid w:val="18F22962"/>
    <w:rsid w:val="196411E6"/>
    <w:rsid w:val="19866890"/>
    <w:rsid w:val="198C4B50"/>
    <w:rsid w:val="19DA666D"/>
    <w:rsid w:val="19F13F4F"/>
    <w:rsid w:val="1A102675"/>
    <w:rsid w:val="1A876B8B"/>
    <w:rsid w:val="1B280245"/>
    <w:rsid w:val="1BBE4697"/>
    <w:rsid w:val="1BEE4FD6"/>
    <w:rsid w:val="1C3F1BB8"/>
    <w:rsid w:val="1C46238A"/>
    <w:rsid w:val="1D3C4AE8"/>
    <w:rsid w:val="1D552DD9"/>
    <w:rsid w:val="1DAB6D83"/>
    <w:rsid w:val="1E3173A3"/>
    <w:rsid w:val="1E410106"/>
    <w:rsid w:val="1E7432BB"/>
    <w:rsid w:val="1ED938B7"/>
    <w:rsid w:val="1F0F5A19"/>
    <w:rsid w:val="1F1D6E1F"/>
    <w:rsid w:val="1F3E7F7D"/>
    <w:rsid w:val="1F51312D"/>
    <w:rsid w:val="1FA140B4"/>
    <w:rsid w:val="1FC9553A"/>
    <w:rsid w:val="20137C57"/>
    <w:rsid w:val="204D3B12"/>
    <w:rsid w:val="205A2AB3"/>
    <w:rsid w:val="20B6224D"/>
    <w:rsid w:val="21025026"/>
    <w:rsid w:val="21B93623"/>
    <w:rsid w:val="21C22F06"/>
    <w:rsid w:val="22A04AF7"/>
    <w:rsid w:val="22D32481"/>
    <w:rsid w:val="22D3594B"/>
    <w:rsid w:val="22F12819"/>
    <w:rsid w:val="23393314"/>
    <w:rsid w:val="23753F06"/>
    <w:rsid w:val="238D2456"/>
    <w:rsid w:val="238E1AAE"/>
    <w:rsid w:val="23C60C92"/>
    <w:rsid w:val="240F2156"/>
    <w:rsid w:val="24345B9A"/>
    <w:rsid w:val="2483647E"/>
    <w:rsid w:val="256F076F"/>
    <w:rsid w:val="2610340F"/>
    <w:rsid w:val="26820AF7"/>
    <w:rsid w:val="26966D40"/>
    <w:rsid w:val="28B25390"/>
    <w:rsid w:val="292668E3"/>
    <w:rsid w:val="29E26197"/>
    <w:rsid w:val="2A1B5D68"/>
    <w:rsid w:val="2A5975B6"/>
    <w:rsid w:val="2A991D32"/>
    <w:rsid w:val="2AB92324"/>
    <w:rsid w:val="2AD6555A"/>
    <w:rsid w:val="2AE62718"/>
    <w:rsid w:val="2B1902F3"/>
    <w:rsid w:val="2B376BE0"/>
    <w:rsid w:val="2BE72798"/>
    <w:rsid w:val="2C1A577E"/>
    <w:rsid w:val="2C1B1E9D"/>
    <w:rsid w:val="2CAB68C5"/>
    <w:rsid w:val="2DBA4E45"/>
    <w:rsid w:val="2E45409C"/>
    <w:rsid w:val="2EBC6D03"/>
    <w:rsid w:val="2F1F666C"/>
    <w:rsid w:val="2F59643F"/>
    <w:rsid w:val="2F802D62"/>
    <w:rsid w:val="2FD32A37"/>
    <w:rsid w:val="2FE9188B"/>
    <w:rsid w:val="30551FFC"/>
    <w:rsid w:val="307D2E0A"/>
    <w:rsid w:val="30E93DB6"/>
    <w:rsid w:val="311F702A"/>
    <w:rsid w:val="314968B6"/>
    <w:rsid w:val="31A82883"/>
    <w:rsid w:val="320E3E15"/>
    <w:rsid w:val="326E1301"/>
    <w:rsid w:val="32C36203"/>
    <w:rsid w:val="32C937E9"/>
    <w:rsid w:val="333F6AA7"/>
    <w:rsid w:val="33F7523E"/>
    <w:rsid w:val="3480359E"/>
    <w:rsid w:val="34BE4ED5"/>
    <w:rsid w:val="352B31D6"/>
    <w:rsid w:val="35476F5E"/>
    <w:rsid w:val="35C572EB"/>
    <w:rsid w:val="3602513D"/>
    <w:rsid w:val="36631FD8"/>
    <w:rsid w:val="366A0F47"/>
    <w:rsid w:val="36E72D9B"/>
    <w:rsid w:val="377E5373"/>
    <w:rsid w:val="379F2ED6"/>
    <w:rsid w:val="37CA172C"/>
    <w:rsid w:val="37CB10A0"/>
    <w:rsid w:val="38071350"/>
    <w:rsid w:val="38224FD0"/>
    <w:rsid w:val="38696564"/>
    <w:rsid w:val="38BC5508"/>
    <w:rsid w:val="3A3E2041"/>
    <w:rsid w:val="3B131EF6"/>
    <w:rsid w:val="3B490D86"/>
    <w:rsid w:val="3B6E4DAF"/>
    <w:rsid w:val="3C2F2290"/>
    <w:rsid w:val="3CE74578"/>
    <w:rsid w:val="3D8434FB"/>
    <w:rsid w:val="3E163924"/>
    <w:rsid w:val="3EA67C14"/>
    <w:rsid w:val="3EAD1B36"/>
    <w:rsid w:val="3F056B9E"/>
    <w:rsid w:val="3F354A62"/>
    <w:rsid w:val="3FF54C55"/>
    <w:rsid w:val="406370BC"/>
    <w:rsid w:val="40FB7670"/>
    <w:rsid w:val="41533A89"/>
    <w:rsid w:val="41B60000"/>
    <w:rsid w:val="423C06E2"/>
    <w:rsid w:val="42815397"/>
    <w:rsid w:val="42C94634"/>
    <w:rsid w:val="43423D19"/>
    <w:rsid w:val="43B62261"/>
    <w:rsid w:val="43BA23DE"/>
    <w:rsid w:val="45540446"/>
    <w:rsid w:val="45BB5620"/>
    <w:rsid w:val="45F127ED"/>
    <w:rsid w:val="46263D02"/>
    <w:rsid w:val="46CD66A0"/>
    <w:rsid w:val="46D80EF6"/>
    <w:rsid w:val="472803B7"/>
    <w:rsid w:val="488B59A4"/>
    <w:rsid w:val="494502E1"/>
    <w:rsid w:val="4A3D69E6"/>
    <w:rsid w:val="4A6F7B99"/>
    <w:rsid w:val="4A7F0ADF"/>
    <w:rsid w:val="4AA612F0"/>
    <w:rsid w:val="4B0D3113"/>
    <w:rsid w:val="4B5270B8"/>
    <w:rsid w:val="4C4D2C94"/>
    <w:rsid w:val="4C6B0DDA"/>
    <w:rsid w:val="4C6E1306"/>
    <w:rsid w:val="4CAB7CC1"/>
    <w:rsid w:val="4D2E67C6"/>
    <w:rsid w:val="4DEE1021"/>
    <w:rsid w:val="4E186164"/>
    <w:rsid w:val="4E2F1033"/>
    <w:rsid w:val="4E8274B0"/>
    <w:rsid w:val="4EFC1B31"/>
    <w:rsid w:val="4F2836A5"/>
    <w:rsid w:val="4FF363B3"/>
    <w:rsid w:val="50015D37"/>
    <w:rsid w:val="501216FC"/>
    <w:rsid w:val="50B73634"/>
    <w:rsid w:val="513B62C0"/>
    <w:rsid w:val="51504FE6"/>
    <w:rsid w:val="53111AD8"/>
    <w:rsid w:val="5314734D"/>
    <w:rsid w:val="532207FA"/>
    <w:rsid w:val="53FE3DB0"/>
    <w:rsid w:val="5425775E"/>
    <w:rsid w:val="54E91D9C"/>
    <w:rsid w:val="552247DE"/>
    <w:rsid w:val="55A47BB4"/>
    <w:rsid w:val="55D11632"/>
    <w:rsid w:val="55E92585"/>
    <w:rsid w:val="56804A86"/>
    <w:rsid w:val="57184991"/>
    <w:rsid w:val="5790790A"/>
    <w:rsid w:val="57BB6218"/>
    <w:rsid w:val="57FF3AAA"/>
    <w:rsid w:val="58DD2EEE"/>
    <w:rsid w:val="58E96C7A"/>
    <w:rsid w:val="59AD3C67"/>
    <w:rsid w:val="59CC6D6F"/>
    <w:rsid w:val="5A1A1165"/>
    <w:rsid w:val="5ABA33EB"/>
    <w:rsid w:val="5B0D630F"/>
    <w:rsid w:val="5B5D608F"/>
    <w:rsid w:val="5C33703B"/>
    <w:rsid w:val="5C3C3DDC"/>
    <w:rsid w:val="5D160516"/>
    <w:rsid w:val="5D7D0F36"/>
    <w:rsid w:val="5DB61BFF"/>
    <w:rsid w:val="5DEF454B"/>
    <w:rsid w:val="5E5A6C63"/>
    <w:rsid w:val="5F3C6712"/>
    <w:rsid w:val="5F4B58F3"/>
    <w:rsid w:val="6053481F"/>
    <w:rsid w:val="606E0DED"/>
    <w:rsid w:val="60716FC0"/>
    <w:rsid w:val="60AB2000"/>
    <w:rsid w:val="610129B1"/>
    <w:rsid w:val="612D6938"/>
    <w:rsid w:val="61D7419E"/>
    <w:rsid w:val="61D85325"/>
    <w:rsid w:val="62860AAA"/>
    <w:rsid w:val="628B7CEE"/>
    <w:rsid w:val="629D5796"/>
    <w:rsid w:val="62C476E5"/>
    <w:rsid w:val="657A160B"/>
    <w:rsid w:val="66DD4F9F"/>
    <w:rsid w:val="67182835"/>
    <w:rsid w:val="671E2162"/>
    <w:rsid w:val="678438DB"/>
    <w:rsid w:val="67CD5EA6"/>
    <w:rsid w:val="686B34D1"/>
    <w:rsid w:val="68D8721E"/>
    <w:rsid w:val="6A455E4A"/>
    <w:rsid w:val="6A79436D"/>
    <w:rsid w:val="6B3A5BD0"/>
    <w:rsid w:val="6B3C7023"/>
    <w:rsid w:val="6B610D05"/>
    <w:rsid w:val="6BAC21D5"/>
    <w:rsid w:val="6C1D42E9"/>
    <w:rsid w:val="6C3E5296"/>
    <w:rsid w:val="6C952DF1"/>
    <w:rsid w:val="6CED1CB3"/>
    <w:rsid w:val="6D201CAE"/>
    <w:rsid w:val="6D3B42C3"/>
    <w:rsid w:val="6DDE0D10"/>
    <w:rsid w:val="6E082488"/>
    <w:rsid w:val="6E5969DC"/>
    <w:rsid w:val="6E7B6A0F"/>
    <w:rsid w:val="6E7E575F"/>
    <w:rsid w:val="6EF15941"/>
    <w:rsid w:val="6F9921A1"/>
    <w:rsid w:val="6FB83EF3"/>
    <w:rsid w:val="717F4370"/>
    <w:rsid w:val="73407EBD"/>
    <w:rsid w:val="73EF4563"/>
    <w:rsid w:val="74175679"/>
    <w:rsid w:val="742F0C48"/>
    <w:rsid w:val="744124AA"/>
    <w:rsid w:val="74664F47"/>
    <w:rsid w:val="7468660B"/>
    <w:rsid w:val="75032B80"/>
    <w:rsid w:val="77DC27D8"/>
    <w:rsid w:val="77E0572E"/>
    <w:rsid w:val="77ED4104"/>
    <w:rsid w:val="789508C5"/>
    <w:rsid w:val="78EF4372"/>
    <w:rsid w:val="79771B00"/>
    <w:rsid w:val="7980282D"/>
    <w:rsid w:val="798F6426"/>
    <w:rsid w:val="79E60E88"/>
    <w:rsid w:val="7A450BCE"/>
    <w:rsid w:val="7A5520F1"/>
    <w:rsid w:val="7ACA272A"/>
    <w:rsid w:val="7B0E7C70"/>
    <w:rsid w:val="7B2F5D22"/>
    <w:rsid w:val="7C8B1B8E"/>
    <w:rsid w:val="7CBE6536"/>
    <w:rsid w:val="7D4A0F3E"/>
    <w:rsid w:val="7E6F339A"/>
    <w:rsid w:val="7E810662"/>
    <w:rsid w:val="7F590AE3"/>
    <w:rsid w:val="7FC44D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4"/>
      <w:szCs w:val="24"/>
      <w:lang w:val="en-US" w:eastAsia="zh-CN" w:bidi="ar-SA"/>
    </w:rPr>
  </w:style>
  <w:style w:type="paragraph" w:styleId="2">
    <w:name w:val="heading 1"/>
    <w:basedOn w:val="1"/>
    <w:next w:val="1"/>
    <w:link w:val="19"/>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paragraph" w:styleId="3">
    <w:name w:val="heading 2"/>
    <w:basedOn w:val="1"/>
    <w:next w:val="1"/>
    <w:link w:val="21"/>
    <w:unhideWhenUsed/>
    <w:qFormat/>
    <w:uiPriority w:val="0"/>
    <w:pPr>
      <w:keepNext/>
      <w:keepLines/>
      <w:spacing w:before="20" w:beforeLines="0" w:beforeAutospacing="0" w:after="20" w:afterLines="0" w:afterAutospacing="0" w:line="240" w:lineRule="auto"/>
      <w:outlineLvl w:val="1"/>
    </w:pPr>
    <w:rPr>
      <w:rFonts w:ascii="Arial" w:hAnsi="Arial" w:eastAsia="宋体"/>
      <w:b/>
      <w:sz w:val="24"/>
    </w:rPr>
  </w:style>
  <w:style w:type="paragraph" w:styleId="4">
    <w:name w:val="heading 3"/>
    <w:basedOn w:val="1"/>
    <w:next w:val="1"/>
    <w:link w:val="23"/>
    <w:unhideWhenUsed/>
    <w:qFormat/>
    <w:uiPriority w:val="0"/>
    <w:pPr>
      <w:keepNext/>
      <w:keepLines/>
      <w:spacing w:before="20" w:beforeLines="0" w:beforeAutospacing="0" w:after="20" w:afterLines="0" w:afterAutospacing="0" w:line="360" w:lineRule="auto"/>
      <w:outlineLvl w:val="2"/>
    </w:pPr>
    <w:rPr>
      <w:rFonts w:hAnsi="Calibri" w:eastAsia="宋体"/>
      <w:b/>
      <w:sz w:val="24"/>
    </w:rPr>
  </w:style>
  <w:style w:type="character" w:default="1" w:styleId="13">
    <w:name w:val="Default Paragraph Font"/>
    <w:semiHidden/>
    <w:qFormat/>
    <w:uiPriority w:val="0"/>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5">
    <w:name w:val="annotation text"/>
    <w:basedOn w:val="1"/>
    <w:link w:val="24"/>
    <w:qFormat/>
    <w:uiPriority w:val="0"/>
    <w:pPr>
      <w:jc w:val="left"/>
    </w:pPr>
  </w:style>
  <w:style w:type="paragraph" w:styleId="6">
    <w:name w:val="Balloon Text"/>
    <w:basedOn w:val="1"/>
    <w:link w:val="2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rPr>
      <w:sz w:val="24"/>
    </w:rPr>
  </w:style>
  <w:style w:type="paragraph" w:styleId="10">
    <w:name w:val="annotation subject"/>
    <w:basedOn w:val="5"/>
    <w:next w:val="5"/>
    <w:link w:val="22"/>
    <w:qFormat/>
    <w:uiPriority w:val="0"/>
    <w:rPr>
      <w:b/>
      <w:bCs/>
    </w:rPr>
  </w:style>
  <w:style w:type="table" w:styleId="12">
    <w:name w:val="Table Grid"/>
    <w:basedOn w:val="11"/>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4">
    <w:name w:val="Hyperlink"/>
    <w:qFormat/>
    <w:uiPriority w:val="0"/>
    <w:rPr>
      <w:color w:val="0000FF"/>
      <w:u w:val="single"/>
    </w:rPr>
  </w:style>
  <w:style w:type="character" w:styleId="15">
    <w:name w:val="annotation reference"/>
    <w:qFormat/>
    <w:uiPriority w:val="0"/>
    <w:rPr>
      <w:sz w:val="21"/>
      <w:szCs w:val="21"/>
    </w:rPr>
  </w:style>
  <w:style w:type="paragraph" w:customStyle="1" w:styleId="16">
    <w:name w:val="样式1"/>
    <w:basedOn w:val="1"/>
    <w:next w:val="1"/>
    <w:qFormat/>
    <w:uiPriority w:val="0"/>
    <w:pPr>
      <w:keepNext/>
      <w:keepLines/>
      <w:spacing w:before="340" w:beforeLines="0" w:after="330" w:afterLines="0" w:line="576" w:lineRule="auto"/>
      <w:outlineLvl w:val="0"/>
    </w:pPr>
    <w:rPr>
      <w:rFonts w:hint="eastAsia"/>
      <w:b/>
      <w:kern w:val="44"/>
      <w:sz w:val="44"/>
    </w:rPr>
  </w:style>
  <w:style w:type="paragraph" w:customStyle="1" w:styleId="1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8">
    <w:name w:val="List Paragraph"/>
    <w:basedOn w:val="1"/>
    <w:unhideWhenUsed/>
    <w:qFormat/>
    <w:uiPriority w:val="99"/>
    <w:pPr>
      <w:ind w:firstLine="420" w:firstLineChars="200"/>
    </w:pPr>
  </w:style>
  <w:style w:type="character" w:customStyle="1" w:styleId="19">
    <w:name w:val="标题 1 Char"/>
    <w:link w:val="2"/>
    <w:qFormat/>
    <w:uiPriority w:val="0"/>
    <w:rPr>
      <w:rFonts w:eastAsia="宋体"/>
      <w:b/>
      <w:kern w:val="44"/>
      <w:sz w:val="44"/>
    </w:rPr>
  </w:style>
  <w:style w:type="character" w:customStyle="1" w:styleId="20">
    <w:name w:val="批注框文本 Char"/>
    <w:link w:val="6"/>
    <w:qFormat/>
    <w:uiPriority w:val="0"/>
    <w:rPr>
      <w:rFonts w:ascii="Calibri" w:hAnsi="Calibri" w:cs="黑体"/>
      <w:kern w:val="2"/>
      <w:sz w:val="18"/>
      <w:szCs w:val="18"/>
    </w:rPr>
  </w:style>
  <w:style w:type="character" w:customStyle="1" w:styleId="21">
    <w:name w:val="标题 2 Char"/>
    <w:link w:val="3"/>
    <w:qFormat/>
    <w:uiPriority w:val="0"/>
    <w:rPr>
      <w:rFonts w:ascii="Arial" w:hAnsi="Arial" w:eastAsia="宋体"/>
      <w:b/>
      <w:sz w:val="24"/>
    </w:rPr>
  </w:style>
  <w:style w:type="character" w:customStyle="1" w:styleId="22">
    <w:name w:val="批注主题 Char"/>
    <w:link w:val="10"/>
    <w:qFormat/>
    <w:uiPriority w:val="0"/>
    <w:rPr>
      <w:rFonts w:ascii="Calibri" w:hAnsi="Calibri" w:cs="黑体"/>
      <w:b/>
      <w:bCs/>
      <w:kern w:val="2"/>
      <w:sz w:val="21"/>
      <w:szCs w:val="24"/>
    </w:rPr>
  </w:style>
  <w:style w:type="character" w:customStyle="1" w:styleId="23">
    <w:name w:val="标题 3 Char"/>
    <w:link w:val="4"/>
    <w:qFormat/>
    <w:uiPriority w:val="0"/>
    <w:rPr>
      <w:rFonts w:hAnsi="Calibri" w:eastAsia="宋体"/>
      <w:b/>
      <w:sz w:val="24"/>
    </w:rPr>
  </w:style>
  <w:style w:type="character" w:customStyle="1" w:styleId="24">
    <w:name w:val="批注文字 Char"/>
    <w:link w:val="5"/>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58</Pages>
  <Words>37211</Words>
  <Characters>38222</Characters>
  <Lines>210</Lines>
  <Paragraphs>59</Paragraphs>
  <TotalTime>0</TotalTime>
  <ScaleCrop>false</ScaleCrop>
  <LinksUpToDate>false</LinksUpToDate>
  <CharactersWithSpaces>38471</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hccb</cp:lastModifiedBy>
  <dcterms:modified xsi:type="dcterms:W3CDTF">2025-06-19T03:22:26Z</dcterms:modified>
  <dc:title>杭银理财幸福99XXXX理财计划合同</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06A49D61929F4201B4ADB8DA4C945300</vt:lpwstr>
  </property>
</Properties>
</file>