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【稳添利最短持有期日开固收类】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4</w:t>
      </w:r>
      <w:r>
        <w:rPr>
          <w:rStyle w:val="27"/>
          <w:rFonts w:hint="eastAsia" w:ascii="宋体" w:hAnsi="宋体" w:cs="Times New Roman"/>
          <w:sz w:val="32"/>
          <w:szCs w:val="32"/>
        </w:rPr>
        <w:t>】月</w:t>
      </w:r>
      <w:permEnd w:id="1"/>
    </w:p>
    <w:p>
      <w:pPr>
        <w:rPr>
          <w:rStyle w:val="27"/>
          <w:rFonts w:ascii="宋体" w:hAnsi="宋体"/>
          <w:sz w:val="32"/>
          <w:szCs w:val="32"/>
        </w:rPr>
      </w:pPr>
      <w:r>
        <w:rPr>
          <w:rStyle w:val="27"/>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306"/>
            </w:tabs>
          </w:pPr>
          <w:r>
            <w:fldChar w:fldCharType="begin"/>
          </w:r>
          <w:r>
            <w:instrText xml:space="preserve"> TOC \o "1-3" \h \z \u </w:instrText>
          </w:r>
          <w:r>
            <w:fldChar w:fldCharType="separate"/>
          </w:r>
          <w:r>
            <w:fldChar w:fldCharType="begin"/>
          </w:r>
          <w:r>
            <w:instrText xml:space="preserve"> HYPERLINK \l "_Toc29814"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begin"/>
          </w:r>
          <w:r>
            <w:instrText xml:space="preserve"> PAGEREF _Toc29814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"_Toc30087" </w:instrText>
          </w:r>
          <w:r>
            <w:fldChar w:fldCharType="separate"/>
          </w:r>
          <w:r>
            <w:rPr>
              <w:rFonts w:hint="eastAsia" w:hAnsi="宋体"/>
              <w:szCs w:val="28"/>
            </w:rPr>
            <w:t xml:space="preserve">第二条  理财产品基本情况 </w:t>
          </w:r>
          <w:r>
            <w:tab/>
          </w:r>
          <w:r>
            <w:fldChar w:fldCharType="begin"/>
          </w:r>
          <w:r>
            <w:instrText xml:space="preserve"> PAGEREF _Toc30087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"_Toc21959"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begin"/>
          </w:r>
          <w:r>
            <w:instrText xml:space="preserve"> PAGEREF _Toc21959 \h </w:instrText>
          </w:r>
          <w:r>
            <w:fldChar w:fldCharType="separate"/>
          </w:r>
          <w:r>
            <w:t>14</w:t>
          </w:r>
          <w:r>
            <w:fldChar w:fldCharType="end"/>
          </w:r>
          <w:r>
            <w:fldChar w:fldCharType="end"/>
          </w:r>
        </w:p>
        <w:p>
          <w:pPr>
            <w:pStyle w:val="16"/>
            <w:tabs>
              <w:tab w:val="right" w:leader="dot" w:pos="8306"/>
            </w:tabs>
          </w:pPr>
          <w:r>
            <w:fldChar w:fldCharType="begin"/>
          </w:r>
          <w:r>
            <w:instrText xml:space="preserve"> HYPERLINK \l "_Toc29856"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begin"/>
          </w:r>
          <w:r>
            <w:instrText xml:space="preserve"> PAGEREF _Toc29856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"_Toc23413"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begin"/>
          </w:r>
          <w:r>
            <w:instrText xml:space="preserve"> PAGEREF _Toc23413 \h </w:instrText>
          </w:r>
          <w:r>
            <w:fldChar w:fldCharType="separate"/>
          </w:r>
          <w:r>
            <w:t>20</w:t>
          </w:r>
          <w:r>
            <w:fldChar w:fldCharType="end"/>
          </w:r>
          <w:r>
            <w:fldChar w:fldCharType="end"/>
          </w:r>
        </w:p>
        <w:p>
          <w:pPr>
            <w:pStyle w:val="16"/>
            <w:tabs>
              <w:tab w:val="right" w:leader="dot" w:pos="8306"/>
            </w:tabs>
          </w:pPr>
          <w:r>
            <w:fldChar w:fldCharType="begin"/>
          </w:r>
          <w:r>
            <w:instrText xml:space="preserve"> HYPERLINK \l "_Toc5702"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begin"/>
          </w:r>
          <w:r>
            <w:instrText xml:space="preserve"> PAGEREF _Toc5702 \h </w:instrText>
          </w:r>
          <w:r>
            <w:fldChar w:fldCharType="separate"/>
          </w:r>
          <w:r>
            <w:t>23</w:t>
          </w:r>
          <w:r>
            <w:fldChar w:fldCharType="end"/>
          </w:r>
          <w:r>
            <w:fldChar w:fldCharType="end"/>
          </w:r>
        </w:p>
        <w:p>
          <w:pPr>
            <w:pStyle w:val="16"/>
            <w:tabs>
              <w:tab w:val="right" w:leader="dot" w:pos="8306"/>
            </w:tabs>
          </w:pPr>
          <w:r>
            <w:fldChar w:fldCharType="begin"/>
          </w:r>
          <w:r>
            <w:instrText xml:space="preserve"> HYPERLINK \l "_Toc11152" </w:instrText>
          </w:r>
          <w:r>
            <w:fldChar w:fldCharType="separate"/>
          </w:r>
          <w:r>
            <w:rPr>
              <w:rFonts w:hint="eastAsia" w:ascii="Times New Roman"/>
              <w:szCs w:val="28"/>
            </w:rPr>
            <w:t>第七条</w:t>
          </w:r>
          <w:r>
            <w:rPr>
              <w:rFonts w:ascii="Times New Roman"/>
              <w:szCs w:val="28"/>
            </w:rPr>
            <w:t xml:space="preserve">  </w:t>
          </w:r>
          <w:r>
            <w:rPr>
              <w:rFonts w:hint="eastAsia" w:ascii="Times New Roman"/>
              <w:szCs w:val="28"/>
            </w:rPr>
            <w:t>理财产品项下资产的估值</w:t>
          </w:r>
          <w:r>
            <w:tab/>
          </w:r>
          <w:r>
            <w:fldChar w:fldCharType="begin"/>
          </w:r>
          <w:r>
            <w:instrText xml:space="preserve"> PAGEREF _Toc11152 \h </w:instrText>
          </w:r>
          <w:r>
            <w:fldChar w:fldCharType="separate"/>
          </w:r>
          <w:r>
            <w:t>24</w:t>
          </w:r>
          <w:r>
            <w:fldChar w:fldCharType="end"/>
          </w:r>
          <w:r>
            <w:fldChar w:fldCharType="end"/>
          </w:r>
        </w:p>
        <w:p>
          <w:pPr>
            <w:pStyle w:val="16"/>
            <w:tabs>
              <w:tab w:val="right" w:leader="dot" w:pos="8306"/>
            </w:tabs>
          </w:pPr>
          <w:r>
            <w:fldChar w:fldCharType="begin"/>
          </w:r>
          <w:r>
            <w:instrText xml:space="preserve"> HYPERLINK \l "_Toc8045"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begin"/>
          </w:r>
          <w:r>
            <w:instrText xml:space="preserve"> PAGEREF _Toc8045 \h </w:instrText>
          </w:r>
          <w:r>
            <w:fldChar w:fldCharType="separate"/>
          </w:r>
          <w:r>
            <w:t>28</w:t>
          </w:r>
          <w:r>
            <w:fldChar w:fldCharType="end"/>
          </w:r>
          <w:r>
            <w:fldChar w:fldCharType="end"/>
          </w:r>
        </w:p>
        <w:p>
          <w:pPr>
            <w:pStyle w:val="16"/>
            <w:tabs>
              <w:tab w:val="right" w:leader="dot" w:pos="8306"/>
            </w:tabs>
          </w:pPr>
          <w:r>
            <w:fldChar w:fldCharType="begin"/>
          </w:r>
          <w:r>
            <w:instrText xml:space="preserve"> HYPERLINK \l "_Toc22998"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begin"/>
          </w:r>
          <w:r>
            <w:instrText xml:space="preserve"> PAGEREF _Toc22998 \h </w:instrText>
          </w:r>
          <w:r>
            <w:fldChar w:fldCharType="separate"/>
          </w:r>
          <w:r>
            <w:t>29</w:t>
          </w:r>
          <w:r>
            <w:fldChar w:fldCharType="end"/>
          </w:r>
          <w:r>
            <w:fldChar w:fldCharType="end"/>
          </w:r>
        </w:p>
        <w:p>
          <w:pPr>
            <w:pStyle w:val="16"/>
            <w:tabs>
              <w:tab w:val="right" w:leader="dot" w:pos="8306"/>
            </w:tabs>
          </w:pPr>
          <w:r>
            <w:fldChar w:fldCharType="begin"/>
          </w:r>
          <w:r>
            <w:instrText xml:space="preserve"> HYPERLINK \l "_Toc5388"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_Toc5388 \h </w:instrText>
          </w:r>
          <w:r>
            <w:fldChar w:fldCharType="separate"/>
          </w:r>
          <w:r>
            <w:t>32</w:t>
          </w:r>
          <w:r>
            <w:fldChar w:fldCharType="end"/>
          </w:r>
          <w:r>
            <w:fldChar w:fldCharType="end"/>
          </w:r>
        </w:p>
        <w:p>
          <w:pPr>
            <w:pStyle w:val="16"/>
            <w:tabs>
              <w:tab w:val="right" w:leader="dot" w:pos="8306"/>
            </w:tabs>
          </w:pPr>
          <w:r>
            <w:fldChar w:fldCharType="begin"/>
          </w:r>
          <w:r>
            <w:instrText xml:space="preserve"> HYPERLINK \l "_Toc24268" </w:instrText>
          </w:r>
          <w:r>
            <w:fldChar w:fldCharType="separate"/>
          </w:r>
          <w:r>
            <w:rPr>
              <w:rFonts w:hint="eastAsia" w:ascii="Times New Roman"/>
              <w:szCs w:val="28"/>
            </w:rPr>
            <w:t>第十一条</w:t>
          </w:r>
          <w:r>
            <w:rPr>
              <w:rFonts w:ascii="Times New Roman"/>
              <w:szCs w:val="28"/>
            </w:rPr>
            <w:t xml:space="preserve">  </w:t>
          </w:r>
          <w:r>
            <w:rPr>
              <w:rFonts w:hint="eastAsia" w:ascii="Times New Roman"/>
              <w:szCs w:val="28"/>
            </w:rPr>
            <w:t>理财产品的信息披露</w:t>
          </w:r>
          <w:r>
            <w:tab/>
          </w:r>
          <w:r>
            <w:fldChar w:fldCharType="begin"/>
          </w:r>
          <w:r>
            <w:instrText xml:space="preserve"> PAGEREF _Toc24268 \h </w:instrText>
          </w:r>
          <w:r>
            <w:fldChar w:fldCharType="separate"/>
          </w:r>
          <w:r>
            <w:t>34</w:t>
          </w:r>
          <w:r>
            <w:fldChar w:fldCharType="end"/>
          </w:r>
          <w:r>
            <w:fldChar w:fldCharType="end"/>
          </w:r>
        </w:p>
        <w:p>
          <w:pPr>
            <w:pStyle w:val="16"/>
            <w:tabs>
              <w:tab w:val="right" w:leader="dot" w:pos="8306"/>
            </w:tabs>
          </w:pPr>
          <w:r>
            <w:fldChar w:fldCharType="begin"/>
          </w:r>
          <w:r>
            <w:instrText xml:space="preserve"> HYPERLINK \l "_Toc8020"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begin"/>
          </w:r>
          <w:r>
            <w:instrText xml:space="preserve"> PAGEREF _Toc8020 \h </w:instrText>
          </w:r>
          <w:r>
            <w:fldChar w:fldCharType="separate"/>
          </w:r>
          <w:r>
            <w:t>36</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92377130"/>
      <w:bookmarkStart w:id="2" w:name="_Toc29814"/>
      <w:bookmarkStart w:id="3" w:name="_Toc26572"/>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bookmarkEnd w:id="3"/>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【稳添利最短持有期日开固收类】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【稳添利最短持有期日开固收类】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【稳添利最短持有期日开固收类】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【稳添利最短持有期日开固收类】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【稳添利最短持有期日开固收类】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【稳添利最短持有期日开固收类】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【稳添利最短持有期日开固收类】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【稳添利最短持有期日开固收类】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【稳添利最短持有期日开固收类】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理财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）适合投资者：指适合购买理财产品的投资者类型。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（20）巨额赎回：每个赎回日，本产品的净赎回申请（赎回申请份额总数扣除申购申请份额总数后的余额,下同）之和达到上一赎回日产品总份额的约定百分比，为巨额赎回。</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21）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22）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）成立日：指理财产品开始运作的日期。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）终止日：指理财产品终止的日期。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）★最短持有期:指自产品成立日/申购确认日起，投资者持有的产品份额被锁定持有的最短期间。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（13）申购申请日：指投资者做出申购申请的当日。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（14）赎回申请日：指投资者做出赎回申请的当日。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5）申购日：指产品管理人接受投资者申购申请的当日。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6）赎回日：指产品管理人接受投资者赎回申请的当日。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8）赎回确认日：指产品管理人确认投资者赎回</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4" w:name="_Toc79154665"/>
      <w:bookmarkStart w:id="5" w:name="_Toc92377131"/>
      <w:bookmarkStart w:id="6" w:name="_Toc14559"/>
      <w:bookmarkStart w:id="7" w:name="_Toc30087"/>
      <w:r>
        <w:rPr>
          <w:rFonts w:hint="eastAsia" w:hAnsi="宋体"/>
          <w:sz w:val="28"/>
          <w:szCs w:val="28"/>
        </w:rPr>
        <w:t>第二条  理财产品基本情况</w:t>
      </w:r>
      <w:bookmarkEnd w:id="4"/>
      <w:bookmarkEnd w:id="5"/>
      <w:r>
        <w:rPr>
          <w:rFonts w:hint="eastAsia" w:hAnsi="宋体"/>
          <w:sz w:val="28"/>
          <w:szCs w:val="28"/>
        </w:rPr>
        <w:t xml:space="preserve"> </w:t>
      </w:r>
      <w:bookmarkEnd w:id="6"/>
      <w:bookmarkEnd w:id="7"/>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宋体" w:hAnsi="宋体"/>
                <w:sz w:val="18"/>
                <w:szCs w:val="18"/>
              </w:rPr>
              <w:t>【兴银理财稳添利周盈60号(7天最短持有期)日开固收类理财产品】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tcPr>
          <w:p>
            <w:pPr>
              <w:widowControl/>
              <w:spacing w:line="360" w:lineRule="auto"/>
              <w:jc w:val="left"/>
              <w:rPr>
                <w:rFonts w:ascii="宋体" w:hAnsi="宋体"/>
                <w:kern w:val="0"/>
                <w:sz w:val="22"/>
              </w:rPr>
            </w:pPr>
            <w:r>
              <w:rPr>
                <w:rFonts w:hint="eastAsia" w:asciiTheme="majorEastAsia" w:hAnsiTheme="majorEastAsia" w:eastAsiaTheme="majorEastAsia"/>
                <w:bCs/>
                <w:kern w:val="0"/>
                <w:sz w:val="18"/>
                <w:szCs w:val="18"/>
              </w:rPr>
              <w:t>【稳添利周盈60号</w:t>
            </w:r>
            <w:r>
              <w:rPr>
                <w:rFonts w:hint="eastAsia" w:asciiTheme="majorEastAsia" w:hAnsiTheme="majorEastAsia" w:eastAsiaTheme="majorEastAsia"/>
                <w:bCs/>
                <w:kern w:val="0"/>
                <w:sz w:val="18"/>
                <w:szCs w:val="18"/>
                <w:lang w:val="en-US" w:eastAsia="zh-CN"/>
              </w:rPr>
              <w:t>C</w:t>
            </w:r>
            <w:r>
              <w:rPr>
                <w:rFonts w:hint="eastAsia" w:asciiTheme="majorEastAsia" w:hAnsiTheme="majorEastAsia" w:eastAsiaTheme="majorEastAsia"/>
                <w:bCs/>
                <w:kern w:val="0"/>
                <w:sz w:val="18"/>
                <w:szCs w:val="18"/>
              </w:rPr>
              <w:t>】</w:t>
            </w:r>
            <w:r>
              <w:rPr>
                <w:rFonts w:hint="eastAsia" w:hAnsi="宋体"/>
                <w:sz w:val="18"/>
                <w:szCs w:val="18"/>
              </w:rPr>
              <w:t>（</w:t>
            </w:r>
            <w:r>
              <w:rPr>
                <w:rFonts w:hint="eastAsia" w:hAnsi="宋体"/>
                <w:sz w:val="18"/>
                <w:szCs w:val="18"/>
                <w:lang w:eastAsia="zh-CN"/>
              </w:rPr>
              <w:t>适用【</w:t>
            </w:r>
            <w:r>
              <w:rPr>
                <w:rFonts w:hint="eastAsia" w:hAnsi="宋体"/>
                <w:sz w:val="18"/>
                <w:szCs w:val="18"/>
                <w:lang w:val="en-US" w:eastAsia="zh-CN"/>
              </w:rPr>
              <w:t>C</w:t>
            </w:r>
            <w:r>
              <w:rPr>
                <w:rFonts w:hint="eastAsia" w:hAnsi="宋体"/>
                <w:sz w:val="18"/>
                <w:szCs w:val="18"/>
                <w:lang w:eastAsia="zh-CN"/>
              </w:rPr>
              <w:t>】类份额</w:t>
            </w:r>
            <w:r>
              <w:rPr>
                <w:rFonts w:hint="eastAsia"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【Z7002025000578】</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9K410600】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tcPr>
          <w:p>
            <w:pPr>
              <w:spacing w:line="320" w:lineRule="exact"/>
              <w:jc w:val="left"/>
              <w:rPr>
                <w:rFonts w:hint="eastAsia" w:hAnsi="宋体"/>
                <w:sz w:val="18"/>
                <w:szCs w:val="18"/>
              </w:rPr>
            </w:pPr>
            <w:r>
              <w:rPr>
                <w:rFonts w:hint="eastAsia" w:ascii="宋体" w:hAnsi="宋体"/>
                <w:color w:val="000000" w:themeColor="text1"/>
                <w:sz w:val="18"/>
                <w:szCs w:val="18"/>
                <w14:textFill>
                  <w14:solidFill>
                    <w14:schemeClr w14:val="tx1"/>
                  </w14:solidFill>
                </w14:textFill>
              </w:rPr>
              <w:t>【9K41060</w:t>
            </w:r>
            <w:r>
              <w:rPr>
                <w:rFonts w:hint="eastAsia" w:ascii="宋体" w:hAnsi="宋体"/>
                <w:color w:val="000000" w:themeColor="text1"/>
                <w:sz w:val="18"/>
                <w:szCs w:val="18"/>
                <w:lang w:val="en-US" w:eastAsia="zh-CN"/>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eastAsia="zh-CN"/>
                <w14:textFill>
                  <w14:solidFill>
                    <w14:schemeClr w14:val="tx1"/>
                  </w14:solidFill>
                </w14:textFill>
              </w:rPr>
              <w:t>适用【C】类份额</w:t>
            </w:r>
            <w:r>
              <w:rPr>
                <w:rFonts w:hint="eastAsia" w:ascii="宋体" w:hAnsi="宋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黑体" w:hAnsi="黑体" w:eastAsia="黑体"/>
                <w:bCs/>
                <w:sz w:val="18"/>
                <w:szCs w:val="18"/>
              </w:rPr>
            </w:pPr>
            <w:r>
              <w:rPr>
                <w:rFonts w:hint="eastAsia" w:ascii="黑体" w:hAnsi="黑体" w:eastAsia="黑体"/>
                <w:sz w:val="18"/>
                <w:szCs w:val="18"/>
              </w:rPr>
              <w:t>公募</w:t>
            </w:r>
            <w:r>
              <w:rPr>
                <w:rFonts w:hint="eastAsia" w:ascii="黑体" w:hAnsi="黑体" w:eastAsia="黑体"/>
                <w:bCs/>
                <w:sz w:val="18"/>
                <w:szCs w:val="18"/>
              </w:rPr>
              <w:t>、开放式、固定收益类、非保本浮动</w:t>
            </w:r>
            <w:r>
              <w:rPr>
                <w:rFonts w:ascii="黑体" w:hAnsi="黑体" w:eastAsia="黑体"/>
                <w:bCs/>
                <w:sz w:val="18"/>
                <w:szCs w:val="18"/>
              </w:rPr>
              <w:t>收益</w:t>
            </w:r>
            <w:r>
              <w:rPr>
                <w:rFonts w:hint="eastAsia" w:ascii="黑体" w:hAnsi="黑体" w:eastAsia="黑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360" w:lineRule="auto"/>
              <w:rPr>
                <w:rFonts w:ascii="黑体" w:hAnsi="黑体" w:eastAsia="黑体"/>
                <w:bCs/>
                <w:sz w:val="18"/>
                <w:szCs w:val="18"/>
              </w:rPr>
            </w:pPr>
            <w:r>
              <w:rPr>
                <w:rFonts w:hint="eastAsia" w:ascii="黑体" w:hAnsi="黑体" w:eastAsia="黑体"/>
                <w:bCs/>
                <w:sz w:val="18"/>
                <w:szCs w:val="18"/>
              </w:rPr>
              <w:t>固定收益类</w:t>
            </w:r>
          </w:p>
          <w:p>
            <w:pPr>
              <w:adjustRightInd w:val="0"/>
              <w:snapToGrid w:val="0"/>
              <w:spacing w:line="360" w:lineRule="auto"/>
              <w:rPr>
                <w:rFonts w:ascii="黑体" w:hAnsi="黑体" w:eastAsia="黑体"/>
                <w:bCs/>
                <w:sz w:val="18"/>
                <w:szCs w:val="18"/>
              </w:rPr>
            </w:pPr>
            <w:r>
              <w:rPr>
                <w:rFonts w:hint="eastAsia" w:ascii="黑体" w:hAnsi="黑体" w:eastAsia="黑体"/>
                <w:bCs/>
                <w:sz w:val="18"/>
                <w:szCs w:val="18"/>
              </w:rPr>
              <w:t>固定</w:t>
            </w:r>
            <w:r>
              <w:rPr>
                <w:rFonts w:ascii="黑体" w:hAnsi="黑体" w:eastAsia="黑体"/>
                <w:bCs/>
                <w:sz w:val="18"/>
                <w:szCs w:val="18"/>
              </w:rPr>
              <w:t>收益</w:t>
            </w:r>
            <w:r>
              <w:rPr>
                <w:rFonts w:hint="eastAsia" w:ascii="黑体" w:hAnsi="黑体" w:eastAsia="黑体"/>
                <w:bCs/>
                <w:sz w:val="18"/>
                <w:szCs w:val="18"/>
              </w:rPr>
              <w:t>类</w:t>
            </w:r>
            <w:r>
              <w:rPr>
                <w:rFonts w:ascii="黑体" w:hAnsi="黑体" w:eastAsia="黑体"/>
                <w:bCs/>
                <w:sz w:val="18"/>
                <w:szCs w:val="18"/>
              </w:rPr>
              <w:t>产品是指根据监管</w:t>
            </w:r>
            <w:r>
              <w:rPr>
                <w:rFonts w:hint="eastAsia" w:ascii="黑体" w:hAnsi="黑体" w:eastAsia="黑体"/>
                <w:bCs/>
                <w:sz w:val="18"/>
                <w:szCs w:val="18"/>
              </w:rPr>
              <w:t>相关规定</w:t>
            </w:r>
            <w:r>
              <w:rPr>
                <w:rFonts w:ascii="黑体" w:hAnsi="黑体" w:eastAsia="黑体"/>
                <w:bCs/>
                <w:sz w:val="18"/>
                <w:szCs w:val="18"/>
              </w:rPr>
              <w:t>，投资于债权类资产的</w:t>
            </w:r>
            <w:r>
              <w:rPr>
                <w:rFonts w:hint="eastAsia" w:ascii="黑体" w:hAnsi="黑体" w:eastAsia="黑体"/>
                <w:bCs/>
                <w:sz w:val="18"/>
                <w:szCs w:val="18"/>
              </w:rPr>
              <w:t>比例</w:t>
            </w:r>
            <w:r>
              <w:rPr>
                <w:rFonts w:ascii="黑体" w:hAnsi="黑体" w:eastAsia="黑体"/>
                <w:bCs/>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黑体" w:hAnsi="黑体" w:eastAsia="黑体" w:cs="黑体"/>
                <w:bCs/>
                <w:sz w:val="18"/>
                <w:szCs w:val="18"/>
              </w:rPr>
            </w:pPr>
            <w:r>
              <w:rPr>
                <w:rFonts w:hint="eastAsia" w:ascii="黑体" w:hAnsi="黑体" w:eastAsia="黑体" w:cs="黑体"/>
                <w:bCs/>
                <w:sz w:val="18"/>
                <w:szCs w:val="18"/>
              </w:rPr>
              <w:t>非保本浮动收益</w:t>
            </w:r>
          </w:p>
          <w:p>
            <w:pPr>
              <w:adjustRightInd w:val="0"/>
              <w:snapToGrid w:val="0"/>
              <w:spacing w:line="360" w:lineRule="auto"/>
              <w:rPr>
                <w:rFonts w:ascii="黑体" w:hAnsi="黑体" w:eastAsia="黑体" w:cs="黑体"/>
                <w:bCs/>
                <w:sz w:val="18"/>
                <w:szCs w:val="18"/>
              </w:rPr>
            </w:pPr>
            <w:r>
              <w:rPr>
                <w:rFonts w:hint="eastAsia" w:ascii="黑体" w:hAnsi="黑体" w:eastAsia="黑体" w:cs="黑体"/>
                <w:bCs/>
                <w:sz w:val="18"/>
                <w:szCs w:val="18"/>
              </w:rPr>
              <w:t>本产品不保证本金且不保证收益。本产品的收益随投资收益浮动，投资者可能会因市场变动而蒙受损失。</w:t>
            </w:r>
          </w:p>
          <w:p>
            <w:pPr>
              <w:adjustRightInd w:val="0"/>
              <w:snapToGrid w:val="0"/>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1.5</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cs="仿宋_GB2312" w:asciiTheme="majorEastAsia" w:hAnsiTheme="majorEastAsia" w:eastAsiaTheme="majorEastAsia"/>
                <w:kern w:val="0"/>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w:t>
            </w:r>
            <w:r>
              <w:rPr>
                <w:rFonts w:hint="eastAsia" w:cs="Times New Roman" w:asciiTheme="minorEastAsia" w:hAnsiTheme="minorEastAsia"/>
                <w:sz w:val="18"/>
                <w:szCs w:val="18"/>
                <w:lang w:val="en-US" w:eastAsia="zh-CN"/>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17:00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inorEastAsia" w:hAnsiTheme="minorEastAsia"/>
                <w:b/>
                <w:bCs/>
                <w:sz w:val="18"/>
                <w:szCs w:val="18"/>
              </w:rPr>
            </w:pPr>
            <w:r>
              <w:rPr>
                <w:rFonts w:hint="eastAsia" w:asciiTheme="minorEastAsia" w:hAnsiTheme="minorEastAsia"/>
                <w:b/>
                <w:bCs/>
                <w:sz w:val="18"/>
                <w:szCs w:val="18"/>
              </w:rPr>
              <w:t>终止日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inorEastAsia" w:hAnsiTheme="minorEastAsia"/>
                <w:bCs/>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asciiTheme="minorEastAsia" w:hAnsiTheme="minorEastAsia"/>
                <w:b/>
                <w:bCs/>
                <w:sz w:val="18"/>
                <w:szCs w:val="18"/>
              </w:rPr>
            </w:pPr>
            <w:r>
              <w:rPr>
                <w:rFonts w:hint="eastAsia" w:hAnsi="宋体"/>
                <w:sz w:val="18"/>
                <w:szCs w:val="18"/>
              </w:rPr>
              <w:t>★</w:t>
            </w:r>
            <w:r>
              <w:rPr>
                <w:rFonts w:hint="eastAsia" w:asciiTheme="minorEastAsia" w:hAnsiTheme="minorEastAsia"/>
                <w:b/>
                <w:sz w:val="18"/>
                <w:szCs w:val="18"/>
              </w:rPr>
              <w:t>封闭期</w:t>
            </w:r>
          </w:p>
        </w:tc>
        <w:tc>
          <w:tcPr>
            <w:tcW w:w="7704" w:type="dxa"/>
            <w:shd w:val="solid" w:color="FFFFFF" w:fill="FFFFFF"/>
          </w:tcPr>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1.本产品封闭期为：【</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】年【</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】日至【</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】年【</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】日。</w:t>
            </w:r>
          </w:p>
          <w:p>
            <w:pPr>
              <w:spacing w:line="360" w:lineRule="auto"/>
              <w:rPr>
                <w:rFonts w:asciiTheme="minorEastAsia" w:hAnsiTheme="minorEastAsia"/>
                <w:bCs/>
                <w:sz w:val="18"/>
                <w:szCs w:val="18"/>
              </w:rPr>
            </w:pPr>
            <w:r>
              <w:rPr>
                <w:rFonts w:asciiTheme="minorEastAsia" w:hAnsiTheme="minorEastAsia"/>
                <w:sz w:val="18"/>
                <w:szCs w:val="18"/>
              </w:rPr>
              <w:t>2.</w:t>
            </w:r>
            <w:r>
              <w:rPr>
                <w:rFonts w:hint="eastAsia" w:asciiTheme="minorEastAsia" w:hAnsiTheme="minorEastAsia"/>
                <w:sz w:val="18"/>
                <w:szCs w:val="18"/>
              </w:rPr>
              <w:t>封闭期内不接受申购或赎回申请。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本产品的开放日</w:t>
            </w:r>
          </w:p>
          <w:p>
            <w:pPr>
              <w:spacing w:line="360" w:lineRule="auto"/>
              <w:rPr>
                <w:rFonts w:asciiTheme="minorEastAsia" w:hAnsiTheme="minorEastAsia"/>
                <w:sz w:val="18"/>
                <w:szCs w:val="18"/>
              </w:rPr>
            </w:pPr>
            <w:r>
              <w:rPr>
                <w:rFonts w:hint="eastAsia" w:asciiTheme="minorEastAsia" w:hAnsiTheme="minorEastAsia"/>
                <w:sz w:val="18"/>
                <w:szCs w:val="18"/>
              </w:rPr>
              <w:t>本产品封闭期结束后的第一个工作日起每日开放（产品管理人公告暂停开放的日期除外），投资者可于开放日提交申购申请。</w:t>
            </w:r>
          </w:p>
          <w:p>
            <w:pPr>
              <w:spacing w:line="360" w:lineRule="auto"/>
              <w:rPr>
                <w:rFonts w:asciiTheme="majorEastAsia" w:hAnsiTheme="majorEastAsia" w:eastAsiaTheme="majorEastAsia"/>
                <w:bCs/>
                <w:sz w:val="18"/>
                <w:szCs w:val="18"/>
              </w:rPr>
            </w:pPr>
            <w:r>
              <w:rPr>
                <w:rFonts w:hint="eastAsia" w:asciiTheme="minorEastAsia" w:hAnsiTheme="minorEastAsia"/>
                <w:sz w:val="18"/>
                <w:szCs w:val="18"/>
              </w:rPr>
              <w:t>本产品最短持有期为【</w:t>
            </w:r>
            <w:r>
              <w:rPr>
                <w:rFonts w:hint="eastAsia" w:asciiTheme="minorEastAsia" w:hAnsiTheme="minorEastAsia"/>
                <w:sz w:val="18"/>
                <w:szCs w:val="18"/>
                <w:lang w:val="en-US" w:eastAsia="zh-CN"/>
              </w:rPr>
              <w:t>7</w:t>
            </w:r>
            <w:r>
              <w:rPr>
                <w:rFonts w:hint="eastAsia" w:asciiTheme="minorEastAsia" w:hAnsiTheme="minorEastAsia"/>
                <w:sz w:val="18"/>
                <w:szCs w:val="18"/>
              </w:rPr>
              <w:t>】个自然日。</w:t>
            </w:r>
            <w:r>
              <w:rPr>
                <w:rFonts w:hint="eastAsia" w:asciiTheme="majorEastAsia" w:hAnsiTheme="majorEastAsia" w:eastAsiaTheme="majorEastAsia"/>
                <w:bCs/>
                <w:sz w:val="18"/>
                <w:szCs w:val="18"/>
              </w:rPr>
              <w:t>自产品成立日/申购确认日起第【</w:t>
            </w:r>
            <w:r>
              <w:rPr>
                <w:rFonts w:hint="eastAsia" w:asciiTheme="minorEastAsia" w:hAnsiTheme="minorEastAsia"/>
                <w:sz w:val="18"/>
                <w:szCs w:val="18"/>
                <w:lang w:val="en-US" w:eastAsia="zh-CN"/>
              </w:rPr>
              <w:t>7</w:t>
            </w:r>
            <w:r>
              <w:rPr>
                <w:rFonts w:hint="eastAsia" w:asciiTheme="majorEastAsia" w:hAnsiTheme="majorEastAsia" w:eastAsiaTheme="majorEastAsia"/>
                <w:bCs/>
                <w:sz w:val="18"/>
                <w:szCs w:val="18"/>
              </w:rPr>
              <w:t>】个自然日内（不含当日）投资者不能赎回该产品份额，自产品成立日/申购确认日起第【</w:t>
            </w:r>
            <w:r>
              <w:rPr>
                <w:rFonts w:hint="eastAsia" w:asciiTheme="minorEastAsia" w:hAnsiTheme="minorEastAsia"/>
                <w:sz w:val="18"/>
                <w:szCs w:val="18"/>
                <w:lang w:val="en-US" w:eastAsia="zh-CN"/>
              </w:rPr>
              <w:t>7</w:t>
            </w:r>
            <w:r>
              <w:rPr>
                <w:rFonts w:hint="eastAsia" w:asciiTheme="majorEastAsia" w:hAnsiTheme="majorEastAsia" w:eastAsiaTheme="majorEastAsia"/>
                <w:bCs/>
                <w:sz w:val="18"/>
                <w:szCs w:val="18"/>
              </w:rPr>
              <w:t>】个自然日起（含当日），投资者</w:t>
            </w:r>
            <w:r>
              <w:rPr>
                <w:rFonts w:hint="eastAsia" w:asciiTheme="minorEastAsia" w:hAnsiTheme="minorEastAsia"/>
                <w:sz w:val="18"/>
                <w:szCs w:val="18"/>
              </w:rPr>
              <w:t>可于任一开放日</w:t>
            </w:r>
            <w:r>
              <w:rPr>
                <w:rFonts w:hint="eastAsia" w:asciiTheme="majorEastAsia" w:hAnsiTheme="majorEastAsia" w:eastAsiaTheme="majorEastAsia"/>
                <w:bCs/>
                <w:sz w:val="18"/>
                <w:szCs w:val="18"/>
              </w:rPr>
              <w:t>赎回该产品份额。</w:t>
            </w:r>
          </w:p>
          <w:p>
            <w:pPr>
              <w:spacing w:line="360" w:lineRule="auto"/>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申购安排</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（1）申购的时间</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w:t>
            </w:r>
            <w:r>
              <w:rPr>
                <w:rFonts w:hint="eastAsia" w:asciiTheme="majorEastAsia" w:hAnsiTheme="majorEastAsia" w:eastAsiaTheme="majorEastAsia"/>
                <w:sz w:val="18"/>
                <w:szCs w:val="18"/>
                <w:lang w:eastAsia="zh-CN"/>
              </w:rPr>
              <w:t>17:00</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前提交申购申请的，提交当日为申购日。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w:t>
            </w:r>
            <w:r>
              <w:rPr>
                <w:rFonts w:hint="eastAsia" w:asciiTheme="majorEastAsia" w:hAnsiTheme="majorEastAsia" w:eastAsiaTheme="majorEastAsia"/>
                <w:sz w:val="18"/>
                <w:szCs w:val="18"/>
                <w:lang w:eastAsia="zh-CN"/>
              </w:rPr>
              <w:t>17:00</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后提交申购申请的，下一个工作日为申购日。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投资者在非工作日提交申购申请的，下一个工作日为申购日。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申购的确认</w:t>
            </w:r>
          </w:p>
          <w:p>
            <w:pPr>
              <w:spacing w:line="360" w:lineRule="auto"/>
              <w:rPr>
                <w:rFonts w:asciiTheme="minorEastAsia" w:hAnsiTheme="minorEastAsia" w:eastAsiaTheme="minorEastAsia"/>
                <w:sz w:val="18"/>
                <w:szCs w:val="18"/>
              </w:rPr>
            </w:pPr>
            <w:r>
              <w:rPr>
                <w:rFonts w:hint="eastAsia" w:cs="Times New Roman" w:asciiTheme="minorEastAsia" w:hAnsiTheme="minorEastAsia" w:eastAsiaTheme="minorEastAsia"/>
                <w:bCs/>
                <w:sz w:val="18"/>
                <w:szCs w:val="18"/>
              </w:rPr>
              <w:t>产品管理人在申购日后【</w:t>
            </w:r>
            <w:r>
              <w:rPr>
                <w:rFonts w:hint="eastAsia" w:cs="Times New Roman" w:asciiTheme="minorEastAsia" w:hAnsiTheme="minorEastAsia" w:eastAsiaTheme="minorEastAsia"/>
                <w:bCs/>
                <w:sz w:val="18"/>
                <w:szCs w:val="18"/>
                <w:lang w:val="en-US" w:eastAsia="zh-CN"/>
              </w:rPr>
              <w:t>2</w:t>
            </w:r>
            <w:r>
              <w:rPr>
                <w:rFonts w:hint="eastAsia" w:cs="Times New Roman" w:asciiTheme="minorEastAsia" w:hAnsiTheme="minorEastAsia" w:eastAsiaTheme="minorEastAsia"/>
                <w:bCs/>
                <w:sz w:val="18"/>
                <w:szCs w:val="18"/>
              </w:rPr>
              <w:t>】个工作日内对投资者的申购申请的有效性进行确认，并登记理财份额。</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3.赎回安排</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宋体" w:hAnsi="宋体"/>
                <w:bCs/>
                <w:sz w:val="18"/>
                <w:szCs w:val="18"/>
              </w:rPr>
              <w:t>赎回的时间</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w:t>
            </w:r>
            <w:r>
              <w:rPr>
                <w:rFonts w:hint="eastAsia" w:asciiTheme="majorEastAsia" w:hAnsiTheme="majorEastAsia" w:eastAsiaTheme="majorEastAsia"/>
                <w:sz w:val="18"/>
                <w:szCs w:val="18"/>
                <w:lang w:eastAsia="zh-CN"/>
              </w:rPr>
              <w:t>17:00</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前提交赎回申请的，提交当日为赎回日。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w:t>
            </w:r>
            <w:r>
              <w:rPr>
                <w:rFonts w:hint="eastAsia" w:asciiTheme="majorEastAsia" w:hAnsiTheme="majorEastAsia" w:eastAsiaTheme="majorEastAsia"/>
                <w:sz w:val="18"/>
                <w:szCs w:val="18"/>
                <w:lang w:eastAsia="zh-CN"/>
              </w:rPr>
              <w:t>17:00</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后提交赎回申请的，下一个工作日为赎回日。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投资者在非工作日提交赎回申请的，下一个工作日为赎回日。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（2）赎回</w:t>
            </w:r>
            <w:r>
              <w:rPr>
                <w:rFonts w:asciiTheme="minorEastAsia" w:hAnsiTheme="minorEastAsia" w:eastAsiaTheme="minorEastAsia"/>
                <w:sz w:val="18"/>
                <w:szCs w:val="18"/>
              </w:rPr>
              <w:t>的确认</w:t>
            </w:r>
          </w:p>
          <w:p>
            <w:pPr>
              <w:spacing w:line="360" w:lineRule="auto"/>
              <w:rPr>
                <w:rFonts w:asciiTheme="minorEastAsia" w:hAnsiTheme="minorEastAsia" w:eastAsiaTheme="minorEastAsia"/>
                <w:sz w:val="18"/>
                <w:szCs w:val="18"/>
              </w:rPr>
            </w:pPr>
            <w:r>
              <w:rPr>
                <w:rFonts w:hint="eastAsia" w:cs="Times New Roman" w:asciiTheme="minorEastAsia" w:hAnsiTheme="minorEastAsia" w:eastAsiaTheme="minorEastAsia"/>
                <w:bCs/>
                <w:sz w:val="18"/>
                <w:szCs w:val="18"/>
              </w:rPr>
              <w:t>产品管理人在赎回日后【</w:t>
            </w:r>
            <w:r>
              <w:rPr>
                <w:rFonts w:hint="eastAsia" w:cs="Times New Roman" w:asciiTheme="minorEastAsia" w:hAnsiTheme="minorEastAsia" w:eastAsiaTheme="minorEastAsia"/>
                <w:bCs/>
                <w:sz w:val="18"/>
                <w:szCs w:val="18"/>
                <w:lang w:val="en-US" w:eastAsia="zh-CN"/>
              </w:rPr>
              <w:t>2</w:t>
            </w:r>
            <w:r>
              <w:rPr>
                <w:rFonts w:hint="eastAsia" w:cs="Times New Roman" w:asciiTheme="minorEastAsia" w:hAnsiTheme="minorEastAsia" w:eastAsiaTheme="minorEastAsia"/>
                <w:bCs/>
                <w:sz w:val="18"/>
                <w:szCs w:val="18"/>
              </w:rPr>
              <w:t>】个工作日内对投资者的赎回申请的有效性进行确认，并注销理财份额。</w:t>
            </w:r>
          </w:p>
          <w:p>
            <w:pPr>
              <w:spacing w:line="360" w:lineRule="auto"/>
              <w:rPr>
                <w:rFonts w:ascii="黑体" w:hAnsi="黑体" w:eastAsia="黑体" w:cs="黑体"/>
                <w:sz w:val="18"/>
                <w:szCs w:val="18"/>
              </w:rPr>
            </w:pPr>
            <w:r>
              <w:rPr>
                <w:rFonts w:hint="eastAsia" w:ascii="黑体" w:hAnsi="黑体" w:eastAsia="黑体" w:cs="黑体"/>
                <w:sz w:val="18"/>
                <w:szCs w:val="18"/>
              </w:rPr>
              <w:t>注：</w:t>
            </w:r>
            <w:r>
              <w:rPr>
                <w:rFonts w:hint="eastAsia" w:ascii="黑体" w:hAnsi="黑体" w:eastAsia="黑体" w:cs="黑体"/>
                <w:color w:val="000000" w:themeColor="text1"/>
                <w:sz w:val="18"/>
                <w14:textFill>
                  <w14:solidFill>
                    <w14:schemeClr w14:val="tx1"/>
                  </w14:solidFill>
                </w14:textFill>
              </w:rPr>
              <w:t>赎回</w:t>
            </w:r>
            <w:r>
              <w:rPr>
                <w:rFonts w:hint="eastAsia" w:ascii="黑体" w:hAnsi="黑体" w:eastAsia="黑体" w:cs="黑体"/>
                <w:bCs/>
                <w:color w:val="000000" w:themeColor="text1"/>
                <w:sz w:val="18"/>
                <w:szCs w:val="18"/>
                <w14:textFill>
                  <w14:solidFill>
                    <w14:schemeClr w14:val="tx1"/>
                  </w14:solidFill>
                </w14:textFill>
              </w:rPr>
              <w:t>款项于</w:t>
            </w:r>
            <w:r>
              <w:rPr>
                <w:rFonts w:hint="eastAsia" w:ascii="黑体" w:hAnsi="黑体" w:eastAsia="黑体" w:cs="黑体"/>
                <w:bCs/>
                <w:kern w:val="0"/>
                <w:sz w:val="18"/>
                <w:szCs w:val="18"/>
              </w:rPr>
              <w:t>赎回</w:t>
            </w:r>
            <w:r>
              <w:rPr>
                <w:rFonts w:hint="eastAsia" w:ascii="黑体" w:hAnsi="黑体" w:eastAsia="黑体" w:cs="黑体"/>
                <w:kern w:val="0"/>
                <w:sz w:val="18"/>
              </w:rPr>
              <w:t>日后【</w:t>
            </w:r>
            <w:r>
              <w:rPr>
                <w:rFonts w:hint="eastAsia" w:ascii="黑体" w:hAnsi="黑体" w:eastAsia="黑体" w:cs="黑体"/>
                <w:kern w:val="0"/>
                <w:sz w:val="18"/>
                <w:lang w:val="en-US" w:eastAsia="zh-CN"/>
              </w:rPr>
              <w:t>3</w:t>
            </w:r>
            <w:r>
              <w:rPr>
                <w:rFonts w:hint="eastAsia" w:ascii="黑体" w:hAnsi="黑体" w:eastAsia="黑体" w:cs="黑体"/>
                <w:kern w:val="0"/>
                <w:sz w:val="18"/>
              </w:rPr>
              <w:t>】个工作日</w:t>
            </w:r>
            <w:r>
              <w:rPr>
                <w:rFonts w:hint="eastAsia" w:ascii="黑体" w:hAnsi="黑体" w:eastAsia="黑体" w:cs="黑体"/>
                <w:bCs/>
                <w:kern w:val="0"/>
                <w:sz w:val="18"/>
                <w:szCs w:val="18"/>
              </w:rPr>
              <w:t>内支付给</w:t>
            </w:r>
            <w:r>
              <w:rPr>
                <w:rFonts w:hint="eastAsia" w:ascii="黑体" w:hAnsi="黑体" w:eastAsia="黑体" w:cs="黑体"/>
                <w:kern w:val="0"/>
                <w:sz w:val="18"/>
              </w:rPr>
              <w:t>投资者</w:t>
            </w:r>
            <w:r>
              <w:rPr>
                <w:rFonts w:hint="eastAsia" w:ascii="黑体" w:hAnsi="黑体" w:eastAsia="黑体" w:cs="黑体"/>
                <w:bCs/>
                <w:kern w:val="0"/>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sz w:val="18"/>
                <w:szCs w:val="18"/>
              </w:rPr>
            </w:pPr>
            <w:r>
              <w:rPr>
                <w:rFonts w:hint="eastAsia" w:ascii="黑体" w:hAnsi="黑体" w:eastAsia="黑体"/>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sz w:val="18"/>
                <w:szCs w:val="18"/>
              </w:rPr>
              <w:t>以</w:t>
            </w:r>
            <w:r>
              <w:rPr>
                <w:rFonts w:hint="eastAsia" w:ascii="黑体" w:hAnsi="黑体" w:eastAsia="黑体"/>
                <w:sz w:val="18"/>
                <w:szCs w:val="18"/>
              </w:rPr>
              <w:t>代理销售机构的展示</w:t>
            </w:r>
            <w:r>
              <w:rPr>
                <w:rFonts w:ascii="黑体" w:hAnsi="黑体" w:eastAsia="黑体"/>
                <w:sz w:val="18"/>
                <w:szCs w:val="18"/>
              </w:rPr>
              <w:t>为准</w:t>
            </w:r>
            <w:r>
              <w:rPr>
                <w:rFonts w:hint="eastAsia" w:ascii="黑体" w:hAnsi="黑体" w:eastAsia="黑体"/>
                <w:sz w:val="18"/>
                <w:szCs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sz w:val="18"/>
                <w:szCs w:val="18"/>
              </w:rPr>
              <w:t>②代理销售机构的实际工作服务时段，最早不得早于销售文件约定</w:t>
            </w:r>
            <w:r>
              <w:rPr>
                <w:rFonts w:ascii="黑体" w:hAnsi="黑体" w:eastAsia="黑体"/>
                <w:sz w:val="18"/>
                <w:szCs w:val="18"/>
              </w:rPr>
              <w:t>的</w:t>
            </w:r>
            <w:r>
              <w:rPr>
                <w:rFonts w:hint="eastAsia" w:ascii="黑体" w:hAnsi="黑体" w:eastAsia="黑体"/>
                <w:sz w:val="18"/>
                <w:szCs w:val="18"/>
              </w:rPr>
              <w:t>起始时点、最晚不得晚于销售文件</w:t>
            </w:r>
            <w:r>
              <w:rPr>
                <w:rFonts w:ascii="黑体" w:hAnsi="黑体" w:eastAsia="黑体"/>
                <w:sz w:val="18"/>
                <w:szCs w:val="18"/>
              </w:rPr>
              <w:t>约定的</w:t>
            </w:r>
            <w:r>
              <w:rPr>
                <w:rFonts w:hint="eastAsia" w:ascii="黑体" w:hAnsi="黑体" w:eastAsia="黑体"/>
                <w:sz w:val="18"/>
                <w:szCs w:val="18"/>
              </w:rPr>
              <w:t>终止时点</w:t>
            </w:r>
            <w:r>
              <w:rPr>
                <w:rFonts w:ascii="黑体" w:hAnsi="黑体" w:eastAsia="黑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适用【C】类份额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★认购、申购与赎回的数量限制</w:t>
            </w:r>
          </w:p>
        </w:tc>
        <w:tc>
          <w:tcPr>
            <w:tcW w:w="7704" w:type="dxa"/>
            <w:shd w:val="solid" w:color="FFFFFF" w:fill="FFFFFF"/>
            <w:vAlign w:val="center"/>
          </w:tcPr>
          <w:p>
            <w:pPr>
              <w:pStyle w:val="34"/>
              <w:spacing w:line="360" w:lineRule="auto"/>
              <w:rPr>
                <w:rFonts w:asciiTheme="minorEastAsia" w:hAnsiTheme="minorEastAsia" w:eastAsiaTheme="minorEastAsia"/>
                <w:color w:val="auto"/>
                <w:sz w:val="18"/>
                <w:szCs w:val="18"/>
              </w:rPr>
            </w:pPr>
            <w:r>
              <w:rPr>
                <w:rFonts w:hint="eastAsia" w:hAnsi="宋体"/>
                <w:bCs/>
                <w:sz w:val="18"/>
                <w:szCs w:val="18"/>
              </w:rPr>
              <w:t>（</w:t>
            </w:r>
            <w:r>
              <w:rPr>
                <w:rFonts w:hint="eastAsia" w:hAnsi="宋体"/>
                <w:bCs/>
                <w:sz w:val="18"/>
                <w:szCs w:val="18"/>
                <w:lang w:eastAsia="zh-CN"/>
              </w:rPr>
              <w:t>适用【C】类份额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】。受理财利益分配去尾规则的影响，投资者持有产品份额较低时可能无法取得利益。巨额赎回情景发生时，投资者的可赎回份额需要根据巨额赎回规则确定。</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34"/>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每</w:t>
            </w:r>
            <w:r>
              <w:rPr>
                <w:rFonts w:asciiTheme="majorEastAsia" w:hAnsiTheme="majorEastAsia" w:eastAsiaTheme="majorEastAsia"/>
                <w:bCs/>
                <w:sz w:val="18"/>
                <w:szCs w:val="18"/>
              </w:rPr>
              <w:t>个</w:t>
            </w:r>
            <w:r>
              <w:rPr>
                <w:rFonts w:hint="eastAsia" w:asciiTheme="majorEastAsia" w:hAnsiTheme="majorEastAsia" w:eastAsiaTheme="majorEastAsia"/>
                <w:bCs/>
                <w:sz w:val="18"/>
                <w:szCs w:val="18"/>
              </w:rPr>
              <w:t>赎回</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，本产品的净赎回申请（赎回</w:t>
            </w:r>
            <w:r>
              <w:rPr>
                <w:rFonts w:hint="eastAsia" w:asciiTheme="majorEastAsia" w:hAnsiTheme="majorEastAsia" w:eastAsiaTheme="majorEastAsia"/>
                <w:bCs/>
                <w:color w:val="auto"/>
                <w:sz w:val="18"/>
                <w:szCs w:val="18"/>
              </w:rPr>
              <w:t>申请</w:t>
            </w:r>
            <w:r>
              <w:rPr>
                <w:rFonts w:hint="eastAsia" w:asciiTheme="majorEastAsia" w:hAnsiTheme="majorEastAsia" w:eastAsiaTheme="majorEastAsia"/>
                <w:bCs/>
                <w:sz w:val="18"/>
                <w:szCs w:val="18"/>
              </w:rPr>
              <w:t>份额总数扣除申购</w:t>
            </w:r>
            <w:r>
              <w:rPr>
                <w:rFonts w:hint="eastAsia" w:asciiTheme="majorEastAsia" w:hAnsiTheme="majorEastAsia" w:eastAsiaTheme="majorEastAsia"/>
                <w:bCs/>
                <w:color w:val="auto"/>
                <w:sz w:val="18"/>
                <w:szCs w:val="18"/>
              </w:rPr>
              <w:t>申请</w:t>
            </w:r>
            <w:r>
              <w:rPr>
                <w:rFonts w:hint="eastAsia" w:asciiTheme="majorEastAsia" w:hAnsiTheme="majorEastAsia" w:eastAsiaTheme="majorEastAsia"/>
                <w:bCs/>
                <w:sz w:val="18"/>
                <w:szCs w:val="18"/>
              </w:rPr>
              <w:t>份额总数后的余额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下同）之和达到上一赎回日产品总份额的【</w:t>
            </w:r>
            <w:r>
              <w:rPr>
                <w:rFonts w:asciiTheme="majorEastAsia" w:hAnsiTheme="majorEastAsia" w:eastAsiaTheme="majorEastAsia"/>
                <w:bCs/>
                <w:sz w:val="18"/>
                <w:szCs w:val="18"/>
              </w:rPr>
              <w:t>10</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理财产品的费用和税收</w:t>
            </w:r>
            <w:r>
              <w:rPr>
                <w:rFonts w:asciiTheme="majorEastAsia" w:hAnsiTheme="majorEastAsia" w:eastAsiaTheme="majorEastAsia"/>
                <w:bCs/>
                <w:sz w:val="18"/>
                <w:szCs w:val="18"/>
              </w:rPr>
              <w:t>。</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宋体" w:hAnsi="宋体"/>
                <w:bCs/>
                <w:sz w:val="18"/>
                <w:szCs w:val="18"/>
              </w:rPr>
            </w:pPr>
            <w:r>
              <w:rPr>
                <w:rFonts w:hint="eastAsia" w:hAnsi="宋体"/>
                <w:bCs/>
                <w:sz w:val="18"/>
                <w:szCs w:val="18"/>
              </w:rPr>
              <w:t>（</w:t>
            </w:r>
            <w:r>
              <w:rPr>
                <w:rFonts w:hint="eastAsia" w:hAnsi="宋体"/>
                <w:bCs/>
                <w:sz w:val="18"/>
                <w:szCs w:val="18"/>
                <w:lang w:eastAsia="zh-CN"/>
              </w:rPr>
              <w:t>适用【C】类份额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1.业绩比较基准的设置</w:t>
            </w:r>
          </w:p>
          <w:p>
            <w:pPr>
              <w:autoSpaceDE w:val="0"/>
              <w:autoSpaceDN w:val="0"/>
              <w:adjustRightInd w:val="0"/>
              <w:spacing w:line="360" w:lineRule="auto"/>
              <w:jc w:val="left"/>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Cs/>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Theme="majorEastAsia" w:hAnsiTheme="majorEastAsia" w:eastAsiaTheme="majorEastAsia"/>
                <w:bCs/>
                <w:sz w:val="18"/>
                <w:szCs w:val="18"/>
              </w:rPr>
              <w:t>基于当前对未来市场的判断，根据拟投资债权类资产的信用利差、久期敞口以及流动性溢价，预判组合的波动幅度</w:t>
            </w:r>
            <w:r>
              <w:rPr>
                <w:rFonts w:ascii="宋体" w:hAnsi="宋体"/>
                <w:bCs/>
                <w:sz w:val="18"/>
                <w:szCs w:val="18"/>
              </w:rPr>
              <w:t>】</w:t>
            </w:r>
            <w:r>
              <w:rPr>
                <w:rFonts w:hint="eastAsia" w:ascii="宋体" w:hAnsi="宋体"/>
                <w:bCs/>
                <w:sz w:val="18"/>
                <w:szCs w:val="18"/>
              </w:rPr>
              <w:t>。</w:t>
            </w:r>
          </w:p>
          <w:p>
            <w:pPr>
              <w:spacing w:line="360" w:lineRule="auto"/>
              <w:jc w:val="left"/>
              <w:rPr>
                <w:rFonts w:hint="eastAsia" w:asciiTheme="majorEastAsia" w:hAnsiTheme="majorEastAsia"/>
                <w:bCs/>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eastAsiaTheme="majorEastAsia"/>
                <w:bCs/>
                <w:sz w:val="18"/>
                <w:szCs w:val="18"/>
              </w:rPr>
              <w:t>：</w:t>
            </w:r>
            <w:r>
              <w:rPr>
                <w:rFonts w:hint="eastAsia" w:asciiTheme="majorEastAsia" w:hAnsiTheme="majorEastAsia"/>
                <w:bCs/>
                <w:sz w:val="18"/>
              </w:rPr>
              <w:t>管理人对</w:t>
            </w:r>
            <w:r>
              <w:rPr>
                <w:rFonts w:asciiTheme="majorEastAsia" w:hAnsiTheme="majorEastAsia"/>
                <w:bCs/>
                <w:sz w:val="18"/>
              </w:rPr>
              <w:t>本产品设定</w:t>
            </w:r>
            <w:r>
              <w:rPr>
                <w:rFonts w:hint="eastAsia" w:asciiTheme="majorEastAsia" w:hAnsiTheme="majorEastAsia"/>
                <w:bCs/>
                <w:sz w:val="18"/>
              </w:rPr>
              <w:t>业绩比较基准：</w:t>
            </w:r>
          </w:p>
          <w:p>
            <w:pPr>
              <w:spacing w:line="360" w:lineRule="auto"/>
              <w:jc w:val="left"/>
              <w:rPr>
                <w:rFonts w:hint="eastAsia" w:ascii="宋体" w:hAnsi="宋体"/>
                <w:bCs/>
                <w:sz w:val="18"/>
                <w:szCs w:val="18"/>
                <w:lang w:val="en-US" w:eastAsia="zh-CN"/>
              </w:rPr>
            </w:pPr>
            <w:r>
              <w:rPr>
                <w:rFonts w:hint="eastAsia" w:asciiTheme="majorEastAsia" w:hAnsiTheme="majorEastAsia"/>
                <w:bCs/>
                <w:sz w:val="18"/>
                <w:lang w:val="en-US" w:eastAsia="zh-CN"/>
              </w:rPr>
              <w:t>年化</w:t>
            </w:r>
            <w:r>
              <w:rPr>
                <w:rFonts w:hint="eastAsia" w:ascii="宋体" w:hAnsi="宋体"/>
                <w:bCs/>
                <w:sz w:val="18"/>
                <w:szCs w:val="18"/>
              </w:rPr>
              <w:t>【</w:t>
            </w:r>
            <w:r>
              <w:rPr>
                <w:rFonts w:hint="eastAsia" w:ascii="宋体" w:hAnsi="宋体"/>
                <w:bCs/>
                <w:sz w:val="18"/>
                <w:szCs w:val="18"/>
                <w:lang w:val="en-US" w:eastAsia="zh-CN"/>
              </w:rPr>
              <w:t>1.95%-3.7</w:t>
            </w:r>
            <w:bookmarkStart w:id="182" w:name="_GoBack"/>
            <w:bookmarkEnd w:id="182"/>
            <w:r>
              <w:rPr>
                <w:rFonts w:hint="eastAsia" w:ascii="宋体" w:hAnsi="宋体"/>
                <w:bCs/>
                <w:sz w:val="18"/>
                <w:szCs w:val="18"/>
                <w:lang w:val="en-US" w:eastAsia="zh-CN"/>
              </w:rPr>
              <w:t>5%</w:t>
            </w:r>
            <w:r>
              <w:rPr>
                <w:rFonts w:ascii="宋体" w:hAnsi="宋体"/>
                <w:bCs/>
                <w:sz w:val="18"/>
                <w:szCs w:val="18"/>
              </w:rPr>
              <w:t>】</w:t>
            </w:r>
            <w:r>
              <w:rPr>
                <w:rFonts w:hint="eastAsia" w:ascii="宋体" w:hAnsi="宋体"/>
                <w:bCs/>
                <w:sz w:val="18"/>
                <w:szCs w:val="18"/>
                <w:lang w:val="en-US" w:eastAsia="zh-CN"/>
              </w:rPr>
              <w:t>(适用【C】类份额）</w:t>
            </w:r>
          </w:p>
          <w:p>
            <w:pPr>
              <w:autoSpaceDE w:val="0"/>
              <w:autoSpaceDN w:val="0"/>
              <w:adjustRightInd w:val="0"/>
              <w:spacing w:line="360" w:lineRule="auto"/>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 xml:space="preserve"> </w:t>
            </w:r>
            <w:r>
              <w:rPr>
                <w:rFonts w:hint="eastAsia" w:asciiTheme="majorEastAsia" w:hAnsiTheme="majorEastAsia" w:eastAsiaTheme="majorEastAsia"/>
                <w:bCs/>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黑体" w:hAnsi="黑体" w:eastAsia="黑体" w:cs="黑体"/>
                <w:bCs/>
                <w:sz w:val="18"/>
                <w:szCs w:val="18"/>
              </w:rPr>
            </w:pPr>
            <w:r>
              <w:rPr>
                <w:rFonts w:hint="eastAsia" w:ascii="黑体" w:hAnsi="黑体" w:eastAsia="黑体" w:cs="黑体"/>
                <w:bCs/>
                <w:sz w:val="18"/>
                <w:szCs w:val="18"/>
              </w:rPr>
              <w:t>（</w:t>
            </w:r>
            <w:r>
              <w:rPr>
                <w:rFonts w:ascii="黑体" w:hAnsi="黑体" w:eastAsia="黑体" w:cs="黑体"/>
                <w:bCs/>
                <w:sz w:val="18"/>
                <w:szCs w:val="18"/>
              </w:rPr>
              <w:t>1）</w:t>
            </w:r>
            <w:r>
              <w:rPr>
                <w:rFonts w:hint="eastAsia" w:ascii="黑体" w:hAnsi="黑体" w:eastAsia="黑体" w:cs="黑体"/>
                <w:bCs/>
                <w:sz w:val="18"/>
                <w:szCs w:val="18"/>
              </w:rPr>
              <w:t>★</w:t>
            </w:r>
            <w:r>
              <w:rPr>
                <w:rFonts w:hint="eastAsia" w:ascii="黑体" w:hAnsi="黑体" w:eastAsia="黑体" w:cs="黑体"/>
                <w:bCs/>
                <w:sz w:val="18"/>
              </w:rPr>
              <w:t>业绩比较基准</w:t>
            </w:r>
            <w:r>
              <w:rPr>
                <w:rFonts w:hint="eastAsia" w:ascii="黑体" w:hAnsi="黑体" w:eastAsia="黑体" w:cs="黑体"/>
                <w:bCs/>
                <w:sz w:val="18"/>
                <w:szCs w:val="18"/>
              </w:rPr>
              <w:t>不是预期收益率，</w:t>
            </w:r>
            <w:r>
              <w:rPr>
                <w:rFonts w:hint="eastAsia" w:ascii="黑体" w:hAnsi="黑体" w:eastAsia="黑体" w:cs="黑体"/>
                <w:bCs/>
                <w:sz w:val="18"/>
              </w:rPr>
              <w:t>不代表产品</w:t>
            </w:r>
            <w:r>
              <w:rPr>
                <w:rFonts w:hint="eastAsia" w:ascii="黑体" w:hAnsi="黑体" w:eastAsia="黑体" w:cs="黑体"/>
                <w:bCs/>
                <w:sz w:val="18"/>
                <w:szCs w:val="18"/>
              </w:rPr>
              <w:t>的</w:t>
            </w:r>
            <w:r>
              <w:rPr>
                <w:rFonts w:hint="eastAsia" w:ascii="黑体" w:hAnsi="黑体" w:eastAsia="黑体" w:cs="黑体"/>
                <w:bCs/>
                <w:sz w:val="18"/>
              </w:rPr>
              <w:t>未来表现</w:t>
            </w:r>
            <w:r>
              <w:rPr>
                <w:rFonts w:hint="eastAsia" w:ascii="黑体" w:hAnsi="黑体" w:eastAsia="黑体" w:cs="黑体"/>
                <w:bCs/>
                <w:sz w:val="18"/>
                <w:szCs w:val="18"/>
              </w:rPr>
              <w:t>和</w:t>
            </w:r>
            <w:r>
              <w:rPr>
                <w:rFonts w:hint="eastAsia" w:ascii="黑体" w:hAnsi="黑体" w:eastAsia="黑体" w:cs="黑体"/>
                <w:bCs/>
                <w:sz w:val="18"/>
              </w:rPr>
              <w:t>实际收益，不</w:t>
            </w:r>
            <w:r>
              <w:rPr>
                <w:rFonts w:hint="eastAsia" w:ascii="黑体" w:hAnsi="黑体" w:eastAsia="黑体" w:cs="黑体"/>
                <w:bCs/>
                <w:sz w:val="18"/>
                <w:szCs w:val="18"/>
              </w:rPr>
              <w:t>构成对</w:t>
            </w:r>
            <w:r>
              <w:rPr>
                <w:rFonts w:hint="eastAsia" w:ascii="黑体" w:hAnsi="黑体" w:eastAsia="黑体" w:cs="黑体"/>
                <w:bCs/>
                <w:sz w:val="18"/>
              </w:rPr>
              <w:t>产品收益的</w:t>
            </w:r>
            <w:r>
              <w:rPr>
                <w:rFonts w:hint="eastAsia" w:ascii="黑体" w:hAnsi="黑体" w:eastAsia="黑体" w:cs="黑体"/>
                <w:bCs/>
                <w:sz w:val="18"/>
                <w:szCs w:val="18"/>
              </w:rPr>
              <w:t>承诺</w:t>
            </w:r>
            <w:r>
              <w:rPr>
                <w:rFonts w:hint="eastAsia" w:ascii="黑体" w:hAnsi="黑体" w:eastAsia="黑体" w:cs="黑体"/>
                <w:bCs/>
                <w:sz w:val="18"/>
              </w:rPr>
              <w:t>，投资须谨慎。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w:t>
            </w:r>
            <w:r>
              <w:rPr>
                <w:rFonts w:hint="eastAsia" w:hAnsi="宋体"/>
                <w:bCs/>
                <w:sz w:val="18"/>
                <w:szCs w:val="18"/>
                <w:lang w:eastAsia="zh-CN"/>
              </w:rPr>
              <w:t>适用【C】类份额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 xml:space="preserve"> </w:t>
            </w:r>
            <w:r>
              <w:rPr>
                <w:rFonts w:hint="eastAsia" w:asciiTheme="majorEastAsia" w:hAnsiTheme="majorEastAsia" w:eastAsiaTheme="majorEastAsia"/>
                <w:bCs/>
                <w:kern w:val="0"/>
                <w:sz w:val="18"/>
                <w:szCs w:val="18"/>
              </w:rPr>
              <w:t>产品管理人设置业绩报酬计提基准。</w:t>
            </w:r>
          </w:p>
          <w:p>
            <w:pPr>
              <w:spacing w:line="360" w:lineRule="auto"/>
              <w:jc w:val="left"/>
              <w:rPr>
                <w:rFonts w:ascii="宋体" w:hAnsi="宋体"/>
                <w:bCs/>
                <w:sz w:val="18"/>
              </w:rPr>
            </w:pPr>
            <w:r>
              <w:rPr>
                <w:rFonts w:ascii="宋体" w:hAnsi="宋体"/>
                <w:bCs/>
                <w:sz w:val="18"/>
                <w:szCs w:val="18"/>
              </w:rPr>
              <w:t>业绩报酬计提基准的</w:t>
            </w:r>
            <w:r>
              <w:rPr>
                <w:rFonts w:ascii="宋体" w:hAnsi="宋体"/>
                <w:bCs/>
                <w:sz w:val="18"/>
              </w:rPr>
              <w:t>设定</w:t>
            </w:r>
            <w:r>
              <w:rPr>
                <w:rFonts w:hint="eastAsia" w:ascii="宋体" w:hAnsi="宋体"/>
                <w:bCs/>
                <w:sz w:val="18"/>
              </w:rPr>
              <w:t>：管理人</w:t>
            </w:r>
            <w:r>
              <w:rPr>
                <w:rFonts w:ascii="宋体" w:hAnsi="宋体"/>
                <w:bCs/>
                <w:sz w:val="18"/>
              </w:rPr>
              <w:t>对本产品设定</w:t>
            </w:r>
            <w:r>
              <w:rPr>
                <w:rFonts w:hint="eastAsia" w:ascii="宋体" w:hAnsi="宋体"/>
                <w:bCs/>
                <w:sz w:val="18"/>
              </w:rPr>
              <w:t>业绩报酬计提基准：【</w:t>
            </w:r>
            <w:r>
              <w:rPr>
                <w:rFonts w:hint="eastAsia" w:ascii="宋体" w:hAnsi="宋体"/>
                <w:bCs/>
                <w:sz w:val="18"/>
                <w:lang w:val="en-US" w:eastAsia="zh-CN"/>
              </w:rPr>
              <w:t>/</w:t>
            </w:r>
            <w:r>
              <w:rPr>
                <w:rFonts w:hint="eastAsia" w:ascii="宋体" w:hAnsi="宋体"/>
                <w:bCs/>
                <w:sz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asciiTheme="majorEastAsia" w:hAnsiTheme="majorEastAsia" w:eastAsiaTheme="majorEastAsia"/>
                <w:bCs/>
                <w:kern w:val="0"/>
                <w:sz w:val="18"/>
                <w:szCs w:val="18"/>
              </w:rPr>
              <w:t xml:space="preserve"> </w:t>
            </w:r>
            <w:r>
              <w:rPr>
                <w:rFonts w:hint="eastAsia" w:asciiTheme="majorEastAsia" w:hAnsiTheme="majorEastAsia" w:eastAsiaTheme="majorEastAsia"/>
                <w:bCs/>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cs="黑体"/>
                <w:bCs/>
                <w:sz w:val="18"/>
                <w:szCs w:val="18"/>
              </w:rPr>
            </w:pPr>
            <w:r>
              <w:rPr>
                <w:rFonts w:hint="eastAsia" w:ascii="黑体" w:hAnsi="黑体" w:eastAsia="黑体" w:cs="黑体"/>
                <w:bCs/>
                <w:sz w:val="18"/>
                <w:szCs w:val="18"/>
              </w:rPr>
              <w:t>（</w:t>
            </w:r>
            <w:r>
              <w:rPr>
                <w:rFonts w:ascii="黑体" w:hAnsi="黑体" w:eastAsia="黑体" w:cs="黑体"/>
                <w:bCs/>
                <w:sz w:val="18"/>
                <w:szCs w:val="18"/>
              </w:rPr>
              <w:t>1）</w:t>
            </w:r>
            <w:r>
              <w:rPr>
                <w:rFonts w:hint="eastAsia" w:ascii="黑体" w:hAnsi="黑体" w:eastAsia="黑体" w:cs="黑体"/>
                <w:bCs/>
                <w:sz w:val="18"/>
                <w:szCs w:val="18"/>
              </w:rPr>
              <w:t>★业绩报酬计提基准仅作为管理人计算超额业绩报酬的参照标准。业绩报酬计提基准不是预期收益率，不代表产品的未来表现和实际收益，不构成对产品收益的承诺，投资须谨慎。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ascii="宋体"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适用【C】类份额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黑体" w:hAnsi="黑体" w:eastAsia="黑体" w:cstheme="minorEastAsia"/>
                <w:color w:val="000000" w:themeColor="text1"/>
                <w:sz w:val="18"/>
                <w:szCs w:val="18"/>
                <w14:textFill>
                  <w14:solidFill>
                    <w14:schemeClr w14:val="tx1"/>
                  </w14:solidFill>
                </w14:textFill>
              </w:rPr>
            </w:pPr>
            <w:r>
              <w:rPr>
                <w:rFonts w:ascii="黑体" w:hAnsi="黑体" w:eastAsia="黑体" w:cstheme="minorEastAsia"/>
                <w:color w:val="000000" w:themeColor="text1"/>
                <w:sz w:val="18"/>
                <w:szCs w:val="18"/>
                <w14:textFill>
                  <w14:solidFill>
                    <w14:schemeClr w14:val="tx1"/>
                  </w14:solidFill>
                </w14:textFill>
              </w:rPr>
              <w:t>1.</w:t>
            </w:r>
            <w:r>
              <w:rPr>
                <w:rFonts w:hint="eastAsia" w:ascii="黑体" w:hAnsi="黑体" w:eastAsia="黑体" w:cstheme="minorEastAsia"/>
                <w:color w:val="000000" w:themeColor="text1"/>
                <w:sz w:val="18"/>
                <w:szCs w:val="18"/>
                <w14:textFill>
                  <w14:solidFill>
                    <w14:schemeClr w14:val="tx1"/>
                  </w14:solidFill>
                </w14:textFill>
              </w:rPr>
              <w:t>理财产品的费率标准</w:t>
            </w:r>
          </w:p>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r>
              <w:rPr>
                <w:rFonts w:ascii="黑体" w:hAnsi="黑体" w:eastAsia="黑体" w:cs="黑体"/>
                <w:color w:val="000000" w:themeColor="text1"/>
                <w:sz w:val="18"/>
                <w:szCs w:val="18"/>
                <w14:textFill>
                  <w14:solidFill>
                    <w14:schemeClr w14:val="tx1"/>
                  </w14:solidFill>
                </w14:textFill>
              </w:rPr>
              <w:t>1）认购费：</w:t>
            </w:r>
            <w:r>
              <w:rPr>
                <w:rFonts w:hint="eastAsia" w:ascii="黑体" w:hAnsi="黑体" w:eastAsia="黑体" w:cs="黑体"/>
                <w:color w:val="000000" w:themeColor="text1"/>
                <w:sz w:val="18"/>
                <w:szCs w:val="18"/>
                <w14:textFill>
                  <w14:solidFill>
                    <w14:schemeClr w14:val="tx1"/>
                  </w14:solidFill>
                </w14:textFill>
              </w:rPr>
              <w:t>【</w:t>
            </w:r>
            <w:r>
              <w:rPr>
                <w:rFonts w:hint="eastAsia" w:ascii="黑体" w:hAnsi="黑体" w:eastAsia="黑体" w:cs="黑体"/>
                <w:color w:val="000000" w:themeColor="text1"/>
                <w:sz w:val="18"/>
                <w:szCs w:val="18"/>
                <w:lang w:val="en-US" w:eastAsia="zh-CN"/>
                <w14:textFill>
                  <w14:solidFill>
                    <w14:schemeClr w14:val="tx1"/>
                  </w14:solidFill>
                </w14:textFill>
              </w:rPr>
              <w:t>/</w:t>
            </w:r>
            <w:r>
              <w:rPr>
                <w:rFonts w:hint="eastAsia" w:ascii="黑体" w:hAnsi="黑体" w:eastAsia="黑体" w:cs="黑体"/>
                <w:color w:val="000000" w:themeColor="text1"/>
                <w:sz w:val="18"/>
                <w:szCs w:val="18"/>
                <w14:textFill>
                  <w14:solidFill>
                    <w14:schemeClr w14:val="tx1"/>
                  </w14:solidFill>
                </w14:textFill>
              </w:rPr>
              <w:t>】。</w:t>
            </w:r>
          </w:p>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r>
              <w:rPr>
                <w:rFonts w:ascii="黑体" w:hAnsi="黑体" w:eastAsia="黑体" w:cs="黑体"/>
                <w:color w:val="000000" w:themeColor="text1"/>
                <w:sz w:val="18"/>
                <w:szCs w:val="18"/>
                <w14:textFill>
                  <w14:solidFill>
                    <w14:schemeClr w14:val="tx1"/>
                  </w14:solidFill>
                </w14:textFill>
              </w:rPr>
              <w:t>2）申购费：</w:t>
            </w:r>
            <w:r>
              <w:rPr>
                <w:rFonts w:hint="eastAsia" w:ascii="黑体" w:hAnsi="黑体" w:eastAsia="黑体" w:cs="黑体"/>
                <w:color w:val="000000" w:themeColor="text1"/>
                <w:sz w:val="18"/>
                <w:szCs w:val="18"/>
                <w14:textFill>
                  <w14:solidFill>
                    <w14:schemeClr w14:val="tx1"/>
                  </w14:solidFill>
                </w14:textFill>
              </w:rPr>
              <w:t>【</w:t>
            </w:r>
            <w:r>
              <w:rPr>
                <w:rFonts w:hint="eastAsia" w:ascii="黑体" w:hAnsi="黑体" w:eastAsia="黑体" w:cs="黑体"/>
                <w:color w:val="000000" w:themeColor="text1"/>
                <w:sz w:val="18"/>
                <w:szCs w:val="18"/>
                <w:lang w:val="en-US" w:eastAsia="zh-CN"/>
                <w14:textFill>
                  <w14:solidFill>
                    <w14:schemeClr w14:val="tx1"/>
                  </w14:solidFill>
                </w14:textFill>
              </w:rPr>
              <w:t>/</w:t>
            </w:r>
            <w:r>
              <w:rPr>
                <w:rFonts w:hint="eastAsia" w:ascii="黑体" w:hAnsi="黑体" w:eastAsia="黑体" w:cs="黑体"/>
                <w:color w:val="000000" w:themeColor="text1"/>
                <w:sz w:val="18"/>
                <w:szCs w:val="18"/>
                <w14:textFill>
                  <w14:solidFill>
                    <w14:schemeClr w14:val="tx1"/>
                  </w14:solidFill>
                </w14:textFill>
              </w:rPr>
              <w:t>】</w:t>
            </w:r>
            <w:r>
              <w:rPr>
                <w:rFonts w:ascii="黑体" w:hAnsi="黑体" w:eastAsia="黑体" w:cs="黑体"/>
                <w:color w:val="000000" w:themeColor="text1"/>
                <w:sz w:val="18"/>
                <w:szCs w:val="18"/>
                <w14:textFill>
                  <w14:solidFill>
                    <w14:schemeClr w14:val="tx1"/>
                  </w14:solidFill>
                </w14:textFill>
              </w:rPr>
              <w:t>。</w:t>
            </w:r>
          </w:p>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r>
              <w:rPr>
                <w:rFonts w:ascii="黑体" w:hAnsi="黑体" w:eastAsia="黑体" w:cs="黑体"/>
                <w:color w:val="000000" w:themeColor="text1"/>
                <w:sz w:val="18"/>
                <w:szCs w:val="18"/>
                <w14:textFill>
                  <w14:solidFill>
                    <w14:schemeClr w14:val="tx1"/>
                  </w14:solidFill>
                </w14:textFill>
              </w:rPr>
              <w:t>3）赎回费：</w:t>
            </w:r>
            <w:r>
              <w:rPr>
                <w:rFonts w:hint="eastAsia" w:ascii="黑体" w:hAnsi="黑体" w:eastAsia="黑体" w:cs="黑体"/>
                <w:color w:val="000000" w:themeColor="text1"/>
                <w:sz w:val="18"/>
                <w:szCs w:val="18"/>
                <w14:textFill>
                  <w14:solidFill>
                    <w14:schemeClr w14:val="tx1"/>
                  </w14:solidFill>
                </w14:textFill>
              </w:rPr>
              <w:t>【</w:t>
            </w:r>
            <w:r>
              <w:rPr>
                <w:rFonts w:hint="eastAsia" w:ascii="黑体" w:hAnsi="黑体" w:eastAsia="黑体" w:cs="黑体"/>
                <w:color w:val="000000" w:themeColor="text1"/>
                <w:sz w:val="18"/>
                <w:szCs w:val="18"/>
                <w:lang w:val="en-US" w:eastAsia="zh-CN"/>
                <w14:textFill>
                  <w14:solidFill>
                    <w14:schemeClr w14:val="tx1"/>
                  </w14:solidFill>
                </w14:textFill>
              </w:rPr>
              <w:t>/</w:t>
            </w:r>
            <w:r>
              <w:rPr>
                <w:rFonts w:hint="eastAsia" w:ascii="黑体" w:hAnsi="黑体" w:eastAsia="黑体" w:cs="黑体"/>
                <w:color w:val="000000" w:themeColor="text1"/>
                <w:sz w:val="18"/>
                <w:szCs w:val="18"/>
                <w14:textFill>
                  <w14:solidFill>
                    <w14:schemeClr w14:val="tx1"/>
                  </w14:solidFill>
                </w14:textFill>
              </w:rPr>
              <w:t>】。</w:t>
            </w:r>
          </w:p>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r>
              <w:rPr>
                <w:rFonts w:ascii="黑体" w:hAnsi="黑体" w:eastAsia="黑体" w:cs="黑体"/>
                <w:color w:val="000000" w:themeColor="text1"/>
                <w:sz w:val="18"/>
                <w:szCs w:val="18"/>
                <w14:textFill>
                  <w14:solidFill>
                    <w14:schemeClr w14:val="tx1"/>
                  </w14:solidFill>
                </w14:textFill>
              </w:rPr>
              <w:t>4）销售服</w:t>
            </w:r>
            <w:r>
              <w:rPr>
                <w:rFonts w:hint="eastAsia" w:ascii="黑体" w:hAnsi="黑体" w:eastAsia="黑体" w:cs="黑体"/>
                <w:color w:val="000000" w:themeColor="text1"/>
                <w:sz w:val="18"/>
                <w:szCs w:val="18"/>
                <w14:textFill>
                  <w14:solidFill>
                    <w14:schemeClr w14:val="tx1"/>
                  </w14:solidFill>
                </w14:textFill>
              </w:rPr>
              <w:t>务费：</w:t>
            </w:r>
            <w:r>
              <w:rPr>
                <w:rFonts w:hint="eastAsia" w:ascii="黑体" w:hAnsi="黑体" w:eastAsia="黑体" w:cs="黑体"/>
                <w:sz w:val="18"/>
                <w:szCs w:val="18"/>
              </w:rPr>
              <w:t>年化</w:t>
            </w:r>
            <w:r>
              <w:rPr>
                <w:rFonts w:ascii="黑体" w:hAnsi="黑体" w:eastAsia="黑体" w:cs="黑体"/>
                <w:sz w:val="18"/>
                <w:szCs w:val="18"/>
              </w:rPr>
              <w:t>费率</w:t>
            </w:r>
            <w:r>
              <w:rPr>
                <w:rFonts w:hint="eastAsia" w:ascii="黑体" w:hAnsi="黑体" w:eastAsia="黑体" w:cs="黑体"/>
                <w:sz w:val="18"/>
                <w:szCs w:val="18"/>
              </w:rPr>
              <w:t>【</w:t>
            </w:r>
            <w:r>
              <w:rPr>
                <w:rFonts w:hint="eastAsia" w:ascii="黑体" w:hAnsi="黑体" w:eastAsia="黑体" w:cs="黑体"/>
                <w:sz w:val="18"/>
                <w:szCs w:val="18"/>
                <w:lang w:val="en-US" w:eastAsia="zh-CN"/>
              </w:rPr>
              <w:t>0.40%</w:t>
            </w:r>
            <w:r>
              <w:rPr>
                <w:rFonts w:hint="eastAsia" w:ascii="黑体" w:hAnsi="黑体" w:eastAsia="黑体" w:cs="黑体"/>
                <w:sz w:val="18"/>
                <w:szCs w:val="18"/>
              </w:rPr>
              <w:t>】</w:t>
            </w:r>
            <w:r>
              <w:rPr>
                <w:rFonts w:hint="eastAsia" w:ascii="黑体" w:hAnsi="黑体" w:eastAsia="黑体" w:cs="黑体"/>
                <w:color w:val="000000" w:themeColor="text1"/>
                <w:sz w:val="18"/>
                <w:szCs w:val="18"/>
                <w14:textFill>
                  <w14:solidFill>
                    <w14:schemeClr w14:val="tx1"/>
                  </w14:solidFill>
                </w14:textFill>
              </w:rPr>
              <w:t>。</w:t>
            </w:r>
          </w:p>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r>
              <w:rPr>
                <w:rFonts w:ascii="黑体" w:hAnsi="黑体" w:eastAsia="黑体" w:cs="黑体"/>
                <w:color w:val="000000" w:themeColor="text1"/>
                <w:sz w:val="18"/>
                <w:szCs w:val="18"/>
                <w14:textFill>
                  <w14:solidFill>
                    <w14:schemeClr w14:val="tx1"/>
                  </w14:solidFill>
                </w14:textFill>
              </w:rPr>
              <w:t>5）投资管理费：</w:t>
            </w:r>
            <w:r>
              <w:rPr>
                <w:rFonts w:hint="eastAsia" w:ascii="黑体" w:hAnsi="黑体" w:eastAsia="黑体" w:cs="黑体"/>
                <w:sz w:val="18"/>
                <w:szCs w:val="18"/>
              </w:rPr>
              <w:t>年化</w:t>
            </w:r>
            <w:r>
              <w:rPr>
                <w:rFonts w:ascii="黑体" w:hAnsi="黑体" w:eastAsia="黑体" w:cs="黑体"/>
                <w:sz w:val="18"/>
                <w:szCs w:val="18"/>
              </w:rPr>
              <w:t>费率</w:t>
            </w:r>
            <w:r>
              <w:rPr>
                <w:rFonts w:hint="eastAsia" w:ascii="黑体" w:hAnsi="黑体" w:eastAsia="黑体" w:cs="黑体"/>
                <w:sz w:val="18"/>
                <w:szCs w:val="18"/>
              </w:rPr>
              <w:t>【</w:t>
            </w:r>
            <w:r>
              <w:rPr>
                <w:rFonts w:hint="eastAsia" w:ascii="黑体" w:hAnsi="黑体" w:eastAsia="黑体" w:cs="黑体"/>
                <w:sz w:val="18"/>
                <w:szCs w:val="18"/>
                <w:lang w:val="en-US" w:eastAsia="zh-CN"/>
              </w:rPr>
              <w:t>0.30%</w:t>
            </w:r>
            <w:r>
              <w:rPr>
                <w:rFonts w:ascii="黑体" w:hAnsi="黑体" w:eastAsia="黑体" w:cs="黑体"/>
                <w:sz w:val="18"/>
                <w:szCs w:val="18"/>
              </w:rPr>
              <w:t>】</w:t>
            </w:r>
            <w:r>
              <w:rPr>
                <w:rFonts w:hint="eastAsia" w:ascii="黑体" w:hAnsi="黑体" w:eastAsia="黑体" w:cs="黑体"/>
                <w:color w:val="000000" w:themeColor="text1"/>
                <w:sz w:val="18"/>
                <w:szCs w:val="18"/>
                <w14:textFill>
                  <w14:solidFill>
                    <w14:schemeClr w14:val="tx1"/>
                  </w14:solidFill>
                </w14:textFill>
              </w:rPr>
              <w:t>。</w:t>
            </w:r>
          </w:p>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r>
              <w:rPr>
                <w:rFonts w:ascii="黑体" w:hAnsi="黑体" w:eastAsia="黑体" w:cs="黑体"/>
                <w:color w:val="000000" w:themeColor="text1"/>
                <w:sz w:val="18"/>
                <w:szCs w:val="18"/>
                <w14:textFill>
                  <w14:solidFill>
                    <w14:schemeClr w14:val="tx1"/>
                  </w14:solidFill>
                </w14:textFill>
              </w:rPr>
              <w:t>6）产品托管费：</w:t>
            </w:r>
            <w:r>
              <w:rPr>
                <w:rFonts w:hint="eastAsia" w:ascii="黑体" w:hAnsi="黑体" w:eastAsia="黑体" w:cs="黑体"/>
                <w:sz w:val="18"/>
                <w:szCs w:val="18"/>
              </w:rPr>
              <w:t>年化</w:t>
            </w:r>
            <w:r>
              <w:rPr>
                <w:rFonts w:ascii="黑体" w:hAnsi="黑体" w:eastAsia="黑体" w:cs="黑体"/>
                <w:sz w:val="18"/>
                <w:szCs w:val="18"/>
              </w:rPr>
              <w:t>费率</w:t>
            </w:r>
            <w:r>
              <w:rPr>
                <w:rFonts w:hint="eastAsia" w:ascii="黑体" w:hAnsi="黑体" w:eastAsia="黑体" w:cs="黑体"/>
                <w:sz w:val="18"/>
                <w:szCs w:val="18"/>
              </w:rPr>
              <w:t>【</w:t>
            </w:r>
            <w:r>
              <w:rPr>
                <w:rFonts w:hint="eastAsia" w:ascii="黑体" w:hAnsi="黑体" w:eastAsia="黑体" w:cs="黑体"/>
                <w:sz w:val="18"/>
                <w:szCs w:val="18"/>
                <w:lang w:val="en-US" w:eastAsia="zh-CN"/>
              </w:rPr>
              <w:t>0.03%</w:t>
            </w:r>
            <w:r>
              <w:rPr>
                <w:rFonts w:ascii="黑体" w:hAnsi="黑体" w:eastAsia="黑体" w:cs="黑体"/>
                <w:sz w:val="18"/>
                <w:szCs w:val="18"/>
              </w:rPr>
              <w:t>】</w:t>
            </w:r>
            <w:r>
              <w:rPr>
                <w:rFonts w:hint="eastAsia" w:ascii="黑体" w:hAnsi="黑体" w:eastAsia="黑体" w:cs="黑体"/>
                <w:color w:val="000000" w:themeColor="text1"/>
                <w:sz w:val="18"/>
                <w:szCs w:val="18"/>
                <w14:textFill>
                  <w14:solidFill>
                    <w14:schemeClr w14:val="tx1"/>
                  </w14:solidFill>
                </w14:textFill>
              </w:rPr>
              <w:t>。</w:t>
            </w:r>
          </w:p>
          <w:p>
            <w:pPr>
              <w:widowControl/>
              <w:spacing w:line="360" w:lineRule="auto"/>
              <w:jc w:val="left"/>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r>
              <w:rPr>
                <w:rFonts w:ascii="黑体" w:hAnsi="黑体" w:eastAsia="黑体" w:cs="黑体"/>
                <w:color w:val="000000" w:themeColor="text1"/>
                <w:sz w:val="18"/>
                <w:szCs w:val="18"/>
                <w14:textFill>
                  <w14:solidFill>
                    <w14:schemeClr w14:val="tx1"/>
                  </w14:solidFill>
                </w14:textFill>
              </w:rPr>
              <w:t>7）超额业绩报酬：</w:t>
            </w:r>
          </w:p>
          <w:p>
            <w:pPr>
              <w:widowControl/>
              <w:spacing w:line="360" w:lineRule="auto"/>
              <w:jc w:val="left"/>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w:t>
            </w:r>
            <w:r>
              <w:rPr>
                <w:rFonts w:hint="eastAsia" w:ascii="宋体" w:hAnsi="宋体"/>
                <w:sz w:val="18"/>
                <w:szCs w:val="18"/>
                <w:lang w:val="en-US" w:eastAsia="zh-CN"/>
              </w:rPr>
              <w:t>/</w:t>
            </w:r>
            <w:r>
              <w:rPr>
                <w:rFonts w:hint="eastAsia" w:ascii="宋体" w:hAnsi="宋体"/>
                <w:sz w:val="18"/>
                <w:szCs w:val="18"/>
              </w:rPr>
              <w:t>】作为超额业绩报酬。</w:t>
            </w:r>
          </w:p>
          <w:p>
            <w:pPr>
              <w:spacing w:line="360" w:lineRule="auto"/>
              <w:rPr>
                <w:rFonts w:ascii="黑体" w:hAnsi="黑体" w:eastAsia="黑体"/>
                <w:bCs/>
                <w:sz w:val="18"/>
                <w:szCs w:val="18"/>
              </w:rPr>
            </w:pPr>
            <w:r>
              <w:rPr>
                <w:rFonts w:hint="eastAsia"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8" w:name="_Toc79154666"/>
      <w:bookmarkStart w:id="9" w:name="_Toc21959"/>
      <w:bookmarkStart w:id="10" w:name="_Toc4403"/>
      <w:bookmarkStart w:id="11" w:name="_Toc92377132"/>
      <w:r>
        <w:rPr>
          <w:rFonts w:ascii="Times New Roman"/>
          <w:sz w:val="30"/>
        </w:rPr>
        <w:t>第</w:t>
      </w:r>
      <w:r>
        <w:rPr>
          <w:rFonts w:hint="eastAsia" w:ascii="Times New Roman"/>
          <w:sz w:val="30"/>
        </w:rPr>
        <w:t>三条</w:t>
      </w:r>
      <w:r>
        <w:rPr>
          <w:rFonts w:ascii="Times New Roman"/>
          <w:sz w:val="30"/>
        </w:rPr>
        <w:t xml:space="preserve">  </w:t>
      </w:r>
      <w:bookmarkStart w:id="12" w:name="_Toc79392573"/>
      <w:r>
        <w:rPr>
          <w:rFonts w:hint="eastAsia" w:ascii="Times New Roman"/>
          <w:sz w:val="30"/>
        </w:rPr>
        <w:t>理财产品的认购</w:t>
      </w:r>
      <w:bookmarkEnd w:id="8"/>
      <w:bookmarkEnd w:id="9"/>
      <w:bookmarkEnd w:id="10"/>
      <w:bookmarkEnd w:id="11"/>
    </w:p>
    <w:p>
      <w:pPr>
        <w:spacing w:line="360" w:lineRule="auto"/>
        <w:ind w:firstLine="361" w:firstLineChars="200"/>
        <w:rPr>
          <w:rFonts w:asciiTheme="minorEastAsia" w:hAnsiTheme="minorEastAsia"/>
          <w:b/>
          <w:bCs/>
          <w:sz w:val="18"/>
          <w:szCs w:val="18"/>
        </w:rPr>
      </w:pPr>
      <w:bookmarkStart w:id="13" w:name="_Hlt88031774"/>
      <w:bookmarkEnd w:id="13"/>
      <w:bookmarkStart w:id="1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申请并不代表认购成功，产品管理人将在认购确认日确认投资者是否认购成功，是否成功以管理人的确认结果为准</w:t>
      </w:r>
      <w:r>
        <w:rPr>
          <w:rFonts w:hint="eastAsia" w:asciiTheme="minorEastAsia" w:hAnsiTheme="minorEastAsia" w:eastAsiaTheme="minorEastAsia"/>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15" w:name="_Toc79154667"/>
      <w:bookmarkStart w:id="16" w:name="_Toc29856"/>
      <w:bookmarkStart w:id="17" w:name="_Toc92377133"/>
      <w:bookmarkStart w:id="18" w:name="_Toc6529"/>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15"/>
      <w:bookmarkEnd w:id="16"/>
      <w:bookmarkEnd w:id="17"/>
      <w:bookmarkEnd w:id="18"/>
    </w:p>
    <w:bookmarkEnd w:id="14"/>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86"/>
        <w:ind w:firstLine="360"/>
        <w:rPr>
          <w:rFonts w:asciiTheme="majorEastAsia" w:hAnsiTheme="majorEastAsia" w:eastAsiaTheme="majorEastAsia"/>
          <w:bCs/>
          <w:sz w:val="18"/>
          <w:szCs w:val="18"/>
        </w:rPr>
      </w:pPr>
      <w:r>
        <w:rPr>
          <w:rFonts w:hint="eastAsia" w:ascii="宋体" w:hAnsi="宋体"/>
          <w:sz w:val="18"/>
          <w:szCs w:val="18"/>
        </w:rPr>
        <w:t>本产品</w:t>
      </w:r>
      <w:r>
        <w:rPr>
          <w:rFonts w:hint="eastAsia" w:asciiTheme="majorEastAsia" w:hAnsiTheme="majorEastAsia" w:eastAsiaTheme="majorEastAsia"/>
          <w:bCs/>
          <w:sz w:val="18"/>
          <w:szCs w:val="18"/>
        </w:rPr>
        <w:t>具体申购时间以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详见《产品说明书》“第二条 理财产品基本情况”。</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color w:val="auto"/>
          <w:sz w:val="18"/>
          <w:szCs w:val="18"/>
        </w:rPr>
        <w:t>提交申购申请并不代表申购成功，产品管理人将在申购确认日确认投资者是否申购成功，是否成功以管理人的确认结果为准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w:t>
      </w:r>
      <w:r>
        <w:rPr>
          <w:rFonts w:asciiTheme="minorEastAsia" w:hAnsiTheme="minorEastAsia"/>
          <w:bCs/>
          <w:color w:val="auto"/>
          <w:sz w:val="18"/>
          <w:szCs w:val="18"/>
        </w:rPr>
        <w:t>=申购金额/（1+申购费率）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w:t>
      </w:r>
      <w:r>
        <w:rPr>
          <w:rFonts w:asciiTheme="minorEastAsia" w:hAnsiTheme="minorEastAsia"/>
          <w:bCs/>
          <w:color w:val="auto"/>
          <w:sz w:val="18"/>
          <w:szCs w:val="18"/>
        </w:rPr>
        <w:t>=申购金额－净申购金额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w:t>
      </w:r>
      <w:r>
        <w:rPr>
          <w:rFonts w:asciiTheme="minorEastAsia" w:hAnsiTheme="minorEastAsia"/>
          <w:bCs/>
          <w:color w:val="auto"/>
          <w:sz w:val="18"/>
          <w:szCs w:val="18"/>
        </w:rPr>
        <w:t>=净申购金额/申购日产品份额净值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86"/>
        <w:ind w:firstLine="360"/>
        <w:rPr>
          <w:rFonts w:asciiTheme="majorEastAsia" w:hAnsiTheme="majorEastAsia" w:eastAsiaTheme="majorEastAsia"/>
          <w:bCs/>
          <w:sz w:val="18"/>
          <w:szCs w:val="18"/>
        </w:rPr>
      </w:pPr>
      <w:r>
        <w:rPr>
          <w:rFonts w:hint="eastAsia" w:ascii="宋体" w:hAnsi="宋体"/>
          <w:sz w:val="18"/>
          <w:szCs w:val="18"/>
        </w:rPr>
        <w:t>本产品</w:t>
      </w:r>
      <w:r>
        <w:rPr>
          <w:rFonts w:hint="eastAsia" w:asciiTheme="majorEastAsia" w:hAnsiTheme="majorEastAsia" w:eastAsiaTheme="majorEastAsia"/>
          <w:bCs/>
          <w:sz w:val="18"/>
          <w:szCs w:val="18"/>
        </w:rPr>
        <w:t>具体赎回时间以</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asciiTheme="majorEastAsia" w:hAnsiTheme="majorEastAsia" w:eastAsiaTheme="majorEastAsia"/>
          <w:bCs/>
          <w:sz w:val="18"/>
          <w:szCs w:val="18"/>
        </w:rPr>
        <w:t>为准。</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2.赎回的方式</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详见《产品说明书》“第二条 理财产品基本情况”。</w:t>
      </w:r>
    </w:p>
    <w:p>
      <w:pPr>
        <w:pStyle w:val="34"/>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提交赎回申请并不代表赎回成功，产品管理人将在赎回确认日确认投资者是否赎回成功。赎回是否成功以管理人的确认结果为准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w:t>
      </w:r>
      <w:r>
        <w:rPr>
          <w:rFonts w:asciiTheme="majorEastAsia" w:hAnsiTheme="majorEastAsia" w:eastAsiaTheme="majorEastAsia"/>
          <w:color w:val="auto"/>
          <w:sz w:val="18"/>
          <w:szCs w:val="18"/>
        </w:rPr>
        <w:t>=赎回份额×赎回日该产品份额净值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w:t>
      </w:r>
      <w:r>
        <w:rPr>
          <w:rFonts w:asciiTheme="majorEastAsia" w:hAnsiTheme="majorEastAsia" w:eastAsiaTheme="majorEastAsia"/>
          <w:color w:val="auto"/>
          <w:sz w:val="18"/>
          <w:szCs w:val="18"/>
        </w:rPr>
        <w:t>=赎回总金额×赎回费率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w:t>
      </w:r>
      <w:r>
        <w:rPr>
          <w:rFonts w:asciiTheme="majorEastAsia" w:hAnsiTheme="majorEastAsia" w:eastAsiaTheme="majorEastAsia"/>
          <w:color w:val="auto"/>
          <w:sz w:val="18"/>
          <w:szCs w:val="18"/>
        </w:rPr>
        <w:t>=赎回总金额-赎回费用</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日交易时间截止</w:t>
      </w:r>
      <w:r>
        <w:rPr>
          <w:rFonts w:asciiTheme="majorEastAsia" w:hAnsiTheme="majorEastAsia" w:eastAsiaTheme="majorEastAsia"/>
          <w:color w:val="auto"/>
          <w:sz w:val="18"/>
          <w:szCs w:val="18"/>
        </w:rPr>
        <w:t>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超出部分的净赎回申请，但投资者可于下一开放日重新进行赎回申请；（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在发生巨额赎回产品管理人暂停接受投资者赎回申请时，产品管理人将依约定发布相关公告信息。</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12"/>
    <w:p>
      <w:pPr>
        <w:pStyle w:val="2"/>
        <w:spacing w:before="0" w:after="0" w:line="360" w:lineRule="auto"/>
        <w:jc w:val="center"/>
        <w:rPr>
          <w:rFonts w:ascii="Times New Roman"/>
          <w:sz w:val="30"/>
        </w:rPr>
      </w:pPr>
      <w:bookmarkStart w:id="19" w:name="_Toc27226"/>
      <w:bookmarkStart w:id="20" w:name="_Toc23413"/>
      <w:bookmarkStart w:id="21" w:name="_Toc3266"/>
      <w:bookmarkStart w:id="22" w:name="_Toc22074"/>
      <w:bookmarkStart w:id="23" w:name="_Toc27189"/>
      <w:bookmarkStart w:id="24" w:name="_Toc90742688"/>
      <w:bookmarkStart w:id="25" w:name="_Toc79154668"/>
      <w:bookmarkStart w:id="26" w:name="_Toc90742321"/>
      <w:bookmarkStart w:id="27" w:name="_Toc7151"/>
      <w:bookmarkStart w:id="28" w:name="_Toc92377134"/>
      <w:bookmarkStart w:id="29" w:name="_Toc74065741"/>
      <w:bookmarkStart w:id="30" w:name="_Toc29948"/>
      <w:bookmarkStart w:id="31" w:name="_Toc15203"/>
      <w:bookmarkStart w:id="32" w:name="_Toc12517"/>
      <w:bookmarkStart w:id="33" w:name="_Toc16265"/>
      <w:bookmarkStart w:id="34" w:name="_Toc6714"/>
      <w:bookmarkStart w:id="35" w:name="_Toc90742390"/>
      <w:bookmarkStart w:id="36" w:name="_Toc29784"/>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permStart w:id="15" w:edGrp="everyone"/>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国债、金融债、地方政府债、央行票据、同业存单、短期融资券、超短期融资券、中期票据、企业债、公司债、非公开定向债务融资工具、项目收益债、项目收益票据、资产支持证券、次级债等银行间和交易所市场债券及债务融资工具，以及其他固定收益类投资工具等。</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（3）国债期货、利率互换、债券借贷。</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（5）其他风险不高于前述资产的资产。</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permStart w:id="16" w:edGrp="everyone"/>
      <w:r>
        <w:rPr>
          <w:rFonts w:hint="eastAsia" w:asciiTheme="majorEastAsia" w:hAnsiTheme="majorEastAsia" w:eastAsiaTheme="majorEastAsia"/>
          <w:bCs/>
          <w:kern w:val="0"/>
          <w:sz w:val="18"/>
          <w:szCs w:val="18"/>
        </w:rPr>
        <w:t>本产品投资于债权类资产的比例不低于产品总资产的80%。</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应当符合本销售文件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销售文件</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34"/>
        <w:spacing w:line="360" w:lineRule="auto"/>
        <w:ind w:firstLine="360" w:firstLineChars="200"/>
        <w:rPr>
          <w:rFonts w:asciiTheme="majorEastAsia" w:hAnsiTheme="majorEastAsia" w:eastAsiaTheme="majorEastAsia"/>
          <w:color w:val="auto"/>
          <w:sz w:val="18"/>
          <w:szCs w:val="18"/>
        </w:rPr>
      </w:pPr>
      <w:permStart w:id="18"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color w:val="auto"/>
          <w:sz w:val="18"/>
          <w:szCs w:val="18"/>
        </w:rPr>
        <w:t>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每只开放式公募理财产品和每个交易日开放的私募理财产品直接投资于流动性受限资产的市值在开放日不得超过该产品资产净值的15%。每只定期开放式私募理财产品直接投资于流动性受限资产的市值在开放日不得超过该产品资产净值的20%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面向单一投资者发行的私募理财产品可不受前款比例限制。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开放式公募理财产品定期开放周期不低于90天的，在开放日及开放日前7个工作日内持有不低于该产品资产净值5%的现金或者到期日在一年以内的国债、中央银行票据和政策性金融债券。其他开放式公募理财产品持续满足持有不低于该产品资产净值5%的现金或者到期日在一年以内的国债、中央银行票据和政策性金融债券。</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 xml:space="preserve">（7）每只开放式理财产品每日确认且需当日支付的净赎回申请不超过前一工作日产品7个工作日可变现资产的可变现价值，银保监会另有规定的除外。在开放日前一工作日内，每只开放式理财产品7个工作日可变现资产的可变现价值应当不低于该产品资产净值的10%。 </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面向单一投资者发行的私募理财产品可不受本条规定限制。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销售文件</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bCs/>
          <w:sz w:val="18"/>
          <w:szCs w:val="18"/>
        </w:rPr>
      </w:pPr>
      <w:permStart w:id="19" w:edGrp="everyone"/>
      <w:r>
        <w:rPr>
          <w:rFonts w:hint="eastAsia" w:asciiTheme="majorEastAsia" w:hAnsiTheme="majorEastAsia" w:eastAsiaTheme="majorEastAsia"/>
          <w:bCs/>
          <w:color w:val="auto"/>
          <w:sz w:val="18"/>
          <w:szCs w:val="18"/>
        </w:rPr>
        <w:t>【本产品根据对短期利率变动的预测，采用投资组合平均剩余期限控制下的主动性投资策略，利用定性分析和定量分析方法，通过对短期金融工具的积极投资，在控制风险和保证流动性的基础上，力争获得稳定的当期收益。】</w:t>
      </w:r>
    </w:p>
    <w:permEnd w:id="19"/>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37" w:name="_Toc139991735"/>
      <w:bookmarkStart w:id="38" w:name="_Toc79154669"/>
      <w:bookmarkStart w:id="39" w:name="_Toc5702"/>
      <w:bookmarkStart w:id="40" w:name="_Toc141703885"/>
      <w:bookmarkStart w:id="41" w:name="_Toc18526"/>
      <w:bookmarkStart w:id="42" w:name="_Toc17912"/>
      <w:bookmarkStart w:id="43" w:name="_Toc7848"/>
      <w:bookmarkStart w:id="44" w:name="_Toc21988"/>
      <w:bookmarkStart w:id="45" w:name="_Toc14893"/>
      <w:bookmarkStart w:id="46" w:name="_Toc4741"/>
      <w:bookmarkStart w:id="47" w:name="_Toc1823"/>
      <w:bookmarkStart w:id="48" w:name="_Toc92377135"/>
      <w:bookmarkStart w:id="49" w:name="_Toc74065742"/>
      <w:bookmarkStart w:id="50" w:name="_Toc27967"/>
      <w:bookmarkStart w:id="51" w:name="_Toc26986"/>
      <w:bookmarkStart w:id="52" w:name="_Toc18797"/>
      <w:bookmarkStart w:id="53" w:name="_Toc18329"/>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34"/>
        <w:spacing w:line="360" w:lineRule="auto"/>
        <w:ind w:firstLine="361" w:firstLineChars="200"/>
        <w:rPr>
          <w:rFonts w:asciiTheme="majorEastAsia" w:hAnsiTheme="majorEastAsia" w:eastAsiaTheme="majorEastAsia"/>
          <w:b/>
          <w:color w:val="auto"/>
          <w:sz w:val="18"/>
          <w:szCs w:val="18"/>
        </w:rPr>
      </w:pPr>
      <w:bookmarkStart w:id="54"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54"/>
    <w:p>
      <w:pPr>
        <w:pStyle w:val="2"/>
        <w:spacing w:before="0" w:after="0" w:line="360" w:lineRule="auto"/>
        <w:jc w:val="center"/>
        <w:rPr>
          <w:rFonts w:ascii="Times New Roman"/>
          <w:sz w:val="28"/>
          <w:szCs w:val="28"/>
        </w:rPr>
      </w:pPr>
      <w:bookmarkStart w:id="55" w:name="_Toc13903"/>
      <w:bookmarkStart w:id="56" w:name="_Toc92377136"/>
      <w:bookmarkStart w:id="57" w:name="_Toc11152"/>
      <w:bookmarkStart w:id="58" w:name="_Toc83391971"/>
      <w:bookmarkStart w:id="59" w:name="_Toc4003"/>
      <w:bookmarkStart w:id="60" w:name="_Toc79154670"/>
      <w:bookmarkStart w:id="61" w:name="_Toc20733"/>
      <w:bookmarkStart w:id="62" w:name="_Toc23822"/>
      <w:bookmarkStart w:id="63" w:name="_Toc139991736"/>
      <w:bookmarkStart w:id="64" w:name="_Toc1427"/>
      <w:bookmarkStart w:id="65" w:name="_Toc1270"/>
      <w:bookmarkStart w:id="66" w:name="_Toc141703886"/>
      <w:bookmarkStart w:id="67" w:name="_Toc610"/>
      <w:bookmarkStart w:id="68" w:name="_Toc98560352"/>
      <w:bookmarkStart w:id="69" w:name="_Toc7920"/>
      <w:bookmarkStart w:id="70" w:name="_Toc10463"/>
      <w:bookmarkStart w:id="71" w:name="_Toc123112234"/>
      <w:bookmarkStart w:id="72" w:name="_Toc123051452"/>
      <w:bookmarkStart w:id="73" w:name="_Toc17244"/>
      <w:bookmarkStart w:id="74" w:name="_Toc123102453"/>
      <w:bookmarkStart w:id="75" w:name="_Toc23261"/>
      <w:bookmarkStart w:id="76" w:name="_Toc48649707"/>
      <w:bookmarkStart w:id="77" w:name="_Toc79392606"/>
      <w:bookmarkStart w:id="78" w:name="_Toc74065743"/>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55"/>
      <w:bookmarkEnd w:id="56"/>
      <w:bookmarkEnd w:id="57"/>
      <w:bookmarkEnd w:id="58"/>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color w:val="2E3033"/>
          <w:sz w:val="18"/>
          <w:szCs w:val="18"/>
        </w:rPr>
      </w:pPr>
      <w:permStart w:id="20" w:edGrp="everyone"/>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，每个</w:t>
      </w:r>
      <w:r>
        <w:rPr>
          <w:rFonts w:hint="eastAsia" w:cs="Times New Roman" w:asciiTheme="minorEastAsia" w:hAnsiTheme="minorEastAsia" w:eastAsiaTheme="minorEastAsia"/>
          <w:sz w:val="18"/>
          <w:szCs w:val="18"/>
          <w:lang w:eastAsia="zh-CN"/>
        </w:rPr>
        <w:t>【</w:t>
      </w:r>
      <w:r>
        <w:rPr>
          <w:rFonts w:hint="eastAsia" w:cs="Times New Roman" w:asciiTheme="minorEastAsia" w:hAnsiTheme="minorEastAsia" w:eastAsiaTheme="minorEastAsia"/>
          <w:sz w:val="18"/>
          <w:szCs w:val="18"/>
          <w:lang w:val="en-US" w:eastAsia="zh-CN"/>
        </w:rPr>
        <w:t>工作日</w:t>
      </w:r>
      <w:r>
        <w:rPr>
          <w:rFonts w:hint="eastAsia" w:cs="Times New Roman" w:asciiTheme="minorEastAsia" w:hAnsiTheme="minorEastAsia" w:eastAsiaTheme="minorEastAsia"/>
          <w:sz w:val="18"/>
          <w:szCs w:val="18"/>
          <w:lang w:eastAsia="zh-CN"/>
        </w:rPr>
        <w:t>】</w:t>
      </w:r>
      <w:r>
        <w:rPr>
          <w:rFonts w:hint="eastAsia" w:cs="Times New Roman" w:asciiTheme="minorEastAsia" w:hAnsiTheme="minorEastAsia" w:eastAsiaTheme="minorEastAsia"/>
          <w:sz w:val="18"/>
          <w:szCs w:val="18"/>
        </w:rPr>
        <w:t>进行一次估值</w:t>
      </w:r>
      <w:r>
        <w:rPr>
          <w:rFonts w:hint="eastAsia" w:asciiTheme="minorEastAsia" w:hAnsiTheme="minorEastAsia" w:eastAsiaTheme="minorEastAsia"/>
          <w:color w:val="2E3033"/>
          <w:sz w:val="18"/>
          <w:szCs w:val="18"/>
        </w:rPr>
        <w:t>。</w:t>
      </w:r>
    </w:p>
    <w:permEnd w:id="20"/>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34"/>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1.</w:t>
      </w:r>
      <w:r>
        <w:rPr>
          <w:rFonts w:hint="eastAsia" w:asciiTheme="minorEastAsia" w:hAnsiTheme="minorEastAsia" w:eastAsiaTheme="minorEastAsia"/>
          <w:bCs/>
          <w:color w:val="auto"/>
          <w:sz w:val="18"/>
          <w:szCs w:val="18"/>
        </w:rPr>
        <w:t>标准化债权类资产估值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bCs/>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3.非标准化债权类资产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4.上市公司股票</w:t>
      </w:r>
      <w:r>
        <w:rPr>
          <w:rFonts w:hint="eastAsia" w:asciiTheme="majorEastAsia" w:hAnsiTheme="majorEastAsia" w:eastAsiaTheme="majorEastAsia"/>
          <w:color w:val="auto"/>
          <w:sz w:val="18"/>
          <w:szCs w:val="18"/>
        </w:rPr>
        <w:t>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5.未上市公司股权</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6.</w:t>
      </w:r>
      <w:r>
        <w:rPr>
          <w:rFonts w:hint="eastAsia" w:asciiTheme="minorEastAsia" w:hAnsiTheme="minorEastAsia" w:eastAsiaTheme="minorEastAsia"/>
          <w:bCs/>
          <w:color w:val="auto"/>
          <w:sz w:val="18"/>
          <w:szCs w:val="18"/>
        </w:rPr>
        <w:t>优先股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7.</w:t>
      </w:r>
      <w:r>
        <w:rPr>
          <w:rFonts w:hint="eastAsia" w:asciiTheme="minorEastAsia" w:hAnsiTheme="minorEastAsia" w:eastAsiaTheme="minorEastAsia"/>
          <w:bCs/>
          <w:color w:val="auto"/>
          <w:sz w:val="18"/>
          <w:szCs w:val="18"/>
        </w:rPr>
        <w:t>证券投资基金估值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8.</w:t>
      </w:r>
      <w:r>
        <w:rPr>
          <w:rFonts w:hint="eastAsia" w:asciiTheme="minorEastAsia" w:hAnsiTheme="minorEastAsia" w:eastAsiaTheme="minorEastAsia"/>
          <w:bCs/>
          <w:color w:val="auto"/>
          <w:sz w:val="18"/>
          <w:szCs w:val="18"/>
        </w:rPr>
        <w:t>其他资产管理产品的估值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若无法获取净值，产品管理人可与托管人商定后，采用在当前情况下适用的估值技术确定公允价值。</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9.衍生金融工具估值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10.</w:t>
      </w:r>
      <w:r>
        <w:rPr>
          <w:rFonts w:hint="eastAsia" w:asciiTheme="minorEastAsia" w:hAnsiTheme="minorEastAsia" w:eastAsiaTheme="minorEastAsia"/>
          <w:bCs/>
          <w:color w:val="auto"/>
          <w:sz w:val="18"/>
          <w:szCs w:val="18"/>
        </w:rPr>
        <w:t>存款、拆借、回购等货币市场工具的估值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w:t>
      </w:r>
      <w:r>
        <w:rPr>
          <w:rFonts w:hint="eastAsia"/>
        </w:rPr>
        <w:t xml:space="preserve"> </w:t>
      </w:r>
      <w:r>
        <w:rPr>
          <w:rFonts w:hint="eastAsia" w:asciiTheme="minorEastAsia" w:hAnsiTheme="minorEastAsia" w:eastAsiaTheme="minorEastAsia"/>
          <w:color w:val="auto"/>
          <w:sz w:val="18"/>
          <w:szCs w:val="18"/>
        </w:rPr>
        <w:t>当开放式公募理财产品（现金管理类理财产品除外）遭遇大额申购或赎回时，管理人可以采用摆动定价机制，以确保估值的公平性。具体操作按照相关法律法规、监管规定和自律规则执行。</w:t>
      </w:r>
    </w:p>
    <w:p>
      <w:pPr>
        <w:pStyle w:val="34"/>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34"/>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Pr>
        <w:pStyle w:val="2"/>
        <w:spacing w:before="0" w:after="0" w:line="360" w:lineRule="auto"/>
        <w:ind w:left="60" w:firstLine="10"/>
        <w:jc w:val="center"/>
        <w:rPr>
          <w:rFonts w:ascii="Times New Roman"/>
          <w:sz w:val="30"/>
        </w:rPr>
      </w:pPr>
      <w:bookmarkStart w:id="79" w:name="_Hlt70481650"/>
      <w:bookmarkEnd w:id="79"/>
      <w:bookmarkStart w:id="80" w:name="_Toc31644"/>
      <w:bookmarkStart w:id="81" w:name="_Toc8045"/>
      <w:bookmarkStart w:id="82" w:name="_Toc26207"/>
      <w:bookmarkStart w:id="83" w:name="_Toc12245"/>
      <w:bookmarkStart w:id="84" w:name="_Toc123102454"/>
      <w:bookmarkStart w:id="85" w:name="_Toc139991737"/>
      <w:bookmarkStart w:id="86" w:name="_Toc141703887"/>
      <w:bookmarkStart w:id="87" w:name="_Toc123051453"/>
      <w:bookmarkStart w:id="88" w:name="_Toc29251"/>
      <w:bookmarkStart w:id="89" w:name="_Toc74065744"/>
      <w:bookmarkStart w:id="90" w:name="_Toc92377137"/>
      <w:bookmarkStart w:id="91" w:name="_Toc4020"/>
      <w:bookmarkStart w:id="92" w:name="_Toc6405"/>
      <w:bookmarkStart w:id="93" w:name="_Toc3601"/>
      <w:bookmarkStart w:id="94" w:name="_Toc123112235"/>
      <w:bookmarkStart w:id="95" w:name="_Toc15143"/>
      <w:bookmarkStart w:id="96" w:name="_Toc31653"/>
      <w:bookmarkStart w:id="97" w:name="_Toc79154671"/>
      <w:bookmarkStart w:id="98" w:name="_Toc98560353"/>
      <w:bookmarkStart w:id="99" w:name="_Toc14835"/>
      <w:bookmarkStart w:id="100" w:name="_Toc31235"/>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Start w:id="101" w:name="_Hlt55355235"/>
      <w:bookmarkEnd w:id="101"/>
      <w:bookmarkStart w:id="102" w:name="_Toc57530239"/>
      <w:bookmarkStart w:id="103" w:name="_Toc79392580"/>
      <w:bookmarkStart w:id="104" w:name="_Toc523711668"/>
      <w:bookmarkStart w:id="105"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color w:val="auto"/>
          <w:sz w:val="18"/>
          <w:szCs w:val="18"/>
        </w:rPr>
      </w:pPr>
      <w:permStart w:id="21" w:edGrp="everyone"/>
      <w:r>
        <w:rPr>
          <w:rFonts w:hAnsi="宋体"/>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w:t>
      </w:r>
      <w:r>
        <w:rPr>
          <w:rFonts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w:t>
      </w:r>
      <w:r>
        <w:rPr>
          <w:rFonts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Ansi="宋体"/>
          <w:color w:val="auto"/>
          <w:sz w:val="18"/>
          <w:szCs w:val="18"/>
        </w:rPr>
        <w:t>3.理财产品存续期间，产品管理人有权视理财产品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102"/>
    <w:bookmarkEnd w:id="103"/>
    <w:bookmarkEnd w:id="104"/>
    <w:bookmarkEnd w:id="105"/>
    <w:p>
      <w:pPr>
        <w:pStyle w:val="2"/>
        <w:spacing w:before="0" w:after="0" w:line="360" w:lineRule="auto"/>
        <w:jc w:val="center"/>
        <w:rPr>
          <w:rFonts w:ascii="Times New Roman"/>
          <w:sz w:val="30"/>
        </w:rPr>
      </w:pPr>
      <w:bookmarkStart w:id="106" w:name="_Hlt88897298"/>
      <w:bookmarkEnd w:id="106"/>
      <w:bookmarkStart w:id="107" w:name="_Hlt88825574"/>
      <w:bookmarkEnd w:id="107"/>
      <w:bookmarkStart w:id="108" w:name="_Toc3771"/>
      <w:bookmarkStart w:id="109" w:name="_Toc6447"/>
      <w:bookmarkStart w:id="110" w:name="_Toc123051454"/>
      <w:bookmarkStart w:id="111" w:name="_Toc74065745"/>
      <w:bookmarkStart w:id="112" w:name="_Toc79154672"/>
      <w:bookmarkStart w:id="113" w:name="_Toc92377138"/>
      <w:bookmarkStart w:id="114" w:name="_Toc79392583"/>
      <w:bookmarkStart w:id="115" w:name="_Toc10650"/>
      <w:bookmarkStart w:id="116" w:name="_Toc11030"/>
      <w:bookmarkStart w:id="117" w:name="_Toc139991738"/>
      <w:bookmarkStart w:id="118" w:name="_Toc98560354"/>
      <w:bookmarkStart w:id="119" w:name="_Toc3321"/>
      <w:bookmarkStart w:id="120" w:name="_Toc25783"/>
      <w:bookmarkStart w:id="121" w:name="_Toc141703888"/>
      <w:bookmarkStart w:id="122" w:name="_Toc123102455"/>
      <w:bookmarkStart w:id="123" w:name="_Toc9706"/>
      <w:bookmarkStart w:id="124" w:name="_Toc18567"/>
      <w:bookmarkStart w:id="125" w:name="_Toc7058"/>
      <w:bookmarkStart w:id="126" w:name="_Toc4559"/>
      <w:bookmarkStart w:id="127" w:name="_Toc123112236"/>
      <w:bookmarkStart w:id="128" w:name="_Toc22998"/>
      <w:bookmarkStart w:id="129" w:name="_Toc6394"/>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30"/>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permStart w:id="23" w:edGrp="everyone"/>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③在投资者提出赎回申请的产品份额所对应的赎回日提取超额业绩报酬的，超额业绩报酬从赎回资金中扣除；在产品终止日提取超额业绩报酬的，超额业绩报酬从清算资金中扣除；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产品份额超额业绩报酬计提起始日为：a.募集期内认购的产品份额，以产品成立日为该笔产品份额超额业绩报酬计提起始日；b.存续期内申购的产品份额，以申购日为该笔产品份额超额业绩报酬计提起始日。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产品份额超额业绩报酬计提日为投资者提出赎回申请的产品份额所对应的赎回日或产品终止日。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，超额业绩报酬=赎回的产品份额或产品终止时投资者持有的产品份额×产品成立日或产品份额申购日的产品份额净值×（R-当前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产品份额持有期间，业绩报酬计提基准和比例有所调整，以该产品份额持有期间调整前后的业绩报酬计提基准和比例分别测算整个份额持有期间应收取的超额业绩报酬数值，并以较小的数值来收取超额业绩报酬。</w:t>
      </w:r>
    </w:p>
    <w:permEnd w:id="23"/>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30" w:name="_Toc3963"/>
      <w:bookmarkStart w:id="131" w:name="_Toc1745"/>
      <w:r>
        <w:br w:type="page"/>
      </w:r>
      <w:bookmarkStart w:id="132" w:name="_Toc18206"/>
      <w:bookmarkStart w:id="133" w:name="_Toc123051455"/>
      <w:bookmarkStart w:id="134" w:name="_Toc3572"/>
      <w:bookmarkStart w:id="135" w:name="_Toc5388"/>
      <w:bookmarkStart w:id="136" w:name="_Toc123102456"/>
      <w:bookmarkStart w:id="137" w:name="_Toc16164"/>
      <w:bookmarkStart w:id="138" w:name="_Toc74065746"/>
      <w:bookmarkStart w:id="139" w:name="_Toc92377139"/>
      <w:bookmarkStart w:id="140" w:name="_Toc79154673"/>
      <w:bookmarkStart w:id="141" w:name="_Toc139991739"/>
      <w:bookmarkStart w:id="142" w:name="_Toc25397"/>
      <w:bookmarkStart w:id="143" w:name="_Toc98560355"/>
      <w:bookmarkStart w:id="144" w:name="_Toc31821"/>
      <w:bookmarkStart w:id="145" w:name="_Toc3080"/>
      <w:bookmarkStart w:id="146" w:name="_Toc725"/>
      <w:bookmarkStart w:id="147" w:name="_Toc141703889"/>
      <w:bookmarkStart w:id="148" w:name="_Toc10398"/>
      <w:bookmarkStart w:id="149" w:name="_Toc123112237"/>
      <w:bookmarkStart w:id="150" w:name="_Toc21735"/>
      <w:r>
        <w:rPr>
          <w:rFonts w:hint="eastAsia"/>
          <w:sz w:val="30"/>
        </w:rPr>
        <w:t>第十条</w:t>
      </w:r>
      <w:r>
        <w:rPr>
          <w:sz w:val="30"/>
        </w:rPr>
        <w:t xml:space="preserve">  </w:t>
      </w:r>
      <w:r>
        <w:rPr>
          <w:rFonts w:hint="eastAsia"/>
          <w:sz w:val="30"/>
        </w:rPr>
        <w:t>理财产品的终止与清算</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360" w:lineRule="auto"/>
        <w:ind w:firstLine="361" w:firstLineChars="200"/>
        <w:rPr>
          <w:rFonts w:asciiTheme="majorEastAsia" w:hAnsiTheme="majorEastAsia" w:eastAsiaTheme="majorEastAsia"/>
          <w:b/>
          <w:bCs/>
          <w:sz w:val="18"/>
          <w:szCs w:val="18"/>
        </w:rPr>
      </w:pPr>
      <w:bookmarkStart w:id="151" w:name="_Toc57530252"/>
      <w:bookmarkStart w:id="152" w:name="_Toc79392593"/>
      <w:bookmarkStart w:id="153"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bookmarkEnd w:id="151"/>
    <w:bookmarkEnd w:id="152"/>
    <w:bookmarkEnd w:id="153"/>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5】个工作日，清算期超过【5】个工作日的，将依约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部分终止的比例：理财产品将按比例（已变现资产/理财产品净资产）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部分终止的利益分配：产品管理人将依照销售文件公布部分终止日并指定利益分配日（一般为部分终止日之后的【5】个工作日以内）。产品管理人应将理财利益于指定的利益分配日（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理财产品部分终止日（含当日）至理财利益实际到账日之间，理财资金不计算收益。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3.理财产品到期日产品管理人按照《产品说明书》“第十条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p>
      <w:pPr>
        <w:pStyle w:val="2"/>
        <w:spacing w:before="0" w:after="0" w:line="360" w:lineRule="auto"/>
        <w:jc w:val="center"/>
        <w:rPr>
          <w:rFonts w:ascii="Times New Roman"/>
          <w:sz w:val="18"/>
          <w:szCs w:val="18"/>
        </w:rPr>
      </w:pPr>
      <w:r>
        <w:rPr>
          <w:rFonts w:ascii="Times New Roman"/>
          <w:b w:val="0"/>
          <w:bCs w:val="0"/>
          <w:kern w:val="2"/>
        </w:rPr>
        <w:br w:type="page"/>
      </w:r>
      <w:bookmarkStart w:id="154" w:name="_Toc24268"/>
      <w:bookmarkStart w:id="155" w:name="_Toc92377140"/>
      <w:bookmarkStart w:id="156" w:name="_Toc7953"/>
      <w:bookmarkStart w:id="157" w:name="_Toc8791"/>
      <w:bookmarkStart w:id="158" w:name="_Toc79392622"/>
      <w:bookmarkStart w:id="159" w:name="_Toc739"/>
      <w:bookmarkStart w:id="160" w:name="_Toc123051456"/>
      <w:bookmarkStart w:id="161" w:name="_Toc83391975"/>
      <w:bookmarkStart w:id="162" w:name="_Toc17198"/>
      <w:bookmarkStart w:id="163" w:name="_Toc123112238"/>
      <w:bookmarkStart w:id="164" w:name="_Toc141703890"/>
      <w:bookmarkStart w:id="165" w:name="_Toc139991740"/>
      <w:bookmarkStart w:id="166" w:name="_Toc29408"/>
      <w:bookmarkStart w:id="167" w:name="_Toc79154674"/>
      <w:bookmarkStart w:id="168" w:name="_Toc32092"/>
      <w:bookmarkStart w:id="169" w:name="_Toc32584"/>
      <w:bookmarkStart w:id="170" w:name="_Toc5170"/>
      <w:bookmarkStart w:id="171" w:name="_Toc17920"/>
      <w:bookmarkStart w:id="172" w:name="_Toc48649708"/>
      <w:bookmarkStart w:id="173" w:name="_Toc74065747"/>
      <w:bookmarkStart w:id="174" w:name="_Toc123102457"/>
      <w:bookmarkStart w:id="175" w:name="_Toc98560356"/>
      <w:bookmarkStart w:id="176" w:name="_Toc3329"/>
      <w:bookmarkStart w:id="177" w:name="_Toc21237"/>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154"/>
      <w:bookmarkEnd w:id="155"/>
      <w:bookmarkEnd w:id="156"/>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w:t>
      </w:r>
      <w:r>
        <w:rPr>
          <w:rFonts w:hint="eastAsia" w:ascii="宋体" w:hAnsi="宋体"/>
          <w:bCs/>
          <w:sz w:val="18"/>
          <w:szCs w:val="18"/>
        </w:rPr>
        <w:t>产品管理人</w:t>
      </w:r>
      <w:r>
        <w:rPr>
          <w:rFonts w:ascii="宋体" w:hAnsi="宋体"/>
          <w:bCs/>
          <w:sz w:val="18"/>
          <w:szCs w:val="18"/>
        </w:rPr>
        <w:t>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permStart w:id="24"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工作日</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r>
        <w:rPr>
          <w:rFonts w:ascii="宋体" w:hAnsi="宋体"/>
          <w:bCs/>
          <w:sz w:val="18"/>
          <w:szCs w:val="18"/>
        </w:rPr>
        <w:t xml:space="preserve"> </w:t>
      </w:r>
    </w:p>
    <w:permEnd w:id="24"/>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1）</w:t>
      </w:r>
      <w:r>
        <w:rPr>
          <w:rFonts w:hint="eastAsia" w:ascii="黑体" w:hAnsi="黑体" w:eastAsia="黑体"/>
          <w:sz w:val="18"/>
          <w:szCs w:val="18"/>
        </w:rPr>
        <w:t>★产品管理人</w:t>
      </w:r>
      <w:r>
        <w:rPr>
          <w:rFonts w:ascii="黑体" w:hAnsi="黑体" w:eastAsia="黑体"/>
          <w:sz w:val="18"/>
          <w:szCs w:val="18"/>
        </w:rPr>
        <w:t>对</w:t>
      </w:r>
      <w:r>
        <w:rPr>
          <w:rFonts w:hint="eastAsia" w:ascii="黑体" w:hAnsi="黑体" w:eastAsia="黑体"/>
          <w:sz w:val="18"/>
          <w:szCs w:val="18"/>
        </w:rPr>
        <w:t>投资范围、投资资产种类、</w:t>
      </w:r>
      <w:r>
        <w:rPr>
          <w:rFonts w:ascii="黑体" w:hAnsi="黑体" w:eastAsia="黑体"/>
          <w:sz w:val="18"/>
          <w:szCs w:val="18"/>
        </w:rPr>
        <w:t>投资</w:t>
      </w:r>
      <w:r>
        <w:rPr>
          <w:rFonts w:hint="eastAsia" w:ascii="黑体" w:hAnsi="黑体" w:eastAsia="黑体"/>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sz w:val="18"/>
          <w:szCs w:val="18"/>
        </w:rPr>
        <w:t>2个工作日发布变更公告</w:t>
      </w:r>
      <w:r>
        <w:rPr>
          <w:rFonts w:hint="eastAsia" w:ascii="黑体" w:hAnsi="黑体" w:eastAsia="黑体"/>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0" w:firstLineChars="200"/>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4）★在本产品存续期内，如因国家法律法规、监管规定发生变化，或是出于维护本产品正常运营的需要，在不损害投资者</w:t>
      </w:r>
      <w:r>
        <w:rPr>
          <w:rFonts w:hint="eastAsia" w:ascii="黑体" w:hAnsi="黑体" w:eastAsia="黑体"/>
          <w:sz w:val="18"/>
          <w:szCs w:val="18"/>
        </w:rPr>
        <w:t>权益</w:t>
      </w:r>
      <w:r>
        <w:rPr>
          <w:rFonts w:ascii="黑体" w:hAnsi="黑体" w:eastAsia="黑体"/>
          <w:sz w:val="18"/>
          <w:szCs w:val="18"/>
        </w:rPr>
        <w:t>的前提下，</w:t>
      </w:r>
      <w:r>
        <w:rPr>
          <w:rFonts w:hint="eastAsia" w:ascii="黑体" w:hAnsi="黑体" w:eastAsia="黑体"/>
          <w:sz w:val="18"/>
          <w:szCs w:val="18"/>
        </w:rPr>
        <w:t>产品管理人</w:t>
      </w:r>
      <w:r>
        <w:rPr>
          <w:rFonts w:ascii="黑体" w:hAnsi="黑体" w:eastAsia="黑体"/>
          <w:sz w:val="18"/>
          <w:szCs w:val="18"/>
        </w:rPr>
        <w:t>有权对</w:t>
      </w:r>
      <w:r>
        <w:rPr>
          <w:rFonts w:hint="eastAsia" w:ascii="黑体" w:hAnsi="黑体" w:eastAsia="黑体"/>
          <w:sz w:val="18"/>
          <w:szCs w:val="18"/>
        </w:rPr>
        <w:t>理财产品销售文件</w:t>
      </w:r>
      <w:r>
        <w:rPr>
          <w:rFonts w:ascii="黑体" w:hAnsi="黑体" w:eastAsia="黑体"/>
          <w:sz w:val="18"/>
          <w:szCs w:val="18"/>
        </w:rPr>
        <w:t>进行修订，并提前2个工作日进行</w:t>
      </w:r>
      <w:r>
        <w:rPr>
          <w:rFonts w:hint="eastAsia" w:ascii="黑体" w:hAnsi="黑体" w:eastAsia="黑体"/>
          <w:sz w:val="18"/>
          <w:szCs w:val="18"/>
        </w:rPr>
        <w:t>公告</w:t>
      </w:r>
      <w:r>
        <w:rPr>
          <w:rFonts w:ascii="黑体" w:hAnsi="黑体" w:eastAsia="黑体"/>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Pr>
        <w:spacing w:line="360" w:lineRule="auto"/>
        <w:ind w:firstLine="360" w:firstLineChars="200"/>
        <w:rPr>
          <w:rFonts w:ascii="黑体" w:hAnsi="黑体" w:eastAsia="黑体"/>
          <w:sz w:val="18"/>
          <w:szCs w:val="18"/>
        </w:rPr>
      </w:pPr>
      <w:r>
        <w:rPr>
          <w:rFonts w:hint="eastAsia" w:ascii="黑体" w:hAnsi="黑体" w:eastAsia="黑体"/>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sz w:val="18"/>
          <w:szCs w:val="18"/>
        </w:rPr>
        <w:t>并提前2个工作日进行</w:t>
      </w:r>
      <w:r>
        <w:rPr>
          <w:rFonts w:hint="eastAsia" w:ascii="黑体" w:hAnsi="黑体" w:eastAsia="黑体"/>
          <w:sz w:val="18"/>
          <w:szCs w:val="18"/>
        </w:rPr>
        <w:t>公告。若投资者未选择退出本产品的，则视为已理解并接受管理人的相应变更。</w:t>
      </w:r>
    </w:p>
    <w:p>
      <w:pPr>
        <w:spacing w:line="360" w:lineRule="auto"/>
        <w:rPr>
          <w:bCs/>
          <w:sz w:val="24"/>
        </w:rPr>
      </w:pPr>
    </w:p>
    <w:p>
      <w:pPr>
        <w:pStyle w:val="2"/>
        <w:spacing w:before="0" w:after="0" w:line="360" w:lineRule="auto"/>
        <w:jc w:val="center"/>
        <w:rPr>
          <w:rFonts w:ascii="Times New Roman"/>
          <w:b w:val="0"/>
          <w:sz w:val="30"/>
        </w:rPr>
      </w:pPr>
      <w:bookmarkStart w:id="178" w:name="_Toc30149"/>
      <w:bookmarkStart w:id="179" w:name="_Toc92377141"/>
      <w:bookmarkStart w:id="180" w:name="_Toc8020"/>
      <w:bookmarkStart w:id="181" w:name="_Toc79154675"/>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178"/>
      <w:bookmarkEnd w:id="179"/>
      <w:bookmarkEnd w:id="180"/>
      <w:bookmarkEnd w:id="18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5"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ermEnd w:id="25"/>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延期终止风险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rPr>
          <w:rFonts w:ascii="宋体" w:hAnsi="宋体"/>
          <w:sz w:val="18"/>
          <w:szCs w:val="18"/>
        </w:rPr>
      </w:pPr>
      <w:r>
        <w:rPr>
          <w:rFonts w:ascii="宋体"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（盖章/线上确认）：</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投资者法定代表人或授权代理人（签名/盖章/线上确认）：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3</w:t>
        </w:r>
        <w:r>
          <w:fldChar w:fldCharType="end"/>
        </w:r>
      </w:p>
    </w:sdtContent>
  </w:sdt>
  <w:p>
    <w:pPr>
      <w:pStyle w:val="8"/>
      <w:jc w:val="both"/>
      <w:rPr>
        <w:rFonts w:ascii="黑体" w:hAnsi="黑体" w:eastAsia="黑体"/>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1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p>
    <w:pPr>
      <w:pStyle w:val="15"/>
      <w:pBdr>
        <w:bottom w:val="none" w:color="auto" w:sz="0" w:space="0"/>
      </w:pBdr>
      <w:jc w:val="right"/>
      <w:rPr>
        <w:rFonts w:ascii="Times New Roman" w:hAnsi="Times New Roman" w:cs="Times New Roman"/>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readOnly" w:enforcement="1" w:cryptProviderType="rsaAES" w:cryptAlgorithmClass="hash" w:cryptAlgorithmType="typeAny" w:cryptAlgorithmSid="14" w:cryptSpinCount="100000" w:hash="LEhBznEj/90Ime5CXftt9kU7cCey0pmpL04tWvFH+AwaTQjWzeauc5FRg5lMo3jCxIFjSk5E8jYc+ov3fQAPXg==" w:salt="EWBtnVIAbUVeypKMTLA/9A=="/>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07765"/>
    <w:rsid w:val="0001202B"/>
    <w:rsid w:val="000124BB"/>
    <w:rsid w:val="00014A51"/>
    <w:rsid w:val="000160F8"/>
    <w:rsid w:val="00020E26"/>
    <w:rsid w:val="00022093"/>
    <w:rsid w:val="000240C1"/>
    <w:rsid w:val="0002421F"/>
    <w:rsid w:val="00024B59"/>
    <w:rsid w:val="00024D52"/>
    <w:rsid w:val="000257FD"/>
    <w:rsid w:val="00026801"/>
    <w:rsid w:val="0002771C"/>
    <w:rsid w:val="00027CAD"/>
    <w:rsid w:val="000307FF"/>
    <w:rsid w:val="00030826"/>
    <w:rsid w:val="000308D2"/>
    <w:rsid w:val="000310FD"/>
    <w:rsid w:val="00033D3E"/>
    <w:rsid w:val="000360AD"/>
    <w:rsid w:val="00036724"/>
    <w:rsid w:val="0004119D"/>
    <w:rsid w:val="0004124F"/>
    <w:rsid w:val="00042C76"/>
    <w:rsid w:val="00042CE7"/>
    <w:rsid w:val="000438E6"/>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77CD3"/>
    <w:rsid w:val="00080277"/>
    <w:rsid w:val="0008037A"/>
    <w:rsid w:val="00080815"/>
    <w:rsid w:val="00081DC7"/>
    <w:rsid w:val="000826C9"/>
    <w:rsid w:val="00082E45"/>
    <w:rsid w:val="00085DD5"/>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378B"/>
    <w:rsid w:val="000B6819"/>
    <w:rsid w:val="000B7F67"/>
    <w:rsid w:val="000C31AC"/>
    <w:rsid w:val="000C3B81"/>
    <w:rsid w:val="000C69CB"/>
    <w:rsid w:val="000C6BF4"/>
    <w:rsid w:val="000C7C96"/>
    <w:rsid w:val="000D0C3A"/>
    <w:rsid w:val="000D10B1"/>
    <w:rsid w:val="000D1473"/>
    <w:rsid w:val="000D19CF"/>
    <w:rsid w:val="000D2623"/>
    <w:rsid w:val="000D3E2A"/>
    <w:rsid w:val="000D4DAE"/>
    <w:rsid w:val="000D548F"/>
    <w:rsid w:val="000D591B"/>
    <w:rsid w:val="000E008C"/>
    <w:rsid w:val="000E10C7"/>
    <w:rsid w:val="000E181B"/>
    <w:rsid w:val="000E18C8"/>
    <w:rsid w:val="000E2054"/>
    <w:rsid w:val="000E5A74"/>
    <w:rsid w:val="000E7029"/>
    <w:rsid w:val="000E798C"/>
    <w:rsid w:val="000E7BB9"/>
    <w:rsid w:val="000F09FA"/>
    <w:rsid w:val="000F4322"/>
    <w:rsid w:val="000F556F"/>
    <w:rsid w:val="000F7FB5"/>
    <w:rsid w:val="00100295"/>
    <w:rsid w:val="00100789"/>
    <w:rsid w:val="00100D6E"/>
    <w:rsid w:val="00103221"/>
    <w:rsid w:val="001048D9"/>
    <w:rsid w:val="00104FAF"/>
    <w:rsid w:val="0010605A"/>
    <w:rsid w:val="0011092D"/>
    <w:rsid w:val="00111430"/>
    <w:rsid w:val="00112922"/>
    <w:rsid w:val="001139C8"/>
    <w:rsid w:val="001157E6"/>
    <w:rsid w:val="00115A4C"/>
    <w:rsid w:val="00116240"/>
    <w:rsid w:val="00117B00"/>
    <w:rsid w:val="00121A98"/>
    <w:rsid w:val="00122AA4"/>
    <w:rsid w:val="00122E28"/>
    <w:rsid w:val="001232D0"/>
    <w:rsid w:val="0012639A"/>
    <w:rsid w:val="00127FAE"/>
    <w:rsid w:val="00134EC8"/>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9EE"/>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A0033"/>
    <w:rsid w:val="001A141C"/>
    <w:rsid w:val="001A352E"/>
    <w:rsid w:val="001A434D"/>
    <w:rsid w:val="001B218F"/>
    <w:rsid w:val="001B21AE"/>
    <w:rsid w:val="001B5BBB"/>
    <w:rsid w:val="001C31CB"/>
    <w:rsid w:val="001C3B80"/>
    <w:rsid w:val="001C41C7"/>
    <w:rsid w:val="001C5E54"/>
    <w:rsid w:val="001C7184"/>
    <w:rsid w:val="001C730C"/>
    <w:rsid w:val="001C770D"/>
    <w:rsid w:val="001C7B1B"/>
    <w:rsid w:val="001D03C8"/>
    <w:rsid w:val="001D06D0"/>
    <w:rsid w:val="001D0990"/>
    <w:rsid w:val="001D1C72"/>
    <w:rsid w:val="001D1D5B"/>
    <w:rsid w:val="001D2824"/>
    <w:rsid w:val="001D2F98"/>
    <w:rsid w:val="001D3E8B"/>
    <w:rsid w:val="001D4AC9"/>
    <w:rsid w:val="001D4BC1"/>
    <w:rsid w:val="001D570A"/>
    <w:rsid w:val="001D688E"/>
    <w:rsid w:val="001E14FD"/>
    <w:rsid w:val="001E291D"/>
    <w:rsid w:val="001E461E"/>
    <w:rsid w:val="001E54CE"/>
    <w:rsid w:val="001E61BD"/>
    <w:rsid w:val="001E6BA6"/>
    <w:rsid w:val="001E6C14"/>
    <w:rsid w:val="001E70FE"/>
    <w:rsid w:val="001E77D6"/>
    <w:rsid w:val="001E794F"/>
    <w:rsid w:val="001F00E4"/>
    <w:rsid w:val="001F08F9"/>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3E9"/>
    <w:rsid w:val="00217789"/>
    <w:rsid w:val="00220D74"/>
    <w:rsid w:val="002213EA"/>
    <w:rsid w:val="00223351"/>
    <w:rsid w:val="002237A8"/>
    <w:rsid w:val="00223B5B"/>
    <w:rsid w:val="00224505"/>
    <w:rsid w:val="002265AA"/>
    <w:rsid w:val="00226925"/>
    <w:rsid w:val="00226E60"/>
    <w:rsid w:val="00227359"/>
    <w:rsid w:val="00231FC0"/>
    <w:rsid w:val="002366D2"/>
    <w:rsid w:val="002367DD"/>
    <w:rsid w:val="00242CDB"/>
    <w:rsid w:val="0024357F"/>
    <w:rsid w:val="0024456C"/>
    <w:rsid w:val="0024625D"/>
    <w:rsid w:val="0024745C"/>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5526"/>
    <w:rsid w:val="00275757"/>
    <w:rsid w:val="00276ACE"/>
    <w:rsid w:val="00281B9A"/>
    <w:rsid w:val="002826EB"/>
    <w:rsid w:val="00282B2B"/>
    <w:rsid w:val="002869B1"/>
    <w:rsid w:val="00287295"/>
    <w:rsid w:val="002877ED"/>
    <w:rsid w:val="00290893"/>
    <w:rsid w:val="0029197D"/>
    <w:rsid w:val="00293329"/>
    <w:rsid w:val="002A1894"/>
    <w:rsid w:val="002A2964"/>
    <w:rsid w:val="002A3DA0"/>
    <w:rsid w:val="002A6688"/>
    <w:rsid w:val="002B0460"/>
    <w:rsid w:val="002B0A68"/>
    <w:rsid w:val="002B1C83"/>
    <w:rsid w:val="002B2349"/>
    <w:rsid w:val="002B389F"/>
    <w:rsid w:val="002B4AAF"/>
    <w:rsid w:val="002B5421"/>
    <w:rsid w:val="002B6616"/>
    <w:rsid w:val="002B75A8"/>
    <w:rsid w:val="002C0CF5"/>
    <w:rsid w:val="002C1501"/>
    <w:rsid w:val="002C3DA6"/>
    <w:rsid w:val="002C3DD6"/>
    <w:rsid w:val="002C446D"/>
    <w:rsid w:val="002C6117"/>
    <w:rsid w:val="002C6DB5"/>
    <w:rsid w:val="002D1DEF"/>
    <w:rsid w:val="002D3AB7"/>
    <w:rsid w:val="002D3AEF"/>
    <w:rsid w:val="002D6AFD"/>
    <w:rsid w:val="002D7737"/>
    <w:rsid w:val="002E134B"/>
    <w:rsid w:val="002E25FC"/>
    <w:rsid w:val="002E393C"/>
    <w:rsid w:val="002E5F4C"/>
    <w:rsid w:val="002E6721"/>
    <w:rsid w:val="002E7C23"/>
    <w:rsid w:val="002F0CD5"/>
    <w:rsid w:val="002F11BA"/>
    <w:rsid w:val="002F29C4"/>
    <w:rsid w:val="002F389F"/>
    <w:rsid w:val="002F45BC"/>
    <w:rsid w:val="002F4C49"/>
    <w:rsid w:val="00301106"/>
    <w:rsid w:val="003029FF"/>
    <w:rsid w:val="0030325C"/>
    <w:rsid w:val="00304C4E"/>
    <w:rsid w:val="00304D9D"/>
    <w:rsid w:val="00306DA6"/>
    <w:rsid w:val="0031156D"/>
    <w:rsid w:val="003122D5"/>
    <w:rsid w:val="00313E17"/>
    <w:rsid w:val="003141DA"/>
    <w:rsid w:val="00317397"/>
    <w:rsid w:val="00320153"/>
    <w:rsid w:val="003224C7"/>
    <w:rsid w:val="00327E26"/>
    <w:rsid w:val="00330DD8"/>
    <w:rsid w:val="00331380"/>
    <w:rsid w:val="00331423"/>
    <w:rsid w:val="00331AA1"/>
    <w:rsid w:val="00332367"/>
    <w:rsid w:val="0033357B"/>
    <w:rsid w:val="003363E0"/>
    <w:rsid w:val="0033710A"/>
    <w:rsid w:val="00337172"/>
    <w:rsid w:val="00337AF2"/>
    <w:rsid w:val="00337EC3"/>
    <w:rsid w:val="003405D3"/>
    <w:rsid w:val="00341DFC"/>
    <w:rsid w:val="003444E9"/>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80DB4"/>
    <w:rsid w:val="00381A67"/>
    <w:rsid w:val="003823A6"/>
    <w:rsid w:val="003838B9"/>
    <w:rsid w:val="0038451B"/>
    <w:rsid w:val="00387255"/>
    <w:rsid w:val="00387E86"/>
    <w:rsid w:val="00391268"/>
    <w:rsid w:val="00391BBC"/>
    <w:rsid w:val="00392F32"/>
    <w:rsid w:val="0039407B"/>
    <w:rsid w:val="00396E72"/>
    <w:rsid w:val="003A430B"/>
    <w:rsid w:val="003B00EC"/>
    <w:rsid w:val="003B016B"/>
    <w:rsid w:val="003B06BE"/>
    <w:rsid w:val="003B1841"/>
    <w:rsid w:val="003B32A0"/>
    <w:rsid w:val="003B343A"/>
    <w:rsid w:val="003B600B"/>
    <w:rsid w:val="003B72A3"/>
    <w:rsid w:val="003C2C6C"/>
    <w:rsid w:val="003C2FD0"/>
    <w:rsid w:val="003C4A62"/>
    <w:rsid w:val="003C4CEB"/>
    <w:rsid w:val="003C51FE"/>
    <w:rsid w:val="003C64E4"/>
    <w:rsid w:val="003C7EAF"/>
    <w:rsid w:val="003D26D0"/>
    <w:rsid w:val="003D3BD6"/>
    <w:rsid w:val="003D5ED1"/>
    <w:rsid w:val="003D63E6"/>
    <w:rsid w:val="003E1094"/>
    <w:rsid w:val="003E1B2D"/>
    <w:rsid w:val="003E2F07"/>
    <w:rsid w:val="003E31AA"/>
    <w:rsid w:val="003E37BA"/>
    <w:rsid w:val="003E3D00"/>
    <w:rsid w:val="003F4B74"/>
    <w:rsid w:val="00400144"/>
    <w:rsid w:val="00400D54"/>
    <w:rsid w:val="0040151D"/>
    <w:rsid w:val="004043E5"/>
    <w:rsid w:val="00404A76"/>
    <w:rsid w:val="00404C4F"/>
    <w:rsid w:val="00406C36"/>
    <w:rsid w:val="00407912"/>
    <w:rsid w:val="00410860"/>
    <w:rsid w:val="00411594"/>
    <w:rsid w:val="004134C2"/>
    <w:rsid w:val="00413AD2"/>
    <w:rsid w:val="00416AC9"/>
    <w:rsid w:val="00416CB0"/>
    <w:rsid w:val="0042292D"/>
    <w:rsid w:val="00422B14"/>
    <w:rsid w:val="00424562"/>
    <w:rsid w:val="0042456A"/>
    <w:rsid w:val="00424897"/>
    <w:rsid w:val="004259CB"/>
    <w:rsid w:val="00426CB5"/>
    <w:rsid w:val="0042700C"/>
    <w:rsid w:val="00430DF1"/>
    <w:rsid w:val="00431A3C"/>
    <w:rsid w:val="00434DA3"/>
    <w:rsid w:val="004365C7"/>
    <w:rsid w:val="004369A7"/>
    <w:rsid w:val="0043725F"/>
    <w:rsid w:val="00440E4C"/>
    <w:rsid w:val="00441309"/>
    <w:rsid w:val="00441A1F"/>
    <w:rsid w:val="00441C87"/>
    <w:rsid w:val="004421A0"/>
    <w:rsid w:val="0044275F"/>
    <w:rsid w:val="00444B08"/>
    <w:rsid w:val="00444C05"/>
    <w:rsid w:val="00444E95"/>
    <w:rsid w:val="004451F2"/>
    <w:rsid w:val="00447A83"/>
    <w:rsid w:val="00450AE7"/>
    <w:rsid w:val="00452527"/>
    <w:rsid w:val="00453F94"/>
    <w:rsid w:val="0045405E"/>
    <w:rsid w:val="0045524D"/>
    <w:rsid w:val="00455720"/>
    <w:rsid w:val="00455EFB"/>
    <w:rsid w:val="00455FA5"/>
    <w:rsid w:val="00456516"/>
    <w:rsid w:val="00461E0D"/>
    <w:rsid w:val="00462328"/>
    <w:rsid w:val="00462D9E"/>
    <w:rsid w:val="004636D8"/>
    <w:rsid w:val="00464878"/>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D45"/>
    <w:rsid w:val="00486A6C"/>
    <w:rsid w:val="00487444"/>
    <w:rsid w:val="00490E3D"/>
    <w:rsid w:val="004917FC"/>
    <w:rsid w:val="004922CC"/>
    <w:rsid w:val="004940D3"/>
    <w:rsid w:val="004960D3"/>
    <w:rsid w:val="004960F3"/>
    <w:rsid w:val="00497FEC"/>
    <w:rsid w:val="004A0C4A"/>
    <w:rsid w:val="004A0D93"/>
    <w:rsid w:val="004A12AC"/>
    <w:rsid w:val="004A2354"/>
    <w:rsid w:val="004A5AB0"/>
    <w:rsid w:val="004B0D40"/>
    <w:rsid w:val="004B1194"/>
    <w:rsid w:val="004B1599"/>
    <w:rsid w:val="004B3136"/>
    <w:rsid w:val="004B5526"/>
    <w:rsid w:val="004C036F"/>
    <w:rsid w:val="004C1BF8"/>
    <w:rsid w:val="004C2000"/>
    <w:rsid w:val="004C4C0A"/>
    <w:rsid w:val="004C4C12"/>
    <w:rsid w:val="004C4E6C"/>
    <w:rsid w:val="004C75D9"/>
    <w:rsid w:val="004D0C41"/>
    <w:rsid w:val="004D1CFA"/>
    <w:rsid w:val="004D2141"/>
    <w:rsid w:val="004D373F"/>
    <w:rsid w:val="004D3932"/>
    <w:rsid w:val="004D5055"/>
    <w:rsid w:val="004D5AAF"/>
    <w:rsid w:val="004D5BE2"/>
    <w:rsid w:val="004D5E18"/>
    <w:rsid w:val="004D6163"/>
    <w:rsid w:val="004D6C75"/>
    <w:rsid w:val="004E17EB"/>
    <w:rsid w:val="004E1D4B"/>
    <w:rsid w:val="004E20E1"/>
    <w:rsid w:val="004E3BD3"/>
    <w:rsid w:val="004E605C"/>
    <w:rsid w:val="004E78A6"/>
    <w:rsid w:val="004F0C90"/>
    <w:rsid w:val="004F10F4"/>
    <w:rsid w:val="004F14E2"/>
    <w:rsid w:val="004F15A3"/>
    <w:rsid w:val="004F2F63"/>
    <w:rsid w:val="004F3355"/>
    <w:rsid w:val="004F45E5"/>
    <w:rsid w:val="004F483B"/>
    <w:rsid w:val="004F5319"/>
    <w:rsid w:val="004F58A4"/>
    <w:rsid w:val="00500B33"/>
    <w:rsid w:val="0050192C"/>
    <w:rsid w:val="00502068"/>
    <w:rsid w:val="005023E9"/>
    <w:rsid w:val="005030D1"/>
    <w:rsid w:val="00503239"/>
    <w:rsid w:val="005048A9"/>
    <w:rsid w:val="00504CD2"/>
    <w:rsid w:val="005058C6"/>
    <w:rsid w:val="00506FB3"/>
    <w:rsid w:val="005107A4"/>
    <w:rsid w:val="00512B61"/>
    <w:rsid w:val="00512E3B"/>
    <w:rsid w:val="00513143"/>
    <w:rsid w:val="005131E7"/>
    <w:rsid w:val="00517C1B"/>
    <w:rsid w:val="00521905"/>
    <w:rsid w:val="00521A8A"/>
    <w:rsid w:val="0052537A"/>
    <w:rsid w:val="005261C6"/>
    <w:rsid w:val="00526A8B"/>
    <w:rsid w:val="005306F5"/>
    <w:rsid w:val="00530EFC"/>
    <w:rsid w:val="0053145D"/>
    <w:rsid w:val="0053265E"/>
    <w:rsid w:val="00534837"/>
    <w:rsid w:val="00534ED6"/>
    <w:rsid w:val="005356DD"/>
    <w:rsid w:val="005422CC"/>
    <w:rsid w:val="0054383E"/>
    <w:rsid w:val="00544067"/>
    <w:rsid w:val="00544689"/>
    <w:rsid w:val="005448AE"/>
    <w:rsid w:val="00544EBF"/>
    <w:rsid w:val="0054752F"/>
    <w:rsid w:val="005477FF"/>
    <w:rsid w:val="005514EA"/>
    <w:rsid w:val="0055180E"/>
    <w:rsid w:val="00551E13"/>
    <w:rsid w:val="0055265D"/>
    <w:rsid w:val="00555FE5"/>
    <w:rsid w:val="00557F13"/>
    <w:rsid w:val="0056057A"/>
    <w:rsid w:val="005634A0"/>
    <w:rsid w:val="00564A34"/>
    <w:rsid w:val="00564BAA"/>
    <w:rsid w:val="005669ED"/>
    <w:rsid w:val="00566CE6"/>
    <w:rsid w:val="005715BF"/>
    <w:rsid w:val="00571676"/>
    <w:rsid w:val="0057386A"/>
    <w:rsid w:val="005745C2"/>
    <w:rsid w:val="00575575"/>
    <w:rsid w:val="005756EF"/>
    <w:rsid w:val="00580472"/>
    <w:rsid w:val="00583DB2"/>
    <w:rsid w:val="00583FFD"/>
    <w:rsid w:val="0058644F"/>
    <w:rsid w:val="00586B5E"/>
    <w:rsid w:val="0058793F"/>
    <w:rsid w:val="00587E86"/>
    <w:rsid w:val="005905CC"/>
    <w:rsid w:val="0059345F"/>
    <w:rsid w:val="005942B5"/>
    <w:rsid w:val="005964FC"/>
    <w:rsid w:val="00596640"/>
    <w:rsid w:val="00597F91"/>
    <w:rsid w:val="005A0CDE"/>
    <w:rsid w:val="005A1A2E"/>
    <w:rsid w:val="005A2814"/>
    <w:rsid w:val="005A2F58"/>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3EBA"/>
    <w:rsid w:val="005D3F7B"/>
    <w:rsid w:val="005D3F83"/>
    <w:rsid w:val="005D5021"/>
    <w:rsid w:val="005D6B6D"/>
    <w:rsid w:val="005E0304"/>
    <w:rsid w:val="005E1F5B"/>
    <w:rsid w:val="005E2522"/>
    <w:rsid w:val="005E34A7"/>
    <w:rsid w:val="005E3ECC"/>
    <w:rsid w:val="005E6FB7"/>
    <w:rsid w:val="005F0064"/>
    <w:rsid w:val="005F2F17"/>
    <w:rsid w:val="005F30D3"/>
    <w:rsid w:val="005F379A"/>
    <w:rsid w:val="005F4287"/>
    <w:rsid w:val="005F469C"/>
    <w:rsid w:val="005F7FD5"/>
    <w:rsid w:val="00600FE7"/>
    <w:rsid w:val="006016B4"/>
    <w:rsid w:val="006019D1"/>
    <w:rsid w:val="00605524"/>
    <w:rsid w:val="00605B31"/>
    <w:rsid w:val="00605C5D"/>
    <w:rsid w:val="006065FB"/>
    <w:rsid w:val="00607DDC"/>
    <w:rsid w:val="00611A33"/>
    <w:rsid w:val="00612869"/>
    <w:rsid w:val="006146BA"/>
    <w:rsid w:val="006172ED"/>
    <w:rsid w:val="00620063"/>
    <w:rsid w:val="00620D75"/>
    <w:rsid w:val="00621F2C"/>
    <w:rsid w:val="00624760"/>
    <w:rsid w:val="00624F2C"/>
    <w:rsid w:val="00626BC0"/>
    <w:rsid w:val="0063051C"/>
    <w:rsid w:val="00631736"/>
    <w:rsid w:val="006328AE"/>
    <w:rsid w:val="0064020E"/>
    <w:rsid w:val="0064076F"/>
    <w:rsid w:val="0064087A"/>
    <w:rsid w:val="00642A61"/>
    <w:rsid w:val="006451BF"/>
    <w:rsid w:val="006453CC"/>
    <w:rsid w:val="006468C6"/>
    <w:rsid w:val="00646E40"/>
    <w:rsid w:val="00647424"/>
    <w:rsid w:val="006476D3"/>
    <w:rsid w:val="00652FE7"/>
    <w:rsid w:val="0065431E"/>
    <w:rsid w:val="0065499A"/>
    <w:rsid w:val="00655124"/>
    <w:rsid w:val="00657909"/>
    <w:rsid w:val="00657E91"/>
    <w:rsid w:val="006612EA"/>
    <w:rsid w:val="006617D1"/>
    <w:rsid w:val="00661C8C"/>
    <w:rsid w:val="006623D6"/>
    <w:rsid w:val="0066478A"/>
    <w:rsid w:val="00665773"/>
    <w:rsid w:val="0066625E"/>
    <w:rsid w:val="006676FD"/>
    <w:rsid w:val="0067005D"/>
    <w:rsid w:val="00672FF4"/>
    <w:rsid w:val="00675B54"/>
    <w:rsid w:val="006809FB"/>
    <w:rsid w:val="00682623"/>
    <w:rsid w:val="00684401"/>
    <w:rsid w:val="00684ECC"/>
    <w:rsid w:val="006856C3"/>
    <w:rsid w:val="006863E0"/>
    <w:rsid w:val="006871FD"/>
    <w:rsid w:val="006877C1"/>
    <w:rsid w:val="006904D3"/>
    <w:rsid w:val="0069132D"/>
    <w:rsid w:val="006929EA"/>
    <w:rsid w:val="00692BC9"/>
    <w:rsid w:val="0069501F"/>
    <w:rsid w:val="006961A8"/>
    <w:rsid w:val="00697C87"/>
    <w:rsid w:val="00697D22"/>
    <w:rsid w:val="006A0942"/>
    <w:rsid w:val="006A1579"/>
    <w:rsid w:val="006A2FDF"/>
    <w:rsid w:val="006A4A8A"/>
    <w:rsid w:val="006A4B96"/>
    <w:rsid w:val="006A5309"/>
    <w:rsid w:val="006A5968"/>
    <w:rsid w:val="006A68DA"/>
    <w:rsid w:val="006A6C9E"/>
    <w:rsid w:val="006B3727"/>
    <w:rsid w:val="006B4BAA"/>
    <w:rsid w:val="006B54FA"/>
    <w:rsid w:val="006B5EEE"/>
    <w:rsid w:val="006B7BA8"/>
    <w:rsid w:val="006B7E76"/>
    <w:rsid w:val="006C19CF"/>
    <w:rsid w:val="006C3458"/>
    <w:rsid w:val="006C3815"/>
    <w:rsid w:val="006C4170"/>
    <w:rsid w:val="006C4A05"/>
    <w:rsid w:val="006C5ACD"/>
    <w:rsid w:val="006C5CB6"/>
    <w:rsid w:val="006C7218"/>
    <w:rsid w:val="006C75F7"/>
    <w:rsid w:val="006C7E9B"/>
    <w:rsid w:val="006D0BDE"/>
    <w:rsid w:val="006D0F3C"/>
    <w:rsid w:val="006D160E"/>
    <w:rsid w:val="006D3D10"/>
    <w:rsid w:val="006D4093"/>
    <w:rsid w:val="006D4430"/>
    <w:rsid w:val="006D586E"/>
    <w:rsid w:val="006D6C20"/>
    <w:rsid w:val="006D6D74"/>
    <w:rsid w:val="006D7C06"/>
    <w:rsid w:val="006D7D05"/>
    <w:rsid w:val="006E011D"/>
    <w:rsid w:val="006E1A9B"/>
    <w:rsid w:val="006E2E41"/>
    <w:rsid w:val="006E535B"/>
    <w:rsid w:val="006E5D67"/>
    <w:rsid w:val="006E6ED0"/>
    <w:rsid w:val="006E7124"/>
    <w:rsid w:val="006E7FC7"/>
    <w:rsid w:val="006F2488"/>
    <w:rsid w:val="006F3519"/>
    <w:rsid w:val="006F356A"/>
    <w:rsid w:val="006F5923"/>
    <w:rsid w:val="006F6174"/>
    <w:rsid w:val="006F7A9E"/>
    <w:rsid w:val="006F7D4D"/>
    <w:rsid w:val="0070045F"/>
    <w:rsid w:val="007048B2"/>
    <w:rsid w:val="00706DCA"/>
    <w:rsid w:val="00707A7B"/>
    <w:rsid w:val="007123F2"/>
    <w:rsid w:val="0071321B"/>
    <w:rsid w:val="007143E3"/>
    <w:rsid w:val="0071446F"/>
    <w:rsid w:val="007165DC"/>
    <w:rsid w:val="007166B2"/>
    <w:rsid w:val="00717330"/>
    <w:rsid w:val="00720D3D"/>
    <w:rsid w:val="00720E8F"/>
    <w:rsid w:val="007210F9"/>
    <w:rsid w:val="00724416"/>
    <w:rsid w:val="0072773A"/>
    <w:rsid w:val="00727C00"/>
    <w:rsid w:val="007305B6"/>
    <w:rsid w:val="007319DA"/>
    <w:rsid w:val="00737C42"/>
    <w:rsid w:val="00741F90"/>
    <w:rsid w:val="007425D7"/>
    <w:rsid w:val="00742D00"/>
    <w:rsid w:val="00743AB2"/>
    <w:rsid w:val="00746AF7"/>
    <w:rsid w:val="00746FAD"/>
    <w:rsid w:val="0075016C"/>
    <w:rsid w:val="00752FA6"/>
    <w:rsid w:val="007530BD"/>
    <w:rsid w:val="00754168"/>
    <w:rsid w:val="00755570"/>
    <w:rsid w:val="00755F45"/>
    <w:rsid w:val="00757357"/>
    <w:rsid w:val="00760BF7"/>
    <w:rsid w:val="00762022"/>
    <w:rsid w:val="007630BD"/>
    <w:rsid w:val="0076459F"/>
    <w:rsid w:val="007648E8"/>
    <w:rsid w:val="00764E0B"/>
    <w:rsid w:val="00764FD2"/>
    <w:rsid w:val="00765862"/>
    <w:rsid w:val="0077274B"/>
    <w:rsid w:val="00775691"/>
    <w:rsid w:val="00775E75"/>
    <w:rsid w:val="00780770"/>
    <w:rsid w:val="00783025"/>
    <w:rsid w:val="00784BFC"/>
    <w:rsid w:val="0078739B"/>
    <w:rsid w:val="0079021D"/>
    <w:rsid w:val="00793D9D"/>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1185"/>
    <w:rsid w:val="007D37FB"/>
    <w:rsid w:val="007D3AB0"/>
    <w:rsid w:val="007D3C57"/>
    <w:rsid w:val="007D6324"/>
    <w:rsid w:val="007D68C9"/>
    <w:rsid w:val="007D6F94"/>
    <w:rsid w:val="007D7B84"/>
    <w:rsid w:val="007E1F76"/>
    <w:rsid w:val="007E3453"/>
    <w:rsid w:val="007E3857"/>
    <w:rsid w:val="007E4180"/>
    <w:rsid w:val="007E4A3F"/>
    <w:rsid w:val="007E5D3B"/>
    <w:rsid w:val="007E6E94"/>
    <w:rsid w:val="007E775F"/>
    <w:rsid w:val="007F19E2"/>
    <w:rsid w:val="007F2369"/>
    <w:rsid w:val="007F2A00"/>
    <w:rsid w:val="007F2DEA"/>
    <w:rsid w:val="007F353C"/>
    <w:rsid w:val="007F42B0"/>
    <w:rsid w:val="007F557D"/>
    <w:rsid w:val="007F5D9C"/>
    <w:rsid w:val="007F66E1"/>
    <w:rsid w:val="008002FC"/>
    <w:rsid w:val="008016A7"/>
    <w:rsid w:val="00801ED9"/>
    <w:rsid w:val="00802399"/>
    <w:rsid w:val="008027C8"/>
    <w:rsid w:val="00803922"/>
    <w:rsid w:val="00804D31"/>
    <w:rsid w:val="008051DC"/>
    <w:rsid w:val="0080586D"/>
    <w:rsid w:val="00805A3D"/>
    <w:rsid w:val="00806DDF"/>
    <w:rsid w:val="00807174"/>
    <w:rsid w:val="00807C0F"/>
    <w:rsid w:val="00807F91"/>
    <w:rsid w:val="0081012C"/>
    <w:rsid w:val="0081039A"/>
    <w:rsid w:val="008103FD"/>
    <w:rsid w:val="00810570"/>
    <w:rsid w:val="00810605"/>
    <w:rsid w:val="00810BBC"/>
    <w:rsid w:val="0081517F"/>
    <w:rsid w:val="0081549F"/>
    <w:rsid w:val="00816B26"/>
    <w:rsid w:val="008176FD"/>
    <w:rsid w:val="00820221"/>
    <w:rsid w:val="00820966"/>
    <w:rsid w:val="008216F7"/>
    <w:rsid w:val="00822153"/>
    <w:rsid w:val="00822FBD"/>
    <w:rsid w:val="00823AB7"/>
    <w:rsid w:val="00827113"/>
    <w:rsid w:val="00827169"/>
    <w:rsid w:val="00827DAF"/>
    <w:rsid w:val="008306A2"/>
    <w:rsid w:val="00830FAF"/>
    <w:rsid w:val="00831F70"/>
    <w:rsid w:val="00833134"/>
    <w:rsid w:val="00833713"/>
    <w:rsid w:val="00833D9B"/>
    <w:rsid w:val="008340FE"/>
    <w:rsid w:val="00835A40"/>
    <w:rsid w:val="00835AA0"/>
    <w:rsid w:val="00835FBF"/>
    <w:rsid w:val="00836DA8"/>
    <w:rsid w:val="00836ECE"/>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35AB"/>
    <w:rsid w:val="008740D8"/>
    <w:rsid w:val="0087506B"/>
    <w:rsid w:val="0087693A"/>
    <w:rsid w:val="00876C63"/>
    <w:rsid w:val="00876D94"/>
    <w:rsid w:val="0089069E"/>
    <w:rsid w:val="008912D3"/>
    <w:rsid w:val="008914CB"/>
    <w:rsid w:val="008937B1"/>
    <w:rsid w:val="00894A43"/>
    <w:rsid w:val="00895477"/>
    <w:rsid w:val="008A15AE"/>
    <w:rsid w:val="008A1DBB"/>
    <w:rsid w:val="008A2A18"/>
    <w:rsid w:val="008A4832"/>
    <w:rsid w:val="008A6A39"/>
    <w:rsid w:val="008A6C62"/>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1A6D"/>
    <w:rsid w:val="008D2BA4"/>
    <w:rsid w:val="008D45A6"/>
    <w:rsid w:val="008D4CB3"/>
    <w:rsid w:val="008D5CDB"/>
    <w:rsid w:val="008D643C"/>
    <w:rsid w:val="008D6554"/>
    <w:rsid w:val="008D7E71"/>
    <w:rsid w:val="008E0B20"/>
    <w:rsid w:val="008E584F"/>
    <w:rsid w:val="008E5E8B"/>
    <w:rsid w:val="008E6072"/>
    <w:rsid w:val="008E6640"/>
    <w:rsid w:val="008F2669"/>
    <w:rsid w:val="008F2710"/>
    <w:rsid w:val="008F432E"/>
    <w:rsid w:val="008F50BB"/>
    <w:rsid w:val="008F5567"/>
    <w:rsid w:val="008F784B"/>
    <w:rsid w:val="008F7A01"/>
    <w:rsid w:val="00900322"/>
    <w:rsid w:val="00900AF7"/>
    <w:rsid w:val="00901909"/>
    <w:rsid w:val="00901ACE"/>
    <w:rsid w:val="00901B37"/>
    <w:rsid w:val="009043D1"/>
    <w:rsid w:val="0090500B"/>
    <w:rsid w:val="0090746E"/>
    <w:rsid w:val="0090771A"/>
    <w:rsid w:val="00907D44"/>
    <w:rsid w:val="009106C1"/>
    <w:rsid w:val="00910BA4"/>
    <w:rsid w:val="00912C9D"/>
    <w:rsid w:val="00913112"/>
    <w:rsid w:val="00915499"/>
    <w:rsid w:val="00916595"/>
    <w:rsid w:val="009169DE"/>
    <w:rsid w:val="00922E94"/>
    <w:rsid w:val="00924CB1"/>
    <w:rsid w:val="00925905"/>
    <w:rsid w:val="00925FC9"/>
    <w:rsid w:val="00926039"/>
    <w:rsid w:val="009275C5"/>
    <w:rsid w:val="00927772"/>
    <w:rsid w:val="00931E88"/>
    <w:rsid w:val="00933939"/>
    <w:rsid w:val="00934162"/>
    <w:rsid w:val="009342D4"/>
    <w:rsid w:val="009364FB"/>
    <w:rsid w:val="00936818"/>
    <w:rsid w:val="009369EF"/>
    <w:rsid w:val="00936A52"/>
    <w:rsid w:val="00940B15"/>
    <w:rsid w:val="009416D1"/>
    <w:rsid w:val="0094391C"/>
    <w:rsid w:val="00945661"/>
    <w:rsid w:val="00946996"/>
    <w:rsid w:val="0095322B"/>
    <w:rsid w:val="0095360A"/>
    <w:rsid w:val="009559EB"/>
    <w:rsid w:val="009604D5"/>
    <w:rsid w:val="009618D2"/>
    <w:rsid w:val="009626CA"/>
    <w:rsid w:val="00962D06"/>
    <w:rsid w:val="00963402"/>
    <w:rsid w:val="00964835"/>
    <w:rsid w:val="00966868"/>
    <w:rsid w:val="00966917"/>
    <w:rsid w:val="00967387"/>
    <w:rsid w:val="009709AB"/>
    <w:rsid w:val="00971FD5"/>
    <w:rsid w:val="0097223A"/>
    <w:rsid w:val="009729E3"/>
    <w:rsid w:val="00974167"/>
    <w:rsid w:val="00974BED"/>
    <w:rsid w:val="00976143"/>
    <w:rsid w:val="009775A7"/>
    <w:rsid w:val="00980073"/>
    <w:rsid w:val="00980784"/>
    <w:rsid w:val="0098167D"/>
    <w:rsid w:val="00982041"/>
    <w:rsid w:val="00983099"/>
    <w:rsid w:val="009832E7"/>
    <w:rsid w:val="009836DB"/>
    <w:rsid w:val="009839EA"/>
    <w:rsid w:val="00984A57"/>
    <w:rsid w:val="00984EF3"/>
    <w:rsid w:val="00986062"/>
    <w:rsid w:val="009911A1"/>
    <w:rsid w:val="0099175F"/>
    <w:rsid w:val="00992322"/>
    <w:rsid w:val="00992A3A"/>
    <w:rsid w:val="00993261"/>
    <w:rsid w:val="00993578"/>
    <w:rsid w:val="00997E03"/>
    <w:rsid w:val="009A0770"/>
    <w:rsid w:val="009A0BA3"/>
    <w:rsid w:val="009A1A8B"/>
    <w:rsid w:val="009A2A56"/>
    <w:rsid w:val="009A2BE5"/>
    <w:rsid w:val="009A418D"/>
    <w:rsid w:val="009A520C"/>
    <w:rsid w:val="009A75FE"/>
    <w:rsid w:val="009B137E"/>
    <w:rsid w:val="009B2144"/>
    <w:rsid w:val="009B2D08"/>
    <w:rsid w:val="009B6315"/>
    <w:rsid w:val="009B6C73"/>
    <w:rsid w:val="009C1A02"/>
    <w:rsid w:val="009C4645"/>
    <w:rsid w:val="009C59F9"/>
    <w:rsid w:val="009C63B1"/>
    <w:rsid w:val="009C6C6F"/>
    <w:rsid w:val="009D0173"/>
    <w:rsid w:val="009D0895"/>
    <w:rsid w:val="009D21F6"/>
    <w:rsid w:val="009D3283"/>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40F"/>
    <w:rsid w:val="009E5FD0"/>
    <w:rsid w:val="009E60EA"/>
    <w:rsid w:val="009E6590"/>
    <w:rsid w:val="009E7F8B"/>
    <w:rsid w:val="009F01CF"/>
    <w:rsid w:val="009F06C5"/>
    <w:rsid w:val="009F0C46"/>
    <w:rsid w:val="009F2505"/>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3267"/>
    <w:rsid w:val="00A635F0"/>
    <w:rsid w:val="00A64046"/>
    <w:rsid w:val="00A64535"/>
    <w:rsid w:val="00A71411"/>
    <w:rsid w:val="00A71C30"/>
    <w:rsid w:val="00A71EF1"/>
    <w:rsid w:val="00A72235"/>
    <w:rsid w:val="00A72A25"/>
    <w:rsid w:val="00A740D7"/>
    <w:rsid w:val="00A75555"/>
    <w:rsid w:val="00A759CD"/>
    <w:rsid w:val="00A7660D"/>
    <w:rsid w:val="00A776D2"/>
    <w:rsid w:val="00A77FBD"/>
    <w:rsid w:val="00A836BF"/>
    <w:rsid w:val="00A83C4D"/>
    <w:rsid w:val="00A83D4C"/>
    <w:rsid w:val="00A84317"/>
    <w:rsid w:val="00A85490"/>
    <w:rsid w:val="00A85845"/>
    <w:rsid w:val="00A86707"/>
    <w:rsid w:val="00A86794"/>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B2C"/>
    <w:rsid w:val="00AB15E6"/>
    <w:rsid w:val="00AB1EE0"/>
    <w:rsid w:val="00AB2014"/>
    <w:rsid w:val="00AB234B"/>
    <w:rsid w:val="00AB23FC"/>
    <w:rsid w:val="00AB2493"/>
    <w:rsid w:val="00AB2603"/>
    <w:rsid w:val="00AB34BD"/>
    <w:rsid w:val="00AB3C03"/>
    <w:rsid w:val="00AB50AF"/>
    <w:rsid w:val="00AB52EA"/>
    <w:rsid w:val="00AB5EF6"/>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52E7"/>
    <w:rsid w:val="00AE68F6"/>
    <w:rsid w:val="00AE6E54"/>
    <w:rsid w:val="00AF17F6"/>
    <w:rsid w:val="00AF2D24"/>
    <w:rsid w:val="00AF413F"/>
    <w:rsid w:val="00AF420A"/>
    <w:rsid w:val="00AF4465"/>
    <w:rsid w:val="00AF4901"/>
    <w:rsid w:val="00AF670F"/>
    <w:rsid w:val="00AF6E5B"/>
    <w:rsid w:val="00AF75AC"/>
    <w:rsid w:val="00AF766A"/>
    <w:rsid w:val="00B014BB"/>
    <w:rsid w:val="00B02826"/>
    <w:rsid w:val="00B045EC"/>
    <w:rsid w:val="00B058FF"/>
    <w:rsid w:val="00B07483"/>
    <w:rsid w:val="00B074D0"/>
    <w:rsid w:val="00B10CFD"/>
    <w:rsid w:val="00B158C3"/>
    <w:rsid w:val="00B16D56"/>
    <w:rsid w:val="00B22517"/>
    <w:rsid w:val="00B2293D"/>
    <w:rsid w:val="00B2353C"/>
    <w:rsid w:val="00B272BE"/>
    <w:rsid w:val="00B27737"/>
    <w:rsid w:val="00B27A14"/>
    <w:rsid w:val="00B32C84"/>
    <w:rsid w:val="00B33E5E"/>
    <w:rsid w:val="00B34D85"/>
    <w:rsid w:val="00B3567F"/>
    <w:rsid w:val="00B3710C"/>
    <w:rsid w:val="00B37FE3"/>
    <w:rsid w:val="00B413CC"/>
    <w:rsid w:val="00B41521"/>
    <w:rsid w:val="00B415FE"/>
    <w:rsid w:val="00B42205"/>
    <w:rsid w:val="00B43502"/>
    <w:rsid w:val="00B445B9"/>
    <w:rsid w:val="00B44E97"/>
    <w:rsid w:val="00B46A08"/>
    <w:rsid w:val="00B46C4E"/>
    <w:rsid w:val="00B47DAA"/>
    <w:rsid w:val="00B504BE"/>
    <w:rsid w:val="00B506B0"/>
    <w:rsid w:val="00B52A04"/>
    <w:rsid w:val="00B53238"/>
    <w:rsid w:val="00B5343C"/>
    <w:rsid w:val="00B53EA7"/>
    <w:rsid w:val="00B55E5A"/>
    <w:rsid w:val="00B561E7"/>
    <w:rsid w:val="00B568BF"/>
    <w:rsid w:val="00B573CF"/>
    <w:rsid w:val="00B60383"/>
    <w:rsid w:val="00B60FC0"/>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0C2A"/>
    <w:rsid w:val="00B916FF"/>
    <w:rsid w:val="00B9217D"/>
    <w:rsid w:val="00B92345"/>
    <w:rsid w:val="00B92C4F"/>
    <w:rsid w:val="00B95196"/>
    <w:rsid w:val="00B9530E"/>
    <w:rsid w:val="00B95B12"/>
    <w:rsid w:val="00BA02A3"/>
    <w:rsid w:val="00BA14BA"/>
    <w:rsid w:val="00BA17A9"/>
    <w:rsid w:val="00BA30F2"/>
    <w:rsid w:val="00BA3736"/>
    <w:rsid w:val="00BA4EAC"/>
    <w:rsid w:val="00BA617C"/>
    <w:rsid w:val="00BA68B2"/>
    <w:rsid w:val="00BA7C51"/>
    <w:rsid w:val="00BA7E1E"/>
    <w:rsid w:val="00BA7E21"/>
    <w:rsid w:val="00BB18C4"/>
    <w:rsid w:val="00BB4BBA"/>
    <w:rsid w:val="00BB505E"/>
    <w:rsid w:val="00BB7324"/>
    <w:rsid w:val="00BB78A6"/>
    <w:rsid w:val="00BC0543"/>
    <w:rsid w:val="00BC11E8"/>
    <w:rsid w:val="00BC15FB"/>
    <w:rsid w:val="00BC16FF"/>
    <w:rsid w:val="00BC1721"/>
    <w:rsid w:val="00BC22CF"/>
    <w:rsid w:val="00BC2E6F"/>
    <w:rsid w:val="00BC3D6F"/>
    <w:rsid w:val="00BC4C6A"/>
    <w:rsid w:val="00BC57F5"/>
    <w:rsid w:val="00BC782B"/>
    <w:rsid w:val="00BD18DC"/>
    <w:rsid w:val="00BD1D4D"/>
    <w:rsid w:val="00BD498B"/>
    <w:rsid w:val="00BD604B"/>
    <w:rsid w:val="00BD65CD"/>
    <w:rsid w:val="00BD6A7C"/>
    <w:rsid w:val="00BD768A"/>
    <w:rsid w:val="00BD7AFF"/>
    <w:rsid w:val="00BD7CA7"/>
    <w:rsid w:val="00BE13B9"/>
    <w:rsid w:val="00BE4FCF"/>
    <w:rsid w:val="00BE5827"/>
    <w:rsid w:val="00BE5DA9"/>
    <w:rsid w:val="00BE69FF"/>
    <w:rsid w:val="00BF0872"/>
    <w:rsid w:val="00BF1745"/>
    <w:rsid w:val="00BF19FA"/>
    <w:rsid w:val="00BF4C3E"/>
    <w:rsid w:val="00BF757A"/>
    <w:rsid w:val="00C017FF"/>
    <w:rsid w:val="00C01FBD"/>
    <w:rsid w:val="00C02090"/>
    <w:rsid w:val="00C022E9"/>
    <w:rsid w:val="00C03970"/>
    <w:rsid w:val="00C04AA0"/>
    <w:rsid w:val="00C060B9"/>
    <w:rsid w:val="00C06806"/>
    <w:rsid w:val="00C069F3"/>
    <w:rsid w:val="00C0746C"/>
    <w:rsid w:val="00C07ED9"/>
    <w:rsid w:val="00C11341"/>
    <w:rsid w:val="00C15A5E"/>
    <w:rsid w:val="00C17352"/>
    <w:rsid w:val="00C17507"/>
    <w:rsid w:val="00C17BFA"/>
    <w:rsid w:val="00C22767"/>
    <w:rsid w:val="00C22C2F"/>
    <w:rsid w:val="00C25992"/>
    <w:rsid w:val="00C267E3"/>
    <w:rsid w:val="00C27B64"/>
    <w:rsid w:val="00C30167"/>
    <w:rsid w:val="00C308DC"/>
    <w:rsid w:val="00C31AC5"/>
    <w:rsid w:val="00C31CE3"/>
    <w:rsid w:val="00C3206E"/>
    <w:rsid w:val="00C365F1"/>
    <w:rsid w:val="00C3665C"/>
    <w:rsid w:val="00C368EE"/>
    <w:rsid w:val="00C36EA2"/>
    <w:rsid w:val="00C37F27"/>
    <w:rsid w:val="00C40CC6"/>
    <w:rsid w:val="00C41E59"/>
    <w:rsid w:val="00C449B4"/>
    <w:rsid w:val="00C4510D"/>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4182"/>
    <w:rsid w:val="00C66EA0"/>
    <w:rsid w:val="00C70604"/>
    <w:rsid w:val="00C7392F"/>
    <w:rsid w:val="00C74920"/>
    <w:rsid w:val="00C7610F"/>
    <w:rsid w:val="00C773F9"/>
    <w:rsid w:val="00C775A1"/>
    <w:rsid w:val="00C77B0A"/>
    <w:rsid w:val="00C8091E"/>
    <w:rsid w:val="00C80EE0"/>
    <w:rsid w:val="00C8162B"/>
    <w:rsid w:val="00C816BA"/>
    <w:rsid w:val="00C81CA2"/>
    <w:rsid w:val="00C8291D"/>
    <w:rsid w:val="00C833B1"/>
    <w:rsid w:val="00C913EF"/>
    <w:rsid w:val="00C91C9D"/>
    <w:rsid w:val="00C939B9"/>
    <w:rsid w:val="00C93A2E"/>
    <w:rsid w:val="00C95F0B"/>
    <w:rsid w:val="00C96435"/>
    <w:rsid w:val="00C96BF3"/>
    <w:rsid w:val="00C97AFD"/>
    <w:rsid w:val="00CA17E1"/>
    <w:rsid w:val="00CA1E0F"/>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174B"/>
    <w:rsid w:val="00CC2B30"/>
    <w:rsid w:val="00CC3532"/>
    <w:rsid w:val="00CC5AC0"/>
    <w:rsid w:val="00CC6554"/>
    <w:rsid w:val="00CD00BC"/>
    <w:rsid w:val="00CD1954"/>
    <w:rsid w:val="00CD1F12"/>
    <w:rsid w:val="00CD34FF"/>
    <w:rsid w:val="00CD36CA"/>
    <w:rsid w:val="00CD37B5"/>
    <w:rsid w:val="00CD3B65"/>
    <w:rsid w:val="00CD3CB1"/>
    <w:rsid w:val="00CD43FA"/>
    <w:rsid w:val="00CD608D"/>
    <w:rsid w:val="00CD7616"/>
    <w:rsid w:val="00CD795A"/>
    <w:rsid w:val="00CE047A"/>
    <w:rsid w:val="00CE11DD"/>
    <w:rsid w:val="00CE30E7"/>
    <w:rsid w:val="00CE3283"/>
    <w:rsid w:val="00CE35FD"/>
    <w:rsid w:val="00CE4D95"/>
    <w:rsid w:val="00CE629D"/>
    <w:rsid w:val="00CF07E6"/>
    <w:rsid w:val="00CF226E"/>
    <w:rsid w:val="00CF2562"/>
    <w:rsid w:val="00CF33B6"/>
    <w:rsid w:val="00CF406F"/>
    <w:rsid w:val="00CF5521"/>
    <w:rsid w:val="00CF7D29"/>
    <w:rsid w:val="00D01FB8"/>
    <w:rsid w:val="00D021C2"/>
    <w:rsid w:val="00D02A81"/>
    <w:rsid w:val="00D04C65"/>
    <w:rsid w:val="00D04C90"/>
    <w:rsid w:val="00D062BE"/>
    <w:rsid w:val="00D06457"/>
    <w:rsid w:val="00D06776"/>
    <w:rsid w:val="00D068BB"/>
    <w:rsid w:val="00D0769E"/>
    <w:rsid w:val="00D07E73"/>
    <w:rsid w:val="00D115E6"/>
    <w:rsid w:val="00D13FEF"/>
    <w:rsid w:val="00D151E7"/>
    <w:rsid w:val="00D1730F"/>
    <w:rsid w:val="00D17787"/>
    <w:rsid w:val="00D17B1C"/>
    <w:rsid w:val="00D20593"/>
    <w:rsid w:val="00D22024"/>
    <w:rsid w:val="00D22406"/>
    <w:rsid w:val="00D2384D"/>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8F0"/>
    <w:rsid w:val="00D43A9D"/>
    <w:rsid w:val="00D44372"/>
    <w:rsid w:val="00D443D4"/>
    <w:rsid w:val="00D4603C"/>
    <w:rsid w:val="00D5206B"/>
    <w:rsid w:val="00D52ADB"/>
    <w:rsid w:val="00D53161"/>
    <w:rsid w:val="00D5508F"/>
    <w:rsid w:val="00D55786"/>
    <w:rsid w:val="00D55EC2"/>
    <w:rsid w:val="00D55F02"/>
    <w:rsid w:val="00D60812"/>
    <w:rsid w:val="00D60A30"/>
    <w:rsid w:val="00D623DD"/>
    <w:rsid w:val="00D62D39"/>
    <w:rsid w:val="00D62FA0"/>
    <w:rsid w:val="00D632DB"/>
    <w:rsid w:val="00D63708"/>
    <w:rsid w:val="00D63B83"/>
    <w:rsid w:val="00D6481B"/>
    <w:rsid w:val="00D66900"/>
    <w:rsid w:val="00D67371"/>
    <w:rsid w:val="00D70935"/>
    <w:rsid w:val="00D724FE"/>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22"/>
    <w:rsid w:val="00DA6E7B"/>
    <w:rsid w:val="00DA7022"/>
    <w:rsid w:val="00DB0AED"/>
    <w:rsid w:val="00DB10AB"/>
    <w:rsid w:val="00DB1F0A"/>
    <w:rsid w:val="00DB2B34"/>
    <w:rsid w:val="00DB3CCC"/>
    <w:rsid w:val="00DB53CB"/>
    <w:rsid w:val="00DB67F3"/>
    <w:rsid w:val="00DC11F9"/>
    <w:rsid w:val="00DC2867"/>
    <w:rsid w:val="00DC2BC4"/>
    <w:rsid w:val="00DC343A"/>
    <w:rsid w:val="00DD130F"/>
    <w:rsid w:val="00DD4131"/>
    <w:rsid w:val="00DD4387"/>
    <w:rsid w:val="00DD5B36"/>
    <w:rsid w:val="00DD7C42"/>
    <w:rsid w:val="00DE295D"/>
    <w:rsid w:val="00DE2B95"/>
    <w:rsid w:val="00DE45E9"/>
    <w:rsid w:val="00DE51F9"/>
    <w:rsid w:val="00DE52FB"/>
    <w:rsid w:val="00DE56BC"/>
    <w:rsid w:val="00DE7F8F"/>
    <w:rsid w:val="00DF03B9"/>
    <w:rsid w:val="00DF0C4B"/>
    <w:rsid w:val="00DF0F34"/>
    <w:rsid w:val="00DF1657"/>
    <w:rsid w:val="00DF36FD"/>
    <w:rsid w:val="00DF3718"/>
    <w:rsid w:val="00DF38F5"/>
    <w:rsid w:val="00DF6462"/>
    <w:rsid w:val="00DF6D4A"/>
    <w:rsid w:val="00E00B6A"/>
    <w:rsid w:val="00E01C2C"/>
    <w:rsid w:val="00E020B4"/>
    <w:rsid w:val="00E023F7"/>
    <w:rsid w:val="00E028E3"/>
    <w:rsid w:val="00E03016"/>
    <w:rsid w:val="00E035A1"/>
    <w:rsid w:val="00E03911"/>
    <w:rsid w:val="00E049CB"/>
    <w:rsid w:val="00E04D19"/>
    <w:rsid w:val="00E05B4C"/>
    <w:rsid w:val="00E07967"/>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165C"/>
    <w:rsid w:val="00E3244D"/>
    <w:rsid w:val="00E32751"/>
    <w:rsid w:val="00E32A8E"/>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50CC"/>
    <w:rsid w:val="00E55672"/>
    <w:rsid w:val="00E5616A"/>
    <w:rsid w:val="00E56FEA"/>
    <w:rsid w:val="00E60196"/>
    <w:rsid w:val="00E61F8D"/>
    <w:rsid w:val="00E63C2D"/>
    <w:rsid w:val="00E6638F"/>
    <w:rsid w:val="00E67590"/>
    <w:rsid w:val="00E67F1D"/>
    <w:rsid w:val="00E703B0"/>
    <w:rsid w:val="00E709FC"/>
    <w:rsid w:val="00E71ADD"/>
    <w:rsid w:val="00E73876"/>
    <w:rsid w:val="00E74575"/>
    <w:rsid w:val="00E74AD8"/>
    <w:rsid w:val="00E76CEE"/>
    <w:rsid w:val="00E77115"/>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5C4"/>
    <w:rsid w:val="00E95C4B"/>
    <w:rsid w:val="00E965EE"/>
    <w:rsid w:val="00E9683E"/>
    <w:rsid w:val="00E96ECC"/>
    <w:rsid w:val="00E9744A"/>
    <w:rsid w:val="00E97657"/>
    <w:rsid w:val="00EA2A51"/>
    <w:rsid w:val="00EA3F51"/>
    <w:rsid w:val="00EA536C"/>
    <w:rsid w:val="00EA7A63"/>
    <w:rsid w:val="00EB0052"/>
    <w:rsid w:val="00EB0FBB"/>
    <w:rsid w:val="00EB215C"/>
    <w:rsid w:val="00EB3768"/>
    <w:rsid w:val="00EB3A44"/>
    <w:rsid w:val="00EB5817"/>
    <w:rsid w:val="00EB5D26"/>
    <w:rsid w:val="00EB7522"/>
    <w:rsid w:val="00EB7D69"/>
    <w:rsid w:val="00EC223C"/>
    <w:rsid w:val="00EC2870"/>
    <w:rsid w:val="00EC2AC1"/>
    <w:rsid w:val="00EC4184"/>
    <w:rsid w:val="00EC7BA7"/>
    <w:rsid w:val="00ED0CB1"/>
    <w:rsid w:val="00ED230B"/>
    <w:rsid w:val="00ED3570"/>
    <w:rsid w:val="00ED368F"/>
    <w:rsid w:val="00ED3B71"/>
    <w:rsid w:val="00ED4A3F"/>
    <w:rsid w:val="00ED4FDE"/>
    <w:rsid w:val="00ED6D87"/>
    <w:rsid w:val="00EE1DB5"/>
    <w:rsid w:val="00EE3357"/>
    <w:rsid w:val="00EF00C9"/>
    <w:rsid w:val="00EF09C3"/>
    <w:rsid w:val="00EF0C29"/>
    <w:rsid w:val="00EF30E2"/>
    <w:rsid w:val="00EF3119"/>
    <w:rsid w:val="00EF3282"/>
    <w:rsid w:val="00EF6C64"/>
    <w:rsid w:val="00F002AB"/>
    <w:rsid w:val="00F00F89"/>
    <w:rsid w:val="00F013B9"/>
    <w:rsid w:val="00F016BB"/>
    <w:rsid w:val="00F0237A"/>
    <w:rsid w:val="00F039CF"/>
    <w:rsid w:val="00F05335"/>
    <w:rsid w:val="00F0536E"/>
    <w:rsid w:val="00F05D39"/>
    <w:rsid w:val="00F06333"/>
    <w:rsid w:val="00F10E47"/>
    <w:rsid w:val="00F12F6E"/>
    <w:rsid w:val="00F13CBC"/>
    <w:rsid w:val="00F14855"/>
    <w:rsid w:val="00F21417"/>
    <w:rsid w:val="00F21E4B"/>
    <w:rsid w:val="00F22A72"/>
    <w:rsid w:val="00F231CE"/>
    <w:rsid w:val="00F2385F"/>
    <w:rsid w:val="00F24324"/>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21E6"/>
    <w:rsid w:val="00F4303A"/>
    <w:rsid w:val="00F44BC3"/>
    <w:rsid w:val="00F475D0"/>
    <w:rsid w:val="00F5118A"/>
    <w:rsid w:val="00F555B0"/>
    <w:rsid w:val="00F6162A"/>
    <w:rsid w:val="00F66759"/>
    <w:rsid w:val="00F67474"/>
    <w:rsid w:val="00F67967"/>
    <w:rsid w:val="00F67CF6"/>
    <w:rsid w:val="00F72651"/>
    <w:rsid w:val="00F7301E"/>
    <w:rsid w:val="00F8175E"/>
    <w:rsid w:val="00F81B05"/>
    <w:rsid w:val="00F81F15"/>
    <w:rsid w:val="00F82049"/>
    <w:rsid w:val="00F82C9F"/>
    <w:rsid w:val="00F8388A"/>
    <w:rsid w:val="00F84E80"/>
    <w:rsid w:val="00F87537"/>
    <w:rsid w:val="00F90D7D"/>
    <w:rsid w:val="00F947DC"/>
    <w:rsid w:val="00F948F3"/>
    <w:rsid w:val="00F9781A"/>
    <w:rsid w:val="00FA057C"/>
    <w:rsid w:val="00FA086F"/>
    <w:rsid w:val="00FA0D16"/>
    <w:rsid w:val="00FA185B"/>
    <w:rsid w:val="00FA60BF"/>
    <w:rsid w:val="00FA6883"/>
    <w:rsid w:val="00FA7405"/>
    <w:rsid w:val="00FB0D12"/>
    <w:rsid w:val="00FB1CB4"/>
    <w:rsid w:val="00FB23B5"/>
    <w:rsid w:val="00FB3D40"/>
    <w:rsid w:val="00FB44EB"/>
    <w:rsid w:val="00FB675F"/>
    <w:rsid w:val="00FC11A3"/>
    <w:rsid w:val="00FC1300"/>
    <w:rsid w:val="00FC1C93"/>
    <w:rsid w:val="00FC42A3"/>
    <w:rsid w:val="00FC4330"/>
    <w:rsid w:val="00FC55F9"/>
    <w:rsid w:val="00FC60D4"/>
    <w:rsid w:val="00FC77AE"/>
    <w:rsid w:val="00FC7D9F"/>
    <w:rsid w:val="00FD2BAD"/>
    <w:rsid w:val="00FD2F51"/>
    <w:rsid w:val="00FD330C"/>
    <w:rsid w:val="00FD3660"/>
    <w:rsid w:val="00FD484C"/>
    <w:rsid w:val="00FD49D6"/>
    <w:rsid w:val="00FD5230"/>
    <w:rsid w:val="00FD55FB"/>
    <w:rsid w:val="00FD569D"/>
    <w:rsid w:val="00FD678B"/>
    <w:rsid w:val="00FD6903"/>
    <w:rsid w:val="00FE1ADC"/>
    <w:rsid w:val="00FE225D"/>
    <w:rsid w:val="00FE4989"/>
    <w:rsid w:val="00FE56E3"/>
    <w:rsid w:val="00FE5C3E"/>
    <w:rsid w:val="00FF0A2F"/>
    <w:rsid w:val="00FF1B04"/>
    <w:rsid w:val="00FF22F8"/>
    <w:rsid w:val="01654C82"/>
    <w:rsid w:val="020A6A96"/>
    <w:rsid w:val="0356786B"/>
    <w:rsid w:val="046E31C1"/>
    <w:rsid w:val="056C4F65"/>
    <w:rsid w:val="068063ED"/>
    <w:rsid w:val="06F4696E"/>
    <w:rsid w:val="07245E56"/>
    <w:rsid w:val="07C8537C"/>
    <w:rsid w:val="0A674F0A"/>
    <w:rsid w:val="0C023D8C"/>
    <w:rsid w:val="0C225D7B"/>
    <w:rsid w:val="0E0A69F0"/>
    <w:rsid w:val="0E202D33"/>
    <w:rsid w:val="0E9022D3"/>
    <w:rsid w:val="0E94232E"/>
    <w:rsid w:val="0F1306D5"/>
    <w:rsid w:val="10716B0D"/>
    <w:rsid w:val="11295396"/>
    <w:rsid w:val="117779D1"/>
    <w:rsid w:val="12F56293"/>
    <w:rsid w:val="163A1B23"/>
    <w:rsid w:val="163E2FB7"/>
    <w:rsid w:val="17622796"/>
    <w:rsid w:val="181C08FC"/>
    <w:rsid w:val="19F32D28"/>
    <w:rsid w:val="1A48157B"/>
    <w:rsid w:val="1AAA799F"/>
    <w:rsid w:val="1B9930ED"/>
    <w:rsid w:val="1BD70953"/>
    <w:rsid w:val="1BF87698"/>
    <w:rsid w:val="1E585AB7"/>
    <w:rsid w:val="1E8075A1"/>
    <w:rsid w:val="1EB160C2"/>
    <w:rsid w:val="1FA97B1F"/>
    <w:rsid w:val="1FF145B9"/>
    <w:rsid w:val="2193546F"/>
    <w:rsid w:val="25763746"/>
    <w:rsid w:val="25D666CE"/>
    <w:rsid w:val="26F50BA9"/>
    <w:rsid w:val="27BD5E26"/>
    <w:rsid w:val="280E7F0B"/>
    <w:rsid w:val="282E38A8"/>
    <w:rsid w:val="285E4249"/>
    <w:rsid w:val="29026D00"/>
    <w:rsid w:val="29AF0175"/>
    <w:rsid w:val="2B9A4445"/>
    <w:rsid w:val="2BAA2EA5"/>
    <w:rsid w:val="2EA644DF"/>
    <w:rsid w:val="2EC452AF"/>
    <w:rsid w:val="2F3464D5"/>
    <w:rsid w:val="2F617642"/>
    <w:rsid w:val="2F8B145B"/>
    <w:rsid w:val="2FB532A0"/>
    <w:rsid w:val="3198116E"/>
    <w:rsid w:val="319C4BEA"/>
    <w:rsid w:val="338472B6"/>
    <w:rsid w:val="34C829B2"/>
    <w:rsid w:val="35381804"/>
    <w:rsid w:val="36146FAD"/>
    <w:rsid w:val="37C414AB"/>
    <w:rsid w:val="38051411"/>
    <w:rsid w:val="386A3F56"/>
    <w:rsid w:val="38777E2D"/>
    <w:rsid w:val="3A810EF7"/>
    <w:rsid w:val="3A842191"/>
    <w:rsid w:val="3ACF0F3F"/>
    <w:rsid w:val="3B7626CB"/>
    <w:rsid w:val="3BC9324A"/>
    <w:rsid w:val="3C3802E9"/>
    <w:rsid w:val="3DA51C15"/>
    <w:rsid w:val="3E586AB8"/>
    <w:rsid w:val="3E5C1B1D"/>
    <w:rsid w:val="3EA127C3"/>
    <w:rsid w:val="3EAE14E9"/>
    <w:rsid w:val="3FD261A6"/>
    <w:rsid w:val="403A056B"/>
    <w:rsid w:val="407C0C49"/>
    <w:rsid w:val="41396A16"/>
    <w:rsid w:val="41F507D6"/>
    <w:rsid w:val="42EB2F9C"/>
    <w:rsid w:val="45226963"/>
    <w:rsid w:val="477C2F5C"/>
    <w:rsid w:val="499C5ED6"/>
    <w:rsid w:val="49CF7D54"/>
    <w:rsid w:val="4AA5323D"/>
    <w:rsid w:val="4D39606F"/>
    <w:rsid w:val="4F137BD5"/>
    <w:rsid w:val="4F226909"/>
    <w:rsid w:val="4F8E3D4D"/>
    <w:rsid w:val="50F87284"/>
    <w:rsid w:val="53063B85"/>
    <w:rsid w:val="533C1961"/>
    <w:rsid w:val="53B3493A"/>
    <w:rsid w:val="54560EDE"/>
    <w:rsid w:val="545B2A54"/>
    <w:rsid w:val="546A2A85"/>
    <w:rsid w:val="5537323C"/>
    <w:rsid w:val="55855837"/>
    <w:rsid w:val="55E83741"/>
    <w:rsid w:val="56254863"/>
    <w:rsid w:val="56503211"/>
    <w:rsid w:val="570D32AC"/>
    <w:rsid w:val="598B567E"/>
    <w:rsid w:val="5C624734"/>
    <w:rsid w:val="5DDB68FD"/>
    <w:rsid w:val="5FE91ABC"/>
    <w:rsid w:val="60EB32EA"/>
    <w:rsid w:val="60F450FB"/>
    <w:rsid w:val="61CF16A9"/>
    <w:rsid w:val="61DF50C6"/>
    <w:rsid w:val="628E734C"/>
    <w:rsid w:val="62BD3A82"/>
    <w:rsid w:val="652B25DB"/>
    <w:rsid w:val="6580603B"/>
    <w:rsid w:val="66A34D18"/>
    <w:rsid w:val="679B508E"/>
    <w:rsid w:val="67B229F1"/>
    <w:rsid w:val="682A44E1"/>
    <w:rsid w:val="683F56D5"/>
    <w:rsid w:val="68C7223A"/>
    <w:rsid w:val="68EF6886"/>
    <w:rsid w:val="69867C07"/>
    <w:rsid w:val="69871E4C"/>
    <w:rsid w:val="6AAD6877"/>
    <w:rsid w:val="6AF119DE"/>
    <w:rsid w:val="6B3F3089"/>
    <w:rsid w:val="6C2B2E22"/>
    <w:rsid w:val="6EAA7DFD"/>
    <w:rsid w:val="6EBB2CD0"/>
    <w:rsid w:val="6EE25628"/>
    <w:rsid w:val="6FDD1093"/>
    <w:rsid w:val="709C0126"/>
    <w:rsid w:val="70E22664"/>
    <w:rsid w:val="71B948C7"/>
    <w:rsid w:val="75697486"/>
    <w:rsid w:val="76022652"/>
    <w:rsid w:val="768501BE"/>
    <w:rsid w:val="76C8601E"/>
    <w:rsid w:val="77150144"/>
    <w:rsid w:val="78E7349A"/>
    <w:rsid w:val="79E61650"/>
    <w:rsid w:val="7A6A180C"/>
    <w:rsid w:val="7B426088"/>
    <w:rsid w:val="7BEA1CFE"/>
    <w:rsid w:val="7D803772"/>
    <w:rsid w:val="7D80556D"/>
    <w:rsid w:val="7E3713F1"/>
    <w:rsid w:val="7E510EF1"/>
    <w:rsid w:val="7ED86E63"/>
    <w:rsid w:val="7F5534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99"/>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正文2"/>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902962D-C8CC-43BF-804A-CD60AE6D7475}">
  <ds:schemaRefs/>
</ds:datastoreItem>
</file>

<file path=customXml/itemProps11.xml><?xml version="1.0" encoding="utf-8"?>
<ds:datastoreItem xmlns:ds="http://schemas.openxmlformats.org/officeDocument/2006/customXml" ds:itemID="{E6D3D55C-3DD8-4C31-8069-E5508DD844FB}">
  <ds:schemaRefs/>
</ds:datastoreItem>
</file>

<file path=customXml/itemProps12.xml><?xml version="1.0" encoding="utf-8"?>
<ds:datastoreItem xmlns:ds="http://schemas.openxmlformats.org/officeDocument/2006/customXml" ds:itemID="{1990A2D8-324F-45D5-B9CD-07245ED2860B}">
  <ds:schemaRefs/>
</ds:datastoreItem>
</file>

<file path=customXml/itemProps13.xml><?xml version="1.0" encoding="utf-8"?>
<ds:datastoreItem xmlns:ds="http://schemas.openxmlformats.org/officeDocument/2006/customXml" ds:itemID="{7E5C9D84-6DB6-48FB-8632-D5279FC233C8}">
  <ds:schemaRefs/>
</ds:datastoreItem>
</file>

<file path=customXml/itemProps14.xml><?xml version="1.0" encoding="utf-8"?>
<ds:datastoreItem xmlns:ds="http://schemas.openxmlformats.org/officeDocument/2006/customXml" ds:itemID="{CF487381-D648-48A1-B1E4-A4540B0D3650}">
  <ds:schemaRefs/>
</ds:datastoreItem>
</file>

<file path=customXml/itemProps15.xml><?xml version="1.0" encoding="utf-8"?>
<ds:datastoreItem xmlns:ds="http://schemas.openxmlformats.org/officeDocument/2006/customXml" ds:itemID="{2108FF18-8EC8-4170-A536-1AA8E39CC797}">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A06CD169-7F5C-4082-81B2-6ECAA9AF6149}">
  <ds:schemaRefs/>
</ds:datastoreItem>
</file>

<file path=customXml/itemProps18.xml><?xml version="1.0" encoding="utf-8"?>
<ds:datastoreItem xmlns:ds="http://schemas.openxmlformats.org/officeDocument/2006/customXml" ds:itemID="{79B37214-9E52-4241-8DD2-9E9CD9442006}">
  <ds:schemaRefs/>
</ds:datastoreItem>
</file>

<file path=customXml/itemProps2.xml><?xml version="1.0" encoding="utf-8"?>
<ds:datastoreItem xmlns:ds="http://schemas.openxmlformats.org/officeDocument/2006/customXml" ds:itemID="{509BA638-9D3A-4AA3-A169-FF78BC0E4BE9}">
  <ds:schemaRefs/>
</ds:datastoreItem>
</file>

<file path=customXml/itemProps3.xml><?xml version="1.0" encoding="utf-8"?>
<ds:datastoreItem xmlns:ds="http://schemas.openxmlformats.org/officeDocument/2006/customXml" ds:itemID="{BEEE0313-55EB-45FA-BBBD-C0232D367255}">
  <ds:schemaRefs/>
</ds:datastoreItem>
</file>

<file path=customXml/itemProps4.xml><?xml version="1.0" encoding="utf-8"?>
<ds:datastoreItem xmlns:ds="http://schemas.openxmlformats.org/officeDocument/2006/customXml" ds:itemID="{9114D43D-ED98-4C7B-A3AE-26D78B80CA82}">
  <ds:schemaRefs/>
</ds:datastoreItem>
</file>

<file path=customXml/itemProps5.xml><?xml version="1.0" encoding="utf-8"?>
<ds:datastoreItem xmlns:ds="http://schemas.openxmlformats.org/officeDocument/2006/customXml" ds:itemID="{AC86F3EB-DB57-4B60-8A7E-BBB67A22EE0B}">
  <ds:schemaRefs/>
</ds:datastoreItem>
</file>

<file path=customXml/itemProps6.xml><?xml version="1.0" encoding="utf-8"?>
<ds:datastoreItem xmlns:ds="http://schemas.openxmlformats.org/officeDocument/2006/customXml" ds:itemID="{3A3C3A8D-C5E4-45AF-8B48-C3BF528808AD}">
  <ds:schemaRefs/>
</ds:datastoreItem>
</file>

<file path=customXml/itemProps7.xml><?xml version="1.0" encoding="utf-8"?>
<ds:datastoreItem xmlns:ds="http://schemas.openxmlformats.org/officeDocument/2006/customXml" ds:itemID="{EC45DDBE-A426-47CA-BC62-D025DE29F1BC}">
  <ds:schemaRefs/>
</ds:datastoreItem>
</file>

<file path=customXml/itemProps8.xml><?xml version="1.0" encoding="utf-8"?>
<ds:datastoreItem xmlns:ds="http://schemas.openxmlformats.org/officeDocument/2006/customXml" ds:itemID="{0A7AA9EF-3B8C-4BAA-9155-A6E3E5337D3C}">
  <ds:schemaRefs/>
</ds:datastoreItem>
</file>

<file path=customXml/itemProps9.xml><?xml version="1.0" encoding="utf-8"?>
<ds:datastoreItem xmlns:ds="http://schemas.openxmlformats.org/officeDocument/2006/customXml" ds:itemID="{24DDAF5F-E497-4A15-8EE8-E04A5CE422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4310</Words>
  <Characters>24572</Characters>
  <Lines>204</Lines>
  <Paragraphs>57</Paragraphs>
  <TotalTime>12</TotalTime>
  <ScaleCrop>false</ScaleCrop>
  <LinksUpToDate>false</LinksUpToDate>
  <CharactersWithSpaces>28825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2024-08-28T12:34:00Z</dcterms:created>
  <dc:creator>张淼雯</dc:creator>
  <cp:lastModifiedBy>cib</cp:lastModifiedBy>
  <cp:lastPrinted>2022-01-18T08:37:00Z</cp:lastPrinted>
  <dcterms:modified xsi:type="dcterms:W3CDTF">2025-04-03T06:16:35Z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5466F5ED04264CD88390FDC4DDCA6BAE</vt:lpwstr>
  </property>
</Properties>
</file>