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【稳添利日盈日开固收类】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06</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306"/>
            </w:tabs>
          </w:pPr>
          <w:r>
            <w:fldChar w:fldCharType="begin"/>
          </w:r>
          <w:r>
            <w:instrText xml:space="preserve"> TOC \o "1-3" \h \z \u </w:instrText>
          </w:r>
          <w:r>
            <w:fldChar w:fldCharType="separate"/>
          </w:r>
          <w:r>
            <w:fldChar w:fldCharType="begin"/>
          </w:r>
          <w:r>
            <w:instrText xml:space="preserve"> HYPERLINK \l "_Toc11639"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_Toc11639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"_Toc662" </w:instrText>
          </w:r>
          <w:r>
            <w:fldChar w:fldCharType="separate"/>
          </w:r>
          <w:r>
            <w:rPr>
              <w:rFonts w:hint="eastAsia" w:hAnsi="宋体"/>
              <w:szCs w:val="28"/>
            </w:rPr>
            <w:t xml:space="preserve">第二条  理财产品基本情况 </w:t>
          </w:r>
          <w:r>
            <w:tab/>
          </w:r>
          <w:r>
            <w:fldChar w:fldCharType="begin"/>
          </w:r>
          <w:r>
            <w:instrText xml:space="preserve"> PAGEREF _Toc662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"_Toc26096"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_Toc26096 \h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"_Toc16237"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_Toc16237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"_Toc25928"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_Toc25928 \h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"_Toc26100"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_Toc26100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"_Toc12709"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_Toc12709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"_Toc14373"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_Toc14373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"_Toc12257"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_Toc12257 \h </w:instrText>
          </w:r>
          <w:r>
            <w:fldChar w:fldCharType="separate"/>
          </w:r>
          <w:r>
            <w:t>30</w:t>
          </w:r>
          <w:r>
            <w:fldChar w:fldCharType="end"/>
          </w:r>
          <w:r>
            <w:fldChar w:fldCharType="end"/>
          </w:r>
        </w:p>
        <w:p>
          <w:pPr>
            <w:pStyle w:val="16"/>
            <w:tabs>
              <w:tab w:val="right" w:leader="dot" w:pos="8306"/>
            </w:tabs>
          </w:pPr>
          <w:r>
            <w:fldChar w:fldCharType="begin"/>
          </w:r>
          <w:r>
            <w:instrText xml:space="preserve"> HYPERLINK \l "_Toc3880"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_Toc3880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"_Toc9552"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_Toc9552 \h </w:instrText>
          </w:r>
          <w:r>
            <w:fldChar w:fldCharType="separate"/>
          </w:r>
          <w:r>
            <w:t>34</w:t>
          </w:r>
          <w:r>
            <w:fldChar w:fldCharType="end"/>
          </w:r>
          <w:r>
            <w:fldChar w:fldCharType="end"/>
          </w:r>
        </w:p>
        <w:p>
          <w:pPr>
            <w:pStyle w:val="16"/>
            <w:tabs>
              <w:tab w:val="right" w:leader="dot" w:pos="8306"/>
            </w:tabs>
          </w:pPr>
          <w:r>
            <w:fldChar w:fldCharType="begin"/>
          </w:r>
          <w:r>
            <w:instrText xml:space="preserve"> HYPERLINK \l "_Toc28813"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_Toc28813 \h </w:instrText>
          </w:r>
          <w:r>
            <w:fldChar w:fldCharType="separate"/>
          </w:r>
          <w:r>
            <w:t>36</w:t>
          </w:r>
          <w:r>
            <w:fldChar w:fldCharType="end"/>
          </w:r>
          <w:r>
            <w:fldChar w:fldCharType="end"/>
          </w:r>
        </w:p>
        <w:p>
          <w:pPr>
            <w:spacing w:line="360" w:lineRule="auto"/>
          </w:pPr>
          <w:r>
            <w:fldChar w:fldCharType="end"/>
          </w:r>
        </w:p>
      </w:sdtContent>
    </w:sdt>
    <w:permEnd w:id="2"/>
    <w:p>
      <w:pPr>
        <w:rPr>
          <w:rFonts w:ascii="Times New Roman"/>
          <w:sz w:val="30"/>
        </w:rPr>
      </w:pPr>
    </w:p>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9573"/>
      <w:bookmarkStart w:id="2" w:name="_Toc92377130"/>
      <w:bookmarkStart w:id="3" w:name="_Toc11639"/>
      <w:bookmarkStart w:id="4" w:name="_Toc103260528"/>
      <w:bookmarkStart w:id="5" w:name="_Toc1598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bookmarkEnd w:id="4"/>
      <w:bookmarkEnd w:id="5"/>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w:t>
      </w:r>
      <w:r>
        <w:rPr>
          <w:rFonts w:hint="eastAsia" w:hAnsi="宋体"/>
          <w:bCs/>
          <w:kern w:val="2"/>
          <w:sz w:val="18"/>
          <w:szCs w:val="18"/>
          <w:lang w:bidi="ar"/>
        </w:rPr>
        <w:t>自然人、法人或者依法成立的其他组织</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【稳添利日盈日开固收类】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【稳添利日盈日开固收类】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【稳添利日盈日开固收类】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【稳添利日盈日开固收类】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【稳添利日盈日开固收类】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【稳添利日盈日开固收类】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【稳添利日盈日开固收类】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【稳添利日盈日开固收类】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【稳添利日盈日开固收类】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理财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）适合投资者：指适合购买理财产品的投资者类型。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（20）巨额赎回：</w:t>
      </w:r>
      <w:r>
        <w:rPr>
          <w:rFonts w:hint="eastAsia" w:asciiTheme="minorEastAsia" w:hAnsiTheme="minorEastAsia"/>
          <w:bCs/>
          <w:color w:val="auto"/>
          <w:sz w:val="18"/>
          <w:szCs w:val="18"/>
        </w:rPr>
        <w:t>单个开放日中，本产品的产品份额净赎回申请（赎回申请总份额扣除申购总份额后的余额</w:t>
      </w:r>
      <w:r>
        <w:rPr>
          <w:rFonts w:asciiTheme="minorEastAsia" w:hAnsiTheme="minorEastAsia"/>
          <w:bCs/>
          <w:color w:val="auto"/>
          <w:sz w:val="18"/>
          <w:szCs w:val="18"/>
        </w:rPr>
        <w:t>,</w:t>
      </w:r>
      <w:r>
        <w:rPr>
          <w:rFonts w:hint="eastAsia" w:asciiTheme="minorEastAsia" w:hAnsiTheme="minorEastAsia"/>
          <w:bCs/>
          <w:color w:val="auto"/>
          <w:sz w:val="18"/>
          <w:szCs w:val="18"/>
        </w:rPr>
        <w:t>下同）之和达到上一日产品总份额的</w:t>
      </w:r>
      <w:r>
        <w:rPr>
          <w:rFonts w:asciiTheme="minorEastAsia" w:hAnsiTheme="minorEastAsia"/>
          <w:bCs/>
          <w:color w:val="auto"/>
          <w:sz w:val="18"/>
          <w:szCs w:val="18"/>
        </w:rPr>
        <w:t>约定百分比</w:t>
      </w:r>
      <w:r>
        <w:rPr>
          <w:rFonts w:hint="eastAsia" w:asciiTheme="minorEastAsia" w:hAnsiTheme="minorEastAsia"/>
          <w:bCs/>
          <w:color w:val="auto"/>
          <w:sz w:val="18"/>
          <w:szCs w:val="18"/>
        </w:rPr>
        <w:t>，为巨额赎回。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22）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）成立日：指理财产品开始运作的日期。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）终止日：指理财产品终止的日期。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（13）赎回申请日：指投资者做出赎回申请的当日。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（15）赎回日：指产品管理人接受投资者赎回申请的当日。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（16）申购确认日：指产品管理人确认投资者申购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（17）赎回确认日：指产品管理人确认投资者赎回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 w:name="_Toc103260529"/>
      <w:bookmarkStart w:id="7" w:name="_Toc79154665"/>
      <w:bookmarkStart w:id="8" w:name="_Toc3887"/>
      <w:bookmarkStart w:id="9" w:name="_Toc92377131"/>
      <w:bookmarkStart w:id="10" w:name="_Toc662"/>
      <w:bookmarkStart w:id="11" w:name="_Toc32003"/>
      <w:r>
        <w:rPr>
          <w:rFonts w:hint="eastAsia" w:hAnsi="宋体"/>
          <w:sz w:val="28"/>
          <w:szCs w:val="28"/>
        </w:rPr>
        <w:t>第二条  理财产品基本情况</w:t>
      </w:r>
      <w:bookmarkEnd w:id="6"/>
      <w:bookmarkEnd w:id="7"/>
      <w:bookmarkEnd w:id="8"/>
      <w:bookmarkEnd w:id="9"/>
      <w:r>
        <w:rPr>
          <w:rFonts w:hint="eastAsia" w:hAnsi="宋体"/>
          <w:sz w:val="28"/>
          <w:szCs w:val="28"/>
        </w:rPr>
        <w:t xml:space="preserve"> </w:t>
      </w:r>
      <w:bookmarkEnd w:id="10"/>
      <w:bookmarkEnd w:id="11"/>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center"/>
          </w:tcPr>
          <w:p>
            <w:pPr>
              <w:spacing w:line="360" w:lineRule="auto"/>
              <w:jc w:val="left"/>
              <w:rPr>
                <w:rFonts w:hint="eastAsia" w:hAnsi="宋体"/>
                <w:sz w:val="18"/>
                <w:szCs w:val="18"/>
              </w:rPr>
            </w:pPr>
            <w:r>
              <w:rPr>
                <w:rFonts w:hint="eastAsia" w:hAnsi="宋体"/>
                <w:sz w:val="18"/>
                <w:szCs w:val="18"/>
              </w:rPr>
              <w:t>【兴银理财稳添利日盈增利109号日开固收类理财产品】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hint="eastAsia" w:hAnsi="宋体"/>
                <w:sz w:val="18"/>
                <w:szCs w:val="18"/>
              </w:rPr>
            </w:pPr>
            <w:r>
              <w:rPr>
                <w:rFonts w:hint="eastAsia" w:hAnsi="宋体"/>
                <w:sz w:val="18"/>
                <w:szCs w:val="18"/>
              </w:rPr>
              <w:t>【兴银稳添利日盈增利109号</w:t>
            </w:r>
            <w:r>
              <w:rPr>
                <w:rFonts w:hint="eastAsia" w:hAnsi="宋体"/>
                <w:sz w:val="18"/>
                <w:szCs w:val="18"/>
                <w:lang w:val="en-US" w:eastAsia="zh-CN"/>
              </w:rPr>
              <w:t>B</w:t>
            </w:r>
            <w:r>
              <w:rPr>
                <w:rFonts w:hint="eastAsia" w:hAnsi="宋体"/>
                <w:sz w:val="18"/>
                <w:szCs w:val="18"/>
              </w:rPr>
              <w:t>（兴普惠）】（适用【</w:t>
            </w:r>
            <w:r>
              <w:rPr>
                <w:rFonts w:hint="eastAsia" w:hAnsi="宋体"/>
                <w:sz w:val="18"/>
                <w:szCs w:val="18"/>
                <w:lang w:val="en-US" w:eastAsia="zh-CN"/>
              </w:rPr>
              <w:t>B】</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center"/>
          </w:tcPr>
          <w:p>
            <w:pPr>
              <w:spacing w:line="360" w:lineRule="auto"/>
              <w:jc w:val="left"/>
              <w:rPr>
                <w:rFonts w:hint="eastAsia" w:hAnsi="宋体"/>
                <w:sz w:val="18"/>
                <w:szCs w:val="18"/>
              </w:rPr>
            </w:pPr>
            <w:r>
              <w:rPr>
                <w:rFonts w:hint="eastAsia" w:hAnsi="宋体"/>
                <w:sz w:val="18"/>
                <w:szCs w:val="18"/>
              </w:rPr>
              <w:t>【Z7002025000963】投资者可依据理财产品登记编码在中国理财网(www.chinawealth.com.cn）查询产品信息。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eastAsia="zh-CN"/>
              </w:rPr>
              <w:t>9K92209</w:t>
            </w:r>
            <w:r>
              <w:rPr>
                <w:rFonts w:hint="eastAsia"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eastAsia="zh-CN"/>
              </w:rPr>
              <w:t>9K92209B】</w:t>
            </w:r>
            <w:r>
              <w:rPr>
                <w:rFonts w:hint="eastAsia" w:hAnsi="宋体"/>
                <w:sz w:val="18"/>
                <w:szCs w:val="18"/>
              </w:rPr>
              <w:t>（适用</w:t>
            </w:r>
            <w:r>
              <w:rPr>
                <w:rFonts w:hint="eastAsia" w:hAnsi="宋体"/>
                <w:sz w:val="18"/>
                <w:szCs w:val="18"/>
                <w:lang w:eastAsia="zh-CN"/>
              </w:rPr>
              <w:t>【B】类</w:t>
            </w:r>
            <w:r>
              <w:rPr>
                <w:rFonts w:hint="eastAsia" w:hAnsi="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固定收益类</w:t>
            </w:r>
          </w:p>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w:t>
            </w:r>
            <w:r>
              <w:rPr>
                <w:rFonts w:ascii="黑体" w:hAnsi="黑体" w:eastAsia="黑体"/>
                <w:bCs/>
                <w:sz w:val="18"/>
                <w:szCs w:val="18"/>
              </w:rPr>
              <w:t>收益</w:t>
            </w:r>
            <w:r>
              <w:rPr>
                <w:rFonts w:hint="eastAsia" w:ascii="黑体" w:hAnsi="黑体" w:eastAsia="黑体"/>
                <w:bCs/>
                <w:sz w:val="18"/>
                <w:szCs w:val="18"/>
              </w:rPr>
              <w:t>类</w:t>
            </w:r>
            <w:r>
              <w:rPr>
                <w:rFonts w:ascii="黑体" w:hAnsi="黑体" w:eastAsia="黑体"/>
                <w:bCs/>
                <w:sz w:val="18"/>
                <w:szCs w:val="18"/>
              </w:rPr>
              <w:t>产品是指根据监管</w:t>
            </w:r>
            <w:r>
              <w:rPr>
                <w:rFonts w:hint="eastAsia" w:ascii="黑体" w:hAnsi="黑体" w:eastAsia="黑体"/>
                <w:bCs/>
                <w:sz w:val="18"/>
                <w:szCs w:val="18"/>
              </w:rPr>
              <w:t>相关规定</w:t>
            </w:r>
            <w:r>
              <w:rPr>
                <w:rFonts w:ascii="黑体" w:hAnsi="黑体" w:eastAsia="黑体"/>
                <w:bCs/>
                <w:sz w:val="18"/>
                <w:szCs w:val="18"/>
              </w:rPr>
              <w:t>，投资于债权类资产的</w:t>
            </w:r>
            <w:r>
              <w:rPr>
                <w:rFonts w:hint="eastAsia" w:ascii="黑体" w:hAnsi="黑体" w:eastAsia="黑体"/>
                <w:bCs/>
                <w:sz w:val="18"/>
                <w:szCs w:val="18"/>
              </w:rPr>
              <w:t>比例</w:t>
            </w:r>
            <w:r>
              <w:rPr>
                <w:rFonts w:ascii="黑体" w:hAnsi="黑体" w:eastAsia="黑体"/>
                <w:bCs/>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cs="黑体"/>
                <w:bCs/>
                <w:sz w:val="18"/>
                <w:szCs w:val="18"/>
              </w:rPr>
            </w:pPr>
            <w:r>
              <w:rPr>
                <w:rFonts w:hint="eastAsia" w:ascii="黑体" w:hAnsi="黑体" w:eastAsia="黑体" w:cs="黑体"/>
                <w:bCs/>
                <w:sz w:val="18"/>
                <w:szCs w:val="18"/>
              </w:rPr>
              <w:t>非保本浮动收益</w:t>
            </w:r>
          </w:p>
          <w:p>
            <w:pPr>
              <w:adjustRightInd w:val="0"/>
              <w:snapToGrid w:val="0"/>
              <w:spacing w:line="360" w:lineRule="auto"/>
              <w:rPr>
                <w:rFonts w:ascii="黑体" w:hAnsi="黑体" w:eastAsia="黑体" w:cs="黑体"/>
                <w:bCs/>
                <w:sz w:val="18"/>
                <w:szCs w:val="18"/>
              </w:rPr>
            </w:pPr>
            <w:r>
              <w:rPr>
                <w:rFonts w:hint="eastAsia" w:ascii="黑体" w:hAnsi="黑体" w:eastAsia="黑体" w:cs="黑体"/>
                <w:bCs/>
                <w:sz w:val="18"/>
                <w:szCs w:val="18"/>
              </w:rPr>
              <w:t>本产品不保证本金且不保证收益。本产品的收益随投资收益浮动，投资者可能会因市场变动而蒙受损失。</w:t>
            </w:r>
          </w:p>
          <w:p>
            <w:pPr>
              <w:adjustRightInd w:val="0"/>
              <w:snapToGrid w:val="0"/>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sz w:val="18"/>
                <w:szCs w:val="18"/>
              </w:rPr>
              <w:t>注：当销售机构销售产品风险评级为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hint="eastAsia" w:hAnsi="宋体"/>
                <w:sz w:val="18"/>
                <w:szCs w:val="18"/>
              </w:rPr>
            </w:pPr>
            <w:r>
              <w:rPr>
                <w:rFonts w:asciiTheme="minorEastAsia" w:hAnsiTheme="minorEastAsia"/>
                <w:bCs/>
                <w:sz w:val="18"/>
                <w:szCs w:val="18"/>
              </w:rPr>
              <w:t>1.本产品认购期/募集期为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【2025】年【06】月【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】日【9:00】至【2025】年【0</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】日【17:00】。</w:t>
            </w:r>
          </w:p>
          <w:p>
            <w:pPr>
              <w:spacing w:line="360" w:lineRule="auto"/>
              <w:rPr>
                <w:rFonts w:ascii="宋体" w:hAnsi="宋体"/>
                <w:bCs/>
                <w:sz w:val="18"/>
                <w:szCs w:val="18"/>
              </w:rPr>
            </w:pPr>
            <w:r>
              <w:rPr>
                <w:rFonts w:ascii="宋体" w:hAnsi="宋体"/>
                <w:bCs/>
                <w:sz w:val="18"/>
                <w:szCs w:val="18"/>
              </w:rPr>
              <w:t>2</w:t>
            </w:r>
            <w:r>
              <w:rPr>
                <w:rFonts w:asciiTheme="minorEastAsia" w:hAnsiTheme="minorEastAsia"/>
                <w:bCs/>
                <w:sz w:val="18"/>
                <w:szCs w:val="18"/>
              </w:rPr>
              <w:t>.</w:t>
            </w:r>
            <w:r>
              <w:rPr>
                <w:rFonts w:hint="eastAsia" w:ascii="宋体" w:hAnsi="宋体"/>
                <w:bCs/>
                <w:sz w:val="18"/>
                <w:szCs w:val="18"/>
              </w:rPr>
              <w:t>投资者在认购期</w:t>
            </w:r>
            <w:r>
              <w:rPr>
                <w:rFonts w:ascii="宋体" w:hAnsi="宋体"/>
                <w:bCs/>
                <w:sz w:val="18"/>
                <w:szCs w:val="18"/>
              </w:rPr>
              <w:t>/募集</w:t>
            </w:r>
            <w:r>
              <w:rPr>
                <w:rFonts w:hint="eastAsia" w:ascii="宋体" w:hAnsi="宋体"/>
                <w:sz w:val="18"/>
                <w:szCs w:val="18"/>
              </w:rPr>
              <w:t>期内认购</w:t>
            </w:r>
            <w:r>
              <w:rPr>
                <w:rFonts w:hint="eastAsia" w:ascii="宋体" w:hAnsi="宋体"/>
                <w:bCs/>
                <w:sz w:val="18"/>
                <w:szCs w:val="18"/>
              </w:rPr>
              <w:t>本</w:t>
            </w:r>
            <w:r>
              <w:rPr>
                <w:rFonts w:hint="eastAsia" w:ascii="宋体" w:hAnsi="宋体"/>
                <w:sz w:val="18"/>
                <w:szCs w:val="18"/>
              </w:rPr>
              <w:t>理财</w:t>
            </w:r>
            <w:r>
              <w:rPr>
                <w:rFonts w:hint="eastAsia" w:ascii="宋体" w:hAnsi="宋体"/>
                <w:bCs/>
                <w:sz w:val="18"/>
                <w:szCs w:val="18"/>
              </w:rPr>
              <w:t>产品后，</w:t>
            </w:r>
            <w:r>
              <w:rPr>
                <w:rFonts w:hint="eastAsia" w:ascii="宋体" w:hAnsi="宋体"/>
                <w:sz w:val="18"/>
                <w:szCs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1.本产品的</w:t>
            </w:r>
            <w:r>
              <w:rPr>
                <w:rFonts w:hint="eastAsia" w:asciiTheme="minorEastAsia" w:hAnsiTheme="minorEastAsia"/>
                <w:bCs/>
                <w:sz w:val="18"/>
                <w:szCs w:val="18"/>
              </w:rPr>
              <w:t>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06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704" w:type="dxa"/>
            <w:shd w:val="solid" w:color="FFFFFF" w:fill="FFFFFF"/>
          </w:tcPr>
          <w:p>
            <w:pPr>
              <w:spacing w:line="360" w:lineRule="auto"/>
              <w:rPr>
                <w:rFonts w:asciiTheme="minorEastAsia" w:hAnsiTheme="minorEastAsia" w:eastAsiaTheme="majorEastAsia" w:cstheme="majorBidi"/>
                <w:b/>
                <w:bCs/>
                <w:sz w:val="18"/>
                <w:szCs w:val="18"/>
              </w:rPr>
            </w:pPr>
            <w:r>
              <w:rPr>
                <w:rFonts w:cs="Times New Roman" w:asciiTheme="minorEastAsia" w:hAnsiTheme="minorEastAsia"/>
                <w:sz w:val="18"/>
                <w:szCs w:val="18"/>
              </w:rPr>
              <w:t>1.</w:t>
            </w:r>
            <w:r>
              <w:rPr>
                <w:rFonts w:hint="eastAsia" w:ascii="宋体" w:hAnsi="宋体"/>
                <w:bCs/>
                <w:sz w:val="18"/>
                <w:szCs w:val="18"/>
              </w:rPr>
              <w:t>本产品封闭期为：</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】日至【</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本产品在封闭期后，产品按以下规则设置开放期：</w:t>
            </w:r>
          </w:p>
          <w:p>
            <w:pPr>
              <w:spacing w:line="360" w:lineRule="auto"/>
              <w:rPr>
                <w:rFonts w:asciiTheme="minorEastAsia" w:hAnsiTheme="minorEastAsia"/>
                <w:sz w:val="18"/>
                <w:szCs w:val="18"/>
              </w:rPr>
            </w:pPr>
            <w:r>
              <w:rPr>
                <w:rFonts w:hint="eastAsia" w:asciiTheme="minorEastAsia" w:hAnsiTheme="minorEastAsia"/>
                <w:sz w:val="18"/>
                <w:szCs w:val="18"/>
              </w:rPr>
              <w:t>（1）本</w:t>
            </w:r>
            <w:r>
              <w:rPr>
                <w:rFonts w:asciiTheme="minorEastAsia" w:hAnsiTheme="minorEastAsia"/>
                <w:sz w:val="18"/>
                <w:szCs w:val="18"/>
              </w:rPr>
              <w:t>产品成立后</w:t>
            </w:r>
            <w:r>
              <w:rPr>
                <w:rFonts w:hint="eastAsia" w:asciiTheme="minorEastAsia" w:hAnsiTheme="minorEastAsia"/>
                <w:sz w:val="18"/>
                <w:szCs w:val="18"/>
              </w:rPr>
              <w:t>，</w:t>
            </w:r>
            <w:r>
              <w:rPr>
                <w:rFonts w:asciiTheme="minorEastAsia" w:hAnsiTheme="minorEastAsia"/>
                <w:sz w:val="18"/>
                <w:szCs w:val="18"/>
              </w:rPr>
              <w:t>在封闭期之</w:t>
            </w:r>
            <w:r>
              <w:rPr>
                <w:rFonts w:hint="eastAsia" w:asciiTheme="minorEastAsia" w:hAnsiTheme="minorEastAsia"/>
                <w:sz w:val="18"/>
                <w:szCs w:val="18"/>
              </w:rPr>
              <w:t>后的每个【</w:t>
            </w:r>
            <w:r>
              <w:rPr>
                <w:rFonts w:hint="eastAsia" w:asciiTheme="minorEastAsia" w:hAnsiTheme="minorEastAsia"/>
                <w:sz w:val="18"/>
                <w:szCs w:val="18"/>
                <w:lang w:val="en-US" w:eastAsia="zh-CN"/>
              </w:rPr>
              <w:t>工作日</w:t>
            </w:r>
            <w:r>
              <w:rPr>
                <w:rFonts w:hint="eastAsia" w:asciiTheme="minorEastAsia" w:hAnsiTheme="minorEastAsia"/>
                <w:sz w:val="18"/>
                <w:szCs w:val="18"/>
              </w:rPr>
              <w:t>】为开放日，开放日开放投资者的申购与赎回；</w:t>
            </w:r>
          </w:p>
          <w:p>
            <w:pPr>
              <w:spacing w:line="360" w:lineRule="auto"/>
              <w:rPr>
                <w:rFonts w:asciiTheme="minorEastAsia" w:hAnsiTheme="minorEastAsia"/>
                <w:sz w:val="18"/>
                <w:szCs w:val="18"/>
              </w:rPr>
            </w:pPr>
            <w:r>
              <w:rPr>
                <w:rFonts w:hint="eastAsia" w:asciiTheme="minorEastAsia" w:hAnsiTheme="minorEastAsia"/>
                <w:sz w:val="18"/>
                <w:szCs w:val="18"/>
              </w:rPr>
              <w:t>（2）产品管理人公告暂停开放的日期除外。</w:t>
            </w:r>
          </w:p>
          <w:p>
            <w:pPr>
              <w:spacing w:line="360" w:lineRule="auto"/>
              <w:rPr>
                <w:rFonts w:asciiTheme="minorEastAsia" w:hAnsiTheme="minorEastAsia"/>
                <w:b/>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eastAsia="黑体" w:asciiTheme="minorEastAsia" w:hAnsiTheme="minorEastAsia"/>
                <w:b/>
                <w:sz w:val="18"/>
                <w:szCs w:val="18"/>
              </w:rPr>
            </w:pPr>
            <w:r>
              <w:rPr>
                <w:rFonts w:hint="eastAsia" w:asciiTheme="minorEastAsia" w:hAnsiTheme="minorEastAsia"/>
                <w:sz w:val="18"/>
                <w:szCs w:val="18"/>
              </w:rPr>
              <w:t>（1）申购的时间</w:t>
            </w:r>
          </w:p>
          <w:p>
            <w:pPr>
              <w:spacing w:line="360" w:lineRule="auto"/>
              <w:rPr>
                <w:rFonts w:asciiTheme="minorEastAsia" w:hAnsiTheme="minorEastAsia"/>
                <w:sz w:val="18"/>
                <w:szCs w:val="18"/>
              </w:rPr>
            </w:pPr>
            <w:r>
              <w:rPr>
                <w:rFonts w:hint="eastAsia" w:asciiTheme="minorEastAsia" w:hAnsiTheme="minorEastAsia"/>
                <w:sz w:val="18"/>
                <w:szCs w:val="18"/>
              </w:rPr>
              <w:t>本产品封闭期后的每个开放日开放申购。投资者可于开放日内提交申购申请，产品管理人公告暂停开放的日期除外。</w:t>
            </w:r>
          </w:p>
          <w:p>
            <w:pPr>
              <w:spacing w:line="360" w:lineRule="auto"/>
              <w:rPr>
                <w:rFonts w:eastAsia="黑体" w:asciiTheme="minorEastAsia" w:hAnsiTheme="minorEastAsia"/>
                <w:b/>
                <w:sz w:val="18"/>
                <w:szCs w:val="18"/>
              </w:rPr>
            </w:pPr>
            <w:r>
              <w:rPr>
                <w:rFonts w:hint="eastAsia" w:asciiTheme="minorEastAsia" w:hAnsiTheme="minorEastAsia"/>
                <w:sz w:val="18"/>
                <w:szCs w:val="18"/>
              </w:rPr>
              <w:t>（2）申购的确认</w:t>
            </w:r>
          </w:p>
          <w:tbl>
            <w:tblPr>
              <w:tblStyle w:val="25"/>
              <w:tblW w:w="75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7"/>
              <w:gridCol w:w="1701"/>
              <w:gridCol w:w="1984"/>
              <w:gridCol w:w="1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 w:hRule="atLeast"/>
              </w:trPr>
              <w:tc>
                <w:tcPr>
                  <w:tcW w:w="1837" w:type="dxa"/>
                  <w:vAlign w:val="center"/>
                </w:tcPr>
                <w:p>
                  <w:pPr>
                    <w:spacing w:line="360" w:lineRule="auto"/>
                    <w:jc w:val="center"/>
                    <w:rPr>
                      <w:rFonts w:asciiTheme="minorEastAsia" w:hAnsiTheme="minorEastAsia"/>
                      <w:b/>
                      <w:bCs/>
                      <w:sz w:val="18"/>
                      <w:szCs w:val="18"/>
                    </w:rPr>
                  </w:pPr>
                  <w:r>
                    <w:rPr>
                      <w:rFonts w:hint="eastAsia" w:asciiTheme="majorEastAsia" w:hAnsiTheme="majorEastAsia" w:eastAsiaTheme="majorEastAsia"/>
                      <w:b/>
                      <w:bCs/>
                      <w:sz w:val="18"/>
                      <w:szCs w:val="18"/>
                    </w:rPr>
                    <w:t>申购申请日</w:t>
                  </w:r>
                </w:p>
              </w:tc>
              <w:tc>
                <w:tcPr>
                  <w:tcW w:w="1701" w:type="dxa"/>
                  <w:vAlign w:val="center"/>
                </w:tcPr>
                <w:p>
                  <w:pPr>
                    <w:spacing w:line="360" w:lineRule="auto"/>
                    <w:jc w:val="center"/>
                    <w:rPr>
                      <w:rFonts w:cs="Times New Roman" w:asciiTheme="minorEastAsia" w:hAnsiTheme="minorEastAsia"/>
                      <w:b/>
                      <w:bCs/>
                      <w:sz w:val="18"/>
                      <w:szCs w:val="18"/>
                    </w:rPr>
                  </w:pPr>
                  <w:r>
                    <w:rPr>
                      <w:rFonts w:hint="eastAsia" w:cs="Times New Roman" w:asciiTheme="minorEastAsia" w:hAnsiTheme="minorEastAsia"/>
                      <w:b/>
                      <w:bCs/>
                      <w:sz w:val="18"/>
                      <w:szCs w:val="18"/>
                    </w:rPr>
                    <w:t>申购日</w:t>
                  </w:r>
                </w:p>
              </w:tc>
              <w:tc>
                <w:tcPr>
                  <w:tcW w:w="1984" w:type="dxa"/>
                  <w:vAlign w:val="center"/>
                </w:tcPr>
                <w:p>
                  <w:pPr>
                    <w:spacing w:line="360" w:lineRule="auto"/>
                    <w:jc w:val="center"/>
                    <w:rPr>
                      <w:rFonts w:asciiTheme="minorEastAsia" w:hAnsiTheme="minorEastAsia"/>
                      <w:b/>
                      <w:bCs/>
                      <w:sz w:val="18"/>
                      <w:szCs w:val="18"/>
                    </w:rPr>
                  </w:pPr>
                  <w:r>
                    <w:rPr>
                      <w:rFonts w:hint="eastAsia" w:cs="Times New Roman" w:asciiTheme="minorEastAsia" w:hAnsiTheme="minorEastAsia"/>
                      <w:b/>
                      <w:bCs/>
                      <w:sz w:val="18"/>
                      <w:szCs w:val="18"/>
                    </w:rPr>
                    <w:t>申购确认日</w:t>
                  </w:r>
                </w:p>
              </w:tc>
              <w:tc>
                <w:tcPr>
                  <w:tcW w:w="1985" w:type="dxa"/>
                  <w:vAlign w:val="center"/>
                </w:tcPr>
                <w:p>
                  <w:pPr>
                    <w:spacing w:line="360" w:lineRule="auto"/>
                    <w:jc w:val="center"/>
                    <w:rPr>
                      <w:rFonts w:cs="Times New Roman" w:asciiTheme="minorEastAsia" w:hAnsiTheme="minorEastAsia"/>
                      <w:b/>
                      <w:bCs/>
                      <w:sz w:val="18"/>
                      <w:szCs w:val="18"/>
                    </w:rPr>
                  </w:pPr>
                  <w:r>
                    <w:rPr>
                      <w:rFonts w:hint="eastAsia" w:cs="Times New Roman" w:asciiTheme="minorEastAsia" w:hAnsiTheme="minorEastAsia"/>
                      <w:b/>
                      <w:bCs/>
                      <w:sz w:val="18"/>
                      <w:szCs w:val="18"/>
                    </w:rPr>
                    <w:t>申购确认方式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开放日内交易时间：</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0：00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-【17：00】</w:t>
                  </w:r>
                </w:p>
              </w:tc>
              <w:tc>
                <w:tcPr>
                  <w:tcW w:w="1701"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申购申请日当日</w:t>
                  </w:r>
                </w:p>
              </w:tc>
              <w:tc>
                <w:tcPr>
                  <w:tcW w:w="1984"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申购日后的下一个开放日</w:t>
                  </w:r>
                </w:p>
              </w:tc>
              <w:tc>
                <w:tcPr>
                  <w:tcW w:w="1985" w:type="dxa"/>
                  <w:vMerge w:val="restart"/>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产品管理人在申购确认日对投资者的申购申请的有效性进行确认，并登记理财份额。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开放日内非交易时间：</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17：00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 xml:space="preserve">-【24：00】 </w:t>
                  </w:r>
                </w:p>
              </w:tc>
              <w:tc>
                <w:tcPr>
                  <w:tcW w:w="1701"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申购申请日后的下一个开放日</w:t>
                  </w:r>
                </w:p>
              </w:tc>
              <w:tc>
                <w:tcPr>
                  <w:tcW w:w="1984"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申购日后的下一个开放日</w:t>
                  </w:r>
                </w:p>
              </w:tc>
              <w:tc>
                <w:tcPr>
                  <w:tcW w:w="1985" w:type="dxa"/>
                  <w:vMerge w:val="continue"/>
                </w:tcPr>
                <w:p>
                  <w:pPr>
                    <w:spacing w:line="360" w:lineRule="auto"/>
                    <w:jc w:val="left"/>
                    <w:rPr>
                      <w:rFonts w:asciiTheme="majorEastAsia" w:hAnsiTheme="majorEastAsia" w:eastAsiaTheme="major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1837"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非开放日 </w:t>
                  </w:r>
                </w:p>
              </w:tc>
              <w:tc>
                <w:tcPr>
                  <w:tcW w:w="1701"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申购申请日后的下一个开放日</w:t>
                  </w:r>
                </w:p>
              </w:tc>
              <w:tc>
                <w:tcPr>
                  <w:tcW w:w="1984" w:type="dxa"/>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申购日后的下一个开放日</w:t>
                  </w:r>
                </w:p>
              </w:tc>
              <w:tc>
                <w:tcPr>
                  <w:tcW w:w="1985" w:type="dxa"/>
                  <w:vMerge w:val="continue"/>
                </w:tcPr>
                <w:p>
                  <w:pPr>
                    <w:spacing w:line="360" w:lineRule="auto"/>
                    <w:jc w:val="left"/>
                    <w:rPr>
                      <w:rFonts w:asciiTheme="majorEastAsia" w:hAnsiTheme="majorEastAsia" w:eastAsiaTheme="majorEastAsia"/>
                      <w:bCs/>
                      <w:sz w:val="18"/>
                      <w:szCs w:val="18"/>
                    </w:rPr>
                  </w:pPr>
                </w:p>
              </w:tc>
            </w:tr>
          </w:tbl>
          <w:p>
            <w:pPr>
              <w:spacing w:line="360" w:lineRule="auto"/>
              <w:rPr>
                <w:rFonts w:asciiTheme="minorEastAsia" w:hAnsiTheme="minorEastAsia"/>
                <w:sz w:val="18"/>
                <w:szCs w:val="18"/>
              </w:rPr>
            </w:pPr>
            <w:r>
              <w:rPr>
                <w:rFonts w:asciiTheme="minorEastAsia" w:hAnsiTheme="minorEastAsia"/>
                <w:sz w:val="18"/>
                <w:szCs w:val="18"/>
              </w:rPr>
              <w:t>3.赎回</w:t>
            </w:r>
            <w:r>
              <w:rPr>
                <w:rFonts w:hint="eastAsia" w:asciiTheme="minorEastAsia" w:hAnsiTheme="minorEastAsia"/>
                <w:sz w:val="18"/>
                <w:szCs w:val="18"/>
              </w:rPr>
              <w:t>安排</w:t>
            </w:r>
          </w:p>
          <w:p>
            <w:pPr>
              <w:spacing w:line="360" w:lineRule="auto"/>
              <w:rPr>
                <w:rFonts w:asciiTheme="minorEastAsia" w:hAnsiTheme="minorEastAsia"/>
                <w:sz w:val="18"/>
                <w:szCs w:val="18"/>
              </w:rPr>
            </w:pPr>
            <w:r>
              <w:rPr>
                <w:rFonts w:hint="eastAsia" w:asciiTheme="minorEastAsia" w:hAnsiTheme="minorEastAsia"/>
                <w:sz w:val="18"/>
                <w:szCs w:val="18"/>
              </w:rPr>
              <w:t>（1）赎回的时间</w:t>
            </w:r>
          </w:p>
          <w:p>
            <w:pPr>
              <w:spacing w:line="360" w:lineRule="auto"/>
              <w:rPr>
                <w:rFonts w:asciiTheme="minorEastAsia" w:hAnsiTheme="minorEastAsia"/>
                <w:sz w:val="18"/>
                <w:szCs w:val="18"/>
              </w:rPr>
            </w:pPr>
            <w:r>
              <w:rPr>
                <w:rFonts w:hint="eastAsia" w:asciiTheme="minorEastAsia" w:hAnsiTheme="minorEastAsia"/>
                <w:sz w:val="18"/>
                <w:szCs w:val="18"/>
              </w:rPr>
              <w:t>本产品</w:t>
            </w:r>
            <w:r>
              <w:rPr>
                <w:rFonts w:asciiTheme="minorEastAsia" w:hAnsiTheme="minorEastAsia"/>
                <w:sz w:val="18"/>
                <w:szCs w:val="18"/>
              </w:rPr>
              <w:t>封闭期</w:t>
            </w:r>
            <w:r>
              <w:rPr>
                <w:rFonts w:hint="eastAsia" w:asciiTheme="minorEastAsia" w:hAnsiTheme="minorEastAsia"/>
                <w:sz w:val="18"/>
                <w:szCs w:val="18"/>
              </w:rPr>
              <w:t>后</w:t>
            </w:r>
            <w:r>
              <w:rPr>
                <w:rFonts w:hint="eastAsia" w:cs="Times New Roman" w:asciiTheme="minorEastAsia" w:hAnsiTheme="minorEastAsia"/>
                <w:sz w:val="18"/>
                <w:szCs w:val="18"/>
              </w:rPr>
              <w:t>的</w:t>
            </w:r>
            <w:r>
              <w:rPr>
                <w:rFonts w:hint="eastAsia" w:asciiTheme="minorEastAsia" w:hAnsiTheme="minorEastAsia"/>
                <w:sz w:val="18"/>
                <w:szCs w:val="18"/>
              </w:rPr>
              <w:t>每个开放日开放</w:t>
            </w:r>
            <w:r>
              <w:rPr>
                <w:rFonts w:hint="eastAsia" w:asciiTheme="minorEastAsia" w:hAnsiTheme="minorEastAsia"/>
                <w:bCs/>
                <w:sz w:val="18"/>
                <w:szCs w:val="18"/>
              </w:rPr>
              <w:t>赎回</w:t>
            </w:r>
            <w:r>
              <w:rPr>
                <w:rFonts w:asciiTheme="minorEastAsia" w:hAnsiTheme="minorEastAsia"/>
                <w:sz w:val="18"/>
                <w:szCs w:val="18"/>
              </w:rPr>
              <w:t>。</w:t>
            </w:r>
            <w:r>
              <w:rPr>
                <w:rFonts w:hint="eastAsia" w:asciiTheme="minorEastAsia" w:hAnsiTheme="minorEastAsia"/>
                <w:sz w:val="18"/>
                <w:szCs w:val="18"/>
              </w:rPr>
              <w:t>投资者可于开放日内提交赎回申请，产品管理人公告暂停开放的日期除外</w:t>
            </w:r>
            <w:r>
              <w:rPr>
                <w:rFonts w:hint="eastAsia" w:asciiTheme="majorEastAsia" w:hAnsiTheme="majorEastAsia" w:eastAsiaTheme="majorEastAsia"/>
                <w:bCs/>
                <w:sz w:val="18"/>
                <w:szCs w:val="18"/>
              </w:rPr>
              <w:t>。</w:t>
            </w:r>
          </w:p>
          <w:p>
            <w:pPr>
              <w:spacing w:line="360" w:lineRule="auto"/>
              <w:rPr>
                <w:rFonts w:asciiTheme="minorEastAsia" w:hAnsiTheme="minorEastAsia"/>
                <w:sz w:val="18"/>
                <w:szCs w:val="18"/>
              </w:rPr>
            </w:pPr>
            <w:r>
              <w:rPr>
                <w:rFonts w:hint="eastAsia" w:asciiTheme="minorEastAsia" w:hAnsiTheme="minorEastAsia"/>
                <w:sz w:val="18"/>
                <w:szCs w:val="18"/>
              </w:rPr>
              <w:t>（2）赎回的确认</w:t>
            </w:r>
          </w:p>
          <w:tbl>
            <w:tblPr>
              <w:tblStyle w:val="25"/>
              <w:tblW w:w="75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3"/>
              <w:gridCol w:w="1701"/>
              <w:gridCol w:w="1984"/>
              <w:gridCol w:w="20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 w:hRule="atLeast"/>
                <w:jc w:val="center"/>
              </w:trPr>
              <w:tc>
                <w:tcPr>
                  <w:tcW w:w="1833" w:type="dxa"/>
                  <w:vAlign w:val="center"/>
                </w:tcPr>
                <w:p>
                  <w:pPr>
                    <w:spacing w:line="360" w:lineRule="auto"/>
                    <w:jc w:val="left"/>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赎回申请日</w:t>
                  </w:r>
                </w:p>
              </w:tc>
              <w:tc>
                <w:tcPr>
                  <w:tcW w:w="1701" w:type="dxa"/>
                </w:tcPr>
                <w:p>
                  <w:pPr>
                    <w:spacing w:line="360" w:lineRule="auto"/>
                    <w:jc w:val="left"/>
                    <w:rPr>
                      <w:rFonts w:cs="Times New Roman" w:asciiTheme="minorEastAsia" w:hAnsiTheme="minorEastAsia" w:eastAsiaTheme="minorEastAsia"/>
                      <w:b/>
                      <w:bCs/>
                      <w:kern w:val="0"/>
                      <w:sz w:val="18"/>
                      <w:szCs w:val="18"/>
                    </w:rPr>
                  </w:pPr>
                  <w:r>
                    <w:rPr>
                      <w:rFonts w:hint="eastAsia" w:cs="Times New Roman" w:asciiTheme="minorEastAsia" w:hAnsiTheme="minorEastAsia" w:eastAsiaTheme="minorEastAsia"/>
                      <w:b/>
                      <w:bCs/>
                      <w:kern w:val="0"/>
                      <w:sz w:val="18"/>
                      <w:szCs w:val="18"/>
                    </w:rPr>
                    <w:t>赎回</w:t>
                  </w:r>
                  <w:r>
                    <w:rPr>
                      <w:rFonts w:cs="Times New Roman" w:asciiTheme="minorEastAsia" w:hAnsiTheme="minorEastAsia" w:eastAsiaTheme="minorEastAsia"/>
                      <w:b/>
                      <w:bCs/>
                      <w:kern w:val="0"/>
                      <w:sz w:val="18"/>
                      <w:szCs w:val="18"/>
                    </w:rPr>
                    <w:t>日</w:t>
                  </w:r>
                </w:p>
              </w:tc>
              <w:tc>
                <w:tcPr>
                  <w:tcW w:w="1984" w:type="dxa"/>
                  <w:vAlign w:val="center"/>
                </w:tcPr>
                <w:p>
                  <w:pPr>
                    <w:spacing w:line="360" w:lineRule="auto"/>
                    <w:jc w:val="left"/>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赎回确认日</w:t>
                  </w:r>
                </w:p>
              </w:tc>
              <w:tc>
                <w:tcPr>
                  <w:tcW w:w="2043" w:type="dxa"/>
                  <w:vAlign w:val="center"/>
                </w:tcPr>
                <w:p>
                  <w:pPr>
                    <w:spacing w:line="360" w:lineRule="auto"/>
                    <w:jc w:val="left"/>
                    <w:rPr>
                      <w:rFonts w:asciiTheme="minorEastAsia" w:hAnsiTheme="minorEastAsia" w:eastAsiaTheme="minorEastAsia"/>
                      <w:b/>
                      <w:bCs/>
                      <w:sz w:val="18"/>
                      <w:szCs w:val="18"/>
                    </w:rPr>
                  </w:pPr>
                  <w:r>
                    <w:rPr>
                      <w:rFonts w:hint="eastAsia" w:cs="Times New Roman" w:asciiTheme="minorEastAsia" w:hAnsiTheme="minorEastAsia" w:eastAsiaTheme="minorEastAsia"/>
                      <w:b/>
                      <w:bCs/>
                      <w:kern w:val="0"/>
                      <w:sz w:val="18"/>
                      <w:szCs w:val="18"/>
                    </w:rPr>
                    <w:t>赎回确认方式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jc w:val="center"/>
              </w:trPr>
              <w:tc>
                <w:tcPr>
                  <w:tcW w:w="1833" w:type="dxa"/>
                  <w:tcBorders>
                    <w:bottom w:val="single" w:color="auto" w:sz="12" w:space="0"/>
                  </w:tcBorders>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开放日内交易时间：</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0：00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-【17：00】</w:t>
                  </w:r>
                </w:p>
              </w:tc>
              <w:tc>
                <w:tcPr>
                  <w:tcW w:w="1701" w:type="dxa"/>
                  <w:tcBorders>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赎回申请日当日</w:t>
                  </w:r>
                </w:p>
              </w:tc>
              <w:tc>
                <w:tcPr>
                  <w:tcW w:w="1984" w:type="dxa"/>
                  <w:tcBorders>
                    <w:bottom w:val="single" w:color="auto" w:sz="12" w:space="0"/>
                  </w:tcBorders>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restart"/>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eastAsiaTheme="minorEastAsia"/>
                      <w:bCs/>
                      <w:kern w:val="0"/>
                      <w:sz w:val="18"/>
                      <w:szCs w:val="18"/>
                    </w:rPr>
                    <w:t>产品管理人在赎回</w:t>
                  </w:r>
                  <w:r>
                    <w:rPr>
                      <w:rFonts w:cs="Times New Roman" w:asciiTheme="minorEastAsia" w:hAnsiTheme="minorEastAsia" w:eastAsiaTheme="minorEastAsia"/>
                      <w:bCs/>
                      <w:kern w:val="0"/>
                      <w:sz w:val="18"/>
                      <w:szCs w:val="18"/>
                    </w:rPr>
                    <w:t>确认日</w:t>
                  </w:r>
                  <w:r>
                    <w:rPr>
                      <w:rFonts w:hint="eastAsia" w:cs="Times New Roman" w:asciiTheme="minorEastAsia" w:hAnsiTheme="minorEastAsia" w:eastAsiaTheme="minorEastAsia"/>
                      <w:bCs/>
                      <w:kern w:val="0"/>
                      <w:sz w:val="18"/>
                      <w:szCs w:val="18"/>
                    </w:rPr>
                    <w:t>对赎回申请的有效性进行确认，并注销理财份额。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bottom w:val="single" w:color="auto" w:sz="12" w:space="0"/>
                  </w:tcBorders>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开放日内非交易时间：</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17：00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-【24：00】</w:t>
                  </w:r>
                </w:p>
              </w:tc>
              <w:tc>
                <w:tcPr>
                  <w:tcW w:w="1701"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bottom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vAlign w:val="center"/>
                </w:tcPr>
                <w:p>
                  <w:pPr>
                    <w:spacing w:line="360" w:lineRule="auto"/>
                    <w:rPr>
                      <w:rFonts w:cs="Times New Roman" w:asciiTheme="minorEastAsia" w:hAnsiTheme="minorEastAsia" w:eastAsiaTheme="minorEastAsia"/>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9" w:hRule="atLeast"/>
                <w:jc w:val="center"/>
              </w:trPr>
              <w:tc>
                <w:tcPr>
                  <w:tcW w:w="1833" w:type="dxa"/>
                  <w:tcBorders>
                    <w:top w:val="single" w:color="auto" w:sz="12" w:space="0"/>
                  </w:tcBorders>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非</w:t>
                  </w:r>
                  <w:r>
                    <w:rPr>
                      <w:rFonts w:asciiTheme="majorEastAsia" w:hAnsiTheme="majorEastAsia" w:eastAsiaTheme="majorEastAsia"/>
                      <w:bCs/>
                      <w:sz w:val="18"/>
                      <w:szCs w:val="18"/>
                    </w:rPr>
                    <w:t>开放</w:t>
                  </w:r>
                  <w:r>
                    <w:rPr>
                      <w:rFonts w:hint="eastAsia" w:asciiTheme="majorEastAsia" w:hAnsiTheme="majorEastAsia" w:eastAsiaTheme="majorEastAsia"/>
                      <w:bCs/>
                      <w:sz w:val="18"/>
                      <w:szCs w:val="18"/>
                    </w:rPr>
                    <w:t>日</w:t>
                  </w:r>
                </w:p>
              </w:tc>
              <w:tc>
                <w:tcPr>
                  <w:tcW w:w="1701" w:type="dxa"/>
                  <w:tcBorders>
                    <w:top w:val="single" w:color="auto" w:sz="12" w:space="0"/>
                  </w:tcBorders>
                  <w:vAlign w:val="center"/>
                </w:tcPr>
                <w:p>
                  <w:pPr>
                    <w:spacing w:line="360" w:lineRule="auto"/>
                    <w:rPr>
                      <w:rFonts w:cs="Times New Roman" w:asciiTheme="minorEastAsia" w:hAnsiTheme="minorEastAsia" w:eastAsiaTheme="minorEastAsia"/>
                      <w:bCs/>
                      <w:kern w:val="0"/>
                      <w:sz w:val="18"/>
                      <w:szCs w:val="18"/>
                    </w:rPr>
                  </w:pPr>
                  <w:r>
                    <w:rPr>
                      <w:rFonts w:hint="eastAsia" w:asciiTheme="majorEastAsia" w:hAnsiTheme="majorEastAsia" w:eastAsiaTheme="majorEastAsia"/>
                      <w:bCs/>
                      <w:sz w:val="18"/>
                      <w:szCs w:val="18"/>
                    </w:rPr>
                    <w:t>赎回申请日后的下一个开放日</w:t>
                  </w:r>
                </w:p>
              </w:tc>
              <w:tc>
                <w:tcPr>
                  <w:tcW w:w="1984" w:type="dxa"/>
                  <w:tcBorders>
                    <w:top w:val="single" w:color="auto" w:sz="12" w:space="0"/>
                  </w:tcBorders>
                </w:tcPr>
                <w:p>
                  <w:pPr>
                    <w:spacing w:line="360" w:lineRule="auto"/>
                    <w:rPr>
                      <w:rFonts w:cs="Times New Roman" w:asciiTheme="minorEastAsia" w:hAnsiTheme="minorEastAsia" w:eastAsiaTheme="minorEastAsia"/>
                      <w:bCs/>
                      <w:kern w:val="0"/>
                      <w:sz w:val="18"/>
                      <w:szCs w:val="18"/>
                    </w:rPr>
                  </w:pPr>
                  <w:r>
                    <w:rPr>
                      <w:rFonts w:cs="Times New Roman" w:asciiTheme="minorEastAsia" w:hAnsiTheme="minorEastAsia" w:eastAsiaTheme="minorEastAsia"/>
                      <w:bCs/>
                      <w:kern w:val="0"/>
                      <w:sz w:val="18"/>
                      <w:szCs w:val="18"/>
                    </w:rPr>
                    <w:t>赎回日</w:t>
                  </w:r>
                  <w:r>
                    <w:rPr>
                      <w:rFonts w:hint="eastAsia" w:asciiTheme="majorEastAsia" w:hAnsiTheme="majorEastAsia" w:eastAsiaTheme="majorEastAsia"/>
                      <w:bCs/>
                      <w:sz w:val="18"/>
                      <w:szCs w:val="18"/>
                    </w:rPr>
                    <w:t>后的下一个开放日</w:t>
                  </w:r>
                </w:p>
              </w:tc>
              <w:tc>
                <w:tcPr>
                  <w:tcW w:w="2043" w:type="dxa"/>
                  <w:vMerge w:val="continue"/>
                </w:tcPr>
                <w:p>
                  <w:pPr>
                    <w:spacing w:line="360" w:lineRule="auto"/>
                    <w:rPr>
                      <w:rFonts w:cs="Times New Roman" w:asciiTheme="minorEastAsia" w:hAnsiTheme="minorEastAsia" w:eastAsiaTheme="minorEastAsia"/>
                      <w:bCs/>
                      <w:kern w:val="0"/>
                      <w:sz w:val="18"/>
                      <w:szCs w:val="18"/>
                    </w:rPr>
                  </w:pP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w:t>
            </w:r>
            <w:r>
              <w:rPr>
                <w:rFonts w:hint="eastAsia" w:ascii="黑体" w:hAnsi="黑体" w:eastAsia="黑体" w:cs="黑体"/>
                <w:kern w:val="0"/>
                <w:sz w:val="18"/>
                <w:lang w:val="en-US" w:eastAsia="zh-CN"/>
              </w:rPr>
              <w:t>1</w:t>
            </w:r>
            <w:r>
              <w:rPr>
                <w:rFonts w:hint="eastAsia" w:ascii="黑体" w:hAnsi="黑体" w:eastAsia="黑体" w:cs="黑体"/>
                <w:kern w:val="0"/>
                <w:sz w:val="18"/>
              </w:rPr>
              <w:t>】个开放日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inorEastAsia" w:hAnsiTheme="minorEastAsia" w:eastAsiaTheme="minorEastAsia"/>
                <w:sz w:val="18"/>
                <w:szCs w:val="18"/>
              </w:rPr>
            </w:pPr>
            <w:r>
              <w:rPr>
                <w:rFonts w:asciiTheme="majorEastAsia" w:hAnsiTheme="majorEastAsia" w:eastAsiaTheme="majorEastAsia"/>
                <w:bCs/>
                <w:color w:val="000000" w:themeColor="text1"/>
                <w:sz w:val="18"/>
                <w:szCs w:val="18"/>
                <w14:textFill>
                  <w14:solidFill>
                    <w14:schemeClr w14:val="tx1"/>
                  </w14:solidFill>
                </w14:textFill>
              </w:rPr>
              <w:t>4.申购/</w:t>
            </w:r>
            <w:r>
              <w:rPr>
                <w:rFonts w:hint="eastAsia" w:asciiTheme="majorEastAsia" w:hAnsiTheme="majorEastAsia" w:eastAsiaTheme="majorEastAsia"/>
                <w:bCs/>
                <w:color w:val="000000" w:themeColor="text1"/>
                <w:sz w:val="18"/>
                <w:szCs w:val="18"/>
                <w14:textFill>
                  <w14:solidFill>
                    <w14:schemeClr w14:val="tx1"/>
                  </w14:solidFill>
                </w14:textFill>
              </w:rPr>
              <w:t>赎回申请时间如遇非工作日，则产品管理人做相应调整。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sz w:val="18"/>
                <w:szCs w:val="18"/>
              </w:rPr>
            </w:pPr>
            <w:r>
              <w:rPr>
                <w:rFonts w:hint="eastAsia" w:ascii="黑体" w:hAnsi="黑体" w:eastAsia="黑体"/>
                <w:bCs/>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sz w:val="18"/>
                <w:szCs w:val="18"/>
              </w:rPr>
              <w:t>以</w:t>
            </w:r>
            <w:r>
              <w:rPr>
                <w:rFonts w:hint="eastAsia" w:ascii="黑体" w:hAnsi="黑体" w:eastAsia="黑体"/>
                <w:bCs/>
                <w:sz w:val="18"/>
                <w:szCs w:val="18"/>
              </w:rPr>
              <w:t>代理销售机构的展示</w:t>
            </w:r>
            <w:r>
              <w:rPr>
                <w:rFonts w:ascii="黑体" w:hAnsi="黑体" w:eastAsia="黑体"/>
                <w:bCs/>
                <w:sz w:val="18"/>
                <w:szCs w:val="18"/>
              </w:rPr>
              <w:t>为准</w:t>
            </w:r>
            <w:r>
              <w:rPr>
                <w:rFonts w:hint="eastAsia" w:ascii="黑体" w:hAnsi="黑体" w:eastAsia="黑体"/>
                <w:bCs/>
                <w:sz w:val="18"/>
                <w:szCs w:val="18"/>
              </w:rPr>
              <w:t>。</w:t>
            </w:r>
          </w:p>
          <w:p>
            <w:pPr>
              <w:spacing w:line="360" w:lineRule="auto"/>
              <w:rPr>
                <w:rFonts w:ascii="黑体" w:hAnsi="黑体" w:eastAsia="黑体"/>
                <w:sz w:val="18"/>
                <w:szCs w:val="18"/>
              </w:rPr>
            </w:pPr>
            <w:r>
              <w:rPr>
                <w:rFonts w:hint="eastAsia" w:ascii="黑体" w:hAnsi="黑体" w:eastAsia="黑体"/>
                <w:bCs/>
                <w:sz w:val="18"/>
                <w:szCs w:val="18"/>
              </w:rPr>
              <w:t>②代理销售机构的实际工作服务时段，最早不得早于销售文件约定</w:t>
            </w:r>
            <w:r>
              <w:rPr>
                <w:rFonts w:ascii="黑体" w:hAnsi="黑体" w:eastAsia="黑体"/>
                <w:bCs/>
                <w:sz w:val="18"/>
                <w:szCs w:val="18"/>
              </w:rPr>
              <w:t>的</w:t>
            </w:r>
            <w:r>
              <w:rPr>
                <w:rFonts w:hint="eastAsia" w:ascii="黑体" w:hAnsi="黑体" w:eastAsia="黑体"/>
                <w:bCs/>
                <w:sz w:val="18"/>
                <w:szCs w:val="18"/>
              </w:rPr>
              <w:t>起始时点、最晚不得晚于销售文件</w:t>
            </w:r>
            <w:r>
              <w:rPr>
                <w:rFonts w:ascii="黑体" w:hAnsi="黑体" w:eastAsia="黑体"/>
                <w:bCs/>
                <w:sz w:val="18"/>
                <w:szCs w:val="18"/>
              </w:rPr>
              <w:t>约定的</w:t>
            </w:r>
            <w:r>
              <w:rPr>
                <w:rFonts w:hint="eastAsia" w:ascii="黑体" w:hAnsi="黑体" w:eastAsia="黑体"/>
                <w:bCs/>
                <w:sz w:val="18"/>
                <w:szCs w:val="18"/>
              </w:rPr>
              <w:t>终止时点</w:t>
            </w:r>
            <w:r>
              <w:rPr>
                <w:rFonts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1.00】元；超出起点金额的部分以【0.01】元的整数</w:t>
            </w:r>
            <w:r>
              <w:rPr>
                <w:rFonts w:hint="eastAsia" w:asciiTheme="majorEastAsia" w:hAnsiTheme="majorEastAsia" w:eastAsiaTheme="majorEastAsia"/>
                <w:bCs/>
                <w:sz w:val="18"/>
                <w:szCs w:val="18"/>
              </w:rPr>
              <w:t>倍递增。</w:t>
            </w:r>
            <w:r>
              <w:rPr>
                <w:rFonts w:hint="eastAsia" w:hAnsi="宋体"/>
                <w:bCs/>
                <w:sz w:val="18"/>
                <w:szCs w:val="18"/>
              </w:rPr>
              <w:t>（适用【</w:t>
            </w:r>
            <w:r>
              <w:rPr>
                <w:rFonts w:hint="eastAsia" w:hAnsi="宋体"/>
                <w:bCs/>
                <w:sz w:val="18"/>
                <w:szCs w:val="18"/>
                <w:lang w:eastAsia="zh-CN"/>
              </w:rPr>
              <w:t>B】</w:t>
            </w:r>
            <w:r>
              <w:rPr>
                <w:rFonts w:hint="eastAsia" w:hAnsi="宋体"/>
                <w:bCs/>
                <w:sz w:val="18"/>
                <w:szCs w:val="18"/>
              </w:rPr>
              <w:t>类</w:t>
            </w:r>
            <w:r>
              <w:rPr>
                <w:rFonts w:hAnsi="宋体"/>
                <w:bCs/>
                <w:sz w:val="18"/>
                <w:szCs w:val="18"/>
              </w:rPr>
              <w:t>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★认购、申购与赎回的数量限制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w:t>
            </w:r>
            <w:r>
              <w:rPr>
                <w:rFonts w:hint="eastAsia" w:hAnsi="宋体"/>
                <w:bCs/>
                <w:sz w:val="18"/>
                <w:szCs w:val="18"/>
                <w:lang w:eastAsia="zh-CN"/>
              </w:rPr>
              <w:t>B】</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】元。如需突破上限，请与产品管理人或销售机构客户经理联系。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】元。</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】份。</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w:t>
            </w:r>
            <w:r>
              <w:rPr>
                <w:rFonts w:hint="eastAsia" w:asciiTheme="minorEastAsia" w:hAnsiTheme="minorEastAsia" w:eastAsiaTheme="minorEastAsia"/>
                <w:color w:val="auto"/>
                <w:sz w:val="18"/>
                <w:szCs w:val="18"/>
                <w:lang w:val="en-US" w:eastAsia="zh-CN"/>
              </w:rPr>
              <w:t>0.01</w:t>
            </w:r>
            <w:r>
              <w:rPr>
                <w:rFonts w:hint="eastAsia" w:asciiTheme="minorEastAsia" w:hAnsiTheme="minorEastAsia" w:eastAsiaTheme="minorEastAsia"/>
                <w:color w:val="auto"/>
                <w:sz w:val="18"/>
                <w:szCs w:val="18"/>
              </w:rPr>
              <w:t>】份。受理财利益分配去尾规则的影响，投资者持有产品份额较低时可能无法取得利益。巨额赎回情景发生时，投资者的可赎回份额需要根据巨额赎回规则确定。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ajorEastAsia" w:hAnsiTheme="majorEastAsia" w:eastAsiaTheme="majorEastAsia"/>
                <w:bCs/>
                <w:sz w:val="18"/>
                <w:szCs w:val="18"/>
              </w:rPr>
            </w:pPr>
            <w:r>
              <w:rPr>
                <w:rFonts w:hint="eastAsia" w:asciiTheme="minorEastAsia" w:hAnsiTheme="minorEastAsia"/>
                <w:bCs/>
                <w:sz w:val="18"/>
                <w:szCs w:val="18"/>
              </w:rPr>
              <w:t>单个开放日中</w:t>
            </w:r>
            <w:r>
              <w:rPr>
                <w:rFonts w:hint="eastAsia" w:asciiTheme="majorEastAsia" w:hAnsiTheme="majorEastAsia" w:eastAsiaTheme="majorEastAsia"/>
                <w:bCs/>
                <w:sz w:val="18"/>
                <w:szCs w:val="18"/>
              </w:rPr>
              <w:t>，本产品的累计产品份额净赎回申请（赎回申请总份额扣除申购总份额后的余额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下同）之和达到上一日产品总份额的1</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eastAsia="zh-CN"/>
              </w:rPr>
              <w:t>【B】类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Theme="majorEastAsia" w:hAnsiTheme="majorEastAsia" w:eastAsiaTheme="majorEastAsia"/>
                <w:bCs/>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Theme="majorEastAsia" w:hAnsiTheme="majorEastAsia" w:eastAsiaTheme="majorEastAsia"/>
                <w:bCs/>
                <w:sz w:val="18"/>
                <w:szCs w:val="18"/>
              </w:rPr>
              <w:t>基于当前对未来市场的判断，根据拟投资债权类资产的信用利差、久期敞口以及流动性溢价，预判组合的波动幅度</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Cs/>
                <w:sz w:val="18"/>
              </w:rPr>
              <w:t>管理人对</w:t>
            </w:r>
            <w:r>
              <w:rPr>
                <w:rFonts w:asciiTheme="majorEastAsia" w:hAnsiTheme="majorEastAsia"/>
                <w:bCs/>
                <w:sz w:val="18"/>
              </w:rPr>
              <w:t>本产品设定</w:t>
            </w:r>
            <w:r>
              <w:rPr>
                <w:rFonts w:hint="eastAsia" w:asciiTheme="majorEastAsia" w:hAnsiTheme="majorEastAsia"/>
                <w:bCs/>
                <w:sz w:val="18"/>
              </w:rPr>
              <w:t>业绩比较基准：</w:t>
            </w:r>
            <w:r>
              <w:rPr>
                <w:rFonts w:hint="eastAsia" w:asciiTheme="majorEastAsia" w:hAnsiTheme="majorEastAsia"/>
                <w:bCs/>
                <w:sz w:val="18"/>
                <w:lang w:val="en-US" w:eastAsia="zh-CN"/>
              </w:rPr>
              <w:t>年化</w:t>
            </w:r>
            <w:r>
              <w:rPr>
                <w:rFonts w:hint="eastAsia" w:asciiTheme="majorEastAsia" w:hAnsiTheme="majorEastAsia"/>
                <w:sz w:val="18"/>
              </w:rPr>
              <w:t>【</w:t>
            </w:r>
            <w:r>
              <w:rPr>
                <w:rFonts w:hint="eastAsia" w:asciiTheme="majorEastAsia" w:hAnsiTheme="majorEastAsia"/>
                <w:sz w:val="18"/>
                <w:lang w:val="en-US" w:eastAsia="zh-CN"/>
              </w:rPr>
              <w:t>1.10%-1.9</w:t>
            </w:r>
            <w:bookmarkStart w:id="206" w:name="_GoBack"/>
            <w:bookmarkEnd w:id="206"/>
            <w:r>
              <w:rPr>
                <w:rFonts w:hint="eastAsia" w:asciiTheme="majorEastAsia" w:hAnsiTheme="majorEastAsia"/>
                <w:sz w:val="18"/>
                <w:lang w:val="en-US" w:eastAsia="zh-CN"/>
              </w:rPr>
              <w:t>0%</w:t>
            </w:r>
            <w:r>
              <w:rPr>
                <w:rFonts w:hint="eastAsia" w:asciiTheme="majorEastAsia" w:hAnsiTheme="majorEastAsia"/>
                <w:sz w:val="18"/>
              </w:rPr>
              <w:t>】</w:t>
            </w:r>
            <w:r>
              <w:rPr>
                <w:rFonts w:hint="eastAsia" w:ascii="宋体" w:hAnsi="宋体"/>
                <w:bCs/>
                <w:sz w:val="18"/>
                <w:szCs w:val="18"/>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1）</w:t>
            </w:r>
            <w:r>
              <w:rPr>
                <w:rFonts w:hint="eastAsia" w:ascii="黑体" w:hAnsi="黑体" w:eastAsia="黑体" w:cs="黑体"/>
                <w:bCs/>
                <w:sz w:val="18"/>
                <w:szCs w:val="18"/>
              </w:rPr>
              <w:t>★</w:t>
            </w:r>
            <w:r>
              <w:rPr>
                <w:rFonts w:hint="eastAsia" w:ascii="黑体" w:hAnsi="黑体" w:eastAsia="黑体" w:cs="黑体"/>
                <w:bCs/>
                <w:sz w:val="18"/>
              </w:rPr>
              <w:t>业绩比较基准</w:t>
            </w:r>
            <w:r>
              <w:rPr>
                <w:rFonts w:hint="eastAsia" w:ascii="黑体" w:hAnsi="黑体" w:eastAsia="黑体" w:cs="黑体"/>
                <w:bCs/>
                <w:sz w:val="18"/>
                <w:szCs w:val="18"/>
              </w:rPr>
              <w:t>不是预期收益率，</w:t>
            </w:r>
            <w:r>
              <w:rPr>
                <w:rFonts w:hint="eastAsia" w:ascii="黑体" w:hAnsi="黑体" w:eastAsia="黑体" w:cs="黑体"/>
                <w:bCs/>
                <w:sz w:val="18"/>
              </w:rPr>
              <w:t>不代表产品</w:t>
            </w:r>
            <w:r>
              <w:rPr>
                <w:rFonts w:hint="eastAsia" w:ascii="黑体" w:hAnsi="黑体" w:eastAsia="黑体" w:cs="黑体"/>
                <w:bCs/>
                <w:sz w:val="18"/>
                <w:szCs w:val="18"/>
              </w:rPr>
              <w:t>的</w:t>
            </w:r>
            <w:r>
              <w:rPr>
                <w:rFonts w:hint="eastAsia" w:ascii="黑体" w:hAnsi="黑体" w:eastAsia="黑体" w:cs="黑体"/>
                <w:bCs/>
                <w:sz w:val="18"/>
              </w:rPr>
              <w:t>未来表现</w:t>
            </w:r>
            <w:r>
              <w:rPr>
                <w:rFonts w:hint="eastAsia" w:ascii="黑体" w:hAnsi="黑体" w:eastAsia="黑体" w:cs="黑体"/>
                <w:bCs/>
                <w:sz w:val="18"/>
                <w:szCs w:val="18"/>
              </w:rPr>
              <w:t>和</w:t>
            </w:r>
            <w:r>
              <w:rPr>
                <w:rFonts w:hint="eastAsia" w:ascii="黑体" w:hAnsi="黑体" w:eastAsia="黑体" w:cs="黑体"/>
                <w:bCs/>
                <w:sz w:val="18"/>
              </w:rPr>
              <w:t>实际收益，不</w:t>
            </w:r>
            <w:r>
              <w:rPr>
                <w:rFonts w:hint="eastAsia" w:ascii="黑体" w:hAnsi="黑体" w:eastAsia="黑体" w:cs="黑体"/>
                <w:bCs/>
                <w:sz w:val="18"/>
                <w:szCs w:val="18"/>
              </w:rPr>
              <w:t>构成对</w:t>
            </w:r>
            <w:r>
              <w:rPr>
                <w:rFonts w:hint="eastAsia" w:ascii="黑体" w:hAnsi="黑体" w:eastAsia="黑体" w:cs="黑体"/>
                <w:bCs/>
                <w:sz w:val="18"/>
              </w:rPr>
              <w:t>产品收益的</w:t>
            </w:r>
            <w:r>
              <w:rPr>
                <w:rFonts w:hint="eastAsia" w:ascii="黑体" w:hAnsi="黑体" w:eastAsia="黑体" w:cs="黑体"/>
                <w:bCs/>
                <w:sz w:val="18"/>
                <w:szCs w:val="18"/>
              </w:rPr>
              <w:t>承诺</w:t>
            </w:r>
            <w:r>
              <w:rPr>
                <w:rFonts w:hint="eastAsia" w:ascii="黑体" w:hAnsi="黑体" w:eastAsia="黑体" w:cs="黑体"/>
                <w:bCs/>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（适用</w:t>
            </w:r>
            <w:r>
              <w:rPr>
                <w:rFonts w:hint="eastAsia" w:ascii="宋体" w:hAnsi="宋体"/>
                <w:bCs/>
                <w:sz w:val="18"/>
                <w:szCs w:val="18"/>
                <w:lang w:eastAsia="zh-CN"/>
              </w:rPr>
              <w:t>【B】类</w:t>
            </w:r>
            <w:r>
              <w:rPr>
                <w:rFonts w:hint="eastAsia" w:ascii="宋体" w:hAnsi="宋体"/>
                <w:bCs/>
                <w:sz w:val="18"/>
                <w:szCs w:val="18"/>
              </w:rPr>
              <w:t>份额）</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产品管理人设置业绩报酬计提基准。</w:t>
            </w:r>
          </w:p>
          <w:p>
            <w:pPr>
              <w:spacing w:line="360" w:lineRule="auto"/>
              <w:jc w:val="left"/>
              <w:rPr>
                <w:rFonts w:ascii="宋体" w:hAnsi="宋体"/>
                <w:bCs/>
                <w:sz w:val="18"/>
              </w:rPr>
            </w:pPr>
            <w:r>
              <w:rPr>
                <w:rFonts w:ascii="宋体" w:hAnsi="宋体"/>
                <w:bCs/>
                <w:sz w:val="18"/>
                <w:szCs w:val="18"/>
              </w:rPr>
              <w:t>业绩报酬计提基准的</w:t>
            </w:r>
            <w:r>
              <w:rPr>
                <w:rFonts w:ascii="宋体" w:hAnsi="宋体"/>
                <w:bCs/>
                <w:sz w:val="18"/>
              </w:rPr>
              <w:t>设定</w:t>
            </w:r>
            <w:r>
              <w:rPr>
                <w:rFonts w:hint="eastAsia" w:ascii="宋体" w:hAnsi="宋体"/>
                <w:bCs/>
                <w:sz w:val="18"/>
              </w:rPr>
              <w:t>：管理人</w:t>
            </w:r>
            <w:r>
              <w:rPr>
                <w:rFonts w:ascii="宋体" w:hAnsi="宋体"/>
                <w:bCs/>
                <w:sz w:val="18"/>
              </w:rPr>
              <w:t>对本产品设定</w:t>
            </w:r>
            <w:r>
              <w:rPr>
                <w:rFonts w:hint="eastAsia" w:ascii="宋体" w:hAnsi="宋体"/>
                <w:bCs/>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1）</w:t>
            </w:r>
            <w:r>
              <w:rPr>
                <w:rFonts w:hint="eastAsia" w:ascii="黑体" w:hAnsi="黑体" w:eastAsia="黑体" w:cs="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ascii="宋体"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jc w:val="left"/>
              <w:rPr>
                <w:rFonts w:cs="黑体" w:asciiTheme="minorEastAsia" w:hAnsiTheme="minorEastAsia" w:eastAsiaTheme="minorEastAsia"/>
                <w:bCs/>
                <w:sz w:val="18"/>
                <w:szCs w:val="18"/>
              </w:rPr>
            </w:pPr>
            <w:r>
              <w:rPr>
                <w:rFonts w:hint="eastAsia" w:cs="黑体" w:asciiTheme="minorEastAsia" w:hAnsiTheme="minorEastAsia" w:eastAsiaTheme="minorEastAsia"/>
                <w:bCs/>
                <w:sz w:val="18"/>
                <w:szCs w:val="18"/>
              </w:rPr>
              <w:t>（适用</w:t>
            </w:r>
            <w:r>
              <w:rPr>
                <w:rFonts w:hint="eastAsia" w:cs="黑体" w:asciiTheme="minorEastAsia" w:hAnsiTheme="minorEastAsia" w:eastAsiaTheme="minorEastAsia"/>
                <w:bCs/>
                <w:sz w:val="18"/>
                <w:szCs w:val="18"/>
                <w:lang w:eastAsia="zh-CN"/>
              </w:rPr>
              <w:t>【B】类</w:t>
            </w:r>
            <w:r>
              <w:rPr>
                <w:rFonts w:cs="黑体" w:asciiTheme="minorEastAsia" w:hAnsiTheme="minorEastAsia" w:eastAsiaTheme="minorEastAsia"/>
                <w:bCs/>
                <w:sz w:val="18"/>
                <w:szCs w:val="18"/>
              </w:rPr>
              <w:t>份额</w:t>
            </w:r>
            <w:r>
              <w:rPr>
                <w:rFonts w:hint="eastAsia" w:cs="黑体" w:asciiTheme="minorEastAsia" w:hAnsiTheme="minorEastAsia" w:eastAsiaTheme="minorEastAsia"/>
                <w:bCs/>
                <w:sz w:val="18"/>
                <w:szCs w:val="18"/>
              </w:rPr>
              <w:t>）</w:t>
            </w:r>
          </w:p>
          <w:p>
            <w:pPr>
              <w:spacing w:line="360" w:lineRule="auto"/>
              <w:jc w:val="left"/>
              <w:rPr>
                <w:rFonts w:ascii="黑体" w:hAnsi="黑体" w:eastAsia="黑体" w:cs="黑体"/>
                <w:bCs/>
                <w:sz w:val="18"/>
                <w:szCs w:val="18"/>
              </w:rPr>
            </w:pPr>
            <w:r>
              <w:rPr>
                <w:rFonts w:ascii="黑体" w:hAnsi="黑体" w:eastAsia="黑体" w:cs="黑体"/>
                <w:bCs/>
                <w:sz w:val="18"/>
                <w:szCs w:val="18"/>
              </w:rPr>
              <w:t>1.</w:t>
            </w:r>
            <w:r>
              <w:rPr>
                <w:rFonts w:hint="eastAsia" w:ascii="黑体" w:hAnsi="黑体" w:eastAsia="黑体" w:cs="黑体"/>
                <w:bCs/>
                <w:sz w:val="18"/>
                <w:szCs w:val="18"/>
              </w:rPr>
              <w:t>理财产品的费率标准</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1）认购费：</w:t>
            </w:r>
            <w:r>
              <w:rPr>
                <w:rFonts w:hint="eastAsia" w:ascii="黑体" w:hAnsi="黑体" w:eastAsia="黑体" w:cs="黑体"/>
                <w:bCs/>
                <w:sz w:val="18"/>
                <w:szCs w:val="18"/>
              </w:rPr>
              <w:t>【</w:t>
            </w:r>
            <w:r>
              <w:rPr>
                <w:rFonts w:hint="eastAsia" w:ascii="黑体" w:hAnsi="黑体" w:eastAsia="黑体" w:cs="黑体"/>
                <w:bCs/>
                <w:sz w:val="18"/>
                <w:szCs w:val="18"/>
                <w:lang w:val="en-US" w:eastAsia="zh-CN"/>
              </w:rPr>
              <w:t>/</w:t>
            </w:r>
            <w:r>
              <w:rPr>
                <w:rFonts w:hint="eastAsia" w:ascii="黑体" w:hAnsi="黑体" w:eastAsia="黑体" w:cs="黑体"/>
                <w:bCs/>
                <w:sz w:val="18"/>
                <w:szCs w:val="18"/>
              </w:rPr>
              <w:t>】。</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2）申购费：</w:t>
            </w:r>
            <w:r>
              <w:rPr>
                <w:rFonts w:hint="eastAsia" w:ascii="黑体" w:hAnsi="黑体" w:eastAsia="黑体" w:cs="黑体"/>
                <w:bCs/>
                <w:sz w:val="18"/>
                <w:szCs w:val="18"/>
              </w:rPr>
              <w:t>【</w:t>
            </w:r>
            <w:r>
              <w:rPr>
                <w:rFonts w:hint="eastAsia" w:ascii="黑体" w:hAnsi="黑体" w:eastAsia="黑体" w:cs="黑体"/>
                <w:bCs/>
                <w:sz w:val="18"/>
                <w:szCs w:val="18"/>
                <w:lang w:val="en-US" w:eastAsia="zh-CN"/>
              </w:rPr>
              <w:t>/</w:t>
            </w:r>
            <w:r>
              <w:rPr>
                <w:rFonts w:hint="eastAsia" w:ascii="黑体" w:hAnsi="黑体" w:eastAsia="黑体" w:cs="黑体"/>
                <w:bCs/>
                <w:sz w:val="18"/>
                <w:szCs w:val="18"/>
              </w:rPr>
              <w:t>】。</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3）赎回费：</w:t>
            </w:r>
            <w:r>
              <w:rPr>
                <w:rFonts w:hint="eastAsia" w:ascii="黑体" w:hAnsi="黑体" w:eastAsia="黑体" w:cs="黑体"/>
                <w:bCs/>
                <w:sz w:val="18"/>
                <w:szCs w:val="18"/>
              </w:rPr>
              <w:t>【</w:t>
            </w:r>
            <w:r>
              <w:rPr>
                <w:rFonts w:hint="eastAsia" w:ascii="黑体" w:hAnsi="黑体" w:eastAsia="黑体" w:cs="黑体"/>
                <w:bCs/>
                <w:sz w:val="18"/>
                <w:szCs w:val="18"/>
                <w:lang w:val="en-US" w:eastAsia="zh-CN"/>
              </w:rPr>
              <w:t>/</w:t>
            </w:r>
            <w:r>
              <w:rPr>
                <w:rFonts w:hint="eastAsia" w:ascii="黑体" w:hAnsi="黑体" w:eastAsia="黑体" w:cs="黑体"/>
                <w:bCs/>
                <w:sz w:val="18"/>
                <w:szCs w:val="18"/>
              </w:rPr>
              <w:t>】。</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4）销售服</w:t>
            </w:r>
            <w:r>
              <w:rPr>
                <w:rFonts w:hint="eastAsia" w:ascii="黑体" w:hAnsi="黑体" w:eastAsia="黑体" w:cs="黑体"/>
                <w:bCs/>
                <w:sz w:val="18"/>
                <w:szCs w:val="18"/>
              </w:rPr>
              <w:t>务费：</w:t>
            </w:r>
            <w:r>
              <w:rPr>
                <w:rFonts w:ascii="黑体" w:hAnsi="黑体" w:eastAsia="黑体" w:cs="黑体"/>
                <w:bCs/>
                <w:sz w:val="18"/>
                <w:szCs w:val="18"/>
              </w:rPr>
              <w:t>年化费率</w:t>
            </w:r>
            <w:r>
              <w:rPr>
                <w:rFonts w:hint="eastAsia" w:ascii="宋体" w:hAnsi="宋体"/>
                <w:sz w:val="18"/>
                <w:szCs w:val="18"/>
              </w:rPr>
              <w:t>【</w:t>
            </w:r>
            <w:r>
              <w:rPr>
                <w:rFonts w:ascii="宋体" w:hAnsi="宋体"/>
                <w:sz w:val="18"/>
                <w:szCs w:val="18"/>
              </w:rPr>
              <w:t>0.</w:t>
            </w:r>
            <w:r>
              <w:rPr>
                <w:rFonts w:hint="eastAsia" w:ascii="宋体" w:hAnsi="宋体"/>
                <w:sz w:val="18"/>
                <w:szCs w:val="18"/>
                <w:lang w:val="en-US" w:eastAsia="zh-CN"/>
              </w:rPr>
              <w:t>4</w:t>
            </w:r>
            <w:r>
              <w:rPr>
                <w:rFonts w:hint="eastAsia" w:ascii="宋体" w:hAnsi="宋体"/>
                <w:sz w:val="18"/>
                <w:szCs w:val="18"/>
              </w:rPr>
              <w:t>0</w:t>
            </w:r>
            <w:r>
              <w:rPr>
                <w:rFonts w:ascii="宋体" w:hAnsi="宋体"/>
                <w:sz w:val="18"/>
                <w:szCs w:val="18"/>
              </w:rPr>
              <w:t>%</w:t>
            </w:r>
            <w:r>
              <w:rPr>
                <w:rFonts w:hint="eastAsia" w:ascii="黑体" w:hAnsi="黑体" w:eastAsia="黑体" w:cs="黑体"/>
                <w:bCs/>
                <w:sz w:val="18"/>
                <w:szCs w:val="18"/>
              </w:rPr>
              <w:t>】。</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5）投资管理费：</w:t>
            </w:r>
            <w:r>
              <w:rPr>
                <w:rFonts w:hint="eastAsia" w:ascii="黑体" w:hAnsi="黑体" w:eastAsia="黑体" w:cs="黑体"/>
                <w:bCs/>
                <w:sz w:val="18"/>
                <w:szCs w:val="18"/>
              </w:rPr>
              <w:t>年化</w:t>
            </w:r>
            <w:r>
              <w:rPr>
                <w:rFonts w:ascii="黑体" w:hAnsi="黑体" w:eastAsia="黑体" w:cs="黑体"/>
                <w:bCs/>
                <w:sz w:val="18"/>
                <w:szCs w:val="18"/>
              </w:rPr>
              <w:t>费率</w:t>
            </w:r>
            <w:r>
              <w:rPr>
                <w:rFonts w:hint="eastAsia" w:ascii="黑体" w:hAnsi="黑体" w:eastAsia="黑体" w:cs="黑体"/>
                <w:bCs/>
                <w:sz w:val="18"/>
                <w:szCs w:val="18"/>
              </w:rPr>
              <w:t>【</w:t>
            </w:r>
            <w:r>
              <w:rPr>
                <w:rFonts w:hint="eastAsia" w:ascii="宋体" w:hAnsi="宋体"/>
                <w:sz w:val="18"/>
                <w:szCs w:val="18"/>
              </w:rPr>
              <w:t>0.30%</w:t>
            </w:r>
            <w:r>
              <w:rPr>
                <w:rFonts w:ascii="黑体" w:hAnsi="黑体" w:eastAsia="黑体" w:cs="黑体"/>
                <w:bCs/>
                <w:sz w:val="18"/>
                <w:szCs w:val="18"/>
              </w:rPr>
              <w:t>】</w:t>
            </w:r>
            <w:r>
              <w:rPr>
                <w:rFonts w:hint="eastAsia" w:ascii="黑体" w:hAnsi="黑体" w:eastAsia="黑体" w:cs="黑体"/>
                <w:bCs/>
                <w:sz w:val="18"/>
                <w:szCs w:val="18"/>
              </w:rPr>
              <w:t>。</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6）产品托管费：</w:t>
            </w:r>
            <w:r>
              <w:rPr>
                <w:rFonts w:hint="eastAsia" w:ascii="黑体" w:hAnsi="黑体" w:eastAsia="黑体" w:cs="黑体"/>
                <w:bCs/>
                <w:sz w:val="18"/>
                <w:szCs w:val="18"/>
              </w:rPr>
              <w:t>年化</w:t>
            </w:r>
            <w:r>
              <w:rPr>
                <w:rFonts w:ascii="黑体" w:hAnsi="黑体" w:eastAsia="黑体" w:cs="黑体"/>
                <w:bCs/>
                <w:sz w:val="18"/>
                <w:szCs w:val="18"/>
              </w:rPr>
              <w:t>费率</w:t>
            </w:r>
            <w:r>
              <w:rPr>
                <w:rFonts w:hint="eastAsia" w:ascii="黑体" w:hAnsi="黑体" w:eastAsia="黑体" w:cs="黑体"/>
                <w:bCs/>
                <w:sz w:val="18"/>
                <w:szCs w:val="18"/>
              </w:rPr>
              <w:t>【</w:t>
            </w:r>
            <w:r>
              <w:rPr>
                <w:rFonts w:hint="eastAsia" w:ascii="宋体" w:hAnsi="宋体"/>
                <w:sz w:val="18"/>
                <w:szCs w:val="18"/>
              </w:rPr>
              <w:t>0.03%</w:t>
            </w:r>
            <w:r>
              <w:rPr>
                <w:rFonts w:hint="eastAsia" w:ascii="黑体" w:hAnsi="黑体" w:eastAsia="黑体" w:cs="黑体"/>
                <w:bCs/>
                <w:sz w:val="18"/>
                <w:szCs w:val="18"/>
              </w:rPr>
              <w:t>】。</w:t>
            </w:r>
          </w:p>
          <w:p>
            <w:pPr>
              <w:widowControl/>
              <w:autoSpaceDE w:val="0"/>
              <w:autoSpaceDN w:val="0"/>
              <w:adjustRightInd w:val="0"/>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7）超额业绩报酬：</w:t>
            </w:r>
          </w:p>
          <w:p>
            <w:pPr>
              <w:widowControl/>
              <w:autoSpaceDE w:val="0"/>
              <w:autoSpaceDN w:val="0"/>
              <w:adjustRightInd w:val="0"/>
              <w:spacing w:line="360" w:lineRule="auto"/>
              <w:jc w:val="left"/>
              <w:rPr>
                <w:rFonts w:ascii="宋体" w:hAnsi="宋体" w:cs="黑体"/>
                <w:bCs/>
                <w:sz w:val="18"/>
                <w:szCs w:val="18"/>
              </w:rPr>
            </w:pPr>
            <w:r>
              <w:rPr>
                <w:rFonts w:ascii="宋体" w:hAnsi="宋体" w:cs="黑体"/>
                <w:bCs/>
                <w:sz w:val="18"/>
                <w:szCs w:val="18"/>
              </w:rPr>
              <w:t>本产品不收取超额业绩报酬</w:t>
            </w:r>
            <w:r>
              <w:rPr>
                <w:rFonts w:hint="eastAsia" w:ascii="宋体" w:hAnsi="宋体" w:cs="黑体"/>
                <w:bCs/>
                <w:sz w:val="18"/>
                <w:szCs w:val="18"/>
              </w:rPr>
              <w:t>。</w:t>
            </w:r>
          </w:p>
          <w:p>
            <w:pPr>
              <w:autoSpaceDE w:val="0"/>
              <w:autoSpaceDN w:val="0"/>
              <w:adjustRightInd w:val="0"/>
              <w:spacing w:line="360" w:lineRule="auto"/>
              <w:jc w:val="left"/>
              <w:rPr>
                <w:rFonts w:ascii="黑体" w:hAnsi="黑体" w:eastAsia="黑体"/>
                <w:bCs/>
                <w:sz w:val="18"/>
                <w:szCs w:val="18"/>
              </w:rPr>
            </w:pPr>
            <w:r>
              <w:rPr>
                <w:rFonts w:ascii="黑体" w:hAnsi="黑体" w:eastAsia="黑体" w:cs="黑体"/>
                <w:bCs/>
                <w:sz w:val="18"/>
                <w:szCs w:val="18"/>
              </w:rPr>
              <w:t>2.</w:t>
            </w:r>
            <w:r>
              <w:rPr>
                <w:rFonts w:hint="eastAsia" w:ascii="黑体" w:hAnsi="黑体" w:eastAsia="黑体" w:cs="黑体"/>
                <w:bCs/>
                <w:sz w:val="18"/>
                <w:szCs w:val="18"/>
              </w:rPr>
              <w:t>产品管理人</w:t>
            </w:r>
            <w:r>
              <w:rPr>
                <w:rFonts w:ascii="黑体" w:hAnsi="黑体" w:eastAsia="黑体" w:cs="黑体"/>
                <w:bCs/>
                <w:sz w:val="18"/>
                <w:szCs w:val="18"/>
              </w:rPr>
              <w:t>保留变更</w:t>
            </w:r>
            <w:r>
              <w:rPr>
                <w:rFonts w:hint="eastAsia" w:ascii="黑体" w:hAnsi="黑体" w:eastAsia="黑体" w:cs="黑体"/>
                <w:bCs/>
                <w:sz w:val="18"/>
                <w:szCs w:val="18"/>
              </w:rPr>
              <w:t>上述</w:t>
            </w:r>
            <w:r>
              <w:rPr>
                <w:rFonts w:ascii="黑体" w:hAnsi="黑体" w:eastAsia="黑体" w:cs="黑体"/>
                <w:bCs/>
                <w:sz w:val="18"/>
                <w:szCs w:val="18"/>
              </w:rPr>
              <w:t>理财产品</w:t>
            </w:r>
            <w:r>
              <w:rPr>
                <w:rFonts w:hint="eastAsia" w:ascii="黑体" w:hAnsi="黑体" w:eastAsia="黑体" w:cs="黑体"/>
                <w:bCs/>
                <w:sz w:val="18"/>
                <w:szCs w:val="18"/>
              </w:rPr>
              <w:t>收取</w:t>
            </w:r>
            <w:r>
              <w:rPr>
                <w:rFonts w:ascii="黑体" w:hAnsi="黑体" w:eastAsia="黑体" w:cs="黑体"/>
                <w:bCs/>
                <w:sz w:val="18"/>
                <w:szCs w:val="18"/>
              </w:rPr>
              <w:t>费率</w:t>
            </w:r>
            <w:r>
              <w:rPr>
                <w:rFonts w:hint="eastAsia" w:ascii="黑体" w:hAnsi="黑体" w:eastAsia="黑体" w:cs="黑体"/>
                <w:bCs/>
                <w:sz w:val="18"/>
                <w:szCs w:val="18"/>
              </w:rPr>
              <w:t>标准</w:t>
            </w:r>
            <w:r>
              <w:rPr>
                <w:rFonts w:ascii="黑体" w:hAnsi="黑体" w:eastAsia="黑体" w:cs="黑体"/>
                <w:bCs/>
                <w:sz w:val="18"/>
                <w:szCs w:val="18"/>
              </w:rPr>
              <w:t>的权利</w:t>
            </w:r>
            <w:r>
              <w:rPr>
                <w:rFonts w:hint="eastAsia" w:ascii="黑体" w:hAnsi="黑体" w:eastAsia="黑体" w:cs="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12" w:name="_Toc103260530"/>
      <w:bookmarkStart w:id="13" w:name="_Toc79154666"/>
      <w:bookmarkStart w:id="14" w:name="_Toc92377132"/>
      <w:bookmarkStart w:id="15" w:name="_Toc20890"/>
      <w:bookmarkStart w:id="16" w:name="_Toc26096"/>
      <w:bookmarkStart w:id="17" w:name="_Toc22117"/>
      <w:r>
        <w:rPr>
          <w:rFonts w:ascii="Times New Roman"/>
          <w:sz w:val="30"/>
        </w:rPr>
        <w:t>第</w:t>
      </w:r>
      <w:r>
        <w:rPr>
          <w:rFonts w:hint="eastAsia" w:ascii="Times New Roman"/>
          <w:sz w:val="30"/>
        </w:rPr>
        <w:t>三条</w:t>
      </w:r>
      <w:r>
        <w:rPr>
          <w:rFonts w:ascii="Times New Roman"/>
          <w:sz w:val="30"/>
        </w:rPr>
        <w:t xml:space="preserve">  </w:t>
      </w:r>
      <w:bookmarkStart w:id="18" w:name="_Toc79392573"/>
      <w:r>
        <w:rPr>
          <w:rFonts w:hint="eastAsia" w:ascii="Times New Roman"/>
          <w:sz w:val="30"/>
        </w:rPr>
        <w:t>理财产品的认购</w:t>
      </w:r>
      <w:bookmarkEnd w:id="12"/>
      <w:bookmarkEnd w:id="13"/>
      <w:bookmarkEnd w:id="14"/>
      <w:bookmarkEnd w:id="15"/>
      <w:bookmarkEnd w:id="16"/>
      <w:bookmarkEnd w:id="17"/>
    </w:p>
    <w:p>
      <w:pPr>
        <w:spacing w:line="360" w:lineRule="auto"/>
        <w:ind w:firstLine="361" w:firstLineChars="200"/>
        <w:rPr>
          <w:rFonts w:asciiTheme="minorEastAsia" w:hAnsiTheme="minorEastAsia"/>
          <w:b/>
          <w:bCs/>
          <w:sz w:val="18"/>
          <w:szCs w:val="18"/>
        </w:rPr>
      </w:pPr>
      <w:bookmarkStart w:id="19" w:name="_Hlt88031774"/>
      <w:bookmarkEnd w:id="19"/>
      <w:bookmarkStart w:id="20"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21" w:name="_Toc16237"/>
      <w:bookmarkStart w:id="22" w:name="_Toc79154667"/>
      <w:bookmarkStart w:id="23" w:name="_Toc18500"/>
      <w:bookmarkStart w:id="24" w:name="_Toc103260531"/>
      <w:bookmarkStart w:id="25" w:name="_Toc27778"/>
      <w:bookmarkStart w:id="26"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21"/>
      <w:bookmarkEnd w:id="22"/>
      <w:bookmarkEnd w:id="23"/>
      <w:bookmarkEnd w:id="24"/>
      <w:bookmarkEnd w:id="25"/>
      <w:bookmarkEnd w:id="26"/>
    </w:p>
    <w:bookmarkEnd w:id="20"/>
    <w:p>
      <w:pPr>
        <w:spacing w:line="360" w:lineRule="auto"/>
        <w:ind w:firstLine="420" w:firstLineChars="200"/>
      </w:pP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具体的申购时间以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投资者可于开放日内申购，产品管理人公告暂停开放的日期除外</w:t>
      </w:r>
      <w:r>
        <w:rPr>
          <w:rFonts w:hint="eastAsia" w:asciiTheme="majorEastAsia" w:hAnsiTheme="majorEastAsia" w:eastAsiaTheme="majorEastAsia"/>
          <w:bCs/>
          <w:sz w:val="18"/>
          <w:szCs w:val="18"/>
        </w:rPr>
        <w:t>。</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eastAsiaTheme="minorEastAsia"/>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eastAsiaTheme="minorEastAsia"/>
          <w:bCs/>
          <w:color w:val="auto"/>
          <w:sz w:val="18"/>
          <w:szCs w:val="18"/>
        </w:rPr>
      </w:pPr>
      <w:r>
        <w:rPr>
          <w:rFonts w:hint="eastAsia" w:asciiTheme="majorEastAsia" w:hAnsiTheme="majorEastAsia" w:eastAsiaTheme="majorEastAsia"/>
          <w:color w:val="auto"/>
          <w:sz w:val="18"/>
          <w:szCs w:val="18"/>
        </w:rPr>
        <w:t>提交申购申请并不代表申购成功，产品管理人将在申购确认日确认投资者是否申购成功，是否成功以管理人的确认结果为准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color w:val="auto"/>
          <w:sz w:val="18"/>
        </w:rPr>
        <w:t>本产品设置开放期，</w:t>
      </w:r>
      <w:r>
        <w:rPr>
          <w:rFonts w:hint="eastAsia" w:asciiTheme="majorEastAsia" w:hAnsiTheme="majorEastAsia" w:eastAsiaTheme="majorEastAsia"/>
          <w:bCs/>
          <w:color w:val="auto"/>
          <w:sz w:val="18"/>
          <w:szCs w:val="18"/>
        </w:rPr>
        <w:t>具体的赎回时间以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int="eastAsia" w:asciiTheme="minorEastAsia" w:hAnsiTheme="minorEastAsia"/>
          <w:sz w:val="18"/>
          <w:szCs w:val="18"/>
        </w:rPr>
        <w:t>投资者可于开放日内赎回，产品管理人公告暂停开放的日期除外</w:t>
      </w:r>
      <w:r>
        <w:rPr>
          <w:rFonts w:hint="eastAsia" w:asciiTheme="majorEastAsia" w:hAnsiTheme="majorEastAsia" w:eastAsiaTheme="majorEastAsia"/>
          <w:bCs/>
          <w:sz w:val="18"/>
          <w:szCs w:val="18"/>
        </w:rPr>
        <w:t>。</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color w:val="auto"/>
          <w:sz w:val="18"/>
          <w:szCs w:val="18"/>
        </w:rPr>
        <w:t>提交赎回申请并不代表赎回成功，产品管理人将在赎回确认日确认投资者是否赎回成功，是否成功以管理人的确认结果为准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inorEastAsia" w:hAnsiTheme="minorEastAsia"/>
          <w:bCs/>
          <w:sz w:val="18"/>
          <w:szCs w:val="18"/>
        </w:rPr>
        <w:t>（</w:t>
      </w:r>
      <w:r>
        <w:rPr>
          <w:rFonts w:asciiTheme="minorEastAsia" w:hAnsiTheme="minorEastAsia"/>
          <w:bCs/>
          <w:sz w:val="18"/>
          <w:szCs w:val="18"/>
        </w:rPr>
        <w:t>3</w:t>
      </w:r>
      <w:r>
        <w:rPr>
          <w:rFonts w:hint="eastAsia" w:asciiTheme="minorEastAsia" w:hAnsiTheme="minorEastAsia"/>
          <w:bCs/>
          <w:sz w:val="18"/>
          <w:szCs w:val="18"/>
        </w:rPr>
        <w:t>）理财产品连续两个开放日（含）发生因巨额赎回导致拒绝赎回情况的，产品管理人可暂停接受投资者的赎回申请。投资者根据产品管理人披露的开放日可重新进行申购和赎回。</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8"/>
    <w:p>
      <w:pPr>
        <w:pStyle w:val="2"/>
        <w:spacing w:before="0" w:after="0" w:line="360" w:lineRule="auto"/>
        <w:jc w:val="center"/>
        <w:rPr>
          <w:rFonts w:ascii="Times New Roman"/>
          <w:sz w:val="30"/>
        </w:rPr>
      </w:pPr>
      <w:bookmarkStart w:id="27" w:name="_Toc27189"/>
      <w:bookmarkStart w:id="28" w:name="_Toc22074"/>
      <w:bookmarkStart w:id="29" w:name="_Toc92377134"/>
      <w:bookmarkStart w:id="30" w:name="_Toc15203"/>
      <w:bookmarkStart w:id="31" w:name="_Toc6714"/>
      <w:bookmarkStart w:id="32" w:name="_Toc29784"/>
      <w:bookmarkStart w:id="33" w:name="_Toc103260532"/>
      <w:bookmarkStart w:id="34" w:name="_Toc90742321"/>
      <w:bookmarkStart w:id="35" w:name="_Toc90742390"/>
      <w:bookmarkStart w:id="36" w:name="_Toc27226"/>
      <w:bookmarkStart w:id="37" w:name="_Toc7151"/>
      <w:bookmarkStart w:id="38" w:name="_Toc3266"/>
      <w:bookmarkStart w:id="39" w:name="_Toc74065741"/>
      <w:bookmarkStart w:id="40" w:name="_Toc79154668"/>
      <w:bookmarkStart w:id="41" w:name="_Toc24347"/>
      <w:bookmarkStart w:id="42" w:name="_Toc16265"/>
      <w:bookmarkStart w:id="43" w:name="_Toc90742688"/>
      <w:bookmarkStart w:id="44" w:name="_Toc25928"/>
      <w:bookmarkStart w:id="45" w:name="_Toc29948"/>
      <w:bookmarkStart w:id="46" w:name="_Toc2083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4" w:edGrp="everyone"/>
      <w:r>
        <w:rPr>
          <w:rFonts w:hint="eastAsia" w:asciiTheme="majorEastAsia" w:hAnsiTheme="majorEastAsia" w:eastAsiaTheme="majorEastAsia"/>
          <w:color w:val="auto"/>
          <w:sz w:val="18"/>
          <w:szCs w:val="18"/>
        </w:rPr>
        <w:t>本产品为</w:t>
      </w:r>
      <w:r>
        <w:rPr>
          <w:rFonts w:asciiTheme="majorEastAsia" w:hAnsiTheme="majorEastAsia" w:eastAsiaTheme="majorEastAsia"/>
          <w:color w:val="auto"/>
          <w:sz w:val="18"/>
          <w:szCs w:val="18"/>
        </w:rPr>
        <w:t>固定收益类产品</w:t>
      </w:r>
      <w:r>
        <w:rPr>
          <w:rFonts w:hint="eastAsia" w:asciiTheme="majorEastAsia" w:hAnsiTheme="majorEastAsia" w:eastAsiaTheme="majorEastAsia"/>
          <w:color w:val="auto"/>
          <w:sz w:val="18"/>
          <w:szCs w:val="18"/>
        </w:rPr>
        <w:t>，在</w:t>
      </w:r>
      <w:r>
        <w:rPr>
          <w:rFonts w:hint="eastAsia" w:asciiTheme="minorEastAsia" w:hAnsiTheme="minorEastAsia" w:eastAsiaTheme="minorEastAsia"/>
          <w:color w:val="auto"/>
          <w:sz w:val="18"/>
          <w:szCs w:val="18"/>
        </w:rPr>
        <w:t>保持理财资产的低风险和高流动性的前提下，力争实现超越业绩比较基准的投资回报。</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等银行间和交易所市场债券及债务融资工具，以及其他固定收益类投资工具等。</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（3）投资于上述资产的符合监管要求的公募基金、基金公司或子公司资产管理计划、证券公司资产管理计划、保险资产管理计划及信托计划等。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（4）本产品不投资于非标准化债权类资产、不投资于权益类资产、不投资于商品和金融衍生品类资产。</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本产品100%投资于债权类资产。</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应当符合本销售文件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销售文件</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kern w:val="0"/>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（3）每只开放式公募理财产品直接投资于流动性受限资产的市值在开放日不得超过该产品资产净值的15%。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5）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（7）本产品投资不存在活跃交易市场，并且需要采用估值技术确定公允价值的资产占理财产品净资产的比例低于50%。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销售文件</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sz w:val="18"/>
          <w:szCs w:val="18"/>
        </w:rPr>
      </w:pPr>
      <w:permStart w:id="19" w:edGrp="everyone"/>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 】</w:t>
      </w:r>
    </w:p>
    <w:permEnd w:id="19"/>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47" w:name="_Toc92377135"/>
      <w:bookmarkStart w:id="48" w:name="_Toc26100"/>
      <w:bookmarkStart w:id="49" w:name="_Toc141703885"/>
      <w:bookmarkStart w:id="50" w:name="_Toc7848"/>
      <w:bookmarkStart w:id="51" w:name="_Toc21988"/>
      <w:bookmarkStart w:id="52" w:name="_Toc14893"/>
      <w:bookmarkStart w:id="53" w:name="_Toc18797"/>
      <w:bookmarkStart w:id="54" w:name="_Toc17912"/>
      <w:bookmarkStart w:id="55" w:name="_Toc18329"/>
      <w:bookmarkStart w:id="56" w:name="_Toc103260533"/>
      <w:bookmarkStart w:id="57" w:name="_Toc26986"/>
      <w:bookmarkStart w:id="58" w:name="_Toc18526"/>
      <w:bookmarkStart w:id="59" w:name="_Toc139991735"/>
      <w:bookmarkStart w:id="60" w:name="_Toc4741"/>
      <w:bookmarkStart w:id="61" w:name="_Toc1823"/>
      <w:bookmarkStart w:id="62" w:name="_Toc74065742"/>
      <w:bookmarkStart w:id="63" w:name="_Toc79154669"/>
      <w:bookmarkStart w:id="64" w:name="_Toc20302"/>
      <w:bookmarkStart w:id="65" w:name="_Toc16372"/>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34"/>
        <w:spacing w:line="360" w:lineRule="auto"/>
        <w:ind w:firstLine="361" w:firstLineChars="200"/>
        <w:rPr>
          <w:rFonts w:asciiTheme="majorEastAsia" w:hAnsiTheme="majorEastAsia" w:eastAsiaTheme="majorEastAsia"/>
          <w:b/>
          <w:color w:val="auto"/>
          <w:sz w:val="18"/>
          <w:szCs w:val="18"/>
        </w:rPr>
      </w:pPr>
      <w:bookmarkStart w:id="66"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66"/>
    <w:p>
      <w:pPr>
        <w:pStyle w:val="2"/>
        <w:spacing w:before="0" w:after="0" w:line="360" w:lineRule="auto"/>
        <w:jc w:val="center"/>
        <w:rPr>
          <w:rFonts w:ascii="Times New Roman"/>
          <w:sz w:val="28"/>
          <w:szCs w:val="28"/>
        </w:rPr>
      </w:pPr>
      <w:bookmarkStart w:id="67" w:name="_Toc12709"/>
      <w:bookmarkStart w:id="68" w:name="_Toc11569"/>
      <w:bookmarkStart w:id="69" w:name="_Toc92377136"/>
      <w:bookmarkStart w:id="70" w:name="_Toc103260534"/>
      <w:bookmarkStart w:id="71" w:name="_Toc83391971"/>
      <w:bookmarkStart w:id="72" w:name="_Toc10138"/>
      <w:bookmarkStart w:id="73" w:name="_Toc79154670"/>
      <w:bookmarkStart w:id="74" w:name="_Toc141703886"/>
      <w:bookmarkStart w:id="75" w:name="_Toc123102453"/>
      <w:bookmarkStart w:id="76" w:name="_Toc74065743"/>
      <w:bookmarkStart w:id="77" w:name="_Toc123112234"/>
      <w:bookmarkStart w:id="78" w:name="_Toc23822"/>
      <w:bookmarkStart w:id="79" w:name="_Toc79392606"/>
      <w:bookmarkStart w:id="80" w:name="_Toc23261"/>
      <w:bookmarkStart w:id="81" w:name="_Toc4003"/>
      <w:bookmarkStart w:id="82" w:name="_Toc17244"/>
      <w:bookmarkStart w:id="83" w:name="_Toc1427"/>
      <w:bookmarkStart w:id="84" w:name="_Toc98560352"/>
      <w:bookmarkStart w:id="85" w:name="_Toc20733"/>
      <w:bookmarkStart w:id="86" w:name="_Toc1270"/>
      <w:bookmarkStart w:id="87" w:name="_Toc48649707"/>
      <w:bookmarkStart w:id="88" w:name="_Toc10463"/>
      <w:bookmarkStart w:id="89" w:name="_Toc139991736"/>
      <w:bookmarkStart w:id="90" w:name="_Toc123051452"/>
      <w:bookmarkStart w:id="91" w:name="_Toc7920"/>
      <w:bookmarkStart w:id="92" w:name="_Toc610"/>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67"/>
      <w:bookmarkEnd w:id="68"/>
      <w:bookmarkEnd w:id="69"/>
      <w:bookmarkEnd w:id="70"/>
      <w:bookmarkEnd w:id="71"/>
      <w:bookmarkEnd w:id="72"/>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permStart w:id="20" w:edGrp="everyone"/>
      <w:r>
        <w:rPr>
          <w:rFonts w:hint="eastAsia"/>
          <w:sz w:val="18"/>
          <w:szCs w:val="18"/>
        </w:rPr>
        <w:t>本产品存续期间，每【</w:t>
      </w:r>
      <w:r>
        <w:rPr>
          <w:rFonts w:hint="eastAsia"/>
          <w:sz w:val="18"/>
          <w:szCs w:val="18"/>
          <w:lang w:val="en-US" w:eastAsia="zh-CN"/>
        </w:rPr>
        <w:t>周</w:t>
      </w:r>
      <w:r>
        <w:rPr>
          <w:rFonts w:hint="eastAsia"/>
          <w:sz w:val="18"/>
          <w:szCs w:val="18"/>
        </w:rPr>
        <w:t>】进行一次估值。如遇产品申购日/赎回日、季度末、半年度末、年度末等时间节点管理人将增加估值日。</w:t>
      </w:r>
    </w:p>
    <w:permEnd w:id="20"/>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w:t>
      </w:r>
      <w:r>
        <w:rPr>
          <w:rFonts w:hint="eastAsia" w:asciiTheme="minorEastAsia" w:hAnsiTheme="minorEastAsia" w:eastAsiaTheme="minorEastAsia"/>
          <w:bCs/>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标准化债权类</w:t>
      </w:r>
      <w:r>
        <w:rPr>
          <w:rFonts w:asciiTheme="majorEastAsia" w:hAnsiTheme="majorEastAsia" w:eastAsiaTheme="majorEastAsia"/>
          <w:bCs/>
          <w:color w:val="auto"/>
          <w:sz w:val="18"/>
          <w:szCs w:val="18"/>
        </w:rPr>
        <w:t>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（2）对已发行但未上市流通，且第三方估值机构未提供估值数据的标准化债权类资产，采用当前情况下适用并且有足够可利用数据和其他信息支持的估值技术确定其公允价值。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asciiTheme="majorEastAsia" w:hAnsiTheme="majorEastAsia" w:eastAsiaTheme="majorEastAsia"/>
          <w:bCs/>
          <w:color w:val="auto"/>
          <w:sz w:val="18"/>
          <w:szCs w:val="18"/>
        </w:rPr>
        <w:t>所处的市场及相应的估值标准，分别进行估值。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2.</w:t>
      </w:r>
      <w:r>
        <w:rPr>
          <w:rFonts w:hint="eastAsia" w:asciiTheme="minorEastAsia" w:hAnsiTheme="minorEastAsia" w:eastAsiaTheme="minorEastAsia"/>
          <w:bCs/>
          <w:color w:val="auto"/>
          <w:sz w:val="18"/>
          <w:szCs w:val="18"/>
        </w:rPr>
        <w:t>境外债券</w:t>
      </w:r>
    </w:p>
    <w:p>
      <w:pPr>
        <w:pStyle w:val="34"/>
        <w:spacing w:line="360" w:lineRule="auto"/>
        <w:ind w:firstLine="360" w:firstLineChars="200"/>
        <w:rPr>
          <w:rFonts w:asciiTheme="majorEastAsia" w:hAnsi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4.上市公司股票</w:t>
      </w:r>
      <w:r>
        <w:rPr>
          <w:rFonts w:hint="eastAsia" w:asciiTheme="minorEastAsia" w:hAnsiTheme="minorEastAsia" w:eastAsiaTheme="minorEastAsia"/>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6.</w:t>
      </w:r>
      <w:r>
        <w:rPr>
          <w:rFonts w:hint="eastAsia" w:asciiTheme="minorEastAsia" w:hAnsiTheme="minorEastAsia" w:eastAsiaTheme="minorEastAsia"/>
          <w:bCs/>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7.</w:t>
      </w:r>
      <w:r>
        <w:rPr>
          <w:rFonts w:hint="eastAsia" w:asciiTheme="minorEastAsia" w:hAnsiTheme="minorEastAsia" w:eastAsiaTheme="minorEastAsia"/>
          <w:bCs/>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8.</w:t>
      </w:r>
      <w:r>
        <w:rPr>
          <w:rFonts w:hint="eastAsia" w:asciiTheme="minorEastAsia" w:hAnsiTheme="minorEastAsia" w:eastAsiaTheme="minorEastAsia"/>
          <w:bCs/>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9.衍生金融工具估值</w:t>
      </w:r>
    </w:p>
    <w:p>
      <w:pPr>
        <w:pStyle w:val="34"/>
        <w:spacing w:line="360" w:lineRule="auto"/>
        <w:ind w:firstLine="360" w:firstLineChars="200"/>
        <w:rPr>
          <w:rFonts w:cs="Times New Roman"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r>
        <w:rPr>
          <w:rFonts w:asciiTheme="minorEastAsia" w:hAnsiTheme="minorEastAsia" w:eastAsiaTheme="minorEastAsia"/>
          <w:color w:val="auto"/>
          <w:sz w:val="18"/>
          <w:szCs w:val="18"/>
        </w:rPr>
        <w:t xml:space="preserve"> </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10.</w:t>
      </w:r>
      <w:r>
        <w:rPr>
          <w:rFonts w:hint="eastAsia" w:asciiTheme="minorEastAsia" w:hAnsiTheme="minorEastAsia" w:eastAsiaTheme="minorEastAsia"/>
          <w:bCs/>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Pr>
        <w:pStyle w:val="2"/>
        <w:spacing w:before="0" w:after="0" w:line="360" w:lineRule="auto"/>
        <w:ind w:left="60" w:firstLine="10"/>
        <w:jc w:val="center"/>
        <w:rPr>
          <w:rFonts w:ascii="Times New Roman"/>
          <w:sz w:val="30"/>
        </w:rPr>
      </w:pPr>
      <w:bookmarkStart w:id="93" w:name="_Hlt70481650"/>
      <w:bookmarkEnd w:id="93"/>
      <w:bookmarkStart w:id="94" w:name="_Toc123051453"/>
      <w:bookmarkStart w:id="95" w:name="_Toc18706"/>
      <w:bookmarkStart w:id="96" w:name="_Toc141703887"/>
      <w:bookmarkStart w:id="97" w:name="_Toc12245"/>
      <w:bookmarkStart w:id="98" w:name="_Toc79154671"/>
      <w:bookmarkStart w:id="99" w:name="_Toc29251"/>
      <w:bookmarkStart w:id="100" w:name="_Toc74065744"/>
      <w:bookmarkStart w:id="101" w:name="_Toc31653"/>
      <w:bookmarkStart w:id="102" w:name="_Toc31644"/>
      <w:bookmarkStart w:id="103" w:name="_Toc123102454"/>
      <w:bookmarkStart w:id="104" w:name="_Toc98560353"/>
      <w:bookmarkStart w:id="105" w:name="_Toc14835"/>
      <w:bookmarkStart w:id="106" w:name="_Toc3805"/>
      <w:bookmarkStart w:id="107" w:name="_Toc15143"/>
      <w:bookmarkStart w:id="108" w:name="_Toc3601"/>
      <w:bookmarkStart w:id="109" w:name="_Toc92377137"/>
      <w:bookmarkStart w:id="110" w:name="_Toc123112235"/>
      <w:bookmarkStart w:id="111" w:name="_Toc6405"/>
      <w:bookmarkStart w:id="112" w:name="_Toc31235"/>
      <w:bookmarkStart w:id="113" w:name="_Toc103260535"/>
      <w:bookmarkStart w:id="114" w:name="_Toc14373"/>
      <w:bookmarkStart w:id="115" w:name="_Toc26207"/>
      <w:bookmarkStart w:id="116" w:name="_Toc139991737"/>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Start w:id="117" w:name="_Hlt55355235"/>
      <w:bookmarkEnd w:id="117"/>
      <w:bookmarkStart w:id="118" w:name="_Toc79392580"/>
      <w:bookmarkStart w:id="119" w:name="_Toc15118234"/>
      <w:bookmarkStart w:id="120" w:name="_Toc57530239"/>
      <w:bookmarkStart w:id="121"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1"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ermEnd w:id="21"/>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118"/>
    <w:bookmarkEnd w:id="119"/>
    <w:bookmarkEnd w:id="120"/>
    <w:bookmarkEnd w:id="121"/>
    <w:p>
      <w:pPr>
        <w:pStyle w:val="2"/>
        <w:spacing w:before="0" w:after="0" w:line="360" w:lineRule="auto"/>
        <w:jc w:val="center"/>
        <w:rPr>
          <w:rFonts w:ascii="Times New Roman"/>
          <w:sz w:val="30"/>
        </w:rPr>
      </w:pPr>
      <w:bookmarkStart w:id="122" w:name="_Hlt88897298"/>
      <w:bookmarkEnd w:id="122"/>
      <w:bookmarkStart w:id="123" w:name="_Hlt88825574"/>
      <w:bookmarkEnd w:id="123"/>
      <w:bookmarkStart w:id="124" w:name="_Toc9706"/>
      <w:bookmarkStart w:id="125" w:name="_Toc79154672"/>
      <w:bookmarkStart w:id="126" w:name="_Toc139991738"/>
      <w:bookmarkStart w:id="127" w:name="_Toc3321"/>
      <w:bookmarkStart w:id="128" w:name="_Toc12257"/>
      <w:bookmarkStart w:id="129" w:name="_Toc10650"/>
      <w:bookmarkStart w:id="130" w:name="_Toc74065745"/>
      <w:bookmarkStart w:id="131" w:name="_Toc25783"/>
      <w:bookmarkStart w:id="132" w:name="_Toc6447"/>
      <w:bookmarkStart w:id="133" w:name="_Toc123102455"/>
      <w:bookmarkStart w:id="134" w:name="_Toc123112236"/>
      <w:bookmarkStart w:id="135" w:name="_Toc11030"/>
      <w:bookmarkStart w:id="136" w:name="_Toc79392583"/>
      <w:bookmarkStart w:id="137" w:name="_Toc98560354"/>
      <w:bookmarkStart w:id="138" w:name="_Toc7058"/>
      <w:bookmarkStart w:id="139" w:name="_Toc20951"/>
      <w:bookmarkStart w:id="140" w:name="_Toc141703888"/>
      <w:bookmarkStart w:id="141" w:name="_Toc92377138"/>
      <w:bookmarkStart w:id="142" w:name="_Toc18567"/>
      <w:bookmarkStart w:id="143" w:name="_Toc103260536"/>
      <w:bookmarkStart w:id="144" w:name="_Toc4559"/>
      <w:bookmarkStart w:id="145" w:name="_Toc123051454"/>
      <w:bookmarkStart w:id="146" w:name="_Toc3771"/>
      <w:bookmarkStart w:id="147" w:name="_Toc5653"/>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3" w:edGrp="everyone"/>
      <w:r>
        <w:rPr>
          <w:rFonts w:hint="eastAsia" w:ascii="宋体" w:hAnsi="宋体"/>
          <w:kern w:val="0"/>
          <w:sz w:val="18"/>
          <w:szCs w:val="18"/>
        </w:rPr>
        <w:t>本产品</w:t>
      </w:r>
      <w:r>
        <w:rPr>
          <w:rFonts w:ascii="宋体" w:hAnsi="宋体"/>
          <w:kern w:val="0"/>
          <w:sz w:val="18"/>
          <w:szCs w:val="18"/>
        </w:rPr>
        <w:t>不收取超额业绩报酬。</w:t>
      </w:r>
    </w:p>
    <w:permEnd w:id="23"/>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48" w:name="_Toc1745"/>
      <w:bookmarkStart w:id="149" w:name="_Toc3963"/>
      <w:r>
        <w:br w:type="page"/>
      </w:r>
      <w:bookmarkStart w:id="150" w:name="_Toc123102456"/>
      <w:bookmarkStart w:id="151" w:name="_Toc31821"/>
      <w:bookmarkStart w:id="152" w:name="_Toc24853"/>
      <w:bookmarkStart w:id="153" w:name="_Toc123051455"/>
      <w:bookmarkStart w:id="154" w:name="_Toc16164"/>
      <w:bookmarkStart w:id="155" w:name="_Toc141703889"/>
      <w:bookmarkStart w:id="156" w:name="_Toc3880"/>
      <w:bookmarkStart w:id="157" w:name="_Toc3572"/>
      <w:bookmarkStart w:id="158" w:name="_Toc92377139"/>
      <w:bookmarkStart w:id="159" w:name="_Toc74065746"/>
      <w:bookmarkStart w:id="160" w:name="_Toc123112237"/>
      <w:bookmarkStart w:id="161" w:name="_Toc103260537"/>
      <w:bookmarkStart w:id="162" w:name="_Toc3080"/>
      <w:bookmarkStart w:id="163" w:name="_Toc79154673"/>
      <w:bookmarkStart w:id="164" w:name="_Toc21735"/>
      <w:bookmarkStart w:id="165" w:name="_Toc10398"/>
      <w:bookmarkStart w:id="166" w:name="_Toc725"/>
      <w:bookmarkStart w:id="167" w:name="_Toc19648"/>
      <w:bookmarkStart w:id="168" w:name="_Toc139991739"/>
      <w:bookmarkStart w:id="169" w:name="_Toc18206"/>
      <w:bookmarkStart w:id="170" w:name="_Toc98560355"/>
      <w:r>
        <w:rPr>
          <w:rFonts w:hint="eastAsia"/>
          <w:sz w:val="30"/>
        </w:rPr>
        <w:t>第十条</w:t>
      </w:r>
      <w:r>
        <w:rPr>
          <w:sz w:val="30"/>
        </w:rPr>
        <w:t xml:space="preserve">  </w:t>
      </w:r>
      <w:r>
        <w:rPr>
          <w:rFonts w:hint="eastAsia"/>
          <w:sz w:val="30"/>
        </w:rPr>
        <w:t>理财产品的终止与清算</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360" w:lineRule="auto"/>
        <w:ind w:firstLine="361" w:firstLineChars="200"/>
        <w:rPr>
          <w:rFonts w:asciiTheme="majorEastAsia" w:hAnsiTheme="majorEastAsia" w:eastAsiaTheme="majorEastAsia"/>
          <w:b/>
          <w:bCs/>
          <w:sz w:val="18"/>
          <w:szCs w:val="18"/>
        </w:rPr>
      </w:pPr>
      <w:bookmarkStart w:id="171" w:name="_Toc57530252"/>
      <w:bookmarkStart w:id="172" w:name="_Toc79392593"/>
      <w:bookmarkStart w:id="173"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71"/>
    <w:bookmarkEnd w:id="172"/>
    <w:bookmarkEnd w:id="17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74" w:name="_Toc22283"/>
      <w:bookmarkStart w:id="175" w:name="_Toc103260538"/>
      <w:bookmarkStart w:id="176" w:name="_Toc92377140"/>
      <w:bookmarkStart w:id="177" w:name="_Toc23820"/>
      <w:bookmarkStart w:id="178" w:name="_Toc9552"/>
      <w:bookmarkStart w:id="179" w:name="_Toc48649708"/>
      <w:bookmarkStart w:id="180" w:name="_Toc83391975"/>
      <w:bookmarkStart w:id="181" w:name="_Toc29408"/>
      <w:bookmarkStart w:id="182" w:name="_Toc74065747"/>
      <w:bookmarkStart w:id="183" w:name="_Toc123051456"/>
      <w:bookmarkStart w:id="184" w:name="_Toc32092"/>
      <w:bookmarkStart w:id="185" w:name="_Toc739"/>
      <w:bookmarkStart w:id="186" w:name="_Toc21237"/>
      <w:bookmarkStart w:id="187" w:name="_Toc141703890"/>
      <w:bookmarkStart w:id="188" w:name="_Toc123112238"/>
      <w:bookmarkStart w:id="189" w:name="_Toc17198"/>
      <w:bookmarkStart w:id="190" w:name="_Toc98560356"/>
      <w:bookmarkStart w:id="191" w:name="_Toc32584"/>
      <w:bookmarkStart w:id="192" w:name="_Toc17920"/>
      <w:bookmarkStart w:id="193" w:name="_Toc79154674"/>
      <w:bookmarkStart w:id="194" w:name="_Toc3329"/>
      <w:bookmarkStart w:id="195" w:name="_Toc8791"/>
      <w:bookmarkStart w:id="196" w:name="_Toc5170"/>
      <w:bookmarkStart w:id="197" w:name="_Toc79392622"/>
      <w:bookmarkStart w:id="198" w:name="_Toc139991740"/>
      <w:bookmarkStart w:id="199" w:name="_Toc123102457"/>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74"/>
      <w:bookmarkEnd w:id="175"/>
      <w:bookmarkEnd w:id="176"/>
      <w:bookmarkEnd w:id="177"/>
      <w:bookmarkEnd w:id="17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w:t>
      </w:r>
      <w:r>
        <w:rPr>
          <w:rFonts w:hint="eastAsia" w:ascii="宋体" w:hAnsi="宋体"/>
          <w:bCs/>
          <w:sz w:val="18"/>
          <w:szCs w:val="18"/>
        </w:rPr>
        <w:t>产品管理人</w:t>
      </w:r>
      <w:r>
        <w:rPr>
          <w:rFonts w:ascii="宋体" w:hAnsi="宋体"/>
          <w:bCs/>
          <w:sz w:val="18"/>
          <w:szCs w:val="18"/>
        </w:rPr>
        <w:t>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w:t>
      </w:r>
      <w:r>
        <w:rPr>
          <w:rFonts w:hint="eastAsia" w:ascii="宋体" w:hAnsi="宋体"/>
          <w:bCs/>
          <w:sz w:val="18"/>
          <w:szCs w:val="18"/>
        </w:rPr>
        <w:t>/估值日</w:t>
      </w:r>
      <w:r>
        <w:rPr>
          <w:rFonts w:ascii="宋体" w:hAnsi="宋体"/>
          <w:bCs/>
          <w:sz w:val="18"/>
          <w:szCs w:val="18"/>
        </w:rPr>
        <w:t>公告</w:t>
      </w:r>
    </w:p>
    <w:p>
      <w:pPr>
        <w:spacing w:line="360" w:lineRule="auto"/>
        <w:ind w:firstLine="360" w:firstLineChars="200"/>
        <w:rPr>
          <w:rFonts w:ascii="宋体" w:hAnsi="宋体"/>
          <w:bCs/>
          <w:sz w:val="18"/>
          <w:szCs w:val="18"/>
        </w:rPr>
      </w:pPr>
      <w:permStart w:id="24" w:edGrp="everyone"/>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/赎回日结束后2个工作日内披露公告，公告内容包括申购日/赎回日</w:t>
      </w:r>
      <w:r>
        <w:rPr>
          <w:rFonts w:hint="eastAsia" w:ascii="宋体" w:hAnsi="宋体"/>
          <w:bCs/>
          <w:sz w:val="18"/>
          <w:szCs w:val="18"/>
        </w:rPr>
        <w:t>的产品份额净值、产品份额累计净值等。如遇法定节假日顺延。此外，如遇其他特殊情况，以产品管理人信息披露为准。</w:t>
      </w:r>
    </w:p>
    <w:permEnd w:id="24"/>
    <w:p>
      <w:pPr>
        <w:spacing w:line="360" w:lineRule="auto"/>
        <w:ind w:firstLine="360" w:firstLineChars="200"/>
        <w:rPr>
          <w:rFonts w:ascii="宋体" w:hAnsi="宋体"/>
          <w:bCs/>
          <w:sz w:val="18"/>
          <w:szCs w:val="18"/>
        </w:rPr>
      </w:pPr>
      <w:r>
        <w:rPr>
          <w:rFonts w:ascii="宋体" w:hAnsi="宋体"/>
          <w:bCs/>
          <w:sz w:val="18"/>
          <w:szCs w:val="18"/>
        </w:rPr>
        <w:t>6.临时公告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1）</w:t>
      </w:r>
      <w:r>
        <w:rPr>
          <w:rFonts w:hint="eastAsia" w:ascii="黑体" w:hAnsi="黑体" w:eastAsia="黑体"/>
          <w:sz w:val="18"/>
          <w:szCs w:val="18"/>
        </w:rPr>
        <w:t>★产品管理人</w:t>
      </w:r>
      <w:r>
        <w:rPr>
          <w:rFonts w:ascii="黑体" w:hAnsi="黑体" w:eastAsia="黑体"/>
          <w:sz w:val="18"/>
          <w:szCs w:val="18"/>
        </w:rPr>
        <w:t>对</w:t>
      </w:r>
      <w:r>
        <w:rPr>
          <w:rFonts w:hint="eastAsia" w:ascii="黑体" w:hAnsi="黑体" w:eastAsia="黑体"/>
          <w:sz w:val="18"/>
          <w:szCs w:val="18"/>
        </w:rPr>
        <w:t>投资范围、投资资产种类、</w:t>
      </w:r>
      <w:r>
        <w:rPr>
          <w:rFonts w:ascii="黑体" w:hAnsi="黑体" w:eastAsia="黑体"/>
          <w:sz w:val="18"/>
          <w:szCs w:val="18"/>
        </w:rPr>
        <w:t>投资</w:t>
      </w:r>
      <w:r>
        <w:rPr>
          <w:rFonts w:hint="eastAsia" w:ascii="黑体" w:hAnsi="黑体" w:eastAsia="黑体"/>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sz w:val="18"/>
          <w:szCs w:val="18"/>
        </w:rPr>
        <w:t>2个工作日发布变更公告</w:t>
      </w:r>
      <w:r>
        <w:rPr>
          <w:rFonts w:hint="eastAsia" w:ascii="黑体" w:hAnsi="黑体" w:eastAsia="黑体"/>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4）★在本产品存续期内，如因国家法律法规、监管规定发生变化，或是出于维护本产品正常运营的需要，在不损害投资者</w:t>
      </w:r>
      <w:r>
        <w:rPr>
          <w:rFonts w:hint="eastAsia" w:ascii="黑体" w:hAnsi="黑体" w:eastAsia="黑体"/>
          <w:sz w:val="18"/>
          <w:szCs w:val="18"/>
        </w:rPr>
        <w:t>权益</w:t>
      </w:r>
      <w:r>
        <w:rPr>
          <w:rFonts w:ascii="黑体" w:hAnsi="黑体" w:eastAsia="黑体"/>
          <w:sz w:val="18"/>
          <w:szCs w:val="18"/>
        </w:rPr>
        <w:t>的前提下，</w:t>
      </w:r>
      <w:r>
        <w:rPr>
          <w:rFonts w:hint="eastAsia" w:ascii="黑体" w:hAnsi="黑体" w:eastAsia="黑体"/>
          <w:sz w:val="18"/>
          <w:szCs w:val="18"/>
        </w:rPr>
        <w:t>产品管理人</w:t>
      </w:r>
      <w:r>
        <w:rPr>
          <w:rFonts w:ascii="黑体" w:hAnsi="黑体" w:eastAsia="黑体"/>
          <w:sz w:val="18"/>
          <w:szCs w:val="18"/>
        </w:rPr>
        <w:t>有权对</w:t>
      </w:r>
      <w:r>
        <w:rPr>
          <w:rFonts w:hint="eastAsia" w:ascii="黑体" w:hAnsi="黑体" w:eastAsia="黑体"/>
          <w:sz w:val="18"/>
          <w:szCs w:val="18"/>
        </w:rPr>
        <w:t>理财产品销售文件</w:t>
      </w:r>
      <w:r>
        <w:rPr>
          <w:rFonts w:ascii="黑体" w:hAnsi="黑体" w:eastAsia="黑体"/>
          <w:sz w:val="18"/>
          <w:szCs w:val="18"/>
        </w:rPr>
        <w:t>进行修订，并提前2个工作日进行</w:t>
      </w:r>
      <w:r>
        <w:rPr>
          <w:rFonts w:hint="eastAsia" w:ascii="黑体" w:hAnsi="黑体" w:eastAsia="黑体"/>
          <w:sz w:val="18"/>
          <w:szCs w:val="18"/>
        </w:rPr>
        <w:t>公告</w:t>
      </w:r>
      <w:r>
        <w:rPr>
          <w:rFonts w:ascii="黑体" w:hAnsi="黑体" w:eastAsia="黑体"/>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Pr>
        <w:spacing w:line="360" w:lineRule="auto"/>
        <w:ind w:firstLine="360" w:firstLineChars="200"/>
        <w:rPr>
          <w:rFonts w:ascii="黑体" w:hAnsi="黑体" w:eastAsia="黑体"/>
          <w:sz w:val="18"/>
          <w:szCs w:val="18"/>
        </w:rPr>
      </w:pPr>
      <w:r>
        <w:rPr>
          <w:rFonts w:hint="eastAsia" w:ascii="黑体" w:hAnsi="黑体" w:eastAsia="黑体"/>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sz w:val="18"/>
          <w:szCs w:val="18"/>
        </w:rPr>
        <w:t>并提前2个工作日进行</w:t>
      </w:r>
      <w:r>
        <w:rPr>
          <w:rFonts w:hint="eastAsia" w:ascii="黑体" w:hAnsi="黑体" w:eastAsia="黑体"/>
          <w:sz w:val="18"/>
          <w:szCs w:val="18"/>
        </w:rPr>
        <w:t>公告。若投资者未选择退出本产品的，则视为已理解并接受管理人的相应变更。</w:t>
      </w:r>
    </w:p>
    <w:p>
      <w:pPr>
        <w:spacing w:line="360" w:lineRule="auto"/>
        <w:ind w:firstLine="480" w:firstLineChars="200"/>
        <w:rPr>
          <w:bCs/>
          <w:sz w:val="24"/>
        </w:rPr>
      </w:pPr>
      <w:r>
        <w:rPr>
          <w:sz w:val="24"/>
        </w:rPr>
        <w:br w:type="page"/>
      </w:r>
    </w:p>
    <w:p>
      <w:pPr>
        <w:pStyle w:val="2"/>
        <w:spacing w:before="0" w:after="0" w:line="360" w:lineRule="auto"/>
        <w:jc w:val="center"/>
        <w:rPr>
          <w:rFonts w:ascii="Times New Roman"/>
          <w:b w:val="0"/>
          <w:sz w:val="30"/>
        </w:rPr>
      </w:pPr>
      <w:bookmarkStart w:id="200" w:name="_Toc103260539"/>
      <w:bookmarkStart w:id="201" w:name="_Toc9986"/>
      <w:bookmarkStart w:id="202" w:name="_Toc28813"/>
      <w:bookmarkStart w:id="203" w:name="_Toc17790"/>
      <w:bookmarkStart w:id="204" w:name="_Toc79154675"/>
      <w:bookmarkStart w:id="205"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00"/>
      <w:bookmarkEnd w:id="201"/>
      <w:bookmarkEnd w:id="202"/>
      <w:bookmarkEnd w:id="203"/>
      <w:bookmarkEnd w:id="204"/>
      <w:bookmarkEnd w:id="20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5"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ermEnd w:id="25"/>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（盖章/线上确认）：</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投资者法定代表人或授权代理人（签名/盖章/线上确认）：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dwdo8tR0K+KTIm1WjMnVV9BMqWA=" w:salt="H4wu8E5Ko/j9GjFSBLuDR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6E7124"/>
    <w:rsid w:val="0000208C"/>
    <w:rsid w:val="00002480"/>
    <w:rsid w:val="00007765"/>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08D2"/>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0815"/>
    <w:rsid w:val="00081DC7"/>
    <w:rsid w:val="000826C9"/>
    <w:rsid w:val="00082E45"/>
    <w:rsid w:val="00083F31"/>
    <w:rsid w:val="00085DD5"/>
    <w:rsid w:val="00086DD4"/>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568B"/>
    <w:rsid w:val="000B6819"/>
    <w:rsid w:val="000B7F67"/>
    <w:rsid w:val="000C31AC"/>
    <w:rsid w:val="000C3B81"/>
    <w:rsid w:val="000C69CB"/>
    <w:rsid w:val="000C6BF4"/>
    <w:rsid w:val="000C7C96"/>
    <w:rsid w:val="000D0C3A"/>
    <w:rsid w:val="000D10B1"/>
    <w:rsid w:val="000D1473"/>
    <w:rsid w:val="000D19CF"/>
    <w:rsid w:val="000D1ADF"/>
    <w:rsid w:val="000D2623"/>
    <w:rsid w:val="000D3A43"/>
    <w:rsid w:val="000D3E2A"/>
    <w:rsid w:val="000D4DAE"/>
    <w:rsid w:val="000D548F"/>
    <w:rsid w:val="000D591B"/>
    <w:rsid w:val="000E008C"/>
    <w:rsid w:val="000E10C7"/>
    <w:rsid w:val="000E181B"/>
    <w:rsid w:val="000E18C8"/>
    <w:rsid w:val="000E2054"/>
    <w:rsid w:val="000E5A74"/>
    <w:rsid w:val="000E6A7A"/>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17B00"/>
    <w:rsid w:val="00121A98"/>
    <w:rsid w:val="00122AA4"/>
    <w:rsid w:val="00122E28"/>
    <w:rsid w:val="001232D0"/>
    <w:rsid w:val="00123FEF"/>
    <w:rsid w:val="0012639A"/>
    <w:rsid w:val="00127FAE"/>
    <w:rsid w:val="00132300"/>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9EE"/>
    <w:rsid w:val="00167B0D"/>
    <w:rsid w:val="00171033"/>
    <w:rsid w:val="001715BB"/>
    <w:rsid w:val="00172BBF"/>
    <w:rsid w:val="0017394A"/>
    <w:rsid w:val="0017488D"/>
    <w:rsid w:val="00174EE7"/>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D7E99"/>
    <w:rsid w:val="001E14FD"/>
    <w:rsid w:val="001E291D"/>
    <w:rsid w:val="001E461E"/>
    <w:rsid w:val="001E54CE"/>
    <w:rsid w:val="001E61BD"/>
    <w:rsid w:val="001E6BA6"/>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215"/>
    <w:rsid w:val="002B1C83"/>
    <w:rsid w:val="002B2349"/>
    <w:rsid w:val="002B389F"/>
    <w:rsid w:val="002B4AAF"/>
    <w:rsid w:val="002B5421"/>
    <w:rsid w:val="002B6616"/>
    <w:rsid w:val="002B75A8"/>
    <w:rsid w:val="002C0CF5"/>
    <w:rsid w:val="002C3DA6"/>
    <w:rsid w:val="002C3DD6"/>
    <w:rsid w:val="002C446D"/>
    <w:rsid w:val="002C6117"/>
    <w:rsid w:val="002C6DB5"/>
    <w:rsid w:val="002D1DEF"/>
    <w:rsid w:val="002D3AB7"/>
    <w:rsid w:val="002D3AEF"/>
    <w:rsid w:val="002D6AFD"/>
    <w:rsid w:val="002D7529"/>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0F0F"/>
    <w:rsid w:val="0031156D"/>
    <w:rsid w:val="003122D5"/>
    <w:rsid w:val="00313E17"/>
    <w:rsid w:val="00320153"/>
    <w:rsid w:val="003224C7"/>
    <w:rsid w:val="00327E26"/>
    <w:rsid w:val="00330DD8"/>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0A9"/>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4D2B"/>
    <w:rsid w:val="00406C36"/>
    <w:rsid w:val="00407912"/>
    <w:rsid w:val="00410860"/>
    <w:rsid w:val="00411594"/>
    <w:rsid w:val="004134C2"/>
    <w:rsid w:val="00413AD2"/>
    <w:rsid w:val="00416AC9"/>
    <w:rsid w:val="00416AF8"/>
    <w:rsid w:val="00416CB0"/>
    <w:rsid w:val="0042292D"/>
    <w:rsid w:val="00422B14"/>
    <w:rsid w:val="004239E7"/>
    <w:rsid w:val="00424562"/>
    <w:rsid w:val="0042456A"/>
    <w:rsid w:val="00424897"/>
    <w:rsid w:val="004259CB"/>
    <w:rsid w:val="00426CB5"/>
    <w:rsid w:val="0042700C"/>
    <w:rsid w:val="00430DF1"/>
    <w:rsid w:val="00432858"/>
    <w:rsid w:val="00434DA3"/>
    <w:rsid w:val="004365C7"/>
    <w:rsid w:val="004369A7"/>
    <w:rsid w:val="0043725F"/>
    <w:rsid w:val="00440E4C"/>
    <w:rsid w:val="00441309"/>
    <w:rsid w:val="00441A1F"/>
    <w:rsid w:val="00441C87"/>
    <w:rsid w:val="004421A0"/>
    <w:rsid w:val="0044275F"/>
    <w:rsid w:val="0044318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3C6"/>
    <w:rsid w:val="00462D9E"/>
    <w:rsid w:val="00464878"/>
    <w:rsid w:val="00465BE2"/>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6134"/>
    <w:rsid w:val="004C75D9"/>
    <w:rsid w:val="004D0C41"/>
    <w:rsid w:val="004D1CFA"/>
    <w:rsid w:val="004D2141"/>
    <w:rsid w:val="004D373F"/>
    <w:rsid w:val="004D3932"/>
    <w:rsid w:val="004D5055"/>
    <w:rsid w:val="004D5AAF"/>
    <w:rsid w:val="004D5BE2"/>
    <w:rsid w:val="004D5E18"/>
    <w:rsid w:val="004D6163"/>
    <w:rsid w:val="004D6C75"/>
    <w:rsid w:val="004E08E7"/>
    <w:rsid w:val="004E17EB"/>
    <w:rsid w:val="004E20E1"/>
    <w:rsid w:val="004E3BD3"/>
    <w:rsid w:val="004E4084"/>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0AB9"/>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0E82"/>
    <w:rsid w:val="00583DB2"/>
    <w:rsid w:val="00583FFD"/>
    <w:rsid w:val="0058644F"/>
    <w:rsid w:val="00586B5E"/>
    <w:rsid w:val="0058793F"/>
    <w:rsid w:val="00587E86"/>
    <w:rsid w:val="005905CC"/>
    <w:rsid w:val="0059345F"/>
    <w:rsid w:val="005942B5"/>
    <w:rsid w:val="005964FC"/>
    <w:rsid w:val="00596640"/>
    <w:rsid w:val="005A0BAF"/>
    <w:rsid w:val="005A0CDE"/>
    <w:rsid w:val="005A1A2E"/>
    <w:rsid w:val="005A2814"/>
    <w:rsid w:val="005A2F58"/>
    <w:rsid w:val="005A52CE"/>
    <w:rsid w:val="005A5694"/>
    <w:rsid w:val="005A60A3"/>
    <w:rsid w:val="005B0326"/>
    <w:rsid w:val="005B14F6"/>
    <w:rsid w:val="005B1513"/>
    <w:rsid w:val="005B1F01"/>
    <w:rsid w:val="005B3D95"/>
    <w:rsid w:val="005B45B8"/>
    <w:rsid w:val="005B6567"/>
    <w:rsid w:val="005C1011"/>
    <w:rsid w:val="005C1A4B"/>
    <w:rsid w:val="005C2C22"/>
    <w:rsid w:val="005C3351"/>
    <w:rsid w:val="005C46BB"/>
    <w:rsid w:val="005C6C9D"/>
    <w:rsid w:val="005C7108"/>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441"/>
    <w:rsid w:val="005F379A"/>
    <w:rsid w:val="005F4287"/>
    <w:rsid w:val="005F469C"/>
    <w:rsid w:val="005F7C7E"/>
    <w:rsid w:val="005F7FD5"/>
    <w:rsid w:val="0060066F"/>
    <w:rsid w:val="00600FE7"/>
    <w:rsid w:val="006016B4"/>
    <w:rsid w:val="006019D1"/>
    <w:rsid w:val="00605524"/>
    <w:rsid w:val="00605B31"/>
    <w:rsid w:val="00605C5D"/>
    <w:rsid w:val="006065FB"/>
    <w:rsid w:val="00607DDC"/>
    <w:rsid w:val="00611A33"/>
    <w:rsid w:val="00612869"/>
    <w:rsid w:val="006146BA"/>
    <w:rsid w:val="00615A93"/>
    <w:rsid w:val="006172ED"/>
    <w:rsid w:val="00620063"/>
    <w:rsid w:val="00620D75"/>
    <w:rsid w:val="00621F2C"/>
    <w:rsid w:val="00624760"/>
    <w:rsid w:val="00624F2C"/>
    <w:rsid w:val="00626BC0"/>
    <w:rsid w:val="0063051C"/>
    <w:rsid w:val="006310FF"/>
    <w:rsid w:val="00631736"/>
    <w:rsid w:val="006328AE"/>
    <w:rsid w:val="0064020E"/>
    <w:rsid w:val="0064076F"/>
    <w:rsid w:val="0064087A"/>
    <w:rsid w:val="00642A61"/>
    <w:rsid w:val="006451BF"/>
    <w:rsid w:val="006453CC"/>
    <w:rsid w:val="0064589D"/>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042"/>
    <w:rsid w:val="006929EA"/>
    <w:rsid w:val="00692BC9"/>
    <w:rsid w:val="0069501F"/>
    <w:rsid w:val="006961A8"/>
    <w:rsid w:val="00697C87"/>
    <w:rsid w:val="00697D22"/>
    <w:rsid w:val="006A094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420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920"/>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87AC9"/>
    <w:rsid w:val="0079021D"/>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8E0"/>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7F66E1"/>
    <w:rsid w:val="0080018F"/>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570"/>
    <w:rsid w:val="00810605"/>
    <w:rsid w:val="00810BBC"/>
    <w:rsid w:val="0081517F"/>
    <w:rsid w:val="0081549F"/>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30FC"/>
    <w:rsid w:val="008735AB"/>
    <w:rsid w:val="008740D8"/>
    <w:rsid w:val="0087506B"/>
    <w:rsid w:val="0087693A"/>
    <w:rsid w:val="00876C63"/>
    <w:rsid w:val="00876D94"/>
    <w:rsid w:val="0089069E"/>
    <w:rsid w:val="008912D3"/>
    <w:rsid w:val="008914CB"/>
    <w:rsid w:val="008937B1"/>
    <w:rsid w:val="00894A43"/>
    <w:rsid w:val="00895477"/>
    <w:rsid w:val="00895F6F"/>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0CB"/>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45A"/>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16D1"/>
    <w:rsid w:val="0094391C"/>
    <w:rsid w:val="00945661"/>
    <w:rsid w:val="00946996"/>
    <w:rsid w:val="0095322B"/>
    <w:rsid w:val="0095360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5E0A"/>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39FB"/>
    <w:rsid w:val="009A418D"/>
    <w:rsid w:val="009A520C"/>
    <w:rsid w:val="009A75FE"/>
    <w:rsid w:val="009B137E"/>
    <w:rsid w:val="009B2144"/>
    <w:rsid w:val="009B2D08"/>
    <w:rsid w:val="009B6315"/>
    <w:rsid w:val="009B6C73"/>
    <w:rsid w:val="009C36E0"/>
    <w:rsid w:val="009C4645"/>
    <w:rsid w:val="009C59F9"/>
    <w:rsid w:val="009C63B1"/>
    <w:rsid w:val="009C6C6F"/>
    <w:rsid w:val="009C6DCD"/>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A07"/>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67E"/>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30C"/>
    <w:rsid w:val="00A635F0"/>
    <w:rsid w:val="00A64046"/>
    <w:rsid w:val="00A64535"/>
    <w:rsid w:val="00A71411"/>
    <w:rsid w:val="00A71C30"/>
    <w:rsid w:val="00A71EF1"/>
    <w:rsid w:val="00A72235"/>
    <w:rsid w:val="00A72A25"/>
    <w:rsid w:val="00A740D7"/>
    <w:rsid w:val="00A75555"/>
    <w:rsid w:val="00A759CD"/>
    <w:rsid w:val="00A7660D"/>
    <w:rsid w:val="00A776D2"/>
    <w:rsid w:val="00A836BF"/>
    <w:rsid w:val="00A83C4D"/>
    <w:rsid w:val="00A83D4C"/>
    <w:rsid w:val="00A84317"/>
    <w:rsid w:val="00A85490"/>
    <w:rsid w:val="00A85845"/>
    <w:rsid w:val="00A86707"/>
    <w:rsid w:val="00A86794"/>
    <w:rsid w:val="00A873D2"/>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2603"/>
    <w:rsid w:val="00AB34BD"/>
    <w:rsid w:val="00AB3C03"/>
    <w:rsid w:val="00AB50AF"/>
    <w:rsid w:val="00AB52EA"/>
    <w:rsid w:val="00AB5EF6"/>
    <w:rsid w:val="00AB7BAC"/>
    <w:rsid w:val="00AC0EF8"/>
    <w:rsid w:val="00AC263A"/>
    <w:rsid w:val="00AC2A27"/>
    <w:rsid w:val="00AC2E64"/>
    <w:rsid w:val="00AC3AFC"/>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22517"/>
    <w:rsid w:val="00B2293D"/>
    <w:rsid w:val="00B2353C"/>
    <w:rsid w:val="00B272BE"/>
    <w:rsid w:val="00B27737"/>
    <w:rsid w:val="00B27A14"/>
    <w:rsid w:val="00B3028D"/>
    <w:rsid w:val="00B32C84"/>
    <w:rsid w:val="00B33E5E"/>
    <w:rsid w:val="00B34D85"/>
    <w:rsid w:val="00B3567F"/>
    <w:rsid w:val="00B3710C"/>
    <w:rsid w:val="00B37FE3"/>
    <w:rsid w:val="00B412ED"/>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0FC0"/>
    <w:rsid w:val="00B64572"/>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977B3"/>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2CFE"/>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5D2"/>
    <w:rsid w:val="00C8091E"/>
    <w:rsid w:val="00C80EE0"/>
    <w:rsid w:val="00C8162B"/>
    <w:rsid w:val="00C816BA"/>
    <w:rsid w:val="00C81CA2"/>
    <w:rsid w:val="00C8291D"/>
    <w:rsid w:val="00C833B1"/>
    <w:rsid w:val="00C84315"/>
    <w:rsid w:val="00C8473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68BB"/>
    <w:rsid w:val="00D0769E"/>
    <w:rsid w:val="00D07E73"/>
    <w:rsid w:val="00D115E6"/>
    <w:rsid w:val="00D13FEF"/>
    <w:rsid w:val="00D151E7"/>
    <w:rsid w:val="00D1730F"/>
    <w:rsid w:val="00D17787"/>
    <w:rsid w:val="00D17B1C"/>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287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295D"/>
    <w:rsid w:val="00DE2B95"/>
    <w:rsid w:val="00DE45E9"/>
    <w:rsid w:val="00DE51F9"/>
    <w:rsid w:val="00DE52FB"/>
    <w:rsid w:val="00DE56BC"/>
    <w:rsid w:val="00DE7F8F"/>
    <w:rsid w:val="00DF03B9"/>
    <w:rsid w:val="00DF0C4B"/>
    <w:rsid w:val="00DF0F34"/>
    <w:rsid w:val="00DF1657"/>
    <w:rsid w:val="00DF36FD"/>
    <w:rsid w:val="00DF3718"/>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6B3F"/>
    <w:rsid w:val="00E2059A"/>
    <w:rsid w:val="00E234C8"/>
    <w:rsid w:val="00E23FD9"/>
    <w:rsid w:val="00E241D9"/>
    <w:rsid w:val="00E24E21"/>
    <w:rsid w:val="00E26111"/>
    <w:rsid w:val="00E27F54"/>
    <w:rsid w:val="00E30277"/>
    <w:rsid w:val="00E308BB"/>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03D1"/>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C29"/>
    <w:rsid w:val="00EF30E2"/>
    <w:rsid w:val="00EF3119"/>
    <w:rsid w:val="00EF3282"/>
    <w:rsid w:val="00EF6C64"/>
    <w:rsid w:val="00F002AB"/>
    <w:rsid w:val="00F00DD1"/>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474"/>
    <w:rsid w:val="00F67967"/>
    <w:rsid w:val="00F67CF6"/>
    <w:rsid w:val="00F72651"/>
    <w:rsid w:val="00F7301E"/>
    <w:rsid w:val="00F8175E"/>
    <w:rsid w:val="00F81B05"/>
    <w:rsid w:val="00F81F15"/>
    <w:rsid w:val="00F82049"/>
    <w:rsid w:val="00F82C9F"/>
    <w:rsid w:val="00F8388A"/>
    <w:rsid w:val="00F84E80"/>
    <w:rsid w:val="00F87537"/>
    <w:rsid w:val="00F90D7D"/>
    <w:rsid w:val="00F947DC"/>
    <w:rsid w:val="00F9781A"/>
    <w:rsid w:val="00FA057C"/>
    <w:rsid w:val="00FA058B"/>
    <w:rsid w:val="00FA086F"/>
    <w:rsid w:val="00FA0D16"/>
    <w:rsid w:val="00FA185B"/>
    <w:rsid w:val="00FA60BF"/>
    <w:rsid w:val="00FA6883"/>
    <w:rsid w:val="00FA7405"/>
    <w:rsid w:val="00FB0D12"/>
    <w:rsid w:val="00FB1CB4"/>
    <w:rsid w:val="00FB23B5"/>
    <w:rsid w:val="00FB39D2"/>
    <w:rsid w:val="00FB3D40"/>
    <w:rsid w:val="00FB44EB"/>
    <w:rsid w:val="00FB675F"/>
    <w:rsid w:val="00FC11A3"/>
    <w:rsid w:val="00FC1300"/>
    <w:rsid w:val="00FC1C93"/>
    <w:rsid w:val="00FC39EF"/>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1ADC"/>
    <w:rsid w:val="00FE225D"/>
    <w:rsid w:val="00FE4989"/>
    <w:rsid w:val="00FE5C3E"/>
    <w:rsid w:val="00FF0A2F"/>
    <w:rsid w:val="00FF1B04"/>
    <w:rsid w:val="00FF22F8"/>
    <w:rsid w:val="01533290"/>
    <w:rsid w:val="01654C82"/>
    <w:rsid w:val="020A6A96"/>
    <w:rsid w:val="0356786B"/>
    <w:rsid w:val="046E31C1"/>
    <w:rsid w:val="056C4F65"/>
    <w:rsid w:val="05B94361"/>
    <w:rsid w:val="06F4696E"/>
    <w:rsid w:val="07245E56"/>
    <w:rsid w:val="09FB7353"/>
    <w:rsid w:val="0B7C330C"/>
    <w:rsid w:val="0C023D8C"/>
    <w:rsid w:val="0C225D7B"/>
    <w:rsid w:val="0C3A18FA"/>
    <w:rsid w:val="0D544AD8"/>
    <w:rsid w:val="0E9022D3"/>
    <w:rsid w:val="0E94232E"/>
    <w:rsid w:val="0EDE05BD"/>
    <w:rsid w:val="0F025487"/>
    <w:rsid w:val="0F1306D5"/>
    <w:rsid w:val="10365F82"/>
    <w:rsid w:val="10AB63B0"/>
    <w:rsid w:val="11295396"/>
    <w:rsid w:val="14740EE4"/>
    <w:rsid w:val="16314AD6"/>
    <w:rsid w:val="163E2FB7"/>
    <w:rsid w:val="17101A9E"/>
    <w:rsid w:val="17622796"/>
    <w:rsid w:val="17925B3D"/>
    <w:rsid w:val="19F32D28"/>
    <w:rsid w:val="1A48157B"/>
    <w:rsid w:val="1AAA799F"/>
    <w:rsid w:val="1B9930ED"/>
    <w:rsid w:val="1BAC7095"/>
    <w:rsid w:val="1BD70953"/>
    <w:rsid w:val="1BF87698"/>
    <w:rsid w:val="1D4C7D7F"/>
    <w:rsid w:val="1E585AB7"/>
    <w:rsid w:val="1EB160C2"/>
    <w:rsid w:val="1FAC1F36"/>
    <w:rsid w:val="1FF145B9"/>
    <w:rsid w:val="2193546F"/>
    <w:rsid w:val="22124D38"/>
    <w:rsid w:val="2436294C"/>
    <w:rsid w:val="2688055C"/>
    <w:rsid w:val="26F50BA9"/>
    <w:rsid w:val="27BD5E26"/>
    <w:rsid w:val="28547A5E"/>
    <w:rsid w:val="285E4249"/>
    <w:rsid w:val="28991572"/>
    <w:rsid w:val="29026D00"/>
    <w:rsid w:val="2AF13C2E"/>
    <w:rsid w:val="2C1C6772"/>
    <w:rsid w:val="2EA421B8"/>
    <w:rsid w:val="2EA644DF"/>
    <w:rsid w:val="2EFA4D05"/>
    <w:rsid w:val="2FB532A0"/>
    <w:rsid w:val="3035346F"/>
    <w:rsid w:val="319C4BEA"/>
    <w:rsid w:val="34663B5D"/>
    <w:rsid w:val="34C829B2"/>
    <w:rsid w:val="35381804"/>
    <w:rsid w:val="36146FAD"/>
    <w:rsid w:val="386A3F56"/>
    <w:rsid w:val="3A810EF7"/>
    <w:rsid w:val="3A842191"/>
    <w:rsid w:val="3ACF0F3F"/>
    <w:rsid w:val="3B39051F"/>
    <w:rsid w:val="3B7626CB"/>
    <w:rsid w:val="3C3802E9"/>
    <w:rsid w:val="3E586AB8"/>
    <w:rsid w:val="3E5C1B1D"/>
    <w:rsid w:val="3EAE14E9"/>
    <w:rsid w:val="3FD261A6"/>
    <w:rsid w:val="41F15766"/>
    <w:rsid w:val="42EB2F9C"/>
    <w:rsid w:val="42F736A3"/>
    <w:rsid w:val="439D563D"/>
    <w:rsid w:val="443C724B"/>
    <w:rsid w:val="45226963"/>
    <w:rsid w:val="45AC45B6"/>
    <w:rsid w:val="46640412"/>
    <w:rsid w:val="479A6CA5"/>
    <w:rsid w:val="4AD06887"/>
    <w:rsid w:val="4C354C02"/>
    <w:rsid w:val="4D39606F"/>
    <w:rsid w:val="4EB642FA"/>
    <w:rsid w:val="4F8E3D4D"/>
    <w:rsid w:val="5171747E"/>
    <w:rsid w:val="53063B85"/>
    <w:rsid w:val="533C1961"/>
    <w:rsid w:val="53B3493A"/>
    <w:rsid w:val="53EE2EEC"/>
    <w:rsid w:val="5537323C"/>
    <w:rsid w:val="55855837"/>
    <w:rsid w:val="55E83741"/>
    <w:rsid w:val="56503211"/>
    <w:rsid w:val="580710CE"/>
    <w:rsid w:val="598B567E"/>
    <w:rsid w:val="5BA35A94"/>
    <w:rsid w:val="5C624734"/>
    <w:rsid w:val="5EF47804"/>
    <w:rsid w:val="5FE91ABC"/>
    <w:rsid w:val="628E734C"/>
    <w:rsid w:val="62BD3A82"/>
    <w:rsid w:val="6580603B"/>
    <w:rsid w:val="65872B2C"/>
    <w:rsid w:val="66A34D18"/>
    <w:rsid w:val="682A44E1"/>
    <w:rsid w:val="68C7223A"/>
    <w:rsid w:val="68EF6886"/>
    <w:rsid w:val="69A35D30"/>
    <w:rsid w:val="6A8739CF"/>
    <w:rsid w:val="6C2B2E22"/>
    <w:rsid w:val="6E5437AF"/>
    <w:rsid w:val="6EAA7DFD"/>
    <w:rsid w:val="6F315DAE"/>
    <w:rsid w:val="6FDD1093"/>
    <w:rsid w:val="709C0126"/>
    <w:rsid w:val="73D736B7"/>
    <w:rsid w:val="73FF18A4"/>
    <w:rsid w:val="74525B0A"/>
    <w:rsid w:val="76022652"/>
    <w:rsid w:val="768501BE"/>
    <w:rsid w:val="76C8601E"/>
    <w:rsid w:val="770C74D3"/>
    <w:rsid w:val="77150144"/>
    <w:rsid w:val="7AC82DE4"/>
    <w:rsid w:val="7BEA1CFE"/>
    <w:rsid w:val="7D803772"/>
    <w:rsid w:val="7D80556D"/>
    <w:rsid w:val="7D837716"/>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86F3EB-DB57-4B60-8A7E-BBB67A22EE0B}">
  <ds:schemaRefs/>
</ds:datastoreItem>
</file>

<file path=customXml/itemProps11.xml><?xml version="1.0" encoding="utf-8"?>
<ds:datastoreItem xmlns:ds="http://schemas.openxmlformats.org/officeDocument/2006/customXml" ds:itemID="{4EA99EC7-8664-4F92-B310-E18C7B4EEA16}">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1A3BDF38-4832-4575-A8AB-7A1679738229}">
  <ds:schemaRefs/>
</ds:datastoreItem>
</file>

<file path=customXml/itemProps15.xml><?xml version="1.0" encoding="utf-8"?>
<ds:datastoreItem xmlns:ds="http://schemas.openxmlformats.org/officeDocument/2006/customXml" ds:itemID="{2108FF18-8EC8-4170-A536-1AA8E39CC797}">
  <ds:schemaRefs/>
</ds:datastoreItem>
</file>

<file path=customXml/itemProps16.xml><?xml version="1.0" encoding="utf-8"?>
<ds:datastoreItem xmlns:ds="http://schemas.openxmlformats.org/officeDocument/2006/customXml" ds:itemID="{EC45DDBE-A426-47CA-BC62-D025DE29F1BC}">
  <ds:schemaRefs/>
</ds:datastoreItem>
</file>

<file path=customXml/itemProps17.xml><?xml version="1.0" encoding="utf-8"?>
<ds:datastoreItem xmlns:ds="http://schemas.openxmlformats.org/officeDocument/2006/customXml" ds:itemID="{BEEE0313-55EB-45FA-BBBD-C0232D367255}">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9114D43D-ED98-4C7B-A3AE-26D78B80CA82}">
  <ds:schemaRefs/>
</ds:datastoreItem>
</file>

<file path=customXml/itemProps7.xml><?xml version="1.0" encoding="utf-8"?>
<ds:datastoreItem xmlns:ds="http://schemas.openxmlformats.org/officeDocument/2006/customXml" ds:itemID="{E6D3D55C-3DD8-4C31-8069-E5508DD844FB}">
  <ds:schemaRefs/>
</ds:datastoreItem>
</file>

<file path=customXml/itemProps8.xml><?xml version="1.0" encoding="utf-8"?>
<ds:datastoreItem xmlns:ds="http://schemas.openxmlformats.org/officeDocument/2006/customXml" ds:itemID="{CF487381-D648-48A1-B1E4-A4540B0D3650}">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4208</Words>
  <Characters>23986</Characters>
  <Lines>199</Lines>
  <Paragraphs>56</Paragraphs>
  <TotalTime>2</TotalTime>
  <ScaleCrop>false</ScaleCrop>
  <LinksUpToDate>false</LinksUpToDate>
  <CharactersWithSpaces>28138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2022-01-18T08:37:00Z</cp:lastPrinted>
  <dcterms:modified xsi:type="dcterms:W3CDTF">2025-06-13T06:04:12Z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