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【稳添利日盈日开固收类】</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【稳添利日盈日开固收类】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【稳添利日盈日开固收类】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【稳添利日盈日开固收类】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【稳添利日盈日开固收类】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【稳添利日盈日开固收类】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【稳添利日盈日开固收类】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2301"/>
      <w:bookmarkStart w:id="1" w:name="_Toc123112224"/>
      <w:bookmarkStart w:id="2" w:name="_Toc123112263"/>
      <w:bookmarkStart w:id="3" w:name="_Toc139991726"/>
      <w:bookmarkStart w:id="4" w:name="_Toc12370138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1727"/>
      <w:bookmarkStart w:id="6" w:name="_Toc123112264"/>
      <w:bookmarkStart w:id="7" w:name="_Toc139992302"/>
      <w:bookmarkStart w:id="8" w:name="_Toc123701384"/>
      <w:bookmarkStart w:id="9" w:name="_Toc123112225"/>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06</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理财产品过往业绩不代表其未来表现，不等于理财产品实际收益，投资须谨慎。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701386"/>
      <w:bookmarkStart w:id="11" w:name="_Toc139991729"/>
      <w:bookmarkStart w:id="12" w:name="_Toc123112227"/>
      <w:bookmarkStart w:id="13" w:name="_Toc12311226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sz w:val="18"/>
                <w:szCs w:val="18"/>
              </w:rPr>
            </w:pPr>
            <w:permStart w:id="9" w:edGrp="everyone" w:colFirst="3" w:colLast="3"/>
            <w:r>
              <w:rPr>
                <w:rFonts w:hint="eastAsia" w:ascii="宋体" w:hAnsi="宋体"/>
                <w:sz w:val="18"/>
                <w:szCs w:val="18"/>
              </w:rPr>
              <w:t>投资者信息</w:t>
            </w:r>
          </w:p>
        </w:tc>
        <w:tc>
          <w:tcPr>
            <w:tcW w:w="708" w:type="dxa"/>
            <w:vMerge w:val="restart"/>
            <w:shd w:val="solid" w:color="FFFFFF" w:fill="FFFFFF"/>
            <w:vAlign w:val="center"/>
          </w:tcPr>
          <w:p>
            <w:pPr>
              <w:spacing w:line="360" w:lineRule="auto"/>
              <w:jc w:val="left"/>
              <w:rPr>
                <w:rFonts w:ascii="宋体" w:hAnsi="宋体"/>
                <w:sz w:val="18"/>
                <w:szCs w:val="18"/>
              </w:rPr>
            </w:pPr>
            <w:r>
              <w:rPr>
                <w:rFonts w:hint="eastAsia" w:ascii="宋体" w:hAnsi="宋体"/>
                <w:sz w:val="18"/>
                <w:szCs w:val="18"/>
              </w:rPr>
              <w:t>个人投资者适用</w:t>
            </w:r>
          </w:p>
        </w:tc>
        <w:tc>
          <w:tcPr>
            <w:tcW w:w="982"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姓名</w:t>
            </w:r>
          </w:p>
        </w:tc>
        <w:tc>
          <w:tcPr>
            <w:tcW w:w="6389" w:type="dxa"/>
            <w:gridSpan w:val="3"/>
            <w:shd w:val="solid" w:color="FFFFFF" w:fill="FFFFFF"/>
            <w:vAlign w:val="center"/>
          </w:tcPr>
          <w:p>
            <w:pPr>
              <w:spacing w:line="360" w:lineRule="auto"/>
              <w:jc w:val="left"/>
              <w:rPr>
                <w:rFonts w:ascii="宋体" w:hAnsi="宋体"/>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sz w:val="18"/>
                <w:szCs w:val="18"/>
              </w:rPr>
            </w:pPr>
          </w:p>
        </w:tc>
        <w:tc>
          <w:tcPr>
            <w:tcW w:w="982"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证件类型</w:t>
            </w:r>
          </w:p>
        </w:tc>
        <w:tc>
          <w:tcPr>
            <w:tcW w:w="1854" w:type="dxa"/>
            <w:shd w:val="solid" w:color="FFFFFF" w:fill="FFFFFF"/>
            <w:vAlign w:val="center"/>
          </w:tcPr>
          <w:p>
            <w:pPr>
              <w:spacing w:line="360" w:lineRule="auto"/>
              <w:jc w:val="left"/>
              <w:rPr>
                <w:rFonts w:ascii="宋体" w:hAnsi="宋体"/>
                <w:sz w:val="18"/>
                <w:szCs w:val="18"/>
              </w:rPr>
            </w:pPr>
          </w:p>
        </w:tc>
        <w:tc>
          <w:tcPr>
            <w:tcW w:w="1417"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证件号码</w:t>
            </w:r>
          </w:p>
        </w:tc>
        <w:tc>
          <w:tcPr>
            <w:tcW w:w="3118" w:type="dxa"/>
            <w:shd w:val="solid" w:color="FFFFFF" w:fill="FFFFFF"/>
            <w:vAlign w:val="center"/>
          </w:tcPr>
          <w:p>
            <w:pPr>
              <w:spacing w:line="360" w:lineRule="auto"/>
              <w:jc w:val="left"/>
              <w:rPr>
                <w:rFonts w:ascii="宋体" w:hAnsi="宋体"/>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sz w:val="18"/>
                <w:szCs w:val="18"/>
              </w:rPr>
            </w:pPr>
          </w:p>
        </w:tc>
        <w:tc>
          <w:tcPr>
            <w:tcW w:w="982"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联系电话</w:t>
            </w:r>
          </w:p>
        </w:tc>
        <w:tc>
          <w:tcPr>
            <w:tcW w:w="1854" w:type="dxa"/>
            <w:shd w:val="solid" w:color="FFFFFF" w:fill="FFFFFF"/>
            <w:vAlign w:val="center"/>
          </w:tcPr>
          <w:p>
            <w:pPr>
              <w:spacing w:line="360" w:lineRule="auto"/>
              <w:jc w:val="left"/>
              <w:rPr>
                <w:rFonts w:ascii="宋体" w:hAnsi="宋体"/>
                <w:sz w:val="18"/>
                <w:szCs w:val="18"/>
              </w:rPr>
            </w:pPr>
          </w:p>
        </w:tc>
        <w:tc>
          <w:tcPr>
            <w:tcW w:w="1417"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电子邮箱</w:t>
            </w:r>
          </w:p>
        </w:tc>
        <w:tc>
          <w:tcPr>
            <w:tcW w:w="3118" w:type="dxa"/>
            <w:shd w:val="solid" w:color="FFFFFF" w:fill="FFFFFF"/>
            <w:vAlign w:val="center"/>
          </w:tcPr>
          <w:p>
            <w:pPr>
              <w:spacing w:line="360" w:lineRule="auto"/>
              <w:jc w:val="left"/>
              <w:rPr>
                <w:rFonts w:ascii="宋体" w:hAnsi="宋体"/>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sz w:val="18"/>
                <w:szCs w:val="18"/>
              </w:rPr>
            </w:pPr>
          </w:p>
        </w:tc>
        <w:tc>
          <w:tcPr>
            <w:tcW w:w="982"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联系地址</w:t>
            </w:r>
          </w:p>
        </w:tc>
        <w:tc>
          <w:tcPr>
            <w:tcW w:w="6389" w:type="dxa"/>
            <w:gridSpan w:val="3"/>
            <w:shd w:val="solid" w:color="FFFFFF" w:fill="FFFFFF"/>
            <w:vAlign w:val="center"/>
          </w:tcPr>
          <w:p>
            <w:pPr>
              <w:spacing w:line="360" w:lineRule="auto"/>
              <w:jc w:val="left"/>
              <w:rPr>
                <w:rFonts w:ascii="宋体" w:hAnsi="宋体"/>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sz w:val="18"/>
                <w:szCs w:val="18"/>
              </w:rPr>
              <w:t>机构</w:t>
            </w:r>
            <w:r>
              <w:rPr>
                <w:rFonts w:ascii="宋体" w:hAnsi="宋体"/>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sz w:val="18"/>
                <w:szCs w:val="18"/>
              </w:rPr>
            </w:pPr>
            <w:r>
              <w:rPr>
                <w:rFonts w:hint="eastAsia" w:ascii="宋体" w:hAnsi="宋体"/>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sz w:val="18"/>
                <w:szCs w:val="18"/>
              </w:rPr>
            </w:pPr>
            <w:r>
              <w:rPr>
                <w:rFonts w:hint="eastAsia" w:hAnsi="宋体"/>
                <w:sz w:val="18"/>
                <w:szCs w:val="18"/>
              </w:rPr>
              <w:t>★</w:t>
            </w:r>
            <w:r>
              <w:rPr>
                <w:rFonts w:hint="eastAsia" w:ascii="宋体" w:hAnsi="宋体"/>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【兴银理财稳添利日盈增利109号日开固收类理财产品】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sz w:val="18"/>
                <w:szCs w:val="18"/>
              </w:rPr>
            </w:pPr>
            <w:r>
              <w:rPr>
                <w:rFonts w:hint="eastAsia" w:hAnsi="宋体"/>
                <w:sz w:val="18"/>
                <w:szCs w:val="18"/>
              </w:rPr>
              <w:t>★</w:t>
            </w:r>
            <w:r>
              <w:rPr>
                <w:rFonts w:hint="eastAsia" w:ascii="宋体" w:hAnsi="宋体"/>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【兴银稳添利日盈增利109号</w:t>
            </w:r>
            <w:r>
              <w:rPr>
                <w:rFonts w:hint="eastAsia" w:ascii="宋体" w:hAnsi="宋体"/>
                <w:bCs/>
                <w:sz w:val="18"/>
                <w:szCs w:val="18"/>
                <w:lang w:val="en-US" w:eastAsia="zh-CN"/>
              </w:rPr>
              <w:t>B</w:t>
            </w:r>
            <w:r>
              <w:rPr>
                <w:rFonts w:hint="eastAsia" w:ascii="宋体" w:hAnsi="宋体"/>
                <w:bCs/>
                <w:sz w:val="18"/>
                <w:szCs w:val="18"/>
              </w:rPr>
              <w:t>（兴普惠）】（适用【</w:t>
            </w:r>
            <w:r>
              <w:rPr>
                <w:rFonts w:hint="eastAsia" w:ascii="宋体" w:hAnsi="宋体"/>
                <w:bCs/>
                <w:sz w:val="18"/>
                <w:szCs w:val="18"/>
                <w:lang w:val="en-US" w:eastAsia="zh-CN"/>
              </w:rPr>
              <w:t>B</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sz w:val="18"/>
                <w:szCs w:val="18"/>
              </w:rPr>
            </w:pPr>
            <w:r>
              <w:rPr>
                <w:rFonts w:hint="eastAsia" w:hAnsi="宋体"/>
                <w:sz w:val="18"/>
                <w:szCs w:val="18"/>
              </w:rPr>
              <w:t>★</w:t>
            </w:r>
            <w:r>
              <w:rPr>
                <w:rFonts w:hint="eastAsia" w:ascii="宋体" w:hAnsi="宋体"/>
                <w:sz w:val="18"/>
                <w:szCs w:val="18"/>
              </w:rPr>
              <w:t>产品登记编码</w:t>
            </w:r>
          </w:p>
        </w:tc>
        <w:tc>
          <w:tcPr>
            <w:tcW w:w="6389" w:type="dxa"/>
            <w:gridSpan w:val="3"/>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【Z7002025000963】注：投资者可依据理财产品登记编码在中国理财网查询产品信息</w:t>
            </w:r>
            <w:r>
              <w:rPr>
                <w:rFonts w:hint="eastAsia" w:ascii="宋体" w:hAnsi="宋体"/>
                <w:bCs/>
                <w:sz w:val="18"/>
                <w:szCs w:val="18"/>
              </w:rPr>
              <w:fldChar w:fldCharType="begin"/>
            </w:r>
            <w:r>
              <w:rPr>
                <w:rFonts w:hint="eastAsia" w:ascii="宋体" w:hAnsi="宋体"/>
                <w:bCs/>
                <w:sz w:val="18"/>
                <w:szCs w:val="18"/>
              </w:rPr>
              <w:instrText xml:space="preserve"> HYPERLINK "http://www.chinawealth.com.cn" </w:instrText>
            </w:r>
            <w:r>
              <w:rPr>
                <w:rFonts w:hint="eastAsia" w:ascii="宋体" w:hAnsi="宋体"/>
                <w:bCs/>
                <w:sz w:val="18"/>
                <w:szCs w:val="18"/>
              </w:rPr>
              <w:fldChar w:fldCharType="separate"/>
            </w:r>
            <w:r>
              <w:rPr>
                <w:rFonts w:hint="eastAsia" w:ascii="宋体" w:hAnsi="宋体"/>
                <w:bCs/>
                <w:sz w:val="18"/>
                <w:szCs w:val="18"/>
              </w:rPr>
              <w:t>www.chinawealth.com.cn</w:t>
            </w:r>
            <w:r>
              <w:rPr>
                <w:rFonts w:hint="eastAsia"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sz w:val="18"/>
                <w:szCs w:val="18"/>
              </w:rPr>
            </w:pPr>
            <w:r>
              <w:rPr>
                <w:rFonts w:hint="eastAsia" w:hAnsi="宋体"/>
                <w:sz w:val="18"/>
                <w:szCs w:val="18"/>
              </w:rPr>
              <w:t>★</w:t>
            </w:r>
            <w:r>
              <w:rPr>
                <w:rFonts w:hint="eastAsia" w:ascii="宋体" w:hAnsi="宋体"/>
                <w:sz w:val="18"/>
                <w:szCs w:val="18"/>
              </w:rPr>
              <w:t>产品</w:t>
            </w:r>
            <w:r>
              <w:rPr>
                <w:rFonts w:ascii="宋体" w:hAnsi="宋体"/>
                <w:sz w:val="18"/>
                <w:szCs w:val="18"/>
              </w:rPr>
              <w:t>代码</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w:t>
            </w:r>
            <w:r>
              <w:rPr>
                <w:rFonts w:hint="eastAsia" w:ascii="宋体" w:hAnsi="宋体"/>
                <w:bCs/>
                <w:sz w:val="18"/>
                <w:szCs w:val="18"/>
                <w:lang w:eastAsia="zh-CN"/>
              </w:rPr>
              <w:t>9K92209</w:t>
            </w:r>
            <w:r>
              <w:rPr>
                <w:rFonts w:hint="eastAsia" w:ascii="宋体" w:hAnsi="宋体"/>
                <w:bCs/>
                <w:sz w:val="18"/>
                <w:szCs w:val="18"/>
              </w:rPr>
              <w:t>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sz w:val="18"/>
                <w:szCs w:val="18"/>
              </w:rPr>
              <w:t>销售</w:t>
            </w:r>
            <w:r>
              <w:rPr>
                <w:rFonts w:ascii="宋体" w:hAnsi="宋体"/>
                <w:sz w:val="18"/>
                <w:szCs w:val="18"/>
              </w:rPr>
              <w:t>代码</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w:t>
            </w:r>
            <w:r>
              <w:rPr>
                <w:rFonts w:hint="eastAsia" w:ascii="宋体" w:hAnsi="宋体"/>
                <w:bCs/>
                <w:sz w:val="18"/>
                <w:szCs w:val="18"/>
                <w:lang w:eastAsia="zh-CN"/>
              </w:rPr>
              <w:t>9K92209</w:t>
            </w:r>
            <w:r>
              <w:rPr>
                <w:rFonts w:hint="eastAsia" w:ascii="宋体" w:hAnsi="宋体"/>
                <w:bCs/>
                <w:sz w:val="18"/>
                <w:szCs w:val="18"/>
                <w:lang w:val="en-US" w:eastAsia="zh-CN"/>
              </w:rPr>
              <w:t>B</w:t>
            </w:r>
            <w:bookmarkStart w:id="66" w:name="_GoBack"/>
            <w:bookmarkEnd w:id="66"/>
            <w:r>
              <w:rPr>
                <w:rFonts w:hint="eastAsia" w:ascii="宋体" w:hAnsi="宋体"/>
                <w:bCs/>
                <w:sz w:val="18"/>
                <w:szCs w:val="18"/>
              </w:rPr>
              <w:t>】（适用【</w:t>
            </w:r>
            <w:r>
              <w:rPr>
                <w:rFonts w:hint="eastAsia" w:ascii="宋体" w:hAnsi="宋体"/>
                <w:bCs/>
                <w:sz w:val="18"/>
                <w:szCs w:val="18"/>
                <w:lang w:val="en-US" w:eastAsia="zh-CN"/>
              </w:rPr>
              <w:t>B</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t>第</w:t>
          </w:r>
          <w:r>
            <w:rPr>
              <w:rFonts w:hint="eastAsia"/>
            </w:rPr>
            <w:t xml:space="preserve">二条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 xml:space="preserve">第六条 </w:t>
          </w:r>
          <w:r>
            <w:t xml:space="preserve"> 协议的签署和</w:t>
          </w:r>
          <w:r>
            <w:rPr>
              <w:rFonts w:hint="eastAsia"/>
            </w:rPr>
            <w:t>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 xml:space="preserve">第七条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4867"/>
      <w:bookmarkStart w:id="15" w:name="_Toc30935"/>
      <w:bookmarkStart w:id="16" w:name="_Toc15517"/>
      <w:bookmarkStart w:id="17" w:name="_Toc26897"/>
      <w:bookmarkStart w:id="18" w:name="_Toc8727"/>
      <w:bookmarkStart w:id="19" w:name="_Toc29629"/>
      <w:bookmarkStart w:id="20" w:name="_Toc123112268"/>
      <w:bookmarkStart w:id="21" w:name="_Toc123701389"/>
      <w:bookmarkStart w:id="22" w:name="_Toc4966"/>
      <w:bookmarkStart w:id="23" w:name="_Toc23386"/>
      <w:bookmarkStart w:id="24" w:name="_Toc32639"/>
      <w:bookmarkStart w:id="25" w:name="_Toc123112229"/>
      <w:bookmarkStart w:id="26" w:name="_Toc139991730"/>
      <w:bookmarkStart w:id="27" w:name="_Toc6306"/>
      <w:bookmarkStart w:id="28" w:name="_Toc141703880"/>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15067"/>
      <w:bookmarkStart w:id="33" w:name="_Toc258829399"/>
      <w:bookmarkStart w:id="34" w:name="_Toc3224"/>
      <w:bookmarkStart w:id="35" w:name="_Toc22864"/>
      <w:bookmarkStart w:id="36" w:name="_Toc19592"/>
      <w:bookmarkStart w:id="37" w:name="_Toc21301"/>
      <w:bookmarkStart w:id="38" w:name="_Toc6617"/>
      <w:bookmarkStart w:id="39" w:name="_Toc13020"/>
      <w:bookmarkStart w:id="40" w:name="_Toc24860"/>
      <w:bookmarkStart w:id="41" w:name="_Toc819"/>
      <w:bookmarkStart w:id="42" w:name="_Toc2465"/>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号）、《商业银行理财业务监督管理办法》（银保监会令2018年第</w:t>
      </w:r>
      <w:r>
        <w:rPr>
          <w:rFonts w:ascii="宋体" w:hAnsi="宋体"/>
          <w:sz w:val="18"/>
          <w:szCs w:val="18"/>
        </w:rPr>
        <w:t>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cs="黑体"/>
          <w:bCs/>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w:t>
      </w:r>
      <w:r>
        <w:rPr>
          <w:rFonts w:hint="eastAsia" w:ascii="黑体" w:hAnsi="黑体" w:eastAsia="黑体" w:cs="黑体"/>
          <w:bCs/>
          <w:kern w:val="0"/>
          <w:sz w:val="18"/>
          <w:szCs w:val="18"/>
        </w:rPr>
        <w:t>上述理财资金投资本产品，</w:t>
      </w:r>
      <w:r>
        <w:rPr>
          <w:rFonts w:hint="eastAsia" w:ascii="黑体" w:hAnsi="黑体" w:eastAsia="黑体" w:cs="黑体"/>
          <w:bCs/>
          <w:sz w:val="18"/>
          <w:szCs w:val="18"/>
        </w:rPr>
        <w:t>投资者承诺由此产生的相关风险由投资者承担</w:t>
      </w:r>
      <w:r>
        <w:rPr>
          <w:rFonts w:ascii="黑体" w:hAnsi="黑体" w:eastAsia="黑体" w:cs="黑体"/>
          <w:bCs/>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cs="黑体"/>
          <w:sz w:val="18"/>
          <w:szCs w:val="18"/>
        </w:rPr>
        <w:t>如因投资者未及时办理变更手续而造成产品管理人及</w:t>
      </w:r>
      <w:r>
        <w:rPr>
          <w:rFonts w:ascii="黑体" w:hAnsi="黑体" w:eastAsia="黑体" w:cs="黑体"/>
          <w:sz w:val="18"/>
          <w:szCs w:val="18"/>
        </w:rPr>
        <w:t>/或</w:t>
      </w:r>
      <w:r>
        <w:rPr>
          <w:rFonts w:hint="eastAsia" w:ascii="黑体" w:hAnsi="黑体" w:eastAsia="黑体" w:cs="黑体"/>
          <w:sz w:val="18"/>
          <w:szCs w:val="18"/>
        </w:rPr>
        <w:t>销售机构无法向投资者进行正常利益分配和资金清算分配</w:t>
      </w:r>
      <w:r>
        <w:rPr>
          <w:rFonts w:ascii="黑体" w:hAnsi="黑体" w:eastAsia="黑体" w:cs="黑体"/>
          <w:sz w:val="18"/>
          <w:szCs w:val="18"/>
        </w:rPr>
        <w:t>,</w:t>
      </w:r>
      <w:r>
        <w:rPr>
          <w:rFonts w:hint="eastAsia" w:ascii="黑体" w:hAnsi="黑体" w:eastAsia="黑体" w:cs="黑体"/>
          <w:sz w:val="18"/>
          <w:szCs w:val="18"/>
        </w:rPr>
        <w:t>由此导致投资者损失的由投资者自行承担</w:t>
      </w:r>
      <w:r>
        <w:rPr>
          <w:rFonts w:ascii="黑体" w:hAnsi="黑体" w:eastAsia="黑体" w:cs="黑体"/>
          <w:sz w:val="18"/>
          <w:szCs w:val="18"/>
        </w:rPr>
        <w:t xml:space="preserve">, </w:t>
      </w:r>
      <w:r>
        <w:rPr>
          <w:rFonts w:hint="eastAsia" w:ascii="黑体" w:hAnsi="黑体" w:eastAsia="黑体" w:cs="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74065740"/>
      <w:bookmarkStart w:id="48" w:name="_Toc22708"/>
      <w:bookmarkStart w:id="49" w:name="_Toc18631"/>
      <w:bookmarkStart w:id="50" w:name="_Toc13288"/>
      <w:bookmarkStart w:id="51" w:name="_Toc20318"/>
      <w:bookmarkStart w:id="52" w:name="_Toc733"/>
      <w:bookmarkStart w:id="53" w:name="_Toc20627"/>
      <w:bookmarkStart w:id="54" w:name="_Toc545"/>
      <w:bookmarkStart w:id="55" w:name="_Toc6149"/>
      <w:bookmarkStart w:id="56" w:name="_Toc24571"/>
      <w:bookmarkStart w:id="57" w:name="_Toc6683"/>
      <w:bookmarkStart w:id="58" w:name="_Toc258829400"/>
      <w:bookmarkStart w:id="59" w:name="_Toc233456272"/>
      <w:r>
        <w:rPr>
          <w:rFonts w:hint="eastAsia" w:ascii="Times New Roman"/>
          <w:color w:val="auto"/>
          <w:sz w:val="30"/>
        </w:rPr>
        <w:t>第三条</w:t>
      </w:r>
      <w:r>
        <w:rPr>
          <w:rFonts w:ascii="Times New Roman"/>
          <w:color w:val="auto"/>
          <w:sz w:val="30"/>
        </w:rPr>
        <w:t xml:space="preserve">  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3"/>
      <w:bookmarkEnd w:id="6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Cs/>
                <w:sz w:val="18"/>
                <w:szCs w:val="18"/>
              </w:rPr>
            </w:pPr>
            <w:permStart w:id="26" w:edGrp="everyone"/>
            <w:r>
              <w:rPr>
                <w:rFonts w:hint="eastAsia" w:ascii="宋体" w:hAnsi="宋体" w:cs="宋体"/>
                <w:bCs/>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Cs/>
                <w:sz w:val="18"/>
                <w:szCs w:val="18"/>
              </w:rPr>
            </w:pPr>
            <w:permStart w:id="27" w:edGrp="everyone"/>
            <w:r>
              <w:rPr>
                <w:rFonts w:hint="eastAsia" w:ascii="宋体" w:hAnsi="宋体" w:cs="宋体"/>
                <w:bCs/>
                <w:sz w:val="18"/>
                <w:szCs w:val="18"/>
              </w:rPr>
              <w:t>【】类</w:t>
            </w:r>
            <w:r>
              <w:rPr>
                <w:rFonts w:ascii="宋体" w:hAnsi="宋体" w:cs="宋体"/>
                <w:bCs/>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Cs/>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rPr>
                <w:rFonts w:ascii="宋体" w:hAnsi="宋体"/>
                <w:bCs/>
                <w:sz w:val="18"/>
                <w:szCs w:val="18"/>
              </w:rPr>
            </w:pPr>
            <w:r>
              <w:rPr>
                <w:rFonts w:ascii="宋体" w:hAnsi="宋体"/>
                <w:bCs/>
                <w:sz w:val="18"/>
                <w:szCs w:val="18"/>
              </w:rPr>
              <w:t>份额：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份。</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Cs/>
                <w:sz w:val="18"/>
                <w:szCs w:val="18"/>
              </w:rPr>
            </w:pPr>
            <w:permStart w:id="31" w:edGrp="everyone"/>
            <w:r>
              <w:rPr>
                <w:rFonts w:hint="eastAsia" w:asciiTheme="minorEastAsia" w:hAnsiTheme="minorEastAsia"/>
                <w:bCs/>
                <w:sz w:val="18"/>
                <w:szCs w:val="18"/>
              </w:rPr>
              <w:t>【</w:t>
            </w:r>
            <w:r>
              <w:rPr>
                <w:rFonts w:asciiTheme="minorEastAsia" w:hAnsiTheme="minorEastAsia"/>
                <w:bCs/>
                <w:sz w:val="18"/>
                <w:szCs w:val="18"/>
              </w:rPr>
              <w:t xml:space="preserve"> 】年</w:t>
            </w:r>
            <w:r>
              <w:rPr>
                <w:rFonts w:hint="eastAsia" w:asciiTheme="minorEastAsia" w:hAnsiTheme="minorEastAsia"/>
                <w:bCs/>
                <w:sz w:val="18"/>
                <w:szCs w:val="18"/>
              </w:rPr>
              <w:t>【</w:t>
            </w:r>
            <w:r>
              <w:rPr>
                <w:rFonts w:asciiTheme="minorEastAsia" w:hAnsiTheme="minorEastAsia"/>
                <w:bCs/>
                <w:sz w:val="18"/>
                <w:szCs w:val="18"/>
              </w:rPr>
              <w:t xml:space="preserve"> </w:t>
            </w:r>
            <w:r>
              <w:rPr>
                <w:rFonts w:hint="eastAsia" w:asciiTheme="minorEastAsia" w:hAnsiTheme="minorEastAsia"/>
                <w:bCs/>
                <w:sz w:val="18"/>
                <w:szCs w:val="18"/>
              </w:rPr>
              <w:t>】月【</w:t>
            </w:r>
            <w:r>
              <w:rPr>
                <w:rFonts w:asciiTheme="minorEastAsia" w:hAnsiTheme="minorEastAsia"/>
                <w:bCs/>
                <w:sz w:val="18"/>
                <w:szCs w:val="18"/>
              </w:rPr>
              <w:t xml:space="preserve"> </w:t>
            </w:r>
            <w:r>
              <w:rPr>
                <w:rFonts w:hint="eastAsia" w:asciiTheme="minorEastAsia" w:hAnsiTheme="minorEastAsia"/>
                <w:bCs/>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ascii="黑体" w:hAnsi="黑体" w:eastAsia="黑体"/>
                <w:sz w:val="18"/>
                <w:szCs w:val="18"/>
              </w:rPr>
              <w:t>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Cs/>
                <w:sz w:val="18"/>
                <w:szCs w:val="18"/>
              </w:rPr>
            </w:pPr>
            <w:r>
              <w:rPr>
                <w:rFonts w:hint="eastAsia"/>
                <w:bCs/>
                <w:sz w:val="18"/>
                <w:szCs w:val="18"/>
              </w:rPr>
              <w:t>个人投资者适用</w:t>
            </w:r>
          </w:p>
        </w:tc>
        <w:tc>
          <w:tcPr>
            <w:tcW w:w="6998" w:type="dxa"/>
            <w:gridSpan w:val="2"/>
          </w:tcPr>
          <w:p>
            <w:pPr>
              <w:spacing w:line="360" w:lineRule="auto"/>
              <w:rPr>
                <w:bCs/>
                <w:sz w:val="18"/>
                <w:szCs w:val="18"/>
              </w:rPr>
            </w:pPr>
            <w:r>
              <w:rPr>
                <w:rFonts w:hint="eastAsia"/>
                <w:bCs/>
                <w:sz w:val="18"/>
                <w:szCs w:val="18"/>
              </w:rPr>
              <w:t>投资者（签名/线上确认）：</w:t>
            </w:r>
          </w:p>
          <w:p>
            <w:pPr>
              <w:spacing w:line="360" w:lineRule="auto"/>
              <w:rPr>
                <w:bCs/>
                <w:sz w:val="18"/>
                <w:szCs w:val="18"/>
              </w:rPr>
            </w:pPr>
          </w:p>
          <w:p>
            <w:pPr>
              <w:spacing w:line="360" w:lineRule="auto"/>
              <w:rPr>
                <w:bCs/>
                <w:sz w:val="18"/>
                <w:szCs w:val="18"/>
              </w:rPr>
            </w:pPr>
            <w:r>
              <w:rPr>
                <w:rFonts w:hint="eastAsia"/>
                <w:bCs/>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bCs/>
                <w:sz w:val="18"/>
                <w:szCs w:val="18"/>
              </w:rPr>
            </w:pPr>
            <w:r>
              <w:rPr>
                <w:rFonts w:hint="eastAsia"/>
                <w:bCs/>
                <w:sz w:val="18"/>
                <w:szCs w:val="18"/>
              </w:rPr>
              <w:t>机构投资者适用</w:t>
            </w:r>
          </w:p>
        </w:tc>
        <w:tc>
          <w:tcPr>
            <w:tcW w:w="6998" w:type="dxa"/>
            <w:gridSpan w:val="2"/>
          </w:tcPr>
          <w:p>
            <w:pPr>
              <w:spacing w:line="360" w:lineRule="auto"/>
              <w:rPr>
                <w:rFonts w:cs="Arial"/>
                <w:bCs/>
                <w:sz w:val="18"/>
                <w:szCs w:val="18"/>
              </w:rPr>
            </w:pPr>
            <w:r>
              <w:rPr>
                <w:rFonts w:hint="eastAsia"/>
                <w:bCs/>
                <w:sz w:val="18"/>
                <w:szCs w:val="18"/>
              </w:rPr>
              <w:t>投资者</w:t>
            </w:r>
            <w:r>
              <w:rPr>
                <w:rFonts w:hint="eastAsia" w:cs="Arial"/>
                <w:bCs/>
                <w:sz w:val="18"/>
                <w:szCs w:val="18"/>
              </w:rPr>
              <w:t>（盖章/线上确认）：</w:t>
            </w:r>
          </w:p>
          <w:p>
            <w:pPr>
              <w:spacing w:line="360" w:lineRule="auto"/>
              <w:rPr>
                <w:rFonts w:cs="Arial"/>
                <w:bCs/>
                <w:sz w:val="18"/>
                <w:szCs w:val="18"/>
              </w:rPr>
            </w:pPr>
          </w:p>
          <w:p>
            <w:pPr>
              <w:spacing w:line="360" w:lineRule="auto"/>
              <w:rPr>
                <w:bCs/>
                <w:sz w:val="18"/>
                <w:szCs w:val="18"/>
              </w:rPr>
            </w:pPr>
            <w:r>
              <w:rPr>
                <w:rFonts w:hint="eastAsia" w:cs="Arial"/>
                <w:bCs/>
                <w:sz w:val="18"/>
                <w:szCs w:val="18"/>
              </w:rPr>
              <w:t>投资者法定代表人或授权代理人（签名/盖章/线上确认）：</w:t>
            </w:r>
          </w:p>
          <w:p>
            <w:pPr>
              <w:spacing w:line="360" w:lineRule="auto"/>
              <w:rPr>
                <w:bCs/>
                <w:sz w:val="18"/>
                <w:szCs w:val="18"/>
              </w:rPr>
            </w:pPr>
            <w:r>
              <w:rPr>
                <w:rFonts w:hint="eastAsia"/>
                <w:bCs/>
                <w:sz w:val="18"/>
                <w:szCs w:val="18"/>
              </w:rPr>
              <w:t>日期：</w:t>
            </w:r>
          </w:p>
        </w:tc>
      </w:tr>
    </w:tbl>
    <w:p>
      <w:pPr>
        <w:spacing w:line="360" w:lineRule="auto"/>
        <w:jc w:val="left"/>
        <w:rPr>
          <w:b/>
          <w:bCs/>
        </w:rPr>
      </w:pPr>
      <w:r>
        <w:rPr>
          <w:rFonts w:hint="eastAsia" w:ascii="宋体" w:hAnsi="宋体"/>
          <w:b/>
          <w:bCs/>
          <w:sz w:val="18"/>
          <w:szCs w:val="18"/>
        </w:rPr>
        <w:t>（本《投资协议书》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AES" w:cryptAlgorithmClass="hash" w:cryptAlgorithmType="typeAny" w:cryptAlgorithmSid="14" w:cryptSpinCount="100000" w:hash="J62JEPC5qNVlO3MaIrpwlIUoIQlNp7z+T8iyXrtDlMO6qsIq5J0VZ0CGlQ4YoaZvMmdq6SxlJYc01i2dMA2dqA==" w:salt="z/fVMWILRecwEAYQDz3vTw=="/>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4D64"/>
    <w:rsid w:val="000C5F0B"/>
    <w:rsid w:val="000C66F8"/>
    <w:rsid w:val="000C6CA3"/>
    <w:rsid w:val="000D7277"/>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4C5C"/>
    <w:rsid w:val="0021550E"/>
    <w:rsid w:val="0021697D"/>
    <w:rsid w:val="0022040D"/>
    <w:rsid w:val="0022092C"/>
    <w:rsid w:val="00222AF4"/>
    <w:rsid w:val="00225324"/>
    <w:rsid w:val="00225C55"/>
    <w:rsid w:val="00226166"/>
    <w:rsid w:val="00227D78"/>
    <w:rsid w:val="0023600D"/>
    <w:rsid w:val="00237F1A"/>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110A"/>
    <w:rsid w:val="003E70F6"/>
    <w:rsid w:val="003E7472"/>
    <w:rsid w:val="003F1181"/>
    <w:rsid w:val="003F29F2"/>
    <w:rsid w:val="003F63CA"/>
    <w:rsid w:val="0040416E"/>
    <w:rsid w:val="0040486B"/>
    <w:rsid w:val="00404F49"/>
    <w:rsid w:val="004067A7"/>
    <w:rsid w:val="00406971"/>
    <w:rsid w:val="004072EC"/>
    <w:rsid w:val="004117AA"/>
    <w:rsid w:val="004132EA"/>
    <w:rsid w:val="004134A1"/>
    <w:rsid w:val="00414562"/>
    <w:rsid w:val="0042301D"/>
    <w:rsid w:val="00423612"/>
    <w:rsid w:val="00424866"/>
    <w:rsid w:val="00426FD8"/>
    <w:rsid w:val="00431E1F"/>
    <w:rsid w:val="00435E5C"/>
    <w:rsid w:val="00436830"/>
    <w:rsid w:val="00436CF2"/>
    <w:rsid w:val="00437361"/>
    <w:rsid w:val="00444664"/>
    <w:rsid w:val="00444AD5"/>
    <w:rsid w:val="00445CFA"/>
    <w:rsid w:val="00446FBB"/>
    <w:rsid w:val="0045304A"/>
    <w:rsid w:val="004530E2"/>
    <w:rsid w:val="0045487E"/>
    <w:rsid w:val="0045508F"/>
    <w:rsid w:val="00460B00"/>
    <w:rsid w:val="0046227B"/>
    <w:rsid w:val="00467615"/>
    <w:rsid w:val="004727C4"/>
    <w:rsid w:val="00477E43"/>
    <w:rsid w:val="00481A9B"/>
    <w:rsid w:val="00483EB5"/>
    <w:rsid w:val="004840AC"/>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19C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940"/>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521A"/>
    <w:rsid w:val="009C6F8E"/>
    <w:rsid w:val="009D1F68"/>
    <w:rsid w:val="009D2509"/>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41CE"/>
    <w:rsid w:val="00C550E2"/>
    <w:rsid w:val="00C561B4"/>
    <w:rsid w:val="00C569F3"/>
    <w:rsid w:val="00C57F3A"/>
    <w:rsid w:val="00C6321C"/>
    <w:rsid w:val="00C6524D"/>
    <w:rsid w:val="00C6577D"/>
    <w:rsid w:val="00C66942"/>
    <w:rsid w:val="00C7259B"/>
    <w:rsid w:val="00C80014"/>
    <w:rsid w:val="00C80C5E"/>
    <w:rsid w:val="00C81838"/>
    <w:rsid w:val="00C90BFF"/>
    <w:rsid w:val="00C9379A"/>
    <w:rsid w:val="00C94A3F"/>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FE7"/>
    <w:rsid w:val="00DF3437"/>
    <w:rsid w:val="00DF3F05"/>
    <w:rsid w:val="00DF6B27"/>
    <w:rsid w:val="00DF749F"/>
    <w:rsid w:val="00DF7FC5"/>
    <w:rsid w:val="00E0114F"/>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3D96"/>
    <w:rsid w:val="00EE7357"/>
    <w:rsid w:val="00EF4162"/>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5612"/>
    <w:rsid w:val="00F611C6"/>
    <w:rsid w:val="00F652FF"/>
    <w:rsid w:val="00F6638A"/>
    <w:rsid w:val="00F6673D"/>
    <w:rsid w:val="00F6765C"/>
    <w:rsid w:val="00F7607C"/>
    <w:rsid w:val="00F84ACA"/>
    <w:rsid w:val="00F865A9"/>
    <w:rsid w:val="00F8733E"/>
    <w:rsid w:val="00F913B7"/>
    <w:rsid w:val="00F91EA4"/>
    <w:rsid w:val="00F92464"/>
    <w:rsid w:val="00F9590C"/>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070CCA"/>
    <w:rsid w:val="05F13238"/>
    <w:rsid w:val="08F06232"/>
    <w:rsid w:val="0C9F10B1"/>
    <w:rsid w:val="10EB1BBB"/>
    <w:rsid w:val="149E474A"/>
    <w:rsid w:val="15940AA4"/>
    <w:rsid w:val="16A50D85"/>
    <w:rsid w:val="16AB75D6"/>
    <w:rsid w:val="18C37747"/>
    <w:rsid w:val="18D640E4"/>
    <w:rsid w:val="19212E29"/>
    <w:rsid w:val="1BD65B9F"/>
    <w:rsid w:val="1E261887"/>
    <w:rsid w:val="1E444B0E"/>
    <w:rsid w:val="2E9A1215"/>
    <w:rsid w:val="33675167"/>
    <w:rsid w:val="35C802B9"/>
    <w:rsid w:val="35C863A1"/>
    <w:rsid w:val="4069171A"/>
    <w:rsid w:val="45511A35"/>
    <w:rsid w:val="47CA180E"/>
    <w:rsid w:val="487A428F"/>
    <w:rsid w:val="4C6D505D"/>
    <w:rsid w:val="4F9B33E8"/>
    <w:rsid w:val="54A87ECC"/>
    <w:rsid w:val="56C22B29"/>
    <w:rsid w:val="5C090AEC"/>
    <w:rsid w:val="63085AC0"/>
    <w:rsid w:val="64DE20E9"/>
    <w:rsid w:val="657411FF"/>
    <w:rsid w:val="6B364EF9"/>
    <w:rsid w:val="6C382E85"/>
    <w:rsid w:val="73C300BA"/>
    <w:rsid w:val="73F6581D"/>
    <w:rsid w:val="74DC7E28"/>
    <w:rsid w:val="761C1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F800AA-61CE-482E-B1D8-48A687DFE62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1529</Words>
  <Characters>8716</Characters>
  <Lines>72</Lines>
  <Paragraphs>20</Paragraphs>
  <TotalTime>6</TotalTime>
  <ScaleCrop>false</ScaleCrop>
  <LinksUpToDate>false</LinksUpToDate>
  <CharactersWithSpaces>10225</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2024-03-04T03:31:00Z</dcterms:created>
  <dc:creator>Mandy.Z</dc:creator>
  <cp:lastModifiedBy>cib</cp:lastModifiedBy>
  <cp:lastPrinted>2017-10-31T06:33:00Z</cp:lastPrinted>
  <dcterms:modified xsi:type="dcterms:W3CDTF">2025-06-13T06:01:21Z</dcterms:modified>
  <dc:title>___证券投资基金招募说明书1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7F764BA8FE1445D395384AAC04665998_13</vt:lpwstr>
  </property>
</Properties>
</file>