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2" w:beforeLines="100" w:beforeAutospacing="0" w:after="0" w:afterAutospacing="0"/>
        <w:jc w:val="center"/>
        <w:rPr>
          <w:rFonts w:ascii="楷体" w:hAnsi="楷体" w:eastAsia="楷体"/>
          <w:b/>
          <w:sz w:val="36"/>
          <w:szCs w:val="36"/>
        </w:rPr>
      </w:pPr>
      <w:bookmarkStart w:id="0" w:name="_Hlk167980769"/>
      <w:r>
        <w:rPr>
          <w:rFonts w:ascii="楷体" w:hAnsi="楷体" w:eastAsia="楷体"/>
        </w:rPr>
        <w:pict>
          <v:shape id="文本框 1" o:spid="_x0000_s2050" o:spt="202" type="#_x0000_t202" style="position:absolute;left:0pt;margin-left:-16pt;margin-top:1.35pt;height:173.95pt;width:447.4pt;mso-position-horizontal-relative:margin;mso-wrap-distance-bottom:3.6pt;mso-wrap-distance-left:9pt;mso-wrap-distance-right:9pt;mso-wrap-distance-top:3.6pt;z-index:251659264;mso-width-relative:page;mso-height-relative:page;" filled="f" coordsize="21600,21600" o:gfxdata="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TV37YAAAACgEAAA8AAAAAAAAAAQAg&#10;AAAAIgAAAGRycy9kb3ducmV2LnhtbFBLAQIUABQAAAAIAIdO4kDbmGZ3DgIAABkEAAAOAAAAAAAA&#10;AAEAIAAAACcBAABkcnMvZTJvRG9jLnhtbFBLBQYAAAAABgAGAFkBAACnBQAAAAA=&#10;">
            <v:path/>
            <v:fill on="f" focussize="0,0"/>
            <v:stroke joinstyle="miter"/>
            <v:imagedata o:title=""/>
            <o:lock v:ext="edit"/>
            <v:textbox>
              <w:txbxContent>
                <w:p>
                  <w:pPr>
                    <w:spacing w:before="156" w:beforeLines="50" w:line="0" w:lineRule="atLeast"/>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本产品为封闭式理财产品，存续期内投资者不能赎回，这可能影响投资者的资金安排，请根据自身资金使用需要购买。</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本产品设置有多个份额，各份额按照设置的销售对象和销售起点进行销售，各份额实际收取的销售服务费率、投资管理费率以及业绩比较基准存在差异，客户根据产品销售时设置的条件自主选择购买。</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客户服务热线：95319-8-2。</w:t>
                  </w:r>
                </w:p>
                <w:p>
                  <w:pPr>
                    <w:ind w:left="420" w:leftChars="200"/>
                    <w:rPr>
                      <w:rFonts w:ascii="楷体" w:hAnsi="楷体" w:eastAsia="楷体"/>
                    </w:rPr>
                  </w:pPr>
                  <w:r>
                    <w:rPr>
                      <w:rFonts w:hint="eastAsia" w:ascii="楷体" w:hAnsi="楷体" w:eastAsia="楷体"/>
                    </w:rPr>
                    <w:t>以上为本产品的特别提示，详细内容请仔细阅读理财产品合同。</w:t>
                  </w:r>
                </w:p>
              </w:txbxContent>
            </v:textbox>
            <w10:wrap type="square"/>
          </v:shape>
        </w:pict>
      </w:r>
      <w:r>
        <w:rPr>
          <w:rFonts w:hint="eastAsia" w:ascii="楷体" w:hAnsi="楷体" w:eastAsia="楷体"/>
          <w:b/>
          <w:sz w:val="36"/>
          <w:szCs w:val="36"/>
        </w:rPr>
        <w:t>“苏银理财</w:t>
      </w:r>
      <w:r>
        <w:rPr>
          <w:rFonts w:hint="eastAsia" w:ascii="楷体" w:hAnsi="楷体" w:eastAsia="楷体"/>
          <w:b/>
          <w:sz w:val="36"/>
          <w:szCs w:val="36"/>
          <w:lang w:eastAsia="zh-CN"/>
        </w:rPr>
        <w:t>恒源封闭债权211期优选2年</w:t>
      </w:r>
      <w:r>
        <w:rPr>
          <w:rFonts w:hint="eastAsia" w:ascii="楷体" w:hAnsi="楷体" w:eastAsia="楷体"/>
          <w:b/>
          <w:sz w:val="36"/>
          <w:szCs w:val="36"/>
        </w:rPr>
        <w:t>”理财产品合同</w:t>
      </w:r>
    </w:p>
    <w:p>
      <w:pPr>
        <w:pStyle w:val="13"/>
        <w:spacing w:before="0" w:beforeAutospacing="0" w:after="0" w:afterAutospacing="0" w:line="360" w:lineRule="auto"/>
        <w:jc w:val="center"/>
        <w:rPr>
          <w:rFonts w:ascii="楷体" w:hAnsi="楷体" w:eastAsia="楷体"/>
          <w:b/>
        </w:rPr>
      </w:pPr>
      <w:r>
        <w:rPr>
          <w:rFonts w:hint="eastAsia" w:ascii="楷体" w:hAnsi="楷体" w:eastAsia="楷体"/>
          <w:b/>
          <w:sz w:val="32"/>
          <w:szCs w:val="32"/>
        </w:rPr>
        <w:t>理财非存款、产品有风险、投资须谨慎</w:t>
      </w:r>
    </w:p>
    <w:p>
      <w:pPr>
        <w:pStyle w:val="13"/>
        <w:spacing w:before="0" w:beforeAutospacing="0" w:after="156" w:afterLines="50" w:afterAutospacing="0" w:line="360" w:lineRule="auto"/>
        <w:jc w:val="center"/>
        <w:rPr>
          <w:rFonts w:ascii="楷体" w:hAnsi="楷体" w:eastAsia="楷体"/>
          <w:b/>
        </w:rPr>
      </w:pPr>
      <w:r>
        <w:rPr>
          <w:rFonts w:hint="eastAsia" w:ascii="楷体" w:hAnsi="楷体" w:eastAsia="楷体"/>
          <w:b/>
        </w:rPr>
        <w:t>（202</w:t>
      </w:r>
      <w:r>
        <w:rPr>
          <w:rFonts w:hint="eastAsia" w:ascii="楷体" w:hAnsi="楷体" w:eastAsia="楷体"/>
          <w:b/>
          <w:lang w:val="en-US" w:eastAsia="zh-CN"/>
        </w:rPr>
        <w:t>5</w:t>
      </w:r>
      <w:r>
        <w:rPr>
          <w:rFonts w:hint="eastAsia" w:ascii="楷体" w:hAnsi="楷体" w:eastAsia="楷体"/>
          <w:b/>
        </w:rPr>
        <w:t>年</w:t>
      </w:r>
      <w:r>
        <w:rPr>
          <w:rFonts w:hint="eastAsia" w:ascii="楷体" w:hAnsi="楷体" w:eastAsia="楷体"/>
          <w:b/>
          <w:lang w:val="en-US" w:eastAsia="zh-CN"/>
        </w:rPr>
        <w:t>6</w:t>
      </w:r>
      <w:r>
        <w:rPr>
          <w:rFonts w:hint="eastAsia" w:ascii="楷体" w:hAnsi="楷体" w:eastAsia="楷体"/>
          <w:b/>
        </w:rPr>
        <w:t>月版）</w:t>
      </w:r>
    </w:p>
    <w:tbl>
      <w:tblPr>
        <w:tblStyle w:val="15"/>
        <w:tblW w:w="0" w:type="auto"/>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387"/>
        <w:gridCol w:w="25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Style w:val="18"/>
                <w:rFonts w:hint="eastAsia" w:ascii="楷体" w:hAnsi="楷体" w:eastAsia="楷体"/>
                <w:bCs w:val="0"/>
                <w:sz w:val="18"/>
                <w:szCs w:val="18"/>
              </w:rPr>
              <w:t>序号</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Style w:val="18"/>
                <w:rFonts w:hint="eastAsia" w:ascii="楷体" w:hAnsi="楷体" w:eastAsia="楷体"/>
                <w:bCs w:val="0"/>
                <w:sz w:val="18"/>
                <w:szCs w:val="18"/>
              </w:rPr>
              <w:t>理财产品合同中的具体文件名称</w:t>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Style w:val="18"/>
                <w:rFonts w:hint="eastAsia" w:ascii="楷体" w:hAnsi="楷体" w:eastAsia="楷体"/>
                <w:bCs w:val="0"/>
                <w:sz w:val="18"/>
                <w:szCs w:val="18"/>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1</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恒源封闭债权211期优选2年</w:t>
            </w:r>
            <w:r>
              <w:rPr>
                <w:rFonts w:hint="eastAsia" w:ascii="楷体" w:hAnsi="楷体" w:eastAsia="楷体"/>
                <w:sz w:val="18"/>
                <w:szCs w:val="18"/>
              </w:rPr>
              <w:t>”理财产品风险揭示书</w:t>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2</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恒源封闭债权211期优选2年</w:t>
            </w:r>
            <w:r>
              <w:rPr>
                <w:rFonts w:hint="eastAsia" w:ascii="楷体" w:hAnsi="楷体" w:eastAsia="楷体"/>
                <w:sz w:val="18"/>
                <w:szCs w:val="18"/>
              </w:rPr>
              <w:t>”理财产品说明书</w:t>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3</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苏银理财有限责任公司理财产品投资协议书</w:t>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4</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投资者权益须知</w:t>
            </w:r>
            <w:r>
              <w:rPr>
                <w:rStyle w:val="21"/>
                <w:rFonts w:ascii="楷体" w:hAnsi="楷体" w:eastAsia="楷体"/>
              </w:rPr>
              <w:footnoteReference w:id="0"/>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投资者权益须知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5</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理财产品（代理）销售协议书</w:t>
            </w:r>
            <w:r>
              <w:rPr>
                <w:rStyle w:val="21"/>
                <w:rFonts w:ascii="楷体" w:hAnsi="楷体" w:eastAsia="楷体"/>
              </w:rPr>
              <w:footnoteReference w:id="1"/>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理财产品（代理）销售协议书</w:t>
            </w:r>
          </w:p>
        </w:tc>
      </w:tr>
    </w:tbl>
    <w:p>
      <w:pPr>
        <w:pStyle w:val="13"/>
        <w:spacing w:before="156" w:beforeLines="50" w:beforeAutospacing="0" w:after="156" w:afterLines="50" w:afterAutospacing="0"/>
        <w:rPr>
          <w:rFonts w:ascii="楷体" w:hAnsi="楷体" w:eastAsia="楷体"/>
        </w:rPr>
      </w:pPr>
      <w:r>
        <w:rPr>
          <w:rStyle w:val="18"/>
          <w:rFonts w:hint="eastAsia" w:ascii="楷体" w:hAnsi="楷体" w:eastAsia="楷体"/>
          <w:bCs w:val="0"/>
        </w:rPr>
        <w:t>郑重提示：</w:t>
      </w:r>
    </w:p>
    <w:p>
      <w:pPr>
        <w:pStyle w:val="13"/>
        <w:spacing w:before="0" w:beforeAutospacing="0" w:after="0" w:afterAutospacing="0"/>
        <w:ind w:firstLine="480" w:firstLineChars="200"/>
        <w:rPr>
          <w:rFonts w:ascii="楷体" w:hAnsi="楷体" w:eastAsia="楷体"/>
        </w:rPr>
      </w:pPr>
      <w:r>
        <w:rPr>
          <w:rFonts w:hint="eastAsia" w:ascii="楷体" w:hAnsi="楷体" w:eastAsia="楷体" w:cs="Times New Roman"/>
        </w:rPr>
        <w:t>《风险揭示书》、《理财产品说明书》、《理财产品（代理）销售协议书》、</w:t>
      </w:r>
      <w:r>
        <w:rPr>
          <w:rFonts w:ascii="楷体" w:hAnsi="楷体" w:eastAsia="楷体" w:cs="Times New Roman"/>
        </w:rPr>
        <w:t>《</w:t>
      </w:r>
      <w:r>
        <w:rPr>
          <w:rFonts w:hint="eastAsia" w:ascii="楷体" w:hAnsi="楷体" w:eastAsia="楷体" w:cs="Times New Roman"/>
        </w:rPr>
        <w:t>理财产品投资协议书</w:t>
      </w:r>
      <w:r>
        <w:rPr>
          <w:rFonts w:ascii="楷体" w:hAnsi="楷体" w:eastAsia="楷体" w:cs="Times New Roman"/>
        </w:rPr>
        <w:t>》</w:t>
      </w:r>
      <w:r>
        <w:rPr>
          <w:rFonts w:hint="eastAsia" w:ascii="楷体" w:hAnsi="楷体" w:eastAsia="楷体" w:cs="Times New Roman"/>
        </w:rPr>
        <w:t>、《投资者权益须知》等文件共同构成一份完整且不可分割的理财产品合同。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13"/>
        <w:spacing w:before="0" w:beforeAutospacing="0" w:after="0" w:afterAutospacing="0"/>
        <w:ind w:firstLine="480" w:firstLineChars="200"/>
        <w:rPr>
          <w:rFonts w:ascii="楷体" w:hAnsi="楷体" w:eastAsia="楷体" w:cs="黑体"/>
          <w:sz w:val="30"/>
          <w:szCs w:val="30"/>
        </w:rPr>
      </w:pPr>
      <w:r>
        <w:rPr>
          <w:rFonts w:hint="eastAsia" w:ascii="楷体" w:hAnsi="楷体" w:eastAsia="楷体" w:cs="Times New Roman"/>
        </w:rPr>
        <w:t>为了维护您的权益，请在签署有关理财产品销售文件前，仔细阅读理财产品销售文件各条款（特别是“黑体字”、划线条款以及“★”标识），充分了解理财业务的运作细则，各方的权利、义务和责任。如有疑问，可向理财产品管理人或销售机构咨询。</w:t>
      </w:r>
    </w:p>
    <w:p>
      <w:pPr>
        <w:pStyle w:val="13"/>
        <w:pageBreakBefore/>
        <w:spacing w:before="0" w:beforeAutospacing="0" w:after="0" w:afterAutospacing="0" w:line="360" w:lineRule="auto"/>
        <w:jc w:val="center"/>
        <w:rPr>
          <w:rFonts w:ascii="楷体" w:hAnsi="楷体" w:eastAsia="楷体"/>
          <w:b/>
          <w:sz w:val="32"/>
          <w:szCs w:val="32"/>
        </w:rPr>
      </w:pPr>
      <w:r>
        <w:rPr>
          <w:rFonts w:hint="eastAsia" w:ascii="楷体" w:hAnsi="楷体" w:eastAsia="楷体"/>
          <w:b/>
          <w:sz w:val="32"/>
          <w:szCs w:val="32"/>
        </w:rPr>
        <w:t>“苏银理财</w:t>
      </w:r>
      <w:r>
        <w:rPr>
          <w:rFonts w:hint="eastAsia" w:ascii="楷体" w:hAnsi="楷体" w:eastAsia="楷体"/>
          <w:b/>
          <w:sz w:val="32"/>
          <w:szCs w:val="32"/>
          <w:lang w:eastAsia="zh-CN"/>
        </w:rPr>
        <w:t>恒源封闭债权211期优选2年</w:t>
      </w:r>
      <w:r>
        <w:rPr>
          <w:rFonts w:hint="eastAsia" w:ascii="楷体" w:hAnsi="楷体" w:eastAsia="楷体"/>
          <w:b/>
          <w:sz w:val="32"/>
          <w:szCs w:val="32"/>
        </w:rPr>
        <w:t>”理财产品风险揭示书</w:t>
      </w:r>
    </w:p>
    <w:p>
      <w:pPr>
        <w:jc w:val="center"/>
        <w:rPr>
          <w:rFonts w:ascii="楷体" w:hAnsi="楷体" w:eastAsia="楷体" w:cs="宋体"/>
          <w:b/>
          <w:kern w:val="0"/>
          <w:sz w:val="32"/>
          <w:szCs w:val="32"/>
        </w:rPr>
      </w:pPr>
      <w:r>
        <w:rPr>
          <w:rFonts w:hint="eastAsia" w:ascii="楷体" w:hAnsi="楷体" w:eastAsia="楷体" w:cs="宋体"/>
          <w:b/>
          <w:kern w:val="0"/>
          <w:sz w:val="32"/>
          <w:szCs w:val="32"/>
        </w:rPr>
        <w:t>理财非存款、产品有风险、投资须谨慎</w:t>
      </w:r>
    </w:p>
    <w:p>
      <w:pPr>
        <w:pStyle w:val="13"/>
        <w:spacing w:before="0" w:beforeAutospacing="0" w:after="0" w:afterAutospacing="0"/>
        <w:rPr>
          <w:rFonts w:ascii="楷体" w:hAnsi="楷体" w:eastAsia="楷体" w:cs="Times New Roman"/>
        </w:rPr>
      </w:pPr>
      <w:r>
        <w:rPr>
          <w:rFonts w:hint="eastAsia" w:ascii="楷体" w:hAnsi="楷体" w:eastAsia="楷体" w:cs="Times New Roman"/>
        </w:rPr>
        <w:t>尊敬的投资者：</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由于理财资金在管理运用过程中可能面临多种风险因素，根据国家金融监督管理总局（以下简称“金融监管总局”）相关监管规定，苏银理财有限责任公司（以下简称“苏银理财”）作为本理财产品的产品管理人郑重提示您：在您选择购买理财产品前，请仔细阅读本理财产品完整合同（包括《风险揭示书》、《理财产品说明书》、《投资者权益须知》、《理财产品投资协议书》和《理财产品（代理）销售协议书》），了解理财产品具体情况；在您购买理财产品后，请关注本理财产品的信息披露，及时获取相关信息。</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苏银理财作为本理财产品管理人承诺以诚实信用、勤勉尽责的原则管理和运用理财产品资产，</w:t>
      </w:r>
      <w:r>
        <w:rPr>
          <w:rFonts w:hint="eastAsia" w:ascii="楷体" w:hAnsi="楷体" w:eastAsia="楷体" w:cs="Times New Roman"/>
          <w:b/>
          <w:u w:val="single"/>
        </w:rPr>
        <w:t>但不保证理财产品一定盈利，也不保证最低收益，极端情况下有可能会损失部分甚至全部本金。</w:t>
      </w:r>
      <w:r>
        <w:rPr>
          <w:rFonts w:hint="eastAsia" w:ascii="楷体" w:hAnsi="楷体" w:eastAsia="楷体" w:cs="Times New Roman"/>
        </w:rPr>
        <w:t>本风险揭示书旨在揭示本理财产品可能面临的各种风险，请您务必充分认识以下风险。</w:t>
      </w:r>
    </w:p>
    <w:p>
      <w:pPr>
        <w:numPr>
          <w:ilvl w:val="0"/>
          <w:numId w:val="2"/>
        </w:numPr>
        <w:tabs>
          <w:tab w:val="left" w:pos="1134"/>
        </w:tabs>
        <w:ind w:left="0" w:firstLine="562" w:firstLineChars="200"/>
        <w:rPr>
          <w:rFonts w:ascii="楷体" w:hAnsi="楷体" w:eastAsia="楷体"/>
          <w:b/>
          <w:sz w:val="24"/>
          <w:szCs w:val="24"/>
        </w:rPr>
      </w:pPr>
      <w:r>
        <w:rPr>
          <w:rFonts w:hint="eastAsia" w:ascii="楷体" w:hAnsi="楷体" w:eastAsia="楷体"/>
          <w:b/>
          <w:sz w:val="28"/>
          <w:szCs w:val="28"/>
        </w:rPr>
        <w:t>风险揭示</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政策风险：</w:t>
      </w:r>
      <w:r>
        <w:rPr>
          <w:rFonts w:hint="eastAsia" w:ascii="楷体" w:hAnsi="楷体" w:eastAsia="楷体"/>
          <w:sz w:val="24"/>
          <w:szCs w:val="24"/>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信用风险：</w:t>
      </w:r>
      <w:r>
        <w:rPr>
          <w:rFonts w:hint="eastAsia" w:ascii="楷体" w:hAnsi="楷体" w:eastAsia="楷体"/>
          <w:sz w:val="24"/>
          <w:szCs w:val="24"/>
        </w:rPr>
        <w:t>本理财产品投资于固定收益类资产，因此有可能由于发行主体或交易对手信用状况恶化导致交易违约，致使本理财产品到期实际收益不足业绩比较基准，该种情况下，苏银理财有限责任公司将按照投资实际收益情况，并以资产变现实际收到的资金为限支付投资人收益，投资人将自行承担由此而导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市场风险：</w:t>
      </w:r>
      <w:r>
        <w:rPr>
          <w:rFonts w:hint="eastAsia" w:ascii="楷体" w:hAnsi="楷体" w:eastAsia="楷体"/>
          <w:sz w:val="24"/>
          <w:szCs w:val="24"/>
        </w:rPr>
        <w:t>本理财产品投资的债券等资产的价格受到经济因素、政治因素、投资心理和交易制度等各种因素的影响，可能导致本理财产品资产收益水平变化，投资者可能面临本金和收益遭受部分甚至全部损失的风险。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本金及理财产品收益风险：</w:t>
      </w:r>
      <w:r>
        <w:rPr>
          <w:rFonts w:hint="eastAsia" w:ascii="楷体" w:hAnsi="楷体" w:eastAsia="楷体"/>
          <w:sz w:val="24"/>
          <w:szCs w:val="24"/>
        </w:rPr>
        <w:t>本理财计划不等同于银行存款，不保障投资者投资理财的本金，不保证理财收益，投资者的本金和理财收益（如有）均可能随理财计划投资盈亏而浮动，在最不利的情况，投资者可能无法取得理财收益甚至损失部分或全部本金。</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流动性风险：</w:t>
      </w:r>
      <w:r>
        <w:rPr>
          <w:rFonts w:hint="eastAsia" w:ascii="楷体" w:hAnsi="楷体" w:eastAsia="楷体"/>
          <w:bCs/>
          <w:sz w:val="24"/>
          <w:szCs w:val="24"/>
        </w:rPr>
        <w:t>在特定市场环境下，理财产品所投资的部分市场或资产可能出现流动性较差的情况，导致理财产品无法通过变现资产等途径以合理成本及时获得充足资金，无法满足投资者赎回需求、履行其他支付义务，带来流动性风险。</w:t>
      </w:r>
      <w:r>
        <w:rPr>
          <w:rFonts w:hint="eastAsia" w:ascii="楷体" w:hAnsi="楷体" w:eastAsia="楷体"/>
          <w:sz w:val="24"/>
          <w:szCs w:val="24"/>
        </w:rPr>
        <w:t>本理财产品为封闭式产品，存续期内投资者不能赎回，这可能影响投资者的资金安排，带来流动性风险。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管理风险：</w:t>
      </w:r>
      <w:r>
        <w:rPr>
          <w:rFonts w:hint="eastAsia" w:ascii="楷体" w:hAnsi="楷体" w:eastAsia="楷体"/>
          <w:sz w:val="24"/>
          <w:szCs w:val="24"/>
        </w:rPr>
        <w:t>在本理财产品运作过程中，投资管理各方受经验、技能、执行力等综合因素的限制，可能会对本理财产品的运作和管理造成一定影响，则投资者可能面临本金和收益遭受部分甚至全部损失的风险。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操作风险：</w:t>
      </w:r>
      <w:r>
        <w:rPr>
          <w:rFonts w:hint="eastAsia" w:ascii="楷体" w:hAnsi="楷体" w:eastAsia="楷体"/>
          <w:sz w:val="24"/>
          <w:szCs w:val="24"/>
        </w:rPr>
        <w:t>如本理财产品管理人由于内部作业、人员管理、系统操作及事务处理不当或失误等，则投资者可能面临本金和收益遭受部分甚至全部损失的风险。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产品不成立风险：</w:t>
      </w:r>
      <w:r>
        <w:rPr>
          <w:rFonts w:hint="eastAsia" w:ascii="楷体" w:hAnsi="楷体" w:eastAsia="楷体"/>
          <w:sz w:val="24"/>
          <w:szCs w:val="24"/>
        </w:rPr>
        <w:t>如果因募集规模低于说明书约定的最低规模或其他因素导致本理财产品不能成立的情形，苏银理财有权宣布该理财产品不成立，投资者将面临再投资风险。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延期兑付风险：</w:t>
      </w:r>
      <w:r>
        <w:rPr>
          <w:rFonts w:hint="eastAsia" w:ascii="楷体" w:hAnsi="楷体" w:eastAsia="楷体"/>
          <w:sz w:val="24"/>
          <w:szCs w:val="24"/>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提前终止风险：</w:t>
      </w:r>
      <w:r>
        <w:rPr>
          <w:rFonts w:hint="eastAsia" w:ascii="楷体" w:hAnsi="楷体" w:eastAsia="楷体"/>
          <w:sz w:val="24"/>
          <w:szCs w:val="24"/>
        </w:rPr>
        <w:t>为保护投资者利益，在本理财产品存续期间，产品管理人可根据本理财产品说明书约定的情况提前终止本理财产品。同时，由于不可抗力及/或意外事件导致产品管理人无法继续履行理财产品合同的，产品管理人有权提前终止理财产品合同，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信息传递风险：</w:t>
      </w:r>
      <w:r>
        <w:rPr>
          <w:rFonts w:hint="eastAsia" w:ascii="楷体" w:hAnsi="楷体" w:eastAsia="楷体"/>
          <w:sz w:val="24"/>
          <w:szCs w:val="24"/>
        </w:rPr>
        <w:t>产品管理人将按照本理财产品合同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税务风险：</w:t>
      </w:r>
      <w:r>
        <w:rPr>
          <w:rFonts w:hint="eastAsia" w:ascii="楷体" w:hAnsi="楷体" w:eastAsia="楷体"/>
          <w:sz w:val="24"/>
          <w:szCs w:val="24"/>
        </w:rPr>
        <w:t>理财产品在资产管理、运营、处置过程中产生的收入，根据国家相关法律法规应缴纳增值税（含增值税附加税费，下同）及/或其他税费的，即使产品管理人被税务机关认定为纳税义务人，该等增值税及/或其他税费仍属于应由理财产品承担的理财产品税费，由产品管理人申报和缴纳。该等税款将直接从理财产品中扣付缴纳，理财产品将因为前述增值税等税负承担导致计划税费支出增加、理财产品净值或实际收益降低，从而降低产品投资人的收益水平。</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代销风险（如有）：</w:t>
      </w:r>
      <w:r>
        <w:rPr>
          <w:rFonts w:hint="eastAsia" w:ascii="楷体" w:hAnsi="楷体" w:eastAsia="楷体"/>
          <w:bCs/>
          <w:sz w:val="24"/>
          <w:szCs w:val="24"/>
        </w:rPr>
        <w:t>如</w:t>
      </w:r>
      <w:r>
        <w:rPr>
          <w:rFonts w:hint="eastAsia" w:ascii="楷体" w:hAnsi="楷体" w:eastAsia="楷体"/>
          <w:sz w:val="24"/>
          <w:szCs w:val="24"/>
        </w:rPr>
        <w:t>本产品通过代销渠道（非产品管理人自有渠道）销售，投资者认（申）购理财产品的资金由代销机构从投资者资金账户扣收；份额赎回时，赎回资金按本理财产品合同约定划付至代销机构清算账户后，由代销机构向投资者划付投资者应得赎回资金，并由代销机构向投资者支付应得理财利益。不同代销机构的销售渠道，其认（申）购/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3"/>
        </w:numPr>
        <w:tabs>
          <w:tab w:val="left" w:pos="993"/>
        </w:tabs>
        <w:ind w:left="0" w:firstLine="482" w:firstLineChars="200"/>
        <w:rPr>
          <w:rFonts w:ascii="楷体" w:hAnsi="楷体" w:eastAsia="楷体"/>
          <w:bCs/>
          <w:sz w:val="24"/>
          <w:szCs w:val="24"/>
        </w:rPr>
      </w:pPr>
      <w:r>
        <w:rPr>
          <w:rFonts w:hint="eastAsia" w:ascii="楷体" w:hAnsi="楷体" w:eastAsia="楷体"/>
          <w:b/>
          <w:sz w:val="24"/>
          <w:szCs w:val="24"/>
        </w:rPr>
        <w:t>理财产品的份额类别差异风险：</w:t>
      </w:r>
      <w:r>
        <w:rPr>
          <w:rFonts w:hint="eastAsia" w:ascii="楷体" w:hAnsi="楷体" w:eastAsia="楷体"/>
          <w:bCs/>
          <w:sz w:val="24"/>
          <w:szCs w:val="24"/>
        </w:rPr>
        <w:t>产品管理人可根据投资者购买理财产品的金额、销售渠道等因素，对投资者所持有的理财产品设置不同的份额类别。同一款理财产品内不同类别的份额，其销售名称、销售代码、销售对象、销售起点金额（认购、申购起点金额）、业绩比较基准、产品费用（包括托管费、销售服务费、投资管理费和超额业绩报酬等费用）、投资者认（申）购和赎回数量的限制、投资者持有本产品的最高/最低限额、计算和公告产品份额净值等方面均可能存在差异，请投资者在购买前仔细阅读产品合同进行甄别。</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不可抗力风险：</w:t>
      </w:r>
      <w:r>
        <w:rPr>
          <w:rFonts w:hint="eastAsia" w:ascii="楷体" w:hAnsi="楷体" w:eastAsia="楷体"/>
          <w:sz w:val="24"/>
          <w:szCs w:val="24"/>
        </w:rPr>
        <w:t>自然灾害、疫情、严重传染病、金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特定投资标的风险：</w:t>
      </w:r>
    </w:p>
    <w:p>
      <w:pPr>
        <w:numPr>
          <w:ilvl w:val="0"/>
          <w:numId w:val="4"/>
        </w:numPr>
        <w:tabs>
          <w:tab w:val="left" w:pos="742"/>
        </w:tabs>
        <w:ind w:left="0" w:firstLine="480" w:firstLineChars="200"/>
        <w:rPr>
          <w:rFonts w:ascii="楷体" w:hAnsi="楷体" w:eastAsia="楷体"/>
          <w:sz w:val="24"/>
          <w:szCs w:val="24"/>
        </w:rPr>
      </w:pPr>
      <w:r>
        <w:rPr>
          <w:rFonts w:hint="eastAsia" w:ascii="楷体" w:hAnsi="楷体" w:eastAsia="楷体"/>
          <w:sz w:val="24"/>
          <w:szCs w:val="24"/>
        </w:rPr>
        <w:t>债券投资的特殊风险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市场平均利率水平变化导致债券价格变化的风险。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债券市场不同期限、不同类别债券之间的利差变动导致相应期限和类别债券价格变化的风险。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债券发行人、担保人出现违约拒绝支付到期本息，或由于债券发行人、担保人信用质量降低导致债券价格下降及无法收回投资收益的风险。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与信用等级较高的债券相比，投资于信用等级较低的债券将因为发行主体的偿还债务能力略低、受不利经济环境的影响更大以及违约风险更高等原因而面临更大的投资风险。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4"/>
        </w:numPr>
        <w:tabs>
          <w:tab w:val="left" w:pos="742"/>
        </w:tabs>
        <w:rPr>
          <w:rFonts w:ascii="楷体" w:hAnsi="楷体" w:eastAsia="楷体"/>
          <w:b/>
          <w:sz w:val="24"/>
          <w:szCs w:val="24"/>
        </w:rPr>
      </w:pPr>
      <w:r>
        <w:rPr>
          <w:rFonts w:hint="eastAsia" w:ascii="楷体" w:hAnsi="楷体" w:eastAsia="楷体"/>
          <w:b/>
          <w:sz w:val="24"/>
          <w:szCs w:val="24"/>
        </w:rPr>
        <w:t>非标准化债权的特殊风险：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融资方还款履约能力可能的变化导致的信用风险。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债务人提前还款或逾期还款的风险。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保证人未履行保证义务的风险等。</w:t>
      </w:r>
    </w:p>
    <w:p>
      <w:pPr>
        <w:numPr>
          <w:ilvl w:val="0"/>
          <w:numId w:val="4"/>
        </w:numPr>
        <w:tabs>
          <w:tab w:val="left" w:pos="742"/>
        </w:tabs>
        <w:ind w:left="0" w:firstLine="480" w:firstLineChars="200"/>
        <w:rPr>
          <w:rFonts w:ascii="楷体" w:hAnsi="楷体" w:eastAsia="楷体"/>
          <w:sz w:val="24"/>
          <w:szCs w:val="24"/>
        </w:rPr>
      </w:pPr>
      <w:r>
        <w:rPr>
          <w:rFonts w:hint="eastAsia" w:ascii="楷体" w:hAnsi="楷体" w:eastAsia="楷体"/>
          <w:sz w:val="24"/>
          <w:szCs w:val="24"/>
        </w:rPr>
        <w:t>相关资产管理计划或基金份额的特殊风险：</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资产管理计划或基金产品可能出现因为某种原因而被提前终止的情况，由此可能会造成对本理财产品投资收益的影响。</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因本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合同约定的投资范围，导致本理财产品项下委托财产的损失等风险。</w:t>
      </w:r>
    </w:p>
    <w:p>
      <w:pPr>
        <w:pStyle w:val="13"/>
        <w:spacing w:before="0" w:beforeAutospacing="0" w:after="0" w:afterAutospacing="0"/>
        <w:ind w:firstLine="482" w:firstLineChars="200"/>
        <w:rPr>
          <w:rFonts w:ascii="楷体" w:hAnsi="楷体" w:eastAsia="楷体"/>
          <w:b/>
          <w:u w:val="single"/>
        </w:rPr>
      </w:pPr>
      <w:r>
        <w:rPr>
          <w:rFonts w:hint="eastAsia" w:ascii="楷体" w:hAnsi="楷体" w:eastAsia="楷体"/>
          <w:b/>
          <w:u w:val="single"/>
        </w:rPr>
        <w:t>上述风险揭示事项仅为列举性质，未能详尽列明投资者参与本理财产品所面临的全部风险和可能导致投资者资产损失的所有因素。在您签署本理财产品的理财产品（代理）销售协议书前，应当仔细阅读风险揭示书、理财产品说明书、投资者权益须知、理财产品投资协议书及理财产品（代理）销售协议书的全部内容，同时向销售机构了解本理财产品的其他相关信息，并自己独立作出是否认购本理财产品的决定。</w:t>
      </w:r>
    </w:p>
    <w:p>
      <w:pPr>
        <w:pStyle w:val="13"/>
        <w:spacing w:before="0" w:beforeAutospacing="0" w:after="0" w:afterAutospacing="0"/>
        <w:ind w:firstLine="482" w:firstLineChars="200"/>
        <w:rPr>
          <w:rFonts w:ascii="楷体" w:hAnsi="楷体" w:eastAsia="楷体"/>
          <w:b/>
          <w:u w:val="single"/>
        </w:rPr>
      </w:pPr>
      <w:r>
        <w:rPr>
          <w:rFonts w:hint="eastAsia" w:ascii="楷体" w:hAnsi="楷体" w:eastAsia="楷体"/>
          <w:b/>
          <w:u w:val="single"/>
        </w:rPr>
        <w:t>如影响您的风险承受能力的因素发生变化，请及时完成风险承受能力评估。</w:t>
      </w:r>
    </w:p>
    <w:p>
      <w:pPr>
        <w:numPr>
          <w:ilvl w:val="0"/>
          <w:numId w:val="2"/>
        </w:numPr>
        <w:tabs>
          <w:tab w:val="left" w:pos="1134"/>
        </w:tabs>
        <w:ind w:left="0" w:firstLine="562" w:firstLineChars="200"/>
        <w:rPr>
          <w:rFonts w:ascii="楷体" w:hAnsi="楷体" w:eastAsia="楷体"/>
          <w:b/>
          <w:sz w:val="28"/>
          <w:szCs w:val="28"/>
        </w:rPr>
      </w:pPr>
      <w:r>
        <w:rPr>
          <w:rFonts w:hint="eastAsia" w:ascii="楷体" w:hAnsi="楷体" w:eastAsia="楷体"/>
          <w:b/>
          <w:sz w:val="28"/>
          <w:szCs w:val="28"/>
        </w:rPr>
        <w:t>投资者提示</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w:t>
      </w:r>
      <w:r>
        <w:rPr>
          <w:rFonts w:hint="eastAsia" w:ascii="楷体" w:hAnsi="楷体" w:eastAsia="楷体"/>
          <w:b/>
          <w:bCs/>
          <w:sz w:val="24"/>
          <w:szCs w:val="24"/>
          <w:u w:val="single"/>
        </w:rPr>
        <w:t>在最不利的情况下甚至可能损失全部本金。</w:t>
      </w:r>
      <w:r>
        <w:rPr>
          <w:rFonts w:hint="eastAsia" w:ascii="楷体" w:hAnsi="楷体" w:eastAsia="楷体"/>
          <w:b/>
          <w:sz w:val="24"/>
          <w:szCs w:val="24"/>
          <w:u w:val="single"/>
        </w:rPr>
        <w:t>投资者应充分认识投资风险，谨慎投资。</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本理财产品过往业绩不代表其未来表现，不等于理财产品实际收益，投资须谨慎。理财非存款、产品有风险、投资须谨慎。</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管理人系江苏银行股份有限公司（下称"江苏银行"）全资子公司，江苏银行为管理人关联方。如本理财产品销售机构为江苏银行，则产品投资运作中可能出现关联交易行为，存在可能导致影响投资者收益的风险。管理人将建立健全关联交易管理制度，对关联交易认定标准、交易定价方法、交易审批程序进行规范，并严格遵守法律、行政法规和金融监督管理部门的规定对关联方进行识别，按规定及时进行审批、备案并充分披露，不会以本理财产品的资产与关联方进行不正当交易、利益输送等违反相关监管规定的行为，降低关联交易风险。投资者认可此等关联方及关联交易情形的存在并自愿承担相关投资风险。</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本理财产品类型为</w:t>
      </w:r>
      <w:r>
        <w:rPr>
          <w:rFonts w:hint="eastAsia" w:ascii="楷体" w:hAnsi="楷体" w:eastAsia="楷体" w:cs="Calibri"/>
          <w:b/>
          <w:sz w:val="24"/>
          <w:szCs w:val="24"/>
          <w:u w:val="single"/>
        </w:rPr>
        <w:t>固定收益类、公募、封闭式</w:t>
      </w:r>
      <w:r>
        <w:rPr>
          <w:rFonts w:hint="eastAsia" w:ascii="楷体" w:hAnsi="楷体" w:eastAsia="楷体"/>
          <w:sz w:val="24"/>
          <w:szCs w:val="24"/>
        </w:rPr>
        <w:t>，产品管理人对本理财产品的内部风险评级为</w:t>
      </w:r>
      <w:r>
        <w:rPr>
          <w:rFonts w:hint="eastAsia" w:ascii="楷体" w:hAnsi="楷体" w:eastAsia="楷体"/>
          <w:b/>
          <w:sz w:val="24"/>
          <w:szCs w:val="24"/>
          <w:u w:val="single"/>
        </w:rPr>
        <w:t>★★二级，适合</w:t>
      </w:r>
      <w:r>
        <w:rPr>
          <w:rFonts w:hint="eastAsia" w:ascii="楷体" w:hAnsi="楷体" w:eastAsia="楷体" w:cs="Calibri"/>
          <w:b/>
          <w:sz w:val="24"/>
          <w:szCs w:val="24"/>
          <w:u w:val="single"/>
        </w:rPr>
        <w:t>中低风险型</w:t>
      </w:r>
      <w:r>
        <w:rPr>
          <w:rFonts w:hint="eastAsia" w:ascii="楷体" w:hAnsi="楷体" w:eastAsia="楷体"/>
          <w:b/>
          <w:sz w:val="24"/>
          <w:szCs w:val="24"/>
          <w:u w:val="single"/>
        </w:rPr>
        <w:t>投资者</w:t>
      </w:r>
      <w:r>
        <w:rPr>
          <w:rFonts w:hint="eastAsia" w:ascii="楷体" w:hAnsi="楷体" w:eastAsia="楷体"/>
          <w:sz w:val="24"/>
          <w:szCs w:val="24"/>
          <w:u w:val="single"/>
        </w:rPr>
        <w:t>。</w:t>
      </w:r>
      <w:r>
        <w:rPr>
          <w:rFonts w:hint="eastAsia" w:ascii="楷体" w:hAnsi="楷体" w:eastAsia="楷体" w:cs="Calibri"/>
          <w:b/>
          <w:sz w:val="24"/>
          <w:szCs w:val="24"/>
          <w:u w:val="single"/>
        </w:rPr>
        <w:t>如本产品通过代理销售机构渠道销售，理财产品评级以代理销售机构最终披露的评级结果为准。</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并对评估结果签字确认。机构投资者无需进行风险承受能力评估。</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的风险揭示书、理财产品说明书、投资者权益须知、理财产品投资协议书及理财产品（代理）销售协议书为本理财产品合同不可分割的组成部分。您签署本理财产品合同并将资金委托给苏银理财运作是您真实的意思表示。</w:t>
      </w:r>
      <w:r>
        <w:rPr>
          <w:rFonts w:hint="eastAsia" w:ascii="楷体" w:hAnsi="楷体" w:eastAsia="楷体"/>
          <w:b/>
          <w:bCs/>
          <w:sz w:val="24"/>
          <w:szCs w:val="24"/>
        </w:rPr>
        <w:t>您还应了解您所购买理财产品的投资风险、类型特点和投资存在的最不利投资情形：在最不利情况下，投资者甚至可能损失全部本金。</w:t>
      </w:r>
    </w:p>
    <w:p>
      <w:pPr>
        <w:numPr>
          <w:ilvl w:val="0"/>
          <w:numId w:val="0"/>
        </w:numPr>
        <w:tabs>
          <w:tab w:val="left" w:pos="742"/>
        </w:tabs>
        <w:ind w:firstLine="480" w:firstLineChars="200"/>
        <w:rPr>
          <w:rFonts w:ascii="楷体" w:hAnsi="楷体" w:eastAsia="楷体"/>
          <w:sz w:val="24"/>
          <w:szCs w:val="24"/>
        </w:rPr>
      </w:pPr>
      <w:r>
        <w:rPr>
          <w:rFonts w:hint="eastAsia" w:ascii="楷体" w:hAnsi="楷体" w:eastAsia="楷体"/>
          <w:sz w:val="24"/>
          <w:szCs w:val="24"/>
        </w:rPr>
        <w:t>示例：如投资者购买本理财产品，本金为1万元，在理财产品资产组合项下资产全部亏损的最不利情况下，理财产品1万元本金将全部损失。</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苏银理财及销售机构将根据相关法律、法规严格履行投资者信息保密责任，除监管机构或司法机关等有权机构外，不得对其他第三方提供任何投资者信息。</w:t>
      </w:r>
    </w:p>
    <w:p>
      <w:pPr>
        <w:autoSpaceDE w:val="0"/>
        <w:autoSpaceDN w:val="0"/>
        <w:adjustRightInd w:val="0"/>
        <w:ind w:firstLine="426" w:firstLineChars="177"/>
        <w:jc w:val="left"/>
        <w:rPr>
          <w:rFonts w:ascii="楷体" w:hAnsi="楷体" w:eastAsia="楷体" w:cs="宋体"/>
          <w:b/>
          <w:kern w:val="0"/>
          <w:sz w:val="24"/>
          <w:szCs w:val="24"/>
        </w:rPr>
      </w:pPr>
    </w:p>
    <w:p>
      <w:pPr>
        <w:pStyle w:val="13"/>
        <w:spacing w:before="0" w:beforeAutospacing="0" w:after="0" w:afterAutospacing="0" w:line="360" w:lineRule="auto"/>
        <w:ind w:left="420"/>
        <w:jc w:val="right"/>
        <w:rPr>
          <w:rFonts w:ascii="楷体" w:hAnsi="楷体" w:eastAsia="楷体"/>
          <w:b/>
        </w:rPr>
        <w:sectPr>
          <w:headerReference r:id="rId6" w:type="first"/>
          <w:headerReference r:id="rId4" w:type="default"/>
          <w:footerReference r:id="rId7" w:type="default"/>
          <w:headerReference r:id="rId5" w:type="even"/>
          <w:pgSz w:w="11906" w:h="16838"/>
          <w:pgMar w:top="1440" w:right="1800" w:bottom="1440" w:left="1800" w:header="851" w:footer="992" w:gutter="0"/>
          <w:cols w:space="425" w:num="1"/>
          <w:docGrid w:type="lines" w:linePitch="312" w:charSpace="0"/>
        </w:sectPr>
      </w:pPr>
      <w:r>
        <w:rPr>
          <w:rFonts w:hint="eastAsia" w:ascii="楷体" w:hAnsi="楷体" w:eastAsia="楷体"/>
          <w:b/>
        </w:rPr>
        <w:t>风险揭示方：苏银理财有限责任公司</w:t>
      </w:r>
    </w:p>
    <w:p>
      <w:pPr>
        <w:pStyle w:val="13"/>
        <w:spacing w:before="0" w:beforeAutospacing="0" w:after="0" w:afterAutospacing="0" w:line="360" w:lineRule="auto"/>
        <w:ind w:left="420"/>
        <w:jc w:val="right"/>
        <w:rPr>
          <w:rFonts w:ascii="楷体" w:hAnsi="楷体" w:eastAsia="楷体"/>
          <w:b/>
        </w:rPr>
      </w:pPr>
    </w:p>
    <w:p>
      <w:pPr>
        <w:pStyle w:val="13"/>
        <w:spacing w:before="0" w:beforeAutospacing="0" w:after="0" w:afterAutospacing="0" w:line="360" w:lineRule="auto"/>
        <w:jc w:val="center"/>
        <w:rPr>
          <w:rFonts w:ascii="楷体" w:hAnsi="楷体" w:eastAsia="楷体"/>
          <w:b/>
          <w:sz w:val="36"/>
          <w:szCs w:val="36"/>
        </w:rPr>
      </w:pPr>
      <w:r>
        <w:rPr>
          <w:rFonts w:hint="eastAsia" w:ascii="楷体" w:hAnsi="楷体" w:eastAsia="楷体"/>
          <w:b/>
          <w:sz w:val="36"/>
          <w:szCs w:val="36"/>
        </w:rPr>
        <w:t>投资者风险确认函</w:t>
      </w:r>
    </w:p>
    <w:p>
      <w:pPr>
        <w:numPr>
          <w:ilvl w:val="0"/>
          <w:numId w:val="9"/>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个人投资者确认</w:t>
      </w:r>
    </w:p>
    <w:p>
      <w:pPr>
        <w:ind w:firstLine="480" w:firstLineChars="200"/>
        <w:rPr>
          <w:rFonts w:ascii="楷体" w:hAnsi="楷体" w:eastAsia="楷体"/>
          <w:sz w:val="24"/>
          <w:szCs w:val="24"/>
        </w:rPr>
      </w:pPr>
      <w:r>
        <w:rPr>
          <w:rFonts w:hint="eastAsia" w:ascii="楷体" w:hAnsi="楷体" w:eastAsia="楷体"/>
          <w:sz w:val="24"/>
          <w:szCs w:val="24"/>
        </w:rPr>
        <w:t>本人确认已经收到本理财产品的风险揭示书，且已经认真阅读本理财产品完整合同（包括产品风险揭示书、理财产品说明书、投资者权益须知、理财产品投资协议书和理财产品（代理）销售协议书），充分了解并清楚知晓理财产品的风险，愿意承担相关风险，接受本理财产品合同全部约定。本人确认理解投资本理财产品将涉及的所有风险，并将承担且有能力承担该等风险。</w:t>
      </w:r>
      <w:r>
        <w:rPr>
          <w:rFonts w:hint="eastAsia" w:ascii="楷体" w:hAnsi="楷体" w:eastAsia="楷体"/>
          <w:b/>
          <w:sz w:val="24"/>
          <w:szCs w:val="24"/>
          <w:u w:val="single"/>
        </w:rPr>
        <w:t>本人承诺理财购买资金来源合法合规，本人将配合管理人及销售机构开展反洗钱、反恐怖融资及非居民金融账户涉税信息尽职调查等工作。</w:t>
      </w:r>
    </w:p>
    <w:p>
      <w:pPr>
        <w:ind w:firstLine="480" w:firstLineChars="200"/>
        <w:rPr>
          <w:rFonts w:ascii="楷体" w:hAnsi="楷体" w:eastAsia="楷体"/>
          <w:sz w:val="24"/>
          <w:szCs w:val="24"/>
        </w:rPr>
      </w:pPr>
      <w:r>
        <w:rPr>
          <w:rFonts w:hint="eastAsia" w:ascii="楷体" w:hAnsi="楷体" w:eastAsia="楷体"/>
          <w:sz w:val="24"/>
          <w:szCs w:val="24"/>
        </w:rPr>
        <w:t>经销售机构评估，本人的风险承受能力评级结果为</w:t>
      </w:r>
      <w:r>
        <w:rPr>
          <w:rFonts w:ascii="楷体" w:hAnsi="楷体" w:eastAsia="楷体"/>
          <w:b/>
          <w:sz w:val="24"/>
          <w:szCs w:val="24"/>
        </w:rPr>
        <w:t>：</w:t>
      </w:r>
    </w:p>
    <w:p>
      <w:pPr>
        <w:rPr>
          <w:rFonts w:ascii="楷体" w:hAnsi="楷体" w:eastAsia="楷体"/>
          <w:b/>
          <w:sz w:val="24"/>
          <w:szCs w:val="24"/>
        </w:rPr>
      </w:pPr>
    </w:p>
    <w:p>
      <w:pPr>
        <w:ind w:firstLine="480" w:firstLineChars="200"/>
        <w:rPr>
          <w:rFonts w:ascii="楷体" w:hAnsi="楷体" w:eastAsia="楷体"/>
          <w:sz w:val="24"/>
          <w:szCs w:val="24"/>
          <w:u w:val="single"/>
        </w:rPr>
      </w:pPr>
      <w:r>
        <w:rPr>
          <w:rFonts w:hint="eastAsia" w:ascii="楷体" w:hAnsi="楷体" w:eastAsia="楷体"/>
          <w:sz w:val="24"/>
          <w:szCs w:val="24"/>
          <w:u w:val="single"/>
        </w:rPr>
        <w:t xml:space="preserve">                                        （</w:t>
      </w:r>
      <w:r>
        <w:rPr>
          <w:rFonts w:hint="eastAsia" w:ascii="楷体" w:hAnsi="楷体" w:eastAsia="楷体"/>
          <w:b/>
          <w:sz w:val="24"/>
          <w:szCs w:val="24"/>
          <w:u w:val="single"/>
        </w:rPr>
        <w:t>投资者本人填写</w:t>
      </w:r>
      <w:r>
        <w:rPr>
          <w:rFonts w:hint="eastAsia" w:ascii="楷体" w:hAnsi="楷体" w:eastAsia="楷体"/>
          <w:sz w:val="24"/>
          <w:szCs w:val="24"/>
          <w:u w:val="single"/>
        </w:rPr>
        <w:t>）</w:t>
      </w:r>
    </w:p>
    <w:p>
      <w:pPr>
        <w:ind w:firstLine="480" w:firstLineChars="200"/>
        <w:rPr>
          <w:rFonts w:ascii="楷体" w:hAnsi="楷体" w:eastAsia="楷体"/>
          <w:sz w:val="24"/>
          <w:szCs w:val="24"/>
        </w:rPr>
      </w:pPr>
      <w:r>
        <w:rPr>
          <w:rFonts w:hint="eastAsia" w:ascii="楷体" w:hAnsi="楷体" w:eastAsia="楷体"/>
          <w:sz w:val="24"/>
          <w:szCs w:val="24"/>
        </w:rPr>
        <w:t>风险承受能力不低于本理财产品的风险评级，适合购买本理财产品。如风险承受能力评估已超过一年，</w:t>
      </w:r>
      <w:r>
        <w:rPr>
          <w:rFonts w:ascii="楷体" w:hAnsi="楷体" w:eastAsia="楷体"/>
          <w:sz w:val="24"/>
          <w:szCs w:val="24"/>
        </w:rPr>
        <w:t>或</w:t>
      </w:r>
      <w:r>
        <w:rPr>
          <w:rFonts w:hint="eastAsia" w:ascii="楷体" w:hAnsi="楷体" w:eastAsia="楷体"/>
          <w:sz w:val="24"/>
          <w:szCs w:val="24"/>
        </w:rPr>
        <w:t>影响风险承受能力的因素发生变化，本人将及时完成风险承受能力的重新评估。</w:t>
      </w:r>
    </w:p>
    <w:p>
      <w:pPr>
        <w:ind w:firstLine="480" w:firstLineChars="200"/>
        <w:rPr>
          <w:rFonts w:ascii="楷体" w:hAnsi="楷体" w:eastAsia="楷体"/>
          <w:b/>
          <w:sz w:val="24"/>
          <w:szCs w:val="24"/>
        </w:rPr>
      </w:pPr>
      <w:r>
        <w:rPr>
          <w:rFonts w:hint="eastAsia" w:ascii="楷体" w:hAnsi="楷体" w:eastAsia="楷体"/>
          <w:sz w:val="24"/>
          <w:szCs w:val="24"/>
        </w:rPr>
        <w:t>须</w:t>
      </w:r>
      <w:r>
        <w:rPr>
          <w:rFonts w:hint="eastAsia" w:ascii="楷体" w:hAnsi="楷体" w:eastAsia="楷体"/>
          <w:b/>
          <w:sz w:val="24"/>
          <w:szCs w:val="24"/>
          <w:u w:val="single"/>
        </w:rPr>
        <w:t>投资者亲笔抄录</w:t>
      </w:r>
      <w:r>
        <w:rPr>
          <w:rFonts w:hint="eastAsia" w:ascii="楷体" w:hAnsi="楷体" w:eastAsia="楷体"/>
          <w:sz w:val="24"/>
          <w:szCs w:val="24"/>
        </w:rPr>
        <w:t>以下内容：</w:t>
      </w:r>
      <w:r>
        <w:rPr>
          <w:rFonts w:hint="eastAsia" w:ascii="楷体" w:hAnsi="楷体" w:eastAsia="楷体"/>
          <w:b/>
          <w:sz w:val="24"/>
          <w:szCs w:val="24"/>
        </w:rPr>
        <w:t>“</w:t>
      </w:r>
      <w:r>
        <w:rPr>
          <w:rFonts w:hint="eastAsia" w:ascii="楷体" w:hAnsi="楷体" w:eastAsia="楷体"/>
          <w:b/>
          <w:sz w:val="24"/>
          <w:szCs w:val="24"/>
          <w:u w:val="single"/>
        </w:rPr>
        <w:t>本人已经阅读风险揭示，愿意承担投资风险</w:t>
      </w:r>
      <w:r>
        <w:rPr>
          <w:rFonts w:hint="eastAsia" w:ascii="楷体" w:hAnsi="楷体" w:eastAsia="楷体"/>
          <w:b/>
          <w:sz w:val="24"/>
          <w:szCs w:val="24"/>
        </w:rPr>
        <w:t>”</w:t>
      </w:r>
      <w:r>
        <w:rPr>
          <w:rFonts w:hint="eastAsia" w:ascii="楷体" w:hAnsi="楷体" w:eastAsia="楷体"/>
          <w:sz w:val="24"/>
          <w:szCs w:val="24"/>
        </w:rPr>
        <w:t>。</w:t>
      </w:r>
    </w:p>
    <w:p>
      <w:pPr>
        <w:rPr>
          <w:rFonts w:ascii="楷体" w:hAnsi="楷体" w:eastAsia="楷体"/>
          <w:sz w:val="24"/>
          <w:szCs w:val="24"/>
          <w:u w:val="single"/>
        </w:rPr>
      </w:pPr>
    </w:p>
    <w:p>
      <w:pPr>
        <w:rPr>
          <w:rFonts w:ascii="楷体" w:hAnsi="楷体" w:eastAsia="楷体"/>
          <w:sz w:val="24"/>
          <w:szCs w:val="24"/>
          <w:u w:val="single"/>
        </w:rPr>
      </w:pPr>
      <w:r>
        <w:rPr>
          <w:rFonts w:hint="eastAsia" w:ascii="楷体" w:hAnsi="楷体" w:eastAsia="楷体"/>
          <w:sz w:val="24"/>
          <w:szCs w:val="24"/>
          <w:u w:val="single"/>
        </w:rPr>
        <w:t xml:space="preserve">                                                                         </w:t>
      </w:r>
    </w:p>
    <w:p>
      <w:pPr>
        <w:rPr>
          <w:rFonts w:ascii="楷体" w:hAnsi="楷体" w:eastAsia="楷体"/>
          <w:sz w:val="24"/>
          <w:szCs w:val="24"/>
        </w:rPr>
      </w:pPr>
      <w:r>
        <w:rPr>
          <w:rFonts w:hint="eastAsia" w:ascii="楷体" w:hAnsi="楷体" w:eastAsia="楷体"/>
          <w:sz w:val="24"/>
          <w:szCs w:val="24"/>
        </w:rPr>
        <w:t>个人投资者签字：</w:t>
      </w:r>
    </w:p>
    <w:p>
      <w:pPr>
        <w:ind w:firstLine="480" w:firstLineChars="200"/>
        <w:jc w:val="right"/>
        <w:rPr>
          <w:rFonts w:ascii="楷体" w:hAnsi="楷体" w:eastAsia="楷体"/>
          <w:sz w:val="24"/>
          <w:szCs w:val="24"/>
        </w:rPr>
      </w:pPr>
      <w:r>
        <w:rPr>
          <w:rFonts w:hint="eastAsia" w:ascii="楷体" w:hAnsi="楷体" w:eastAsia="楷体"/>
          <w:sz w:val="24"/>
          <w:szCs w:val="24"/>
        </w:rPr>
        <w:t>年   月   日</w:t>
      </w:r>
    </w:p>
    <w:p>
      <w:pPr>
        <w:numPr>
          <w:ilvl w:val="0"/>
          <w:numId w:val="9"/>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机构投资者确认</w:t>
      </w:r>
    </w:p>
    <w:p>
      <w:pPr>
        <w:ind w:firstLine="480" w:firstLineChars="200"/>
        <w:rPr>
          <w:rFonts w:ascii="楷体" w:hAnsi="楷体" w:eastAsia="楷体"/>
          <w:sz w:val="24"/>
          <w:szCs w:val="24"/>
        </w:rPr>
      </w:pPr>
      <w:r>
        <w:rPr>
          <w:rFonts w:ascii="楷体" w:hAnsi="楷体" w:eastAsia="楷体"/>
          <w:sz w:val="24"/>
          <w:szCs w:val="24"/>
        </w:rPr>
        <w:t>投资者声明：投资决策系由本</w:t>
      </w:r>
      <w:r>
        <w:rPr>
          <w:rFonts w:hint="eastAsia" w:ascii="楷体" w:hAnsi="楷体" w:eastAsia="楷体"/>
          <w:sz w:val="24"/>
          <w:szCs w:val="24"/>
        </w:rPr>
        <w:t>机构</w:t>
      </w:r>
      <w:r>
        <w:rPr>
          <w:rFonts w:ascii="楷体" w:hAnsi="楷体" w:eastAsia="楷体"/>
          <w:sz w:val="24"/>
          <w:szCs w:val="24"/>
        </w:rPr>
        <w:t>独立、自主、谨慎做出，本</w:t>
      </w:r>
      <w:r>
        <w:rPr>
          <w:rFonts w:hint="eastAsia" w:ascii="楷体" w:hAnsi="楷体" w:eastAsia="楷体"/>
          <w:sz w:val="24"/>
          <w:szCs w:val="24"/>
        </w:rPr>
        <w:t>机构已经收到本理财产品的风险揭示书，且已经认真阅读本理财产品完整合同（包括风险揭示书、理财产品说明书、投资者权益须知、理财产品投资协议书和理财产品（代理）销售协议书）</w:t>
      </w:r>
      <w:r>
        <w:rPr>
          <w:rFonts w:ascii="楷体" w:hAnsi="楷体" w:eastAsia="楷体"/>
          <w:sz w:val="24"/>
          <w:szCs w:val="24"/>
        </w:rPr>
        <w:t>，充分认识该理财产品的特征、风险和投资者相关权利义务条款，完全理解并自愿接受</w:t>
      </w:r>
      <w:r>
        <w:rPr>
          <w:rFonts w:hint="eastAsia" w:ascii="楷体" w:hAnsi="楷体" w:eastAsia="楷体"/>
          <w:sz w:val="24"/>
          <w:szCs w:val="24"/>
        </w:rPr>
        <w:t>。</w:t>
      </w:r>
      <w:r>
        <w:rPr>
          <w:rFonts w:hint="eastAsia" w:ascii="楷体" w:hAnsi="楷体" w:eastAsia="楷体"/>
          <w:b/>
          <w:sz w:val="24"/>
          <w:szCs w:val="24"/>
          <w:u w:val="single"/>
        </w:rPr>
        <w:t>本机构承诺理财购买资金来源合法合规，本机构将配合管理人及销售机构开展反洗钱、反恐怖融资及非居民金融账户涉税信息尽职调查等工作。</w:t>
      </w:r>
    </w:p>
    <w:p>
      <w:pPr>
        <w:ind w:firstLine="480" w:firstLineChars="200"/>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机构投资者（盖章）：</w:t>
      </w: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机构投资者法定代表人或授权代表（签字或盖章）</w:t>
      </w:r>
    </w:p>
    <w:p>
      <w:pPr>
        <w:rPr>
          <w:rFonts w:ascii="楷体" w:hAnsi="楷体" w:eastAsia="楷体"/>
        </w:rPr>
      </w:pPr>
    </w:p>
    <w:p>
      <w:pPr>
        <w:ind w:firstLine="360" w:firstLineChars="150"/>
        <w:jc w:val="right"/>
        <w:rPr>
          <w:rFonts w:ascii="楷体" w:hAnsi="楷体" w:eastAsia="楷体"/>
          <w:sz w:val="24"/>
          <w:szCs w:val="24"/>
        </w:rPr>
      </w:pPr>
      <w:r>
        <w:rPr>
          <w:rFonts w:hint="eastAsia" w:ascii="楷体" w:hAnsi="楷体" w:eastAsia="楷体"/>
          <w:sz w:val="24"/>
          <w:szCs w:val="24"/>
        </w:rPr>
        <w:t>年   月   日</w:t>
      </w:r>
    </w:p>
    <w:bookmarkEnd w:id="0"/>
    <w:p>
      <w:pPr>
        <w:pStyle w:val="13"/>
        <w:spacing w:before="0" w:beforeAutospacing="0" w:after="0" w:afterAutospacing="0" w:line="360" w:lineRule="auto"/>
        <w:rPr>
          <w:rFonts w:ascii="楷体" w:hAnsi="楷体" w:eastAsia="楷体" w:cs="浠垮畫"/>
          <w:b/>
          <w:u w:val="single"/>
        </w:rPr>
      </w:pPr>
    </w:p>
    <w:p>
      <w:pPr>
        <w:pStyle w:val="13"/>
        <w:spacing w:before="0" w:beforeAutospacing="0" w:after="0" w:afterAutospacing="0" w:line="360" w:lineRule="auto"/>
        <w:jc w:val="center"/>
        <w:rPr>
          <w:rFonts w:ascii="楷体" w:hAnsi="楷体" w:eastAsia="楷体"/>
        </w:rPr>
      </w:pPr>
      <w:r>
        <w:rPr>
          <w:rFonts w:hint="eastAsia" w:ascii="楷体" w:hAnsi="楷体" w:eastAsia="楷体"/>
          <w:b/>
          <w:sz w:val="36"/>
          <w:szCs w:val="36"/>
        </w:rPr>
        <w:t xml:space="preserve"> </w:t>
      </w:r>
    </w:p>
    <w:p>
      <w:pPr>
        <w:rPr>
          <w:rFonts w:ascii="楷体" w:hAnsi="楷体" w:eastAsia="楷体"/>
          <w:b/>
          <w:sz w:val="36"/>
          <w:szCs w:val="36"/>
        </w:rPr>
      </w:pPr>
      <w:r>
        <w:rPr>
          <w:rFonts w:hint="eastAsia" w:ascii="楷体" w:hAnsi="楷体" w:eastAsia="楷体"/>
          <w:b/>
          <w:sz w:val="36"/>
          <w:szCs w:val="36"/>
        </w:rPr>
        <w:br w:type="page"/>
      </w:r>
    </w:p>
    <w:p>
      <w:pPr>
        <w:pStyle w:val="13"/>
        <w:spacing w:before="0" w:beforeAutospacing="0" w:after="0" w:afterAutospacing="0" w:line="360" w:lineRule="auto"/>
        <w:jc w:val="center"/>
        <w:rPr>
          <w:rFonts w:ascii="楷体" w:hAnsi="楷体" w:eastAsia="楷体"/>
          <w:b/>
          <w:sz w:val="36"/>
          <w:szCs w:val="36"/>
        </w:rPr>
      </w:pPr>
      <w:bookmarkStart w:id="1" w:name="_Hlk167980810"/>
      <w:bookmarkStart w:id="2" w:name="_Hlk168577216"/>
      <w:r>
        <w:rPr>
          <w:rFonts w:hint="eastAsia" w:ascii="楷体" w:hAnsi="楷体" w:eastAsia="楷体"/>
          <w:b/>
          <w:sz w:val="36"/>
          <w:szCs w:val="36"/>
        </w:rPr>
        <w:t>“苏银理财</w:t>
      </w:r>
      <w:r>
        <w:rPr>
          <w:rFonts w:hint="eastAsia" w:ascii="楷体" w:hAnsi="楷体" w:eastAsia="楷体"/>
          <w:b/>
          <w:sz w:val="36"/>
          <w:szCs w:val="36"/>
          <w:lang w:eastAsia="zh-CN"/>
        </w:rPr>
        <w:t>恒源封闭债权211期优选2年</w:t>
      </w:r>
      <w:r>
        <w:rPr>
          <w:rFonts w:hint="eastAsia" w:ascii="楷体" w:hAnsi="楷体" w:eastAsia="楷体"/>
          <w:b/>
          <w:sz w:val="36"/>
          <w:szCs w:val="36"/>
        </w:rPr>
        <w:t>”理财产品说明书</w:t>
      </w:r>
    </w:p>
    <w:p>
      <w:pPr>
        <w:jc w:val="center"/>
        <w:rPr>
          <w:rFonts w:ascii="楷体" w:hAnsi="楷体" w:eastAsia="楷体"/>
          <w:b/>
          <w:sz w:val="28"/>
          <w:szCs w:val="28"/>
        </w:rPr>
      </w:pPr>
      <w:r>
        <w:rPr>
          <w:rFonts w:hint="eastAsia" w:ascii="楷体" w:hAnsi="楷体" w:eastAsia="楷体" w:cs="宋体"/>
          <w:b/>
          <w:kern w:val="0"/>
          <w:sz w:val="32"/>
          <w:szCs w:val="32"/>
        </w:rPr>
        <w:t>理财非存款、产品有风险、投资须谨慎</w:t>
      </w:r>
    </w:p>
    <w:p>
      <w:pPr>
        <w:rPr>
          <w:rFonts w:ascii="楷体" w:hAnsi="楷体" w:eastAsia="楷体"/>
          <w:b/>
          <w:sz w:val="28"/>
          <w:szCs w:val="28"/>
        </w:rPr>
      </w:pPr>
      <w:r>
        <w:rPr>
          <w:rFonts w:hint="eastAsia" w:ascii="楷体" w:hAnsi="楷体" w:eastAsia="楷体"/>
          <w:b/>
          <w:sz w:val="28"/>
          <w:szCs w:val="28"/>
        </w:rPr>
        <w:t>重要须知</w:t>
      </w:r>
    </w:p>
    <w:p>
      <w:pPr>
        <w:numPr>
          <w:ilvl w:val="0"/>
          <w:numId w:val="10"/>
        </w:numPr>
        <w:rPr>
          <w:rFonts w:ascii="楷体" w:hAnsi="楷体" w:eastAsia="楷体"/>
          <w:sz w:val="24"/>
          <w:szCs w:val="24"/>
        </w:rPr>
      </w:pPr>
      <w:r>
        <w:rPr>
          <w:rFonts w:hint="eastAsia" w:ascii="楷体" w:hAnsi="楷体" w:eastAsia="楷体"/>
          <w:sz w:val="24"/>
          <w:szCs w:val="24"/>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10"/>
        </w:numPr>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投资者应充分认识投资风险，谨慎投资；本理财产品过往业绩不代表其未来表现，不等于理财产品实际收益，投资须谨慎；理财非存款、产品有风险、投资须谨慎。</w:t>
      </w:r>
    </w:p>
    <w:p>
      <w:pPr>
        <w:numPr>
          <w:ilvl w:val="0"/>
          <w:numId w:val="10"/>
        </w:numPr>
        <w:rPr>
          <w:rFonts w:ascii="楷体" w:hAnsi="楷体" w:eastAsia="楷体"/>
          <w:b/>
          <w:sz w:val="24"/>
          <w:szCs w:val="24"/>
          <w:u w:val="single"/>
        </w:rPr>
      </w:pPr>
      <w:r>
        <w:rPr>
          <w:rFonts w:hint="eastAsia" w:ascii="楷体" w:hAnsi="楷体" w:eastAsia="楷体"/>
          <w:b/>
          <w:sz w:val="24"/>
          <w:szCs w:val="24"/>
          <w:u w:val="single"/>
        </w:rPr>
        <w:t>本理财产品的任何业绩比较区间、业绩比较基准等类似表述均属不具有法律约束力的用语，业绩比较基准为管理人对本产品所设定的投资目标，不代表投资者可能获得的实际收益，亦不构成苏银理财有限责任公司（以下简称“苏银理财”）对本理财产品的任何收益承诺。</w:t>
      </w:r>
    </w:p>
    <w:p>
      <w:pPr>
        <w:numPr>
          <w:ilvl w:val="0"/>
          <w:numId w:val="10"/>
        </w:numPr>
        <w:rPr>
          <w:rFonts w:ascii="楷体" w:hAnsi="楷体" w:eastAsia="楷体"/>
          <w:sz w:val="24"/>
          <w:szCs w:val="24"/>
        </w:rPr>
      </w:pPr>
      <w:r>
        <w:rPr>
          <w:rFonts w:hint="eastAsia" w:ascii="楷体" w:hAnsi="楷体" w:eastAsia="楷体"/>
          <w:sz w:val="24"/>
          <w:szCs w:val="24"/>
        </w:rPr>
        <w:t>《理财产品说明书》、《风险揭示书》、《投资者权益须知》、《理财产品投资协议书》、《理财产品（代理）销售协议书》共同构成本理财产品完整的不可分割的理财产品合同。</w:t>
      </w:r>
    </w:p>
    <w:p>
      <w:pPr>
        <w:numPr>
          <w:ilvl w:val="0"/>
          <w:numId w:val="10"/>
        </w:numPr>
        <w:rPr>
          <w:rFonts w:ascii="楷体" w:hAnsi="楷体" w:eastAsia="楷体"/>
          <w:sz w:val="24"/>
          <w:szCs w:val="24"/>
        </w:rPr>
      </w:pPr>
      <w:r>
        <w:rPr>
          <w:rFonts w:hint="eastAsia" w:ascii="楷体" w:hAnsi="楷体" w:eastAsia="楷体"/>
          <w:sz w:val="24"/>
          <w:szCs w:val="24"/>
        </w:rPr>
        <w:t>本理财产品涉及的主要风险包括政策风险、信用风险、市场风险、流动性风险、管理风险、操作风险、产品不成立风险、延期兑付风险、提前终止风险、信息传递风险、税务风险、代销风险（如有）、其他风险等。请仔细阅读《“苏银理财</w:t>
      </w:r>
      <w:r>
        <w:rPr>
          <w:rFonts w:hint="eastAsia" w:ascii="楷体" w:hAnsi="楷体" w:eastAsia="楷体"/>
          <w:sz w:val="24"/>
          <w:szCs w:val="24"/>
          <w:lang w:eastAsia="zh-CN"/>
        </w:rPr>
        <w:t>恒源封闭债权211期优选2年</w:t>
      </w:r>
      <w:r>
        <w:rPr>
          <w:rFonts w:hint="eastAsia" w:ascii="楷体" w:hAnsi="楷体" w:eastAsia="楷体"/>
          <w:sz w:val="24"/>
          <w:szCs w:val="24"/>
        </w:rPr>
        <w:t>”理财产品风险揭示书》的“风险揭示”部分。</w:t>
      </w:r>
    </w:p>
    <w:p>
      <w:pPr>
        <w:numPr>
          <w:ilvl w:val="0"/>
          <w:numId w:val="10"/>
        </w:numPr>
        <w:rPr>
          <w:rFonts w:ascii="楷体" w:hAnsi="楷体" w:eastAsia="楷体"/>
          <w:b/>
          <w:sz w:val="24"/>
          <w:szCs w:val="24"/>
          <w:u w:val="single"/>
        </w:rPr>
      </w:pPr>
      <w:r>
        <w:rPr>
          <w:rFonts w:hint="eastAsia" w:ascii="楷体" w:hAnsi="楷体" w:eastAsia="楷体"/>
          <w:b/>
          <w:sz w:val="24"/>
          <w:szCs w:val="24"/>
          <w:u w:val="single"/>
        </w:rPr>
        <w:t>投资者不得使用贷款、发行债券等筹集的非自有资金投资本理财产品。</w:t>
      </w:r>
    </w:p>
    <w:p>
      <w:pPr>
        <w:numPr>
          <w:ilvl w:val="0"/>
          <w:numId w:val="10"/>
        </w:numPr>
        <w:rPr>
          <w:rFonts w:ascii="楷体" w:hAnsi="楷体" w:eastAsia="楷体"/>
          <w:b/>
          <w:bCs/>
          <w:sz w:val="24"/>
          <w:szCs w:val="24"/>
        </w:rPr>
      </w:pPr>
      <w:r>
        <w:rPr>
          <w:rFonts w:hint="eastAsia" w:ascii="楷体" w:hAnsi="楷体" w:eastAsia="楷体"/>
          <w:sz w:val="24"/>
          <w:szCs w:val="24"/>
        </w:rPr>
        <w:t>本理财产品类型为</w:t>
      </w:r>
      <w:r>
        <w:rPr>
          <w:rFonts w:hint="eastAsia" w:ascii="楷体" w:hAnsi="楷体" w:eastAsia="楷体"/>
          <w:b/>
          <w:sz w:val="24"/>
          <w:szCs w:val="24"/>
          <w:u w:val="single"/>
        </w:rPr>
        <w:t>固定收益类</w:t>
      </w:r>
      <w:r>
        <w:rPr>
          <w:rFonts w:hint="eastAsia" w:ascii="楷体" w:hAnsi="楷体" w:eastAsia="楷体"/>
          <w:sz w:val="24"/>
          <w:szCs w:val="24"/>
        </w:rPr>
        <w:t>产品。若法律法规、监管政策及市场情况发生变化，苏银理财有权在不改变产品类型的情况下，可对本说明书中已约定的投资范围、投资品种、投资比例以及收费项目、条件、标准、方式和收益分配原则进行调整，</w:t>
      </w:r>
      <w:r>
        <w:rPr>
          <w:rFonts w:hint="eastAsia" w:ascii="楷体" w:hAnsi="楷体" w:eastAsia="楷体"/>
          <w:b/>
          <w:bCs/>
          <w:sz w:val="24"/>
          <w:szCs w:val="24"/>
          <w:u w:val="single"/>
        </w:rPr>
        <w:t>产品管理人将于</w:t>
      </w:r>
      <w:r>
        <w:rPr>
          <w:rFonts w:hint="eastAsia" w:ascii="楷体" w:hAnsi="楷体" w:eastAsia="楷体"/>
          <w:b/>
          <w:bCs/>
          <w:sz w:val="24"/>
          <w:szCs w:val="24"/>
          <w:u w:val="single"/>
          <w:lang w:val="en-US" w:eastAsia="zh-CN"/>
        </w:rPr>
        <w:t>调整事项</w:t>
      </w:r>
      <w:r>
        <w:rPr>
          <w:rFonts w:hint="eastAsia" w:ascii="楷体" w:hAnsi="楷体" w:eastAsia="楷体"/>
          <w:b/>
          <w:bCs/>
          <w:sz w:val="24"/>
          <w:szCs w:val="24"/>
          <w:u w:val="single"/>
        </w:rPr>
        <w:t>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0"/>
        </w:numPr>
        <w:rPr>
          <w:rFonts w:ascii="楷体" w:hAnsi="楷体" w:eastAsia="楷体"/>
          <w:sz w:val="24"/>
          <w:szCs w:val="24"/>
        </w:rPr>
      </w:pPr>
      <w:r>
        <w:rPr>
          <w:rFonts w:hint="eastAsia" w:ascii="楷体" w:hAnsi="楷体" w:eastAsia="楷体"/>
          <w:sz w:val="24"/>
          <w:szCs w:val="24"/>
        </w:rPr>
        <w:t>为贯彻落实金融监管总局和银行业理财登记托管中心的要求，苏银理财将向监管机构报送理财产品投资者身份信息、每日交易、持仓等信息。后续金融监管总局和银行业理财登记托管中心等机关如果提出新的信息报送要求，苏银理财将按照该等机关的要求执行。投资者签署本理财产品销售文件即视为已经同意苏银理财将按照相关机关要求报送投资者相关信息。</w:t>
      </w:r>
    </w:p>
    <w:p>
      <w:pPr>
        <w:numPr>
          <w:ilvl w:val="0"/>
          <w:numId w:val="10"/>
        </w:numPr>
        <w:rPr>
          <w:rFonts w:ascii="楷体" w:hAnsi="楷体" w:eastAsia="楷体"/>
          <w:sz w:val="24"/>
          <w:szCs w:val="24"/>
        </w:rPr>
      </w:pPr>
      <w:r>
        <w:rPr>
          <w:rFonts w:hint="eastAsia" w:ascii="楷体" w:hAnsi="楷体" w:eastAsia="楷体"/>
          <w:sz w:val="24"/>
          <w:szCs w:val="24"/>
        </w:rPr>
        <w:t>在本产品存续期内，如因监管政策或法律法规发生变化，在不损害投资者利益的前提下，苏银理财有权单方对本产品条款进行修订，并按本理财产品说明书约定的信息披露方式予以披露。</w:t>
      </w:r>
    </w:p>
    <w:p>
      <w:pPr>
        <w:numPr>
          <w:ilvl w:val="0"/>
          <w:numId w:val="10"/>
        </w:numPr>
        <w:rPr>
          <w:rFonts w:ascii="楷体" w:hAnsi="楷体" w:eastAsia="楷体"/>
          <w:sz w:val="24"/>
          <w:szCs w:val="24"/>
        </w:rPr>
      </w:pPr>
      <w:r>
        <w:rPr>
          <w:rFonts w:hint="eastAsia" w:ascii="楷体" w:hAnsi="楷体" w:eastAsia="楷体"/>
          <w:sz w:val="24"/>
          <w:szCs w:val="24"/>
        </w:rPr>
        <w:t>在购买本理财产品后，投资者应随时关注该理财产品的信息披露情况，及时获取相关信息。</w:t>
      </w:r>
    </w:p>
    <w:p>
      <w:pPr>
        <w:numPr>
          <w:ilvl w:val="0"/>
          <w:numId w:val="10"/>
        </w:numPr>
        <w:rPr>
          <w:rFonts w:ascii="楷体" w:hAnsi="楷体" w:eastAsia="楷体"/>
        </w:rPr>
      </w:pPr>
      <w:r>
        <w:rPr>
          <w:rFonts w:hint="eastAsia" w:ascii="楷体" w:hAnsi="楷体" w:eastAsia="楷体"/>
          <w:sz w:val="24"/>
          <w:szCs w:val="24"/>
        </w:rPr>
        <w:t>本理财产品说明书在法律许可的范围内由苏银理财负责解释。</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产品要素</w:t>
      </w:r>
    </w:p>
    <w:p>
      <w:pPr>
        <w:ind w:firstLine="480" w:firstLineChars="200"/>
        <w:rPr>
          <w:rFonts w:ascii="楷体" w:hAnsi="楷体" w:eastAsia="楷体" w:cs="Calibri"/>
          <w:sz w:val="24"/>
          <w:szCs w:val="24"/>
        </w:rPr>
      </w:pPr>
      <w:r>
        <w:rPr>
          <w:rFonts w:hint="eastAsia" w:ascii="楷体" w:hAnsi="楷体" w:eastAsia="楷体" w:cs="Calibri"/>
          <w:sz w:val="24"/>
          <w:szCs w:val="24"/>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1"/>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产品名称</w:t>
            </w:r>
          </w:p>
        </w:tc>
        <w:tc>
          <w:tcPr>
            <w:tcW w:w="6614" w:type="dxa"/>
            <w:vAlign w:val="center"/>
          </w:tcPr>
          <w:p>
            <w:pPr>
              <w:pStyle w:val="34"/>
              <w:kinsoku w:val="0"/>
              <w:overflowPunct w:val="0"/>
              <w:spacing w:before="13"/>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恒源封闭债权211期优选2年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ind w:left="57"/>
              <w:jc w:val="both"/>
              <w:rPr>
                <w:rFonts w:ascii="楷体" w:hAnsi="楷体" w:eastAsia="楷体" w:cs="宋体"/>
                <w:b/>
                <w:spacing w:val="-2"/>
                <w:sz w:val="21"/>
                <w:szCs w:val="21"/>
              </w:rPr>
            </w:pPr>
            <w:r>
              <w:rPr>
                <w:rFonts w:hint="eastAsia" w:ascii="楷体" w:hAnsi="楷体" w:eastAsia="楷体" w:cs="宋体"/>
                <w:b/>
                <w:spacing w:val="-2"/>
                <w:sz w:val="21"/>
                <w:szCs w:val="21"/>
              </w:rPr>
              <w:t>理财产品登记编码</w:t>
            </w:r>
          </w:p>
        </w:tc>
        <w:tc>
          <w:tcPr>
            <w:tcW w:w="6614" w:type="dxa"/>
            <w:vAlign w:val="center"/>
          </w:tcPr>
          <w:p>
            <w:pPr>
              <w:pStyle w:val="34"/>
              <w:kinsoku w:val="0"/>
              <w:overflowPunct w:val="0"/>
              <w:spacing w:line="260" w:lineRule="exact"/>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Z7003125000105</w:t>
            </w:r>
          </w:p>
          <w:p>
            <w:pPr>
              <w:pStyle w:val="34"/>
              <w:kinsoku w:val="0"/>
              <w:overflowPunct w:val="0"/>
              <w:spacing w:line="260" w:lineRule="exact"/>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（投资者可依据该编码在中国理财网</w:t>
            </w:r>
            <w:r>
              <w:fldChar w:fldCharType="begin"/>
            </w:r>
            <w:r>
              <w:instrText xml:space="preserve"> HYPERLINK "http://www.chinawealth.com.cn/" </w:instrText>
            </w:r>
            <w:r>
              <w:fldChar w:fldCharType="separate"/>
            </w:r>
            <w:r>
              <w:rPr>
                <w:rFonts w:ascii="楷体" w:hAnsi="楷体" w:eastAsia="楷体" w:cs="宋体"/>
                <w:spacing w:val="-2"/>
                <w:sz w:val="21"/>
                <w:szCs w:val="21"/>
              </w:rPr>
              <w:t>www.chinawealth.com.cn</w:t>
            </w:r>
            <w:r>
              <w:rPr>
                <w:rFonts w:ascii="楷体" w:hAnsi="楷体" w:eastAsia="楷体" w:cs="宋体"/>
                <w:spacing w:val="-2"/>
                <w:sz w:val="21"/>
                <w:szCs w:val="21"/>
              </w:rPr>
              <w:fldChar w:fldCharType="end"/>
            </w:r>
            <w:r>
              <w:rPr>
                <w:rFonts w:hint="eastAsia" w:ascii="楷体" w:hAnsi="楷体" w:eastAsia="楷体" w:cs="宋体"/>
                <w:spacing w:val="-2"/>
                <w:sz w:val="21"/>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销售简称/销售代码</w:t>
            </w:r>
          </w:p>
        </w:tc>
        <w:tc>
          <w:tcPr>
            <w:tcW w:w="6614" w:type="dxa"/>
            <w:vAlign w:val="center"/>
          </w:tcPr>
          <w:p>
            <w:pPr>
              <w:pStyle w:val="34"/>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A份额：苏银理财恒源封闭债权211期优选2年A/J04775</w:t>
            </w:r>
          </w:p>
          <w:p>
            <w:pPr>
              <w:pStyle w:val="34"/>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B份额：苏银理财恒源封闭债权211期优选2年B/J04776</w:t>
            </w:r>
          </w:p>
          <w:p>
            <w:pPr>
              <w:pStyle w:val="34"/>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C份额：苏银理财恒源封闭债权211期优选2年C/J04777</w:t>
            </w:r>
          </w:p>
          <w:p>
            <w:pPr>
              <w:pStyle w:val="34"/>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D份额：苏银理财恒源封闭债权211期优选2年D/J04778</w:t>
            </w:r>
          </w:p>
          <w:p>
            <w:pPr>
              <w:pStyle w:val="34"/>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E份额：苏银理财恒源封闭债权211期优选2年E/J04779</w:t>
            </w:r>
          </w:p>
          <w:p>
            <w:pPr>
              <w:pStyle w:val="34"/>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F份额：苏银理财恒源封闭债权211期优选2年F/J04780</w:t>
            </w:r>
          </w:p>
          <w:p>
            <w:pPr>
              <w:pStyle w:val="34"/>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G份额：苏银理财恒源封闭债权211期优选2年G/J04781</w:t>
            </w:r>
          </w:p>
          <w:p>
            <w:pPr>
              <w:pStyle w:val="34"/>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H份额：苏银理财恒源封闭债权211期优选2年H/J04782</w:t>
            </w:r>
          </w:p>
          <w:p>
            <w:pPr>
              <w:pStyle w:val="34"/>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Z份额：苏银理财恒源封闭债权211期优选2年Z/J04783</w:t>
            </w:r>
          </w:p>
          <w:p>
            <w:pPr>
              <w:pStyle w:val="34"/>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NB份额：苏银理财恒源封闭债权211期优选2年NB（宁波分行）/J04784</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rPr>
              <w:t>AJS份额：苏银理财恒源封闭债权211期优选2年AJS鑫福款/J04785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产品管理人</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苏银理财有限责任公司，详见下文“二、产品管理人”。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产品托管人</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江苏银行股份有限公司，详见下文“十三、产品托管人”。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销售机构</w:t>
            </w:r>
          </w:p>
        </w:tc>
        <w:tc>
          <w:tcPr>
            <w:tcW w:w="6614" w:type="dxa"/>
            <w:vAlign w:val="center"/>
          </w:tcPr>
          <w:p>
            <w:pPr>
              <w:pStyle w:val="34"/>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详见下文“三、销售机构”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产品内部风险评级</w:t>
            </w:r>
          </w:p>
        </w:tc>
        <w:tc>
          <w:tcPr>
            <w:tcW w:w="6614" w:type="dxa"/>
            <w:vAlign w:val="center"/>
          </w:tcPr>
          <w:p>
            <w:pPr>
              <w:pStyle w:val="34"/>
              <w:kinsoku w:val="0"/>
              <w:overflowPunct w:val="0"/>
              <w:spacing w:before="13"/>
              <w:ind w:left="59" w:right="73" w:rightChars="35"/>
              <w:jc w:val="both"/>
              <w:rPr>
                <w:rFonts w:ascii="楷体" w:hAnsi="楷体" w:eastAsia="楷体" w:cs="宋体"/>
                <w:b/>
                <w:spacing w:val="-2"/>
                <w:sz w:val="21"/>
                <w:szCs w:val="21"/>
                <w:u w:val="single"/>
              </w:rPr>
            </w:pPr>
            <w:r>
              <w:rPr>
                <w:rFonts w:hint="eastAsia" w:ascii="楷体" w:hAnsi="楷体" w:eastAsia="楷体" w:cs="宋体"/>
                <w:b/>
                <w:spacing w:val="-2"/>
                <w:sz w:val="21"/>
                <w:szCs w:val="21"/>
                <w:u w:val="single"/>
              </w:rPr>
              <w:t>1、★★二级，</w:t>
            </w:r>
            <w:r>
              <w:rPr>
                <w:rFonts w:hint="eastAsia" w:ascii="楷体" w:hAnsi="楷体" w:eastAsia="楷体" w:cs="宋体"/>
                <w:spacing w:val="-2"/>
                <w:sz w:val="21"/>
                <w:szCs w:val="21"/>
              </w:rPr>
              <w:t>本评级为苏银理财有限责任公司内部评级，由苏银理财根据理财产品的投资组合、同类产品过往业绩和风险状况等因素，对理财产品进行评级，仅供客户参考。</w:t>
            </w:r>
          </w:p>
          <w:p>
            <w:pPr>
              <w:pStyle w:val="34"/>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w:t>
            </w:r>
            <w:r>
              <w:rPr>
                <w:rFonts w:ascii="楷体" w:hAnsi="楷体" w:eastAsia="楷体" w:cs="宋体"/>
                <w:spacing w:val="-2"/>
                <w:sz w:val="21"/>
                <w:szCs w:val="21"/>
              </w:rPr>
              <w:t>销售评级与</w:t>
            </w:r>
            <w:r>
              <w:rPr>
                <w:rFonts w:hint="eastAsia" w:ascii="楷体" w:hAnsi="楷体" w:eastAsia="楷体" w:cs="宋体"/>
                <w:spacing w:val="-2"/>
                <w:sz w:val="21"/>
                <w:szCs w:val="21"/>
              </w:rPr>
              <w:t>苏银理财</w:t>
            </w:r>
            <w:r>
              <w:rPr>
                <w:rFonts w:ascii="楷体" w:hAnsi="楷体" w:eastAsia="楷体" w:cs="宋体"/>
                <w:spacing w:val="-2"/>
                <w:sz w:val="21"/>
                <w:szCs w:val="21"/>
              </w:rPr>
              <w:t>产品评级结果不一致的，代理销售机构应当采用对应较高风险等级的评级结果并予以披露</w:t>
            </w:r>
            <w:r>
              <w:rPr>
                <w:rFonts w:hint="eastAsia" w:ascii="楷体" w:hAnsi="楷体" w:eastAsia="楷体" w:cs="宋体"/>
                <w:spacing w:val="-2"/>
                <w:sz w:val="21"/>
                <w:szCs w:val="21"/>
              </w:rPr>
              <w:t>。</w:t>
            </w:r>
          </w:p>
          <w:p>
            <w:pPr>
              <w:pStyle w:val="34"/>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b/>
                <w:spacing w:val="-2"/>
                <w:sz w:val="21"/>
                <w:szCs w:val="21"/>
                <w:u w:val="single"/>
              </w:rPr>
              <w:t>3、如本产品</w:t>
            </w:r>
            <w:r>
              <w:rPr>
                <w:rFonts w:ascii="楷体" w:hAnsi="楷体" w:eastAsia="楷体" w:cs="宋体"/>
                <w:b/>
                <w:spacing w:val="-2"/>
                <w:sz w:val="21"/>
                <w:szCs w:val="21"/>
                <w:u w:val="single"/>
              </w:rPr>
              <w:t>通过代理销售机构渠道销售，理财产品评级</w:t>
            </w:r>
            <w:r>
              <w:rPr>
                <w:rFonts w:hint="eastAsia" w:ascii="楷体" w:hAnsi="楷体" w:eastAsia="楷体" w:cs="宋体"/>
                <w:b/>
                <w:spacing w:val="-2"/>
                <w:sz w:val="21"/>
                <w:szCs w:val="21"/>
                <w:u w:val="single"/>
              </w:rPr>
              <w:t>以</w:t>
            </w:r>
            <w:r>
              <w:rPr>
                <w:rFonts w:ascii="楷体" w:hAnsi="楷体" w:eastAsia="楷体" w:cs="宋体"/>
                <w:b/>
                <w:spacing w:val="-2"/>
                <w:sz w:val="21"/>
                <w:szCs w:val="21"/>
                <w:u w:val="single"/>
              </w:rPr>
              <w:t>代理销售机构最终披露的评级结果为准</w:t>
            </w:r>
            <w:r>
              <w:rPr>
                <w:rFonts w:hint="eastAsia" w:ascii="楷体" w:hAnsi="楷体" w:eastAsia="楷体" w:cs="宋体"/>
                <w:b/>
                <w:spacing w:val="-2"/>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收益类型</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产品类型</w:t>
            </w:r>
          </w:p>
        </w:tc>
        <w:tc>
          <w:tcPr>
            <w:tcW w:w="6614" w:type="dxa"/>
            <w:vAlign w:val="center"/>
          </w:tcPr>
          <w:p>
            <w:pPr>
              <w:pStyle w:val="34"/>
              <w:kinsoku w:val="0"/>
              <w:overflowPunct w:val="0"/>
              <w:spacing w:before="12"/>
              <w:ind w:left="59" w:right="73" w:rightChars="35"/>
              <w:jc w:val="both"/>
              <w:rPr>
                <w:rFonts w:ascii="楷体" w:hAnsi="楷体" w:eastAsia="楷体" w:cs="宋体"/>
                <w:b/>
                <w:spacing w:val="-2"/>
                <w:sz w:val="21"/>
                <w:szCs w:val="21"/>
                <w:u w:val="single"/>
              </w:rPr>
            </w:pPr>
            <w:r>
              <w:rPr>
                <w:rFonts w:hint="eastAsia" w:ascii="楷体" w:hAnsi="楷体" w:eastAsia="楷体" w:cs="宋体"/>
                <w:b/>
                <w:spacing w:val="-2"/>
                <w:sz w:val="21"/>
                <w:szCs w:val="21"/>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销售对象</w:t>
            </w:r>
          </w:p>
        </w:tc>
        <w:tc>
          <w:tcPr>
            <w:tcW w:w="6614" w:type="dxa"/>
            <w:vAlign w:val="center"/>
          </w:tcPr>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A份额面向个人和机构投资者销售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B</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C</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（销售机构江苏银行仅限新资金客户、新客户</w:t>
            </w:r>
            <w:r>
              <w:rPr>
                <w:rFonts w:hint="eastAsia" w:ascii="楷体" w:hAnsi="楷体" w:eastAsia="楷体" w:cs="宋体"/>
                <w:spacing w:val="-2"/>
                <w:sz w:val="21"/>
                <w:szCs w:val="21"/>
                <w:lang w:val="en-US" w:eastAsia="zh-CN"/>
              </w:rPr>
              <w:t>及代发工资客户</w:t>
            </w:r>
            <w:r>
              <w:rPr>
                <w:rFonts w:hint="eastAsia" w:ascii="楷体" w:hAnsi="楷体" w:eastAsia="楷体" w:cs="宋体"/>
                <w:spacing w:val="-2"/>
                <w:sz w:val="21"/>
                <w:szCs w:val="21"/>
                <w:lang w:eastAsia="zh-CN"/>
              </w:rPr>
              <w:t>，具体以销售机构系统设置为准。新资金的达标条件为“客户前一日资产时点余额”较“前一月末资产月日均余额”的新增额大于5万元；新客户是指首次购买苏银理财理财产品的客户）；</w:t>
            </w:r>
          </w:p>
          <w:p>
            <w:pPr>
              <w:pStyle w:val="34"/>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份额面向个人和机构投资者销售（销售机构江苏银行仅限财富客户、私行客户</w:t>
            </w:r>
            <w:r>
              <w:rPr>
                <w:rFonts w:hint="eastAsia" w:ascii="楷体" w:hAnsi="楷体" w:eastAsia="楷体" w:cs="宋体"/>
                <w:spacing w:val="-2"/>
                <w:sz w:val="21"/>
                <w:szCs w:val="21"/>
                <w:lang w:eastAsia="zh-CN"/>
              </w:rPr>
              <w:t>、企业高管客户</w:t>
            </w:r>
            <w:r>
              <w:rPr>
                <w:rFonts w:hint="eastAsia" w:ascii="楷体" w:hAnsi="楷体" w:eastAsia="楷体" w:cs="宋体"/>
                <w:spacing w:val="-2"/>
                <w:sz w:val="21"/>
                <w:szCs w:val="21"/>
              </w:rPr>
              <w:t>，江苏银行财富客户指在江苏银行日均资产大于等于200万元的个人客户，江苏银行私行客户指在江苏银行日均资产大于等于600万元的个人客户</w:t>
            </w:r>
            <w:r>
              <w:rPr>
                <w:rFonts w:hint="eastAsia" w:ascii="楷体" w:hAnsi="楷体" w:eastAsia="楷体" w:cs="宋体"/>
                <w:spacing w:val="-2"/>
                <w:sz w:val="21"/>
                <w:szCs w:val="21"/>
                <w:lang w:eastAsia="zh-CN"/>
              </w:rPr>
              <w:t>，企业高管客户是指与江苏银行有业务来往的企业的高管客户</w:t>
            </w:r>
            <w:r>
              <w:rPr>
                <w:rFonts w:hint="eastAsia" w:ascii="楷体" w:hAnsi="楷体" w:eastAsia="楷体" w:cs="宋体"/>
                <w:spacing w:val="-2"/>
                <w:sz w:val="21"/>
                <w:szCs w:val="21"/>
              </w:rPr>
              <w:t>；机构投资者具体以销售机构设置为准</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F</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G</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H</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Z</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NB</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AJS</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募集币种</w:t>
            </w:r>
          </w:p>
        </w:tc>
        <w:tc>
          <w:tcPr>
            <w:tcW w:w="6614" w:type="dxa"/>
            <w:vAlign w:val="center"/>
          </w:tcPr>
          <w:p>
            <w:pPr>
              <w:pStyle w:val="34"/>
              <w:kinsoku w:val="0"/>
              <w:overflowPunct w:val="0"/>
              <w:spacing w:before="14"/>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spacing w:val="-2"/>
                <w:sz w:val="21"/>
                <w:szCs w:val="21"/>
              </w:rPr>
            </w:pPr>
            <w:r>
              <w:rPr>
                <w:rFonts w:hint="eastAsia" w:ascii="楷体" w:hAnsi="楷体" w:eastAsia="楷体" w:cs="宋体"/>
                <w:b/>
                <w:spacing w:val="-2"/>
                <w:sz w:val="21"/>
                <w:szCs w:val="21"/>
              </w:rPr>
              <w:t>计划发行规模</w:t>
            </w:r>
          </w:p>
        </w:tc>
        <w:tc>
          <w:tcPr>
            <w:tcW w:w="6614" w:type="dxa"/>
            <w:vAlign w:val="center"/>
          </w:tcPr>
          <w:p>
            <w:pPr>
              <w:ind w:left="59" w:right="73" w:rightChars="35"/>
              <w:rPr>
                <w:rFonts w:ascii="楷体" w:hAnsi="楷体" w:eastAsia="楷体"/>
                <w:szCs w:val="21"/>
              </w:rPr>
            </w:pPr>
            <w:r>
              <w:rPr>
                <w:rFonts w:hint="eastAsia" w:ascii="楷体" w:hAnsi="楷体" w:eastAsia="楷体"/>
                <w:szCs w:val="21"/>
              </w:rPr>
              <w:t>计划发行总规模：</w:t>
            </w:r>
            <w:r>
              <w:rPr>
                <w:rFonts w:hint="eastAsia" w:ascii="楷体" w:hAnsi="楷体" w:eastAsia="楷体"/>
                <w:szCs w:val="21"/>
                <w:lang w:val="en-US" w:eastAsia="zh-CN"/>
              </w:rPr>
              <w:t>10</w:t>
            </w:r>
            <w:r>
              <w:rPr>
                <w:rFonts w:hint="eastAsia" w:ascii="楷体" w:hAnsi="楷体" w:eastAsia="楷体"/>
                <w:szCs w:val="21"/>
              </w:rPr>
              <w:t>亿份。</w:t>
            </w:r>
          </w:p>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募集过程中管理人有权根据产品的募集情况调整计划发行规模。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认购起点</w:t>
            </w:r>
            <w:r>
              <w:rPr>
                <w:rFonts w:ascii="楷体" w:hAnsi="楷体" w:eastAsia="楷体" w:cs="宋体"/>
                <w:b/>
                <w:spacing w:val="-2"/>
                <w:sz w:val="21"/>
                <w:szCs w:val="21"/>
              </w:rPr>
              <w:t>/</w:t>
            </w:r>
            <w:r>
              <w:rPr>
                <w:rFonts w:hint="eastAsia" w:ascii="楷体" w:hAnsi="楷体" w:eastAsia="楷体" w:cs="宋体"/>
                <w:b/>
                <w:spacing w:val="-2"/>
                <w:sz w:val="21"/>
                <w:szCs w:val="21"/>
              </w:rPr>
              <w:t>追加金额</w:t>
            </w:r>
          </w:p>
        </w:tc>
        <w:tc>
          <w:tcPr>
            <w:tcW w:w="6614" w:type="dxa"/>
            <w:vAlign w:val="center"/>
          </w:tcPr>
          <w:p>
            <w:pPr>
              <w:ind w:left="59" w:right="73" w:rightChars="35"/>
              <w:rPr>
                <w:rFonts w:hint="eastAsia" w:ascii="楷体" w:hAnsi="楷体" w:eastAsia="楷体"/>
                <w:szCs w:val="21"/>
              </w:rPr>
            </w:pPr>
            <w:r>
              <w:rPr>
                <w:rFonts w:hint="eastAsia" w:ascii="楷体" w:hAnsi="楷体" w:eastAsia="楷体"/>
                <w:szCs w:val="21"/>
              </w:rPr>
              <w:t>A份额购买起点金额为1元，追加金额为1元的整数倍；（具体以销售机构设置为准）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B</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C</w:t>
            </w:r>
            <w:r>
              <w:rPr>
                <w:rFonts w:hint="eastAsia" w:ascii="楷体" w:hAnsi="楷体" w:eastAsia="楷体"/>
                <w:szCs w:val="21"/>
              </w:rPr>
              <w:t>份额购买起点金额为1</w:t>
            </w:r>
            <w:r>
              <w:rPr>
                <w:rFonts w:hint="eastAsia" w:ascii="楷体" w:hAnsi="楷体" w:eastAsia="楷体"/>
                <w:szCs w:val="21"/>
                <w:lang w:val="en-US" w:eastAsia="zh-CN"/>
              </w:rPr>
              <w:t>0,000</w:t>
            </w:r>
            <w:r>
              <w:rPr>
                <w:rFonts w:hint="eastAsia" w:ascii="楷体" w:hAnsi="楷体" w:eastAsia="楷体"/>
                <w:szCs w:val="21"/>
              </w:rPr>
              <w:t>元，追加金额为1</w:t>
            </w:r>
            <w:r>
              <w:rPr>
                <w:rFonts w:hint="eastAsia" w:ascii="楷体" w:hAnsi="楷体" w:eastAsia="楷体"/>
                <w:szCs w:val="21"/>
                <w:lang w:val="en-US" w:eastAsia="zh-CN"/>
              </w:rPr>
              <w:t>0,000</w:t>
            </w:r>
            <w:r>
              <w:rPr>
                <w:rFonts w:hint="eastAsia" w:ascii="楷体" w:hAnsi="楷体" w:eastAsia="楷体"/>
                <w:szCs w:val="21"/>
              </w:rPr>
              <w:t>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D</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E</w:t>
            </w:r>
            <w:r>
              <w:rPr>
                <w:rFonts w:hint="eastAsia" w:ascii="楷体" w:hAnsi="楷体" w:eastAsia="楷体"/>
                <w:szCs w:val="21"/>
              </w:rPr>
              <w:t>份额购买起点金额为</w:t>
            </w:r>
            <w:r>
              <w:rPr>
                <w:rFonts w:hint="eastAsia" w:ascii="楷体" w:hAnsi="楷体" w:eastAsia="楷体"/>
                <w:szCs w:val="21"/>
                <w:lang w:val="en-US" w:eastAsia="zh-CN"/>
              </w:rPr>
              <w:t>300,000</w:t>
            </w:r>
            <w:r>
              <w:rPr>
                <w:rFonts w:hint="eastAsia" w:ascii="楷体" w:hAnsi="楷体" w:eastAsia="楷体"/>
                <w:szCs w:val="21"/>
              </w:rPr>
              <w:t>元，追加金额为1</w:t>
            </w:r>
            <w:r>
              <w:rPr>
                <w:rFonts w:hint="eastAsia" w:ascii="楷体" w:hAnsi="楷体" w:eastAsia="楷体"/>
                <w:szCs w:val="21"/>
                <w:lang w:val="en-US" w:eastAsia="zh-CN"/>
              </w:rPr>
              <w:t>0,000</w:t>
            </w:r>
            <w:r>
              <w:rPr>
                <w:rFonts w:hint="eastAsia" w:ascii="楷体" w:hAnsi="楷体" w:eastAsia="楷体"/>
                <w:szCs w:val="21"/>
              </w:rPr>
              <w:t>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F</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G</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lang w:val="en-US" w:eastAsia="zh-CN"/>
              </w:rPr>
            </w:pPr>
            <w:r>
              <w:rPr>
                <w:rFonts w:hint="eastAsia" w:ascii="楷体" w:hAnsi="楷体" w:eastAsia="楷体"/>
                <w:szCs w:val="21"/>
                <w:lang w:val="en-US" w:eastAsia="zh-CN"/>
              </w:rPr>
              <w:t>H</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Z</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NB</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rPr>
              <w:t>A</w:t>
            </w:r>
            <w:r>
              <w:rPr>
                <w:rFonts w:hint="eastAsia" w:ascii="楷体" w:hAnsi="楷体" w:eastAsia="楷体"/>
                <w:szCs w:val="21"/>
                <w:lang w:val="en-US" w:eastAsia="zh-CN"/>
              </w:rPr>
              <w:t>JS</w:t>
            </w:r>
            <w:r>
              <w:rPr>
                <w:rFonts w:hint="eastAsia" w:ascii="楷体" w:hAnsi="楷体" w:eastAsia="楷体"/>
                <w:szCs w:val="21"/>
              </w:rPr>
              <w:t>份额购买起点金额为1元，追加金额为1元的整数倍；（具体以销售机构设置为准）</w:t>
            </w:r>
          </w:p>
          <w:p>
            <w:pPr>
              <w:ind w:left="59" w:right="73" w:rightChars="35"/>
              <w:rPr>
                <w:rFonts w:ascii="楷体" w:hAnsi="楷体" w:eastAsia="楷体" w:cs="宋体"/>
                <w:spacing w:val="-2"/>
                <w:szCs w:val="21"/>
              </w:rPr>
            </w:pPr>
            <w:r>
              <w:rPr>
                <w:rFonts w:hint="eastAsia" w:ascii="楷体" w:hAnsi="楷体" w:eastAsia="楷体"/>
                <w:szCs w:val="21"/>
              </w:rPr>
              <w:t>认购资金的清算和认购份额的计算详见下文“八、产品认购”。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份额面值</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募集期</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11</w:t>
            </w:r>
            <w:r>
              <w:rPr>
                <w:rFonts w:hint="eastAsia" w:ascii="楷体" w:hAnsi="楷体" w:eastAsia="楷体" w:cs="宋体"/>
                <w:spacing w:val="-2"/>
                <w:sz w:val="21"/>
                <w:szCs w:val="21"/>
              </w:rPr>
              <w:t>日9:00至202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17</w:t>
            </w:r>
            <w:r>
              <w:rPr>
                <w:rFonts w:hint="eastAsia" w:ascii="楷体" w:hAnsi="楷体" w:eastAsia="楷体" w:cs="宋体"/>
                <w:spacing w:val="-2"/>
                <w:sz w:val="21"/>
                <w:szCs w:val="21"/>
              </w:rPr>
              <w:t>日17:00</w:t>
            </w:r>
          </w:p>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管理人在法律允许的范围内保留延长或提前终止产品募集期的权利。如有变动，实际产品募集期以管理人公告为准。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产品成立日/份额登记日</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18</w:t>
            </w:r>
            <w:r>
              <w:rPr>
                <w:rFonts w:hint="eastAsia" w:ascii="楷体" w:hAnsi="楷体" w:eastAsia="楷体" w:cs="宋体"/>
                <w:spacing w:val="-2"/>
                <w:sz w:val="21"/>
                <w:szCs w:val="21"/>
              </w:rPr>
              <w:t>日</w:t>
            </w:r>
          </w:p>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若产品认购份额未达到最低发行总规模3000万，或新的法律、法规导致本产品无法合法合规运行，或出现其他导致影响产品成立不可抗力因素，产品管理人有权利但无义务宣布产品不成立，并于产品募集期结束后5个工作日内将投资者认购资金返还至投资者资金账户，募集期及资金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产品到期日</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7</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7</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日（如遇节假日，顺延至下一工作日）</w:t>
            </w:r>
          </w:p>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在符合产品说明书约定的条件下，管理人有权提前终止该产品，产品到期日受制于提前终止条款。详见下文“十、产品的终止与清算”。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9" w:right="73" w:rightChars="35"/>
              <w:jc w:val="both"/>
              <w:rPr>
                <w:rFonts w:ascii="楷体" w:hAnsi="楷体" w:eastAsia="楷体" w:cs="宋体"/>
                <w:b/>
                <w:spacing w:val="-2"/>
                <w:sz w:val="21"/>
                <w:szCs w:val="21"/>
              </w:rPr>
            </w:pPr>
            <w:r>
              <w:rPr>
                <w:rFonts w:hint="eastAsia" w:ascii="楷体" w:hAnsi="楷体" w:eastAsia="楷体" w:cs="宋体"/>
                <w:b/>
                <w:spacing w:val="-2"/>
                <w:sz w:val="21"/>
                <w:szCs w:val="21"/>
              </w:rPr>
              <w:t>产品存续期限</w:t>
            </w:r>
          </w:p>
        </w:tc>
        <w:tc>
          <w:tcPr>
            <w:tcW w:w="6614" w:type="dxa"/>
            <w:vAlign w:val="center"/>
          </w:tcPr>
          <w:p>
            <w:pPr>
              <w:ind w:left="59" w:right="73" w:rightChars="35"/>
              <w:rPr>
                <w:rFonts w:ascii="楷体" w:hAnsi="楷体" w:eastAsia="楷体" w:cs="宋体"/>
                <w:spacing w:val="-2"/>
                <w:kern w:val="0"/>
                <w:szCs w:val="21"/>
              </w:rPr>
            </w:pPr>
            <w:r>
              <w:rPr>
                <w:rFonts w:hint="eastAsia" w:ascii="楷体" w:hAnsi="楷体" w:eastAsia="楷体" w:cs="宋体"/>
                <w:spacing w:val="-2"/>
                <w:kern w:val="0"/>
                <w:szCs w:val="21"/>
                <w:lang w:val="en-US" w:eastAsia="zh-CN"/>
              </w:rPr>
              <w:t>748</w:t>
            </w:r>
            <w:r>
              <w:rPr>
                <w:rFonts w:hint="eastAsia" w:ascii="楷体" w:hAnsi="楷体" w:eastAsia="楷体" w:cs="宋体"/>
                <w:spacing w:val="-2"/>
                <w:kern w:val="0"/>
                <w:szCs w:val="21"/>
              </w:rPr>
              <w:t>天（以理财产品实际存续天数为准），</w:t>
            </w:r>
            <w:r>
              <w:rPr>
                <w:rFonts w:hint="eastAsia" w:ascii="楷体" w:hAnsi="楷体" w:eastAsia="楷体" w:cs="Calibri"/>
                <w:b/>
                <w:szCs w:val="21"/>
                <w:u w:val="single"/>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单个客户持有份额上限</w:t>
            </w:r>
          </w:p>
        </w:tc>
        <w:tc>
          <w:tcPr>
            <w:tcW w:w="6614" w:type="dxa"/>
            <w:vAlign w:val="center"/>
          </w:tcPr>
          <w:p>
            <w:pPr>
              <w:ind w:left="59" w:right="73" w:rightChars="35"/>
              <w:rPr>
                <w:rFonts w:ascii="楷体" w:hAnsi="楷体" w:eastAsia="楷体" w:cs="宋体"/>
                <w:spacing w:val="-2"/>
                <w:kern w:val="0"/>
                <w:szCs w:val="21"/>
              </w:rPr>
            </w:pPr>
            <w:r>
              <w:rPr>
                <w:rFonts w:hint="eastAsia" w:ascii="楷体" w:hAnsi="楷体" w:eastAsia="楷体" w:cs="宋体"/>
                <w:spacing w:val="-2"/>
                <w:kern w:val="0"/>
                <w:szCs w:val="21"/>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9" w:right="73" w:rightChars="35"/>
              <w:jc w:val="both"/>
              <w:rPr>
                <w:rFonts w:ascii="楷体" w:hAnsi="楷体" w:eastAsia="楷体" w:cs="宋体"/>
                <w:b/>
                <w:spacing w:val="-2"/>
                <w:sz w:val="21"/>
                <w:szCs w:val="21"/>
              </w:rPr>
            </w:pPr>
            <w:r>
              <w:rPr>
                <w:rFonts w:hint="eastAsia" w:ascii="楷体" w:hAnsi="楷体" w:eastAsia="楷体" w:cs="宋体"/>
                <w:b/>
                <w:spacing w:val="-2"/>
                <w:sz w:val="21"/>
                <w:szCs w:val="21"/>
              </w:rPr>
              <w:t>业绩比较基准（年化）</w:t>
            </w:r>
          </w:p>
        </w:tc>
        <w:tc>
          <w:tcPr>
            <w:tcW w:w="6614" w:type="dxa"/>
            <w:vAlign w:val="center"/>
          </w:tcPr>
          <w:p>
            <w:pPr>
              <w:pStyle w:val="34"/>
              <w:kinsoku w:val="0"/>
              <w:overflowPunct w:val="0"/>
              <w:spacing w:before="37"/>
              <w:ind w:left="21" w:leftChars="10" w:right="73" w:rightChars="35"/>
              <w:jc w:val="both"/>
              <w:rPr>
                <w:rFonts w:ascii="楷体" w:hAnsi="楷体" w:eastAsia="楷体" w:cs="宋体"/>
                <w:spacing w:val="-2"/>
                <w:sz w:val="21"/>
                <w:szCs w:val="21"/>
              </w:rPr>
            </w:pPr>
            <w:r>
              <w:rPr>
                <w:rFonts w:hint="eastAsia" w:ascii="楷体" w:hAnsi="楷体" w:eastAsia="楷体" w:cs="宋体"/>
                <w:b/>
                <w:bCs/>
                <w:spacing w:val="-2"/>
                <w:sz w:val="21"/>
                <w:szCs w:val="21"/>
                <w:u w:val="single"/>
              </w:rPr>
              <w:t>苏银理财</w:t>
            </w:r>
            <w:r>
              <w:rPr>
                <w:rFonts w:ascii="楷体" w:hAnsi="楷体" w:eastAsia="楷体" w:cs="宋体"/>
                <w:b/>
                <w:bCs/>
                <w:spacing w:val="-2"/>
                <w:sz w:val="21"/>
                <w:szCs w:val="21"/>
                <w:u w:val="single"/>
              </w:rPr>
              <w:t>参考过往投资经验，依据近期货币市场工具、债券</w:t>
            </w:r>
            <w:r>
              <w:rPr>
                <w:rFonts w:hint="eastAsia" w:ascii="楷体" w:hAnsi="楷体" w:eastAsia="楷体" w:cs="宋体"/>
                <w:b/>
                <w:bCs/>
                <w:spacing w:val="-2"/>
                <w:sz w:val="21"/>
                <w:szCs w:val="21"/>
                <w:u w:val="single"/>
              </w:rPr>
              <w:t>、非标准化债权</w:t>
            </w:r>
            <w:r>
              <w:rPr>
                <w:rFonts w:ascii="楷体" w:hAnsi="楷体" w:eastAsia="楷体" w:cs="宋体"/>
                <w:b/>
                <w:bCs/>
                <w:spacing w:val="-2"/>
                <w:sz w:val="21"/>
                <w:szCs w:val="21"/>
                <w:u w:val="single"/>
              </w:rPr>
              <w:t>等资产</w:t>
            </w:r>
            <w:r>
              <w:rPr>
                <w:rFonts w:hint="eastAsia" w:ascii="楷体" w:hAnsi="楷体" w:eastAsia="楷体" w:cs="宋体"/>
                <w:b/>
                <w:bCs/>
                <w:spacing w:val="-2"/>
                <w:sz w:val="21"/>
                <w:szCs w:val="21"/>
                <w:u w:val="single"/>
              </w:rPr>
              <w:t>投资</w:t>
            </w:r>
            <w:r>
              <w:rPr>
                <w:rFonts w:ascii="楷体" w:hAnsi="楷体" w:eastAsia="楷体" w:cs="宋体"/>
                <w:b/>
                <w:bCs/>
                <w:spacing w:val="-2"/>
                <w:sz w:val="21"/>
                <w:szCs w:val="21"/>
                <w:u w:val="single"/>
              </w:rPr>
              <w:t>收益水平，在产品说明书约定的投资范围和投资比例内</w:t>
            </w:r>
            <w:r>
              <w:rPr>
                <w:rFonts w:hint="eastAsia" w:ascii="楷体" w:hAnsi="楷体" w:eastAsia="楷体" w:cs="宋体"/>
                <w:b/>
                <w:bCs/>
                <w:spacing w:val="-2"/>
                <w:sz w:val="21"/>
                <w:szCs w:val="21"/>
                <w:u w:val="single"/>
              </w:rPr>
              <w:t>，综合考虑各份额收取的销售服务费和投资管理费的情况，</w:t>
            </w:r>
            <w:r>
              <w:rPr>
                <w:rFonts w:ascii="楷体" w:hAnsi="楷体" w:eastAsia="楷体" w:cs="宋体"/>
                <w:b/>
                <w:bCs/>
                <w:spacing w:val="-2"/>
                <w:sz w:val="21"/>
                <w:szCs w:val="21"/>
                <w:u w:val="single"/>
              </w:rPr>
              <w:t>模拟测算得出</w:t>
            </w:r>
            <w:r>
              <w:rPr>
                <w:rFonts w:hint="eastAsia" w:ascii="楷体" w:hAnsi="楷体" w:eastAsia="楷体" w:cs="宋体"/>
                <w:b/>
                <w:bCs/>
                <w:spacing w:val="-2"/>
                <w:sz w:val="21"/>
                <w:szCs w:val="21"/>
                <w:u w:val="single"/>
              </w:rPr>
              <w:t>业绩比较基准。本产品各份额因收取的销售服务费和投资管理费存在差异，业绩比较基准设置将有所不同。</w:t>
            </w:r>
            <w:r>
              <w:rPr>
                <w:rFonts w:hint="eastAsia" w:ascii="楷体" w:hAnsi="楷体" w:eastAsia="楷体" w:cs="宋体"/>
                <w:spacing w:val="-2"/>
                <w:sz w:val="21"/>
                <w:szCs w:val="21"/>
              </w:rPr>
              <w:t>各份额业绩比较基准如下：</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A份额：3.05%-3.35%</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B份额：3.00%-3.30%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C份额：3.08%-3.38%</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D份额：</w:t>
            </w:r>
            <w:r>
              <w:rPr>
                <w:rFonts w:hint="eastAsia" w:ascii="楷体" w:hAnsi="楷体" w:eastAsia="楷体" w:cs="宋体"/>
                <w:bCs/>
                <w:spacing w:val="-2"/>
                <w:kern w:val="2"/>
                <w:sz w:val="21"/>
                <w:szCs w:val="21"/>
                <w:lang w:val="en-US" w:eastAsia="zh-CN"/>
              </w:rPr>
              <w:t>2.90</w:t>
            </w:r>
            <w:r>
              <w:rPr>
                <w:rFonts w:hint="eastAsia" w:ascii="楷体" w:hAnsi="楷体" w:eastAsia="楷体" w:cs="宋体"/>
                <w:bCs/>
                <w:spacing w:val="-2"/>
                <w:kern w:val="2"/>
                <w:sz w:val="21"/>
                <w:szCs w:val="21"/>
              </w:rPr>
              <w:t>%-3.</w:t>
            </w:r>
            <w:r>
              <w:rPr>
                <w:rFonts w:hint="eastAsia" w:ascii="楷体" w:hAnsi="楷体" w:eastAsia="楷体" w:cs="宋体"/>
                <w:bCs/>
                <w:spacing w:val="-2"/>
                <w:kern w:val="2"/>
                <w:sz w:val="21"/>
                <w:szCs w:val="21"/>
                <w:lang w:val="en-US" w:eastAsia="zh-CN"/>
              </w:rPr>
              <w:t>2</w:t>
            </w:r>
            <w:r>
              <w:rPr>
                <w:rFonts w:hint="eastAsia" w:ascii="楷体" w:hAnsi="楷体" w:eastAsia="楷体" w:cs="宋体"/>
                <w:bCs/>
                <w:spacing w:val="-2"/>
                <w:kern w:val="2"/>
                <w:sz w:val="21"/>
                <w:szCs w:val="21"/>
              </w:rPr>
              <w:t>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E份额：3.10%-3.40%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F份额：2.95%-3.25%</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G份额：2.90%-3.20%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H份额：3.05%-3.35%</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Z份额：3.10%-3.40%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NB份额：3.10%-3.40%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AJS份额：3.00%-3.30%</w:t>
            </w:r>
          </w:p>
          <w:p>
            <w:pPr>
              <w:ind w:left="59" w:right="73" w:rightChars="35"/>
              <w:rPr>
                <w:rFonts w:ascii="楷体" w:hAnsi="楷体" w:eastAsia="楷体" w:cs="宋体"/>
                <w:b/>
                <w:spacing w:val="-2"/>
                <w:szCs w:val="21"/>
                <w:u w:val="single"/>
              </w:rPr>
            </w:pPr>
            <w:r>
              <w:rPr>
                <w:rFonts w:hint="eastAsia" w:ascii="楷体" w:hAnsi="楷体" w:eastAsia="楷体" w:cs="宋体"/>
                <w:b/>
                <w:spacing w:val="-2"/>
                <w:szCs w:val="21"/>
                <w:u w:val="single"/>
              </w:rPr>
              <w:t>本产品为净值型产品，业绩表现将随市场波动，具有不确定性。业绩比</w:t>
            </w:r>
          </w:p>
          <w:p>
            <w:pPr>
              <w:ind w:left="59" w:right="73" w:rightChars="35"/>
              <w:rPr>
                <w:rFonts w:ascii="楷体" w:hAnsi="楷体" w:eastAsia="楷体" w:cs="宋体"/>
                <w:spacing w:val="-2"/>
                <w:kern w:val="0"/>
                <w:szCs w:val="21"/>
              </w:rPr>
            </w:pPr>
            <w:r>
              <w:rPr>
                <w:rFonts w:hint="eastAsia" w:ascii="楷体" w:hAnsi="楷体" w:eastAsia="楷体" w:cs="宋体"/>
                <w:b/>
                <w:spacing w:val="-2"/>
                <w:szCs w:val="21"/>
                <w:u w:val="single"/>
              </w:rPr>
              <w:t>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8"/>
              <w:ind w:left="55"/>
              <w:jc w:val="both"/>
              <w:rPr>
                <w:rFonts w:ascii="楷体" w:hAnsi="楷体" w:eastAsia="楷体" w:cs="宋体"/>
                <w:spacing w:val="-2"/>
                <w:sz w:val="21"/>
                <w:szCs w:val="21"/>
              </w:rPr>
            </w:pPr>
            <w:r>
              <w:rPr>
                <w:rFonts w:hint="eastAsia" w:ascii="楷体" w:hAnsi="楷体" w:eastAsia="楷体" w:cs="宋体"/>
                <w:b/>
                <w:spacing w:val="-2"/>
                <w:sz w:val="21"/>
                <w:szCs w:val="21"/>
              </w:rPr>
              <w:t>产品费用</w:t>
            </w:r>
          </w:p>
        </w:tc>
        <w:tc>
          <w:tcPr>
            <w:tcW w:w="6614" w:type="dxa"/>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本产品费用包括托管费、销售服务费、投资管理费、超额业绩报酬（如有）以及产品运作和清算中产生的其他费用等。</w:t>
            </w:r>
          </w:p>
          <w:p>
            <w:pPr>
              <w:ind w:left="59" w:right="73" w:rightChars="35"/>
              <w:rPr>
                <w:rFonts w:ascii="楷体" w:hAnsi="楷体" w:eastAsia="楷体" w:cs="宋体"/>
                <w:spacing w:val="-2"/>
                <w:szCs w:val="21"/>
              </w:rPr>
            </w:pPr>
            <w:r>
              <w:rPr>
                <w:rFonts w:hint="eastAsia" w:ascii="楷体" w:hAnsi="楷体" w:eastAsia="楷体" w:cs="宋体"/>
                <w:spacing w:val="-2"/>
                <w:szCs w:val="21"/>
              </w:rPr>
              <w:t>1.托管费率：0.02%/年；</w:t>
            </w:r>
          </w:p>
          <w:p>
            <w:pPr>
              <w:ind w:left="59" w:right="73" w:rightChars="35"/>
              <w:rPr>
                <w:rFonts w:ascii="楷体" w:hAnsi="楷体" w:eastAsia="楷体" w:cs="宋体"/>
                <w:spacing w:val="-2"/>
                <w:szCs w:val="21"/>
              </w:rPr>
            </w:pPr>
            <w:r>
              <w:rPr>
                <w:rFonts w:hint="eastAsia" w:ascii="楷体" w:hAnsi="楷体" w:eastAsia="楷体" w:cs="宋体"/>
                <w:spacing w:val="-2"/>
                <w:szCs w:val="21"/>
              </w:rPr>
              <w:t>2.销售服务费率：A份额0.</w:t>
            </w:r>
            <w:r>
              <w:rPr>
                <w:rFonts w:hint="eastAsia" w:ascii="楷体" w:hAnsi="楷体" w:eastAsia="楷体" w:cs="宋体"/>
                <w:spacing w:val="-2"/>
                <w:szCs w:val="21"/>
                <w:lang w:val="en-US" w:eastAsia="zh-CN"/>
              </w:rPr>
              <w:t>10</w:t>
            </w:r>
            <w:r>
              <w:rPr>
                <w:rFonts w:hint="eastAsia" w:ascii="楷体" w:hAnsi="楷体" w:eastAsia="楷体" w:cs="宋体"/>
                <w:spacing w:val="-2"/>
                <w:szCs w:val="21"/>
              </w:rPr>
              <w:t>%/年，B份额0.</w:t>
            </w:r>
            <w:r>
              <w:rPr>
                <w:rFonts w:hint="eastAsia" w:ascii="楷体" w:hAnsi="楷体" w:eastAsia="楷体" w:cs="宋体"/>
                <w:spacing w:val="-2"/>
                <w:szCs w:val="21"/>
                <w:lang w:val="en-US" w:eastAsia="zh-CN"/>
              </w:rPr>
              <w:t>15</w:t>
            </w:r>
            <w:r>
              <w:rPr>
                <w:rFonts w:hint="eastAsia" w:ascii="楷体" w:hAnsi="楷体" w:eastAsia="楷体" w:cs="宋体"/>
                <w:spacing w:val="-2"/>
                <w:szCs w:val="21"/>
              </w:rPr>
              <w:t>%/年，C份额0.</w:t>
            </w:r>
            <w:r>
              <w:rPr>
                <w:rFonts w:hint="eastAsia" w:ascii="楷体" w:hAnsi="楷体" w:eastAsia="楷体" w:cs="宋体"/>
                <w:spacing w:val="-2"/>
                <w:szCs w:val="21"/>
                <w:lang w:val="en-US" w:eastAsia="zh-CN"/>
              </w:rPr>
              <w:t>10</w:t>
            </w:r>
            <w:r>
              <w:rPr>
                <w:rFonts w:hint="eastAsia" w:ascii="楷体" w:hAnsi="楷体" w:eastAsia="楷体" w:cs="宋体"/>
                <w:spacing w:val="-2"/>
                <w:szCs w:val="21"/>
              </w:rPr>
              <w:t>%/年</w:t>
            </w:r>
            <w:r>
              <w:rPr>
                <w:rFonts w:hint="eastAsia" w:ascii="楷体" w:hAnsi="楷体" w:eastAsia="楷体" w:cs="宋体"/>
                <w:spacing w:val="-2"/>
                <w:szCs w:val="21"/>
                <w:lang w:val="en-US" w:eastAsia="zh-CN"/>
              </w:rPr>
              <w:t>，D</w:t>
            </w:r>
            <w:r>
              <w:rPr>
                <w:rFonts w:hint="eastAsia" w:ascii="楷体" w:hAnsi="楷体" w:eastAsia="楷体" w:cs="宋体"/>
                <w:spacing w:val="-2"/>
                <w:szCs w:val="21"/>
              </w:rPr>
              <w:t>份额0.</w:t>
            </w:r>
            <w:r>
              <w:rPr>
                <w:rFonts w:hint="eastAsia" w:ascii="楷体" w:hAnsi="楷体" w:eastAsia="楷体" w:cs="宋体"/>
                <w:spacing w:val="-2"/>
                <w:szCs w:val="21"/>
                <w:lang w:val="en-US" w:eastAsia="zh-CN"/>
              </w:rPr>
              <w:t>30</w:t>
            </w:r>
            <w:r>
              <w:rPr>
                <w:rFonts w:hint="eastAsia" w:ascii="楷体" w:hAnsi="楷体" w:eastAsia="楷体" w:cs="宋体"/>
                <w:spacing w:val="-2"/>
                <w:szCs w:val="21"/>
              </w:rPr>
              <w:t>%/年</w:t>
            </w:r>
            <w:r>
              <w:rPr>
                <w:rFonts w:hint="eastAsia" w:ascii="楷体" w:hAnsi="楷体" w:eastAsia="楷体" w:cs="宋体"/>
                <w:spacing w:val="-2"/>
                <w:szCs w:val="21"/>
                <w:lang w:val="en-US" w:eastAsia="zh-CN"/>
              </w:rPr>
              <w:t>，</w:t>
            </w:r>
            <w:r>
              <w:rPr>
                <w:rFonts w:hint="eastAsia" w:ascii="楷体" w:hAnsi="楷体" w:eastAsia="楷体" w:cs="宋体"/>
                <w:bCs/>
                <w:spacing w:val="-2"/>
                <w:kern w:val="2"/>
                <w:sz w:val="21"/>
                <w:szCs w:val="21"/>
                <w:lang w:val="en-US" w:eastAsia="zh-CN"/>
              </w:rPr>
              <w:t>E份额0.10%/年，F份额0.20%/年，G份额0.30%/年，H份额0.15%/年Z份额0.10%/年，NB份额0.10%/年，AJS份额0.20%/年</w:t>
            </w:r>
            <w:r>
              <w:rPr>
                <w:rFonts w:hint="eastAsia" w:ascii="楷体" w:hAnsi="楷体" w:eastAsia="楷体" w:cs="宋体"/>
                <w:spacing w:val="-2"/>
                <w:szCs w:val="21"/>
              </w:rPr>
              <w:t>；</w:t>
            </w:r>
          </w:p>
          <w:p>
            <w:pPr>
              <w:ind w:left="59" w:right="73" w:rightChars="35"/>
              <w:rPr>
                <w:rFonts w:ascii="楷体" w:hAnsi="楷体" w:eastAsia="楷体" w:cs="宋体"/>
                <w:spacing w:val="-2"/>
                <w:szCs w:val="21"/>
              </w:rPr>
            </w:pPr>
            <w:r>
              <w:rPr>
                <w:rFonts w:hint="eastAsia" w:ascii="楷体" w:hAnsi="楷体" w:eastAsia="楷体" w:cs="宋体"/>
                <w:spacing w:val="-2"/>
                <w:szCs w:val="21"/>
              </w:rPr>
              <w:t>3.投资管理费率：A份额0.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%/年，B份额0.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%/年，C份额0.</w:t>
            </w:r>
            <w:r>
              <w:rPr>
                <w:rFonts w:hint="eastAsia" w:ascii="楷体" w:hAnsi="楷体" w:eastAsia="楷体" w:cs="宋体"/>
                <w:spacing w:val="-2"/>
                <w:szCs w:val="21"/>
                <w:lang w:val="en-US" w:eastAsia="zh-CN"/>
              </w:rPr>
              <w:t>03</w:t>
            </w:r>
            <w:r>
              <w:rPr>
                <w:rFonts w:hint="eastAsia" w:ascii="楷体" w:hAnsi="楷体" w:eastAsia="楷体" w:cs="宋体"/>
                <w:spacing w:val="-2"/>
                <w:szCs w:val="21"/>
              </w:rPr>
              <w:t>%/年</w:t>
            </w:r>
            <w:r>
              <w:rPr>
                <w:rFonts w:hint="eastAsia" w:ascii="楷体" w:hAnsi="楷体" w:eastAsia="楷体" w:cs="宋体"/>
                <w:spacing w:val="-2"/>
                <w:szCs w:val="21"/>
                <w:lang w:val="en-US" w:eastAsia="zh-CN"/>
              </w:rPr>
              <w:t>，D</w:t>
            </w:r>
            <w:r>
              <w:rPr>
                <w:rFonts w:hint="eastAsia" w:ascii="楷体" w:hAnsi="楷体" w:eastAsia="楷体" w:cs="宋体"/>
                <w:spacing w:val="-2"/>
                <w:szCs w:val="21"/>
              </w:rPr>
              <w:t>份额0.</w:t>
            </w:r>
            <w:r>
              <w:rPr>
                <w:rFonts w:hint="eastAsia" w:ascii="楷体" w:hAnsi="楷体" w:eastAsia="楷体" w:cs="宋体"/>
                <w:spacing w:val="-2"/>
                <w:szCs w:val="21"/>
                <w:lang w:val="en-US" w:eastAsia="zh-CN"/>
              </w:rPr>
              <w:t>01</w:t>
            </w:r>
            <w:r>
              <w:rPr>
                <w:rFonts w:hint="eastAsia" w:ascii="楷体" w:hAnsi="楷体" w:eastAsia="楷体" w:cs="宋体"/>
                <w:spacing w:val="-2"/>
                <w:szCs w:val="21"/>
              </w:rPr>
              <w:t>%/年</w:t>
            </w:r>
            <w:r>
              <w:rPr>
                <w:rFonts w:hint="eastAsia" w:ascii="楷体" w:hAnsi="楷体" w:eastAsia="楷体" w:cs="宋体"/>
                <w:spacing w:val="-2"/>
                <w:szCs w:val="21"/>
                <w:lang w:val="en-US" w:eastAsia="zh-CN"/>
              </w:rPr>
              <w:t>，</w:t>
            </w:r>
            <w:r>
              <w:rPr>
                <w:rFonts w:hint="eastAsia" w:ascii="楷体" w:hAnsi="楷体" w:eastAsia="楷体" w:cs="宋体"/>
                <w:bCs/>
                <w:spacing w:val="-2"/>
                <w:kern w:val="2"/>
                <w:sz w:val="21"/>
                <w:szCs w:val="21"/>
                <w:lang w:val="en-US" w:eastAsia="zh-CN"/>
              </w:rPr>
              <w:t>E份额0.01%/年，F份额0.06%/年，G份额0.01%/年，H份额0.01%/年，Z份额0.01%/年，NB份额0.01%/年，AJS份额0.01%/年</w:t>
            </w:r>
            <w:r>
              <w:rPr>
                <w:rFonts w:hint="eastAsia" w:ascii="楷体" w:hAnsi="楷体" w:eastAsia="楷体" w:cs="宋体"/>
                <w:spacing w:val="-2"/>
                <w:szCs w:val="21"/>
              </w:rPr>
              <w:t>；</w:t>
            </w:r>
          </w:p>
          <w:p>
            <w:pPr>
              <w:ind w:left="59" w:right="73" w:rightChars="35"/>
              <w:rPr>
                <w:rFonts w:ascii="楷体" w:hAnsi="楷体" w:eastAsia="楷体" w:cs="宋体"/>
                <w:spacing w:val="-2"/>
                <w:szCs w:val="21"/>
              </w:rPr>
            </w:pPr>
            <w:r>
              <w:rPr>
                <w:rFonts w:hint="eastAsia" w:ascii="楷体" w:hAnsi="楷体" w:eastAsia="楷体" w:cs="宋体"/>
                <w:spacing w:val="-2"/>
                <w:szCs w:val="21"/>
              </w:rPr>
              <w:t>4.超额业绩报酬：若产品各份额实际投资收益在扣除托管费、销售服务费、投资管理费</w:t>
            </w:r>
            <w:r>
              <w:rPr>
                <w:rFonts w:hint="eastAsia" w:ascii="楷体" w:hAnsi="楷体" w:eastAsia="楷体" w:cs="宋体"/>
                <w:spacing w:val="-2"/>
                <w:szCs w:val="21"/>
                <w:lang w:val="en-US" w:eastAsia="zh-CN"/>
              </w:rPr>
              <w:t>等费用</w:t>
            </w:r>
            <w:r>
              <w:rPr>
                <w:rFonts w:hint="eastAsia" w:ascii="楷体" w:hAnsi="楷体" w:eastAsia="楷体" w:cs="宋体"/>
                <w:spacing w:val="-2"/>
                <w:szCs w:val="21"/>
              </w:rPr>
              <w:t>后超过各份额业绩比较基准</w:t>
            </w:r>
            <w:r>
              <w:rPr>
                <w:rFonts w:hint="eastAsia" w:ascii="楷体" w:hAnsi="楷体" w:eastAsia="楷体" w:cs="宋体"/>
                <w:spacing w:val="-2"/>
                <w:szCs w:val="21"/>
                <w:lang w:val="en-US" w:eastAsia="zh-CN"/>
              </w:rPr>
              <w:t>上限</w:t>
            </w:r>
            <w:r>
              <w:rPr>
                <w:rFonts w:hint="eastAsia" w:ascii="楷体" w:hAnsi="楷体" w:eastAsia="楷体" w:cs="宋体"/>
                <w:spacing w:val="-2"/>
                <w:szCs w:val="21"/>
              </w:rPr>
              <w:t>，产品管理人将按照超出部分的</w:t>
            </w:r>
            <w:r>
              <w:rPr>
                <w:rFonts w:hint="eastAsia" w:ascii="楷体" w:hAnsi="楷体" w:eastAsia="楷体" w:cs="宋体"/>
                <w:spacing w:val="-2"/>
                <w:szCs w:val="21"/>
                <w:lang w:val="en-US" w:eastAsia="zh-CN"/>
              </w:rPr>
              <w:t>5</w:t>
            </w:r>
            <w:r>
              <w:rPr>
                <w:rFonts w:hint="eastAsia" w:ascii="楷体" w:hAnsi="楷体" w:eastAsia="楷体" w:cs="宋体"/>
                <w:spacing w:val="-2"/>
                <w:szCs w:val="21"/>
              </w:rPr>
              <w:t>0%收取超额业绩报酬。</w:t>
            </w:r>
          </w:p>
          <w:p>
            <w:pPr>
              <w:ind w:left="59" w:right="73" w:rightChars="35"/>
              <w:rPr>
                <w:rFonts w:ascii="楷体" w:hAnsi="楷体" w:eastAsia="楷体" w:cs="宋体"/>
                <w:spacing w:val="-2"/>
                <w:szCs w:val="21"/>
              </w:rPr>
            </w:pPr>
            <w:r>
              <w:rPr>
                <w:rFonts w:hint="eastAsia" w:ascii="楷体" w:hAnsi="楷体" w:eastAsia="楷体" w:cs="宋体"/>
                <w:spacing w:val="-2"/>
                <w:szCs w:val="21"/>
              </w:rPr>
              <w:t>产品存续期内理财产品将每日暂估超额业绩报酬，仅用于理财产品会计核算，并将扣除“暂估超额业绩报酬”后的理财产品份额净值按照说明书约定向投资者进行披露。理财产品实际的超额业绩报酬以到期日计提核算的数值为准。计算累计年化收益率和业绩比较基准时，1年按365日计算。</w:t>
            </w:r>
          </w:p>
          <w:p>
            <w:pPr>
              <w:ind w:left="59" w:right="73" w:rightChars="35"/>
              <w:rPr>
                <w:rFonts w:ascii="楷体" w:hAnsi="楷体" w:eastAsia="楷体"/>
                <w:sz w:val="24"/>
                <w:szCs w:val="24"/>
              </w:rPr>
            </w:pPr>
            <w:r>
              <w:rPr>
                <w:rFonts w:hint="eastAsia" w:ascii="楷体" w:hAnsi="楷体" w:eastAsia="楷体" w:cs="宋体"/>
                <w:spacing w:val="-2"/>
                <w:szCs w:val="21"/>
              </w:rPr>
              <w:t>产品存续期内苏银理财可对费用进行调整，实际收取费率以管理人公告为准。</w:t>
            </w:r>
            <w:r>
              <w:rPr>
                <w:rFonts w:hint="eastAsia" w:ascii="楷体" w:hAnsi="楷体" w:eastAsia="楷体" w:cs="宋体"/>
                <w:b/>
                <w:spacing w:val="-2"/>
                <w:szCs w:val="21"/>
                <w:u w:val="single"/>
              </w:rPr>
              <w:t>本产品设置有多个份额，各份额按照设置的销售对象和销售起点进行销售，各份额实际收取的销售服务费率和投资管理费率可能存在差异，客户根据产品销售时设置的条件自主选择购买。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vAlign w:val="center"/>
          </w:tcPr>
          <w:p>
            <w:pPr>
              <w:pStyle w:val="34"/>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估值日</w:t>
            </w:r>
          </w:p>
        </w:tc>
        <w:tc>
          <w:tcPr>
            <w:tcW w:w="6614" w:type="dxa"/>
            <w:tcBorders>
              <w:bottom w:val="single" w:color="auto" w:sz="4" w:space="0"/>
            </w:tcBorders>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每周估值，并于估值日后第2个工作日内，通过本产品说明书约定方式披露产品单位净值。详见下文“九、产品估值”。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vAlign w:val="center"/>
          </w:tcPr>
          <w:p>
            <w:pPr>
              <w:pStyle w:val="34"/>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信息披露</w:t>
            </w:r>
          </w:p>
        </w:tc>
        <w:tc>
          <w:tcPr>
            <w:tcW w:w="6614" w:type="dxa"/>
            <w:tcBorders>
              <w:bottom w:val="single" w:color="auto" w:sz="4" w:space="0"/>
            </w:tcBorders>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管理人将按照《产品说明书》中约定的方式进行信息披露，详见下文“十四、信息披露”。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vAlign w:val="center"/>
          </w:tcPr>
          <w:p>
            <w:pPr>
              <w:pStyle w:val="34"/>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收益分配</w:t>
            </w:r>
          </w:p>
        </w:tc>
        <w:tc>
          <w:tcPr>
            <w:tcW w:w="6614" w:type="dxa"/>
            <w:tcBorders>
              <w:bottom w:val="single" w:color="auto" w:sz="4" w:space="0"/>
            </w:tcBorders>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本产品无分红机制，投资运作情况体现为产品净值变化。产品投资运作到期，投资收益扣除相关费用后，全部分配给投资者。</w:t>
            </w:r>
            <w:r>
              <w:rPr>
                <w:rFonts w:ascii="楷体" w:hAnsi="楷体" w:eastAsia="楷体" w:cs="宋体"/>
                <w:spacing w:val="-2"/>
                <w:szCs w:val="21"/>
              </w:rPr>
              <w:t>详见下文</w:t>
            </w:r>
            <w:r>
              <w:rPr>
                <w:rFonts w:hint="eastAsia" w:ascii="楷体" w:hAnsi="楷体" w:eastAsia="楷体" w:cs="宋体"/>
                <w:spacing w:val="-2"/>
                <w:szCs w:val="21"/>
              </w:rPr>
              <w:t>“十、产品的终止与清算”。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top w:val="single" w:color="auto" w:sz="4" w:space="0"/>
              <w:left w:val="single" w:color="auto" w:sz="4" w:space="0"/>
              <w:bottom w:val="single" w:color="auto" w:sz="4" w:space="0"/>
              <w:right w:val="single" w:color="auto" w:sz="4" w:space="0"/>
            </w:tcBorders>
            <w:vAlign w:val="center"/>
          </w:tcPr>
          <w:p>
            <w:pPr>
              <w:pStyle w:val="34"/>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税款</w:t>
            </w:r>
          </w:p>
        </w:tc>
        <w:tc>
          <w:tcPr>
            <w:tcW w:w="6614" w:type="dxa"/>
            <w:tcBorders>
              <w:top w:val="single" w:color="auto" w:sz="4" w:space="0"/>
              <w:left w:val="single" w:color="auto" w:sz="4" w:space="0"/>
              <w:bottom w:val="single" w:color="auto" w:sz="4" w:space="0"/>
              <w:right w:val="single" w:color="auto" w:sz="4" w:space="0"/>
            </w:tcBorders>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 xml:space="preserve">本产品运作过程中涉及的各纳税主体，其纳税义务按国家税收法律、法规执行。详见下文“十二、税收规定”。 </w:t>
            </w:r>
          </w:p>
        </w:tc>
      </w:tr>
    </w:tbl>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产品管理人</w:t>
      </w:r>
    </w:p>
    <w:p>
      <w:pPr>
        <w:ind w:firstLine="480" w:firstLineChars="200"/>
        <w:rPr>
          <w:rFonts w:ascii="楷体" w:hAnsi="楷体" w:eastAsia="楷体"/>
          <w:sz w:val="24"/>
          <w:szCs w:val="24"/>
        </w:rPr>
      </w:pPr>
      <w:r>
        <w:rPr>
          <w:rFonts w:hint="eastAsia" w:ascii="楷体" w:hAnsi="楷体" w:eastAsia="楷体"/>
          <w:sz w:val="24"/>
          <w:szCs w:val="24"/>
        </w:rPr>
        <w:t>本产品管理人为苏银理财有限责任公司，苏银理财系江苏银行股份有限公司全资控股的银行理财子公司。公司成立于2020年8月，注册资本为20亿元人民币，全部由江苏银行股份有限公司以货币资金认购并一次性足额缴纳。公司注册地为江苏省南京市。公司主要业务范围为：面向不特定社会公众公开发行理财产品，对受托的投资和财产进行投资和管理；面向合格投资者非公开发行理财产品，对受托的投资和财产进行投资和管理；理财顾问和咨询服务；经监管机构批准的其他业务等。</w:t>
      </w:r>
    </w:p>
    <w:p>
      <w:pPr>
        <w:ind w:firstLine="480" w:firstLineChars="200"/>
        <w:rPr>
          <w:rFonts w:ascii="楷体" w:hAnsi="楷体" w:eastAsia="楷体"/>
          <w:sz w:val="24"/>
          <w:szCs w:val="24"/>
        </w:rPr>
      </w:pPr>
      <w:r>
        <w:rPr>
          <w:rFonts w:hint="eastAsia" w:ascii="楷体" w:hAnsi="楷体" w:eastAsia="楷体"/>
          <w:sz w:val="24"/>
          <w:szCs w:val="24"/>
        </w:rPr>
        <w:t>投资</w:t>
      </w:r>
      <w:r>
        <w:rPr>
          <w:rFonts w:ascii="楷体" w:hAnsi="楷体" w:eastAsia="楷体"/>
          <w:sz w:val="24"/>
          <w:szCs w:val="24"/>
        </w:rPr>
        <w:t>者</w:t>
      </w:r>
      <w:r>
        <w:rPr>
          <w:rFonts w:hint="eastAsia" w:ascii="楷体" w:hAnsi="楷体" w:eastAsia="楷体"/>
          <w:sz w:val="24"/>
          <w:szCs w:val="24"/>
        </w:rPr>
        <w:t>在此</w:t>
      </w:r>
      <w:r>
        <w:rPr>
          <w:rFonts w:ascii="楷体" w:hAnsi="楷体" w:eastAsia="楷体"/>
          <w:sz w:val="24"/>
          <w:szCs w:val="24"/>
        </w:rPr>
        <w:t>授权并同意苏银理财享有以下权利：</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本理财产品合同</w:t>
      </w:r>
      <w:r>
        <w:rPr>
          <w:rFonts w:hint="eastAsia" w:ascii="楷体" w:hAnsi="楷体" w:eastAsia="楷体" w:cs="Calibri"/>
          <w:sz w:val="24"/>
          <w:szCs w:val="24"/>
        </w:rPr>
        <w:t>的</w:t>
      </w:r>
      <w:r>
        <w:rPr>
          <w:rFonts w:ascii="楷体" w:hAnsi="楷体" w:eastAsia="楷体" w:cs="Calibri"/>
          <w:sz w:val="24"/>
          <w:szCs w:val="24"/>
        </w:rPr>
        <w:t>约定，管理、运用和处分理财计划资金。</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w:t>
      </w:r>
      <w:r>
        <w:rPr>
          <w:rFonts w:hint="eastAsia" w:ascii="楷体" w:hAnsi="楷体" w:eastAsia="楷体" w:cs="Calibri"/>
          <w:sz w:val="24"/>
          <w:szCs w:val="24"/>
        </w:rPr>
        <w:t>产品</w:t>
      </w:r>
      <w:r>
        <w:rPr>
          <w:rFonts w:ascii="楷体" w:hAnsi="楷体" w:eastAsia="楷体" w:cs="Calibri"/>
          <w:sz w:val="24"/>
          <w:szCs w:val="24"/>
        </w:rPr>
        <w:t>合同的约定，及时、足额获得投资管理费。</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有权根据本理财产品合同的约定提前终止</w:t>
      </w:r>
      <w:r>
        <w:rPr>
          <w:rFonts w:hint="eastAsia" w:ascii="楷体" w:hAnsi="楷体" w:eastAsia="楷体" w:cs="Calibri"/>
          <w:sz w:val="24"/>
          <w:szCs w:val="24"/>
        </w:rPr>
        <w:t>或</w:t>
      </w:r>
      <w:r>
        <w:rPr>
          <w:rFonts w:ascii="楷体" w:hAnsi="楷体" w:eastAsia="楷体" w:cs="Calibri"/>
          <w:sz w:val="24"/>
          <w:szCs w:val="24"/>
        </w:rPr>
        <w:t>延长</w:t>
      </w:r>
      <w:r>
        <w:rPr>
          <w:rFonts w:hint="eastAsia" w:ascii="楷体" w:hAnsi="楷体" w:eastAsia="楷体" w:cs="Calibri"/>
          <w:sz w:val="24"/>
          <w:szCs w:val="24"/>
        </w:rPr>
        <w:t>本</w:t>
      </w:r>
      <w:r>
        <w:rPr>
          <w:rFonts w:ascii="楷体" w:hAnsi="楷体" w:eastAsia="楷体" w:cs="Calibri"/>
          <w:sz w:val="24"/>
          <w:szCs w:val="24"/>
        </w:rPr>
        <w:t>理财产品的期限。</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w:t>
      </w:r>
      <w:r>
        <w:rPr>
          <w:rFonts w:hint="eastAsia" w:ascii="楷体" w:hAnsi="楷体" w:eastAsia="楷体" w:cs="Calibri"/>
          <w:sz w:val="24"/>
          <w:szCs w:val="24"/>
        </w:rPr>
        <w:t>调整</w:t>
      </w:r>
      <w:r>
        <w:rPr>
          <w:rFonts w:ascii="楷体" w:hAnsi="楷体" w:eastAsia="楷体" w:cs="Calibri"/>
          <w:sz w:val="24"/>
          <w:szCs w:val="24"/>
        </w:rPr>
        <w:t>本</w:t>
      </w:r>
      <w:r>
        <w:rPr>
          <w:rFonts w:hint="eastAsia" w:ascii="楷体" w:hAnsi="楷体" w:eastAsia="楷体" w:cs="Calibri"/>
          <w:sz w:val="24"/>
          <w:szCs w:val="24"/>
        </w:rPr>
        <w:t>理财</w:t>
      </w:r>
      <w:r>
        <w:rPr>
          <w:rFonts w:ascii="楷体" w:hAnsi="楷体" w:eastAsia="楷体" w:cs="Calibri"/>
          <w:sz w:val="24"/>
          <w:szCs w:val="24"/>
        </w:rPr>
        <w:t>产品的认购规模</w:t>
      </w:r>
      <w:r>
        <w:rPr>
          <w:rFonts w:hint="eastAsia" w:ascii="楷体" w:hAnsi="楷体" w:eastAsia="楷体" w:cs="Calibri"/>
          <w:sz w:val="24"/>
          <w:szCs w:val="24"/>
        </w:rPr>
        <w:t>上限</w:t>
      </w:r>
      <w:r>
        <w:rPr>
          <w:rFonts w:ascii="楷体" w:hAnsi="楷体" w:eastAsia="楷体" w:cs="Calibri"/>
          <w:sz w:val="24"/>
          <w:szCs w:val="24"/>
        </w:rPr>
        <w:t>、认购起点、</w:t>
      </w:r>
      <w:r>
        <w:rPr>
          <w:rFonts w:hint="eastAsia" w:ascii="楷体" w:hAnsi="楷体" w:eastAsia="楷体" w:cs="Calibri"/>
          <w:sz w:val="24"/>
          <w:szCs w:val="24"/>
        </w:rPr>
        <w:t>认购</w:t>
      </w:r>
      <w:r>
        <w:rPr>
          <w:rFonts w:ascii="楷体" w:hAnsi="楷体" w:eastAsia="楷体" w:cs="Calibri"/>
          <w:sz w:val="24"/>
          <w:szCs w:val="24"/>
        </w:rPr>
        <w:t>金额上限、认购资金的最</w:t>
      </w:r>
      <w:r>
        <w:rPr>
          <w:rFonts w:hint="eastAsia" w:ascii="楷体" w:hAnsi="楷体" w:eastAsia="楷体" w:cs="Calibri"/>
          <w:sz w:val="24"/>
          <w:szCs w:val="24"/>
        </w:rPr>
        <w:t>低</w:t>
      </w:r>
      <w:r>
        <w:rPr>
          <w:rFonts w:ascii="楷体" w:hAnsi="楷体" w:eastAsia="楷体" w:cs="Calibri"/>
          <w:sz w:val="24"/>
          <w:szCs w:val="24"/>
        </w:rPr>
        <w:t>金额等</w:t>
      </w:r>
      <w:r>
        <w:rPr>
          <w:rFonts w:hint="eastAsia" w:ascii="楷体" w:hAnsi="楷体" w:eastAsia="楷体" w:cs="Calibri"/>
          <w:sz w:val="24"/>
          <w:szCs w:val="24"/>
        </w:rPr>
        <w:t>要素</w:t>
      </w:r>
      <w:r>
        <w:rPr>
          <w:rFonts w:ascii="楷体" w:hAnsi="楷体" w:eastAsia="楷体" w:cs="Calibri"/>
          <w:sz w:val="24"/>
          <w:szCs w:val="24"/>
        </w:rPr>
        <w:t>。</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有权依照法律规定和监管机构的要求将投资者的信息向有权部门或相关机构披露。</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理财产品投资管理人的名义，依照法律法规相关规定以及为理财产品的利益，对被投资的各类基金、公司/</w:t>
      </w:r>
      <w:r>
        <w:rPr>
          <w:rFonts w:hint="eastAsia" w:ascii="楷体" w:hAnsi="楷体" w:eastAsia="楷体" w:cs="Calibri"/>
          <w:sz w:val="24"/>
          <w:szCs w:val="24"/>
        </w:rPr>
        <w:t>企业</w:t>
      </w:r>
      <w:r>
        <w:rPr>
          <w:rFonts w:ascii="楷体" w:hAnsi="楷体" w:eastAsia="楷体" w:cs="Calibri"/>
          <w:sz w:val="24"/>
          <w:szCs w:val="24"/>
        </w:rPr>
        <w:t>等</w:t>
      </w:r>
      <w:r>
        <w:rPr>
          <w:rFonts w:hint="eastAsia" w:ascii="楷体" w:hAnsi="楷体" w:eastAsia="楷体" w:cs="Calibri"/>
          <w:sz w:val="24"/>
          <w:szCs w:val="24"/>
        </w:rPr>
        <w:t>行使</w:t>
      </w:r>
      <w:r>
        <w:rPr>
          <w:rFonts w:ascii="楷体" w:hAnsi="楷体" w:eastAsia="楷体" w:cs="Calibri"/>
          <w:sz w:val="24"/>
          <w:szCs w:val="24"/>
        </w:rPr>
        <w:t>出资人</w:t>
      </w:r>
      <w:r>
        <w:rPr>
          <w:rFonts w:hint="eastAsia" w:ascii="楷体" w:hAnsi="楷体" w:eastAsia="楷体" w:cs="Calibri"/>
          <w:sz w:val="24"/>
          <w:szCs w:val="24"/>
        </w:rPr>
        <w:t>/投资者</w:t>
      </w:r>
      <w:r>
        <w:rPr>
          <w:rFonts w:ascii="楷体" w:hAnsi="楷体" w:eastAsia="楷体" w:cs="Calibri"/>
          <w:sz w:val="24"/>
          <w:szCs w:val="24"/>
        </w:rPr>
        <w:t>权利（</w:t>
      </w:r>
      <w:r>
        <w:rPr>
          <w:rFonts w:hint="eastAsia" w:ascii="楷体" w:hAnsi="楷体" w:eastAsia="楷体" w:cs="Calibri"/>
          <w:sz w:val="24"/>
          <w:szCs w:val="24"/>
        </w:rPr>
        <w:t>包括</w:t>
      </w:r>
      <w:r>
        <w:rPr>
          <w:rFonts w:ascii="楷体" w:hAnsi="楷体" w:eastAsia="楷体" w:cs="Calibri"/>
          <w:sz w:val="24"/>
          <w:szCs w:val="24"/>
        </w:rPr>
        <w:t>但不限于表决投票的权利）</w:t>
      </w:r>
      <w:r>
        <w:rPr>
          <w:rFonts w:hint="eastAsia" w:ascii="楷体" w:hAnsi="楷体" w:eastAsia="楷体" w:cs="Calibri"/>
          <w:sz w:val="24"/>
          <w:szCs w:val="24"/>
        </w:rPr>
        <w:t>以及行使</w:t>
      </w:r>
      <w:r>
        <w:rPr>
          <w:rFonts w:ascii="楷体" w:hAnsi="楷体" w:eastAsia="楷体" w:cs="Calibri"/>
          <w:sz w:val="24"/>
          <w:szCs w:val="24"/>
        </w:rPr>
        <w:t>因理财产品投资于证券类基础资产（</w:t>
      </w:r>
      <w:r>
        <w:rPr>
          <w:rFonts w:hint="eastAsia" w:ascii="楷体" w:hAnsi="楷体" w:eastAsia="楷体" w:cs="Calibri"/>
          <w:sz w:val="24"/>
          <w:szCs w:val="24"/>
        </w:rPr>
        <w:t>含</w:t>
      </w:r>
      <w:r>
        <w:rPr>
          <w:rFonts w:ascii="楷体" w:hAnsi="楷体" w:eastAsia="楷体" w:cs="Calibri"/>
          <w:sz w:val="24"/>
          <w:szCs w:val="24"/>
        </w:rPr>
        <w:t>债券）</w:t>
      </w:r>
      <w:r>
        <w:rPr>
          <w:rFonts w:hint="eastAsia" w:ascii="楷体" w:hAnsi="楷体" w:eastAsia="楷体" w:cs="Calibri"/>
          <w:sz w:val="24"/>
          <w:szCs w:val="24"/>
        </w:rPr>
        <w:t>或</w:t>
      </w:r>
      <w:r>
        <w:rPr>
          <w:rFonts w:ascii="楷体" w:hAnsi="楷体" w:eastAsia="楷体" w:cs="Calibri"/>
          <w:sz w:val="24"/>
          <w:szCs w:val="24"/>
        </w:rPr>
        <w:t>其他基础资产（</w:t>
      </w:r>
      <w:r>
        <w:rPr>
          <w:rFonts w:hint="eastAsia" w:ascii="楷体" w:hAnsi="楷体" w:eastAsia="楷体" w:cs="Calibri"/>
          <w:sz w:val="24"/>
          <w:szCs w:val="24"/>
        </w:rPr>
        <w:t>包括</w:t>
      </w:r>
      <w:r>
        <w:rPr>
          <w:rFonts w:ascii="楷体" w:hAnsi="楷体" w:eastAsia="楷体" w:cs="Calibri"/>
          <w:sz w:val="24"/>
          <w:szCs w:val="24"/>
        </w:rPr>
        <w:t>但不限于债权类资产）</w:t>
      </w:r>
      <w:r>
        <w:rPr>
          <w:rFonts w:hint="eastAsia" w:ascii="楷体" w:hAnsi="楷体" w:eastAsia="楷体" w:cs="Calibri"/>
          <w:sz w:val="24"/>
          <w:szCs w:val="24"/>
        </w:rPr>
        <w:t>所产生</w:t>
      </w:r>
      <w:r>
        <w:rPr>
          <w:rFonts w:ascii="楷体" w:hAnsi="楷体" w:eastAsia="楷体" w:cs="Calibri"/>
          <w:sz w:val="24"/>
          <w:szCs w:val="24"/>
        </w:rPr>
        <w:t>的相关权利。</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w:t>
      </w:r>
      <w:r>
        <w:rPr>
          <w:rFonts w:hint="eastAsia" w:ascii="楷体" w:hAnsi="楷体" w:eastAsia="楷体" w:cs="Calibri"/>
          <w:sz w:val="24"/>
          <w:szCs w:val="24"/>
        </w:rPr>
        <w:t>法律法规相关规定以及代表理财产品份额持有人的利益行使代为追索的权利（包括但不限于提起诉讼/仲裁、申请保全/执行的权利）或者实施其他法律行为。</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法律法规、监管政策和本理财计划文件约定的其他权利。</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销售机构</w:t>
      </w:r>
    </w:p>
    <w:p>
      <w:pPr>
        <w:ind w:firstLine="480" w:firstLineChars="200"/>
        <w:rPr>
          <w:rFonts w:ascii="楷体" w:hAnsi="楷体" w:eastAsia="楷体"/>
          <w:sz w:val="24"/>
          <w:szCs w:val="24"/>
        </w:rPr>
      </w:pPr>
      <w:r>
        <w:rPr>
          <w:rFonts w:hint="eastAsia" w:ascii="楷体" w:hAnsi="楷体" w:eastAsia="楷体"/>
          <w:sz w:val="24"/>
          <w:szCs w:val="24"/>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bCs/>
          <w:sz w:val="24"/>
          <w:szCs w:val="24"/>
          <w:u w:val="single"/>
        </w:rPr>
        <w:t>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sz w:val="24"/>
          <w:szCs w:val="24"/>
        </w:rPr>
        <w:t>本产品各份额销售机构如下：</w:t>
      </w:r>
    </w:p>
    <w:tbl>
      <w:tblPr>
        <w:tblStyle w:val="15"/>
        <w:tblW w:w="0" w:type="auto"/>
        <w:tblInd w:w="1" w:type="dxa"/>
        <w:tblLayout w:type="autofit"/>
        <w:tblCellMar>
          <w:top w:w="0" w:type="dxa"/>
          <w:left w:w="108" w:type="dxa"/>
          <w:bottom w:w="0" w:type="dxa"/>
          <w:right w:w="108" w:type="dxa"/>
        </w:tblCellMar>
      </w:tblPr>
      <w:tblGrid>
        <w:gridCol w:w="958"/>
        <w:gridCol w:w="3538"/>
        <w:gridCol w:w="4025"/>
      </w:tblGrid>
      <w:tr>
        <w:tblPrEx>
          <w:tblCellMar>
            <w:top w:w="0" w:type="dxa"/>
            <w:left w:w="108" w:type="dxa"/>
            <w:bottom w:w="0" w:type="dxa"/>
            <w:right w:w="108" w:type="dxa"/>
          </w:tblCellMar>
        </w:tblPrEx>
        <w:trPr>
          <w:trHeight w:val="255"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楷体" w:hAnsi="楷体" w:eastAsia="楷体" w:cs="Arial"/>
                <w:b/>
                <w:bCs/>
                <w:kern w:val="0"/>
                <w:sz w:val="20"/>
                <w:szCs w:val="20"/>
              </w:rPr>
            </w:pPr>
            <w:bookmarkStart w:id="3" w:name="_Hlk167455320"/>
            <w:r>
              <w:rPr>
                <w:rFonts w:hint="eastAsia" w:ascii="楷体" w:hAnsi="楷体" w:eastAsia="楷体" w:cs="Arial"/>
                <w:b/>
                <w:bCs/>
                <w:kern w:val="0"/>
                <w:sz w:val="20"/>
                <w:szCs w:val="20"/>
              </w:rPr>
              <w:t>份额</w:t>
            </w:r>
          </w:p>
        </w:tc>
        <w:tc>
          <w:tcPr>
            <w:tcW w:w="756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0" w:lineRule="atLeast"/>
              <w:jc w:val="center"/>
              <w:rPr>
                <w:rFonts w:ascii="楷体" w:hAnsi="楷体" w:eastAsia="楷体" w:cs="Arial"/>
                <w:b/>
                <w:bCs/>
                <w:kern w:val="0"/>
                <w:sz w:val="20"/>
                <w:szCs w:val="20"/>
              </w:rPr>
            </w:pPr>
            <w:r>
              <w:rPr>
                <w:rFonts w:hint="eastAsia" w:ascii="楷体" w:hAnsi="楷体" w:eastAsia="楷体" w:cs="Arial"/>
                <w:b/>
                <w:bCs/>
                <w:kern w:val="0"/>
                <w:sz w:val="20"/>
                <w:szCs w:val="20"/>
              </w:rPr>
              <w:t>销售机构</w:t>
            </w:r>
          </w:p>
        </w:tc>
      </w:tr>
      <w:tr>
        <w:tblPrEx>
          <w:tblCellMar>
            <w:top w:w="0" w:type="dxa"/>
            <w:left w:w="108" w:type="dxa"/>
            <w:bottom w:w="0" w:type="dxa"/>
            <w:right w:w="108" w:type="dxa"/>
          </w:tblCellMar>
        </w:tblPrEx>
        <w:trPr>
          <w:trHeight w:val="255" w:hRule="atLeast"/>
        </w:trPr>
        <w:tc>
          <w:tcPr>
            <w:tcW w:w="958" w:type="dxa"/>
            <w:vMerge w:val="restart"/>
            <w:tcBorders>
              <w:left w:val="single" w:color="auto" w:sz="4" w:space="0"/>
              <w:right w:val="single" w:color="auto" w:sz="4" w:space="0"/>
            </w:tcBorders>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A份额</w:t>
            </w: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江苏姜堰农村商业银行股份有限公司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苏银理财有限责任公司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江苏高淳农村商业银行股份有限公司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江苏常熟农村商业银行股份有限公司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ascii="楷体" w:hAnsi="楷体" w:eastAsia="楷体" w:cs="Arial"/>
                <w:kern w:val="0"/>
                <w:sz w:val="20"/>
                <w:szCs w:val="20"/>
              </w:rPr>
            </w:pPr>
            <w:r>
              <w:rPr>
                <w:rFonts w:hint="eastAsia" w:ascii="楷体" w:hAnsi="楷体" w:eastAsia="楷体" w:cs="Arial"/>
                <w:kern w:val="0"/>
                <w:sz w:val="20"/>
                <w:szCs w:val="20"/>
              </w:rPr>
              <w:t>B份额</w:t>
            </w:r>
          </w:p>
        </w:tc>
        <w:tc>
          <w:tcPr>
            <w:tcW w:w="3538" w:type="dxa"/>
            <w:tcBorders>
              <w:top w:val="single" w:color="auto" w:sz="4" w:space="0"/>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宁波通商银行股份有限公司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浙江兰溪农村商业银行股份有限公司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浙江岱山农村商业银行股份有限公司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浙江温州瓯海农村商业银行股份有限公司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杭州联合农村商业银行股份有限公司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浙江嘉善农村商业银行股份有限公司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齐鲁银行股份有限公司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浙江永嘉农村商业银行股份有限公司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浙江萧山农村商业银行股份有限公司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浙江绍兴瑞丰农村商业银行股份有限公司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湖州吴兴农村商业银行股份有限公司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浙江温州龙湾农村商业银行股份有限公司</w:t>
            </w:r>
          </w:p>
        </w:tc>
      </w:tr>
      <w:tr>
        <w:tblPrEx>
          <w:tblCellMar>
            <w:top w:w="0" w:type="dxa"/>
            <w:left w:w="108" w:type="dxa"/>
            <w:bottom w:w="0" w:type="dxa"/>
            <w:right w:w="108" w:type="dxa"/>
          </w:tblCellMar>
        </w:tblPrEx>
        <w:trPr>
          <w:trHeight w:val="246"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浙江淳安农村商业银行股份有限公司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浙江乐清农村商业银行股份有限公司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浙江舟山定海海洋农村商业银行股份有限公司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浙江德清农村商业银行股份有限公司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浙江武义农村商业银行股份有限公司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浙江平湖农村商业银行股份有限公司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浙江杭州余杭农村商业银行股份有限公司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浙江桐乡农村商业银行股份有限公司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浙江文成农村商业银行股份有限公司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浙江上虞农村商业银行股份有限公司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浙江青田农村商业银行股份有限公司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浙江海宁农村商业银行股份有限公司</w:t>
            </w:r>
          </w:p>
        </w:tc>
      </w:tr>
      <w:tr>
        <w:tblPrEx>
          <w:tblCellMar>
            <w:top w:w="0" w:type="dxa"/>
            <w:left w:w="108" w:type="dxa"/>
            <w:bottom w:w="0" w:type="dxa"/>
            <w:right w:w="108" w:type="dxa"/>
          </w:tblCellMar>
        </w:tblPrEx>
        <w:trPr>
          <w:trHeight w:val="238" w:hRule="atLeast"/>
        </w:trPr>
        <w:tc>
          <w:tcPr>
            <w:tcW w:w="958" w:type="dxa"/>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ascii="楷体" w:hAnsi="楷体" w:eastAsia="楷体" w:cs="Arial"/>
                <w:kern w:val="0"/>
                <w:sz w:val="20"/>
                <w:szCs w:val="20"/>
              </w:rPr>
            </w:pPr>
            <w:r>
              <w:rPr>
                <w:rFonts w:hint="eastAsia" w:ascii="楷体" w:hAnsi="楷体" w:eastAsia="楷体" w:cs="Arial"/>
                <w:kern w:val="0"/>
                <w:sz w:val="20"/>
                <w:szCs w:val="20"/>
              </w:rPr>
              <w:t>C份额</w:t>
            </w:r>
          </w:p>
        </w:tc>
        <w:tc>
          <w:tcPr>
            <w:tcW w:w="3538" w:type="dxa"/>
            <w:tcBorders>
              <w:top w:val="single" w:color="auto" w:sz="4" w:space="0"/>
              <w:left w:val="nil"/>
              <w:bottom w:val="single" w:color="auto" w:sz="4" w:space="0"/>
              <w:right w:val="nil"/>
            </w:tcBorders>
            <w:shd w:val="clear" w:color="auto" w:fill="auto"/>
            <w:noWrap/>
            <w:vAlign w:val="center"/>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江苏银行股份有限公司</w:t>
            </w:r>
          </w:p>
        </w:tc>
        <w:tc>
          <w:tcPr>
            <w:tcW w:w="4025"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D份额</w:t>
            </w:r>
          </w:p>
        </w:tc>
        <w:tc>
          <w:tcPr>
            <w:tcW w:w="3538" w:type="dxa"/>
            <w:tcBorders>
              <w:top w:val="single" w:color="auto" w:sz="4" w:space="0"/>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山西银行股份有限公司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宁波东海银行股份有限公司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宁波通商银行股份有限公司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bookmarkStart w:id="4" w:name="_GoBack"/>
            <w:bookmarkEnd w:id="4"/>
            <w:r>
              <w:rPr>
                <w:rFonts w:hint="default" w:ascii="楷体" w:hAnsi="楷体" w:eastAsia="楷体" w:cs="Arial"/>
                <w:kern w:val="0"/>
                <w:sz w:val="18"/>
                <w:szCs w:val="18"/>
                <w:lang w:val="en-US" w:eastAsia="zh-CN"/>
              </w:rPr>
              <w:t>甘肃银行股份有限公司</w:t>
            </w: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E份额</w:t>
            </w:r>
          </w:p>
        </w:tc>
        <w:tc>
          <w:tcPr>
            <w:tcW w:w="3538" w:type="dxa"/>
            <w:tcBorders>
              <w:top w:val="single" w:color="auto" w:sz="4" w:space="0"/>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F份额</w:t>
            </w:r>
          </w:p>
        </w:tc>
        <w:tc>
          <w:tcPr>
            <w:tcW w:w="3538" w:type="dxa"/>
            <w:tcBorders>
              <w:top w:val="single" w:color="auto" w:sz="4" w:space="0"/>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湖北银行股份有限公司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潍坊银行股份有限公司</w:t>
            </w:r>
          </w:p>
        </w:tc>
      </w:tr>
      <w:tr>
        <w:tblPrEx>
          <w:tblCellMar>
            <w:top w:w="0" w:type="dxa"/>
            <w:left w:w="108" w:type="dxa"/>
            <w:bottom w:w="0" w:type="dxa"/>
            <w:right w:w="108" w:type="dxa"/>
          </w:tblCellMar>
        </w:tblPrEx>
        <w:trPr>
          <w:trHeight w:val="18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浙江武义农村商业银行股份有限公司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齐鲁银行股份有限公司</w:t>
            </w:r>
          </w:p>
        </w:tc>
      </w:tr>
      <w:tr>
        <w:tblPrEx>
          <w:tblCellMar>
            <w:top w:w="0" w:type="dxa"/>
            <w:left w:w="108" w:type="dxa"/>
            <w:bottom w:w="0" w:type="dxa"/>
            <w:right w:w="108" w:type="dxa"/>
          </w:tblCellMar>
        </w:tblPrEx>
        <w:trPr>
          <w:trHeight w:val="18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浙江新昌农村商业银行股份有限公司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东营银行股份有限公司</w:t>
            </w:r>
          </w:p>
        </w:tc>
      </w:tr>
      <w:tr>
        <w:tblPrEx>
          <w:tblCellMar>
            <w:top w:w="0" w:type="dxa"/>
            <w:left w:w="108" w:type="dxa"/>
            <w:bottom w:w="0" w:type="dxa"/>
            <w:right w:w="108" w:type="dxa"/>
          </w:tblCellMar>
        </w:tblPrEx>
        <w:trPr>
          <w:trHeight w:val="18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莱商银行股份有限公司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嘉兴银行股份有限公司</w:t>
            </w:r>
          </w:p>
        </w:tc>
      </w:tr>
      <w:tr>
        <w:tblPrEx>
          <w:tblCellMar>
            <w:top w:w="0" w:type="dxa"/>
            <w:left w:w="108" w:type="dxa"/>
            <w:bottom w:w="0" w:type="dxa"/>
            <w:right w:w="108" w:type="dxa"/>
          </w:tblCellMar>
        </w:tblPrEx>
        <w:trPr>
          <w:trHeight w:val="18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威海银行股份有限公司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G份额</w:t>
            </w:r>
          </w:p>
        </w:tc>
        <w:tc>
          <w:tcPr>
            <w:tcW w:w="3538" w:type="dxa"/>
            <w:tcBorders>
              <w:top w:val="single" w:color="auto" w:sz="4" w:space="0"/>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广州农村商业银行股份有限公司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重庆农村商业银行股份有限公司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single" w:color="auto" w:sz="4" w:space="0"/>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江苏苏州农村商业银行股份有限公司</w:t>
            </w:r>
          </w:p>
        </w:tc>
        <w:tc>
          <w:tcPr>
            <w:tcW w:w="4025" w:type="dxa"/>
            <w:tcBorders>
              <w:top w:val="nil"/>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江苏沛县农村商业银行股份有限公司</w:t>
            </w: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H份额</w:t>
            </w:r>
          </w:p>
        </w:tc>
        <w:tc>
          <w:tcPr>
            <w:tcW w:w="3538" w:type="dxa"/>
            <w:tcBorders>
              <w:top w:val="single" w:color="auto" w:sz="4" w:space="0"/>
              <w:left w:val="single" w:color="auto" w:sz="4" w:space="0"/>
              <w:bottom w:val="single" w:color="auto" w:sz="4" w:space="0"/>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上海银行股份有限公司</w:t>
            </w:r>
          </w:p>
        </w:tc>
        <w:tc>
          <w:tcPr>
            <w:tcW w:w="4025" w:type="dxa"/>
            <w:tcBorders>
              <w:top w:val="single" w:color="auto" w:sz="4" w:space="0"/>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Z份额</w:t>
            </w:r>
          </w:p>
        </w:tc>
        <w:tc>
          <w:tcPr>
            <w:tcW w:w="3538" w:type="dxa"/>
            <w:tcBorders>
              <w:top w:val="single" w:color="auto" w:sz="4" w:space="0"/>
              <w:left w:val="single" w:color="auto" w:sz="4" w:space="0"/>
              <w:bottom w:val="single" w:color="auto" w:sz="4" w:space="0"/>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郑州银行股份有限公司</w:t>
            </w:r>
          </w:p>
        </w:tc>
        <w:tc>
          <w:tcPr>
            <w:tcW w:w="4025" w:type="dxa"/>
            <w:tcBorders>
              <w:top w:val="single" w:color="auto" w:sz="4" w:space="0"/>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NB份额</w:t>
            </w:r>
          </w:p>
        </w:tc>
        <w:tc>
          <w:tcPr>
            <w:tcW w:w="3538" w:type="dxa"/>
            <w:tcBorders>
              <w:top w:val="single" w:color="auto" w:sz="4" w:space="0"/>
              <w:left w:val="single" w:color="auto" w:sz="4" w:space="0"/>
              <w:bottom w:val="single" w:color="auto" w:sz="4" w:space="0"/>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江苏银行股份有限公司</w:t>
            </w:r>
          </w:p>
        </w:tc>
        <w:tc>
          <w:tcPr>
            <w:tcW w:w="4025" w:type="dxa"/>
            <w:tcBorders>
              <w:top w:val="single" w:color="auto" w:sz="4" w:space="0"/>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bidi="ar-SA"/>
              </w:rPr>
            </w:pPr>
            <w:r>
              <w:rPr>
                <w:rFonts w:hint="eastAsia" w:ascii="楷体" w:hAnsi="楷体" w:eastAsia="楷体" w:cs="Arial"/>
                <w:kern w:val="0"/>
                <w:sz w:val="20"/>
                <w:szCs w:val="20"/>
                <w:lang w:val="en-US" w:eastAsia="zh-CN"/>
              </w:rPr>
              <w:t>AJS份额</w:t>
            </w:r>
          </w:p>
        </w:tc>
        <w:tc>
          <w:tcPr>
            <w:tcW w:w="3538" w:type="dxa"/>
            <w:tcBorders>
              <w:top w:val="single" w:color="auto" w:sz="4" w:space="0"/>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江苏江都农村商业银行股份有限公司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江苏赣榆农村商业银行股份有限公司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江苏常熟农村商业银行股份有限公司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江苏射阳农村商业银行股份有限公司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江苏新沂农村商业银行股份有限公司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江苏阜宁农村商业银行股份有限公司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江苏如皋农村商业银行股份有限公司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江苏东台农村商业银行股份有限公司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江苏启东农村商业银行股份有限公司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江苏盐城农村商业银行股份有限公司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徐州农村商业银行股份有限公司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江苏高淳农村商业银行股份有限公司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江苏高邮农村商业银行股份有限公司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江苏溧水农村商业银行股份有限公司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江苏沭阳农村商业银行股份有限公司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北京农村商业银行股份有限公司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江苏民丰农村商业银行股份有限公司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江苏张家港农村商业银行股份有限公司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江苏洪泽农村商业银行股份有限公司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江苏扬州农村商业银行股份有限公司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江苏镇江农村商业银行股份有限公司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江苏大丰农村商业银行股份有限公司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江苏紫金农村商业银行股份有限公司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江苏泗阳农村商业银行股份有限公司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江苏建湖农村商业银行股份有限公司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江苏沛县农村商业银行股份有限公司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江苏淮安农村商业银行股份有限公司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江苏灌云农村商业银行股份有限公司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江苏姜堰农村商业银行股份有限公司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江苏灌南农村商业银行股份有限公司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江苏句容农村商业银行股份有限公司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江苏泰兴农村商业银行股份有限公司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江苏睢宁农村商业银行股份有限公司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江苏仪征农村商业银行股份有限公司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江苏扬中农村商业银行股份有限公司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江苏靖江农村商业银行股份有限公司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江苏丰县农村商业银行股份有限公司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江苏海门农村商业银行股份有限公司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江苏邳州农村商业银行股份有限公司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连云港东方农村商业银行股份有限公司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江苏宝应农村商业银行股份有限公司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江苏如东农村商业银行股份有限公司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single" w:color="auto" w:sz="4" w:space="0"/>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江苏东海农村商业银行股份有限公司</w:t>
            </w:r>
          </w:p>
        </w:tc>
        <w:tc>
          <w:tcPr>
            <w:tcW w:w="4025" w:type="dxa"/>
            <w:tcBorders>
              <w:top w:val="nil"/>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bookmarkEnd w:id="3"/>
    </w:tbl>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投资合作机构</w:t>
      </w:r>
    </w:p>
    <w:p>
      <w:pPr>
        <w:ind w:firstLine="480" w:firstLineChars="200"/>
        <w:rPr>
          <w:rFonts w:ascii="楷体" w:hAnsi="楷体" w:eastAsia="楷体"/>
          <w:sz w:val="24"/>
          <w:szCs w:val="24"/>
        </w:rPr>
      </w:pPr>
      <w:r>
        <w:rPr>
          <w:rFonts w:hint="eastAsia" w:ascii="楷体" w:hAnsi="楷体" w:eastAsia="楷体"/>
          <w:sz w:val="24"/>
          <w:szCs w:val="24"/>
        </w:rPr>
        <w:t>投资合作机构主要职责是对理财产品受托资金进行投资管理，苏银理财已按投资决策流程对投资合作机构进行了准入，并持续开展投资合作机构的存续期管理。本产品投资合作机构包括：</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883"/>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b/>
                <w:bCs/>
                <w:sz w:val="20"/>
                <w:szCs w:val="20"/>
              </w:rPr>
            </w:pPr>
            <w:r>
              <w:rPr>
                <w:rFonts w:hint="eastAsia" w:ascii="楷体" w:hAnsi="楷体" w:eastAsia="楷体"/>
                <w:b/>
                <w:bCs/>
                <w:sz w:val="20"/>
                <w:szCs w:val="20"/>
              </w:rPr>
              <w:t>序号</w:t>
            </w:r>
          </w:p>
        </w:tc>
        <w:tc>
          <w:tcPr>
            <w:tcW w:w="2883" w:type="dxa"/>
          </w:tcPr>
          <w:p>
            <w:pPr>
              <w:spacing w:line="0" w:lineRule="atLeast"/>
              <w:jc w:val="center"/>
              <w:rPr>
                <w:rFonts w:ascii="楷体" w:hAnsi="楷体" w:eastAsia="楷体"/>
                <w:b/>
                <w:bCs/>
                <w:sz w:val="20"/>
                <w:szCs w:val="20"/>
              </w:rPr>
            </w:pPr>
            <w:r>
              <w:rPr>
                <w:rFonts w:hint="eastAsia" w:ascii="楷体" w:hAnsi="楷体" w:eastAsia="楷体"/>
                <w:b/>
                <w:bCs/>
                <w:sz w:val="20"/>
                <w:szCs w:val="20"/>
              </w:rPr>
              <w:t>投资合作机构</w:t>
            </w:r>
          </w:p>
        </w:tc>
        <w:tc>
          <w:tcPr>
            <w:tcW w:w="4974" w:type="dxa"/>
          </w:tcPr>
          <w:p>
            <w:pPr>
              <w:spacing w:line="0" w:lineRule="atLeast"/>
              <w:jc w:val="center"/>
              <w:rPr>
                <w:rFonts w:ascii="楷体" w:hAnsi="楷体" w:eastAsia="楷体"/>
                <w:b/>
                <w:bCs/>
                <w:sz w:val="20"/>
                <w:szCs w:val="20"/>
              </w:rPr>
            </w:pPr>
            <w:r>
              <w:rPr>
                <w:rFonts w:hint="eastAsia" w:ascii="楷体" w:hAnsi="楷体" w:eastAsia="楷体"/>
                <w:b/>
                <w:bCs/>
                <w:sz w:val="20"/>
                <w:szCs w:val="2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1</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弘业期货股份有限公司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弘业期货股份有限公司是经中国证监会批准设立的大型期货公司，总部位于江苏南京，公司在北京、上海、深圳等国内主要金融中心和重点城市设立40多家营业部和分公司。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2</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江苏省国际信托有限责任公司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江苏省国际信托有限责任公司是经江苏省人民政府和中国银行业监督管理委员会批准设立的非银行金融机构，是江苏省国信集团的主要成员企业之一，专业从事金融信托业务。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3</w:t>
            </w:r>
          </w:p>
        </w:tc>
        <w:tc>
          <w:tcPr>
            <w:tcW w:w="2883" w:type="dxa"/>
            <w:vAlign w:val="center"/>
          </w:tcPr>
          <w:p>
            <w:pPr>
              <w:spacing w:line="0" w:lineRule="atLeast"/>
              <w:jc w:val="center"/>
              <w:rPr>
                <w:rFonts w:ascii="楷体" w:hAnsi="楷体" w:eastAsia="楷体"/>
                <w:sz w:val="20"/>
                <w:szCs w:val="20"/>
              </w:rPr>
            </w:pPr>
            <w:r>
              <w:rPr>
                <w:rFonts w:ascii="楷体" w:hAnsi="楷体" w:eastAsia="楷体"/>
                <w:sz w:val="20"/>
                <w:szCs w:val="18"/>
              </w:rPr>
              <w:t>创金合信基金管理有限公司</w:t>
            </w:r>
          </w:p>
        </w:tc>
        <w:tc>
          <w:tcPr>
            <w:tcW w:w="4974" w:type="dxa"/>
          </w:tcPr>
          <w:p>
            <w:pPr>
              <w:spacing w:line="0" w:lineRule="atLeast"/>
              <w:rPr>
                <w:rFonts w:ascii="楷体" w:hAnsi="楷体" w:eastAsia="楷体"/>
                <w:sz w:val="20"/>
                <w:szCs w:val="20"/>
              </w:rPr>
            </w:pPr>
            <w:r>
              <w:rPr>
                <w:rFonts w:ascii="楷体" w:hAnsi="楷体" w:eastAsia="楷体"/>
                <w:sz w:val="20"/>
                <w:szCs w:val="18"/>
              </w:rPr>
              <w:t>创金合信基金管理有限公司成立于2014年7月9日，由第一创业证券股份有限公司、深圳市金合信投资合伙企业（有限合伙）共同发起设立，注册地为深圳。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4</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18"/>
              </w:rPr>
              <w:t>华鑫国际信托有限公司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18"/>
              </w:rPr>
              <w:t>华鑫国际信托有限公司于2010年2月获得中国银行业监督管理委员会批准重新登记，并于同年3月正式挂牌开业，实际控制人为中国华电集团有限公司，注册资本73.95亿元。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5</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中国国际金融股份有限公司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中国国际金融股份有限公司于1995年7月31日成立，实际控制人为中央汇金投资有限责任公司，注册资本4,827,256,868元。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6</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东方财富证券股份有限公司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东方财富证券股份有限公司是东方财富信息股份有限公司旗下的持牌证券公司，总部位于上海，注册资本121亿元。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7</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南华基金管理有限公司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南华基金管理有限公司于2016年10月17日成立，注册资本2.5亿人民币，经营范围为基金募集、基金销售、资产管理、特定客户资产管理和中国证监会许可的其他业务。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8</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广东粤财信托有限公司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广东粤财信托有限公司成立于1985年3月7日，是中国银行保险监督管理委员会核准的国有控股金融机构，注册资本38亿元，股东为广东粤财投资控股有限公司和广东省科技创业投资有限公司。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9</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中国对外经济贸易信托有限公司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中国对外经济贸易信托有限公司成立于1987年9月30日，是中国银行保险监督管理委员会核准的国有控股金融机构，注册资本80亿元，股东为中化资本有限公司和中化集团财务有限责任公司。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10</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中诚信托有限责任公司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中诚信托有限责任公司成立于1995年11月20日，是中国银行保险监督管理委员会核准的国有控股金融机构，注册资本48.5亿元，前三大股东分别为中国人民保险集团股份有限公司、国华能源投资有限公司和山东能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11</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中信信托有限责任公司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中信信托有限责任公司成立于1988年3月5日，是中国银行保险监督管理委员会核准的国有控股金融机构，注册资本112.76亿元，股东为中国中信金融控股有限公司。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hint="eastAsia" w:ascii="楷体" w:hAnsi="楷体" w:eastAsia="楷体"/>
                <w:sz w:val="20"/>
                <w:szCs w:val="20"/>
                <w:lang w:val="en-US" w:eastAsia="zh-CN"/>
              </w:rPr>
            </w:pPr>
            <w:r>
              <w:rPr>
                <w:rFonts w:hint="eastAsia" w:ascii="楷体" w:hAnsi="楷体" w:eastAsia="楷体"/>
                <w:sz w:val="20"/>
                <w:szCs w:val="20"/>
              </w:rPr>
              <w:t>1</w:t>
            </w:r>
            <w:r>
              <w:rPr>
                <w:rFonts w:hint="eastAsia" w:ascii="楷体" w:hAnsi="楷体" w:eastAsia="楷体"/>
                <w:sz w:val="20"/>
                <w:szCs w:val="20"/>
                <w:lang w:val="en-US" w:eastAsia="zh-CN"/>
              </w:rPr>
              <w:t>2</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安徽国元信托有限责任公司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安徽国元信托有限责任公司成立于2001年12月20日，是中国银行保险监督管理委员会核准的国有控股金融机构，注册资本42亿元，前三大股东分别为安徽国元金融控股集团有限责任公司、中建资本控股有限公司、安徽皖投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hint="eastAsia" w:ascii="楷体" w:hAnsi="楷体" w:eastAsia="楷体"/>
                <w:sz w:val="20"/>
                <w:szCs w:val="20"/>
                <w:lang w:val="en-US" w:eastAsia="zh-CN"/>
              </w:rPr>
            </w:pPr>
            <w:r>
              <w:rPr>
                <w:rFonts w:hint="eastAsia" w:ascii="楷体" w:hAnsi="楷体" w:eastAsia="楷体"/>
                <w:sz w:val="20"/>
                <w:szCs w:val="20"/>
              </w:rPr>
              <w:t>1</w:t>
            </w:r>
            <w:r>
              <w:rPr>
                <w:rFonts w:hint="eastAsia" w:ascii="楷体" w:hAnsi="楷体" w:eastAsia="楷体"/>
                <w:sz w:val="20"/>
                <w:szCs w:val="20"/>
                <w:lang w:val="en-US" w:eastAsia="zh-CN"/>
              </w:rPr>
              <w:t>3</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中粮信托有限责任公司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中粮信托有限责任公司成立于2009年7月27日，是中国银行保险监督管理委员会核准的国有控股金融机构，注册资本28.3095亿元，前三大股东分别为中粮资本投资有限公司、蒙特利尔银行、中粮财务有限责任公司。</w:t>
            </w:r>
          </w:p>
        </w:tc>
      </w:tr>
    </w:tbl>
    <w:p>
      <w:pPr>
        <w:ind w:firstLine="480" w:firstLineChars="200"/>
        <w:rPr>
          <w:rFonts w:ascii="楷体" w:hAnsi="楷体" w:eastAsia="楷体"/>
          <w:sz w:val="24"/>
          <w:szCs w:val="24"/>
        </w:rPr>
      </w:pPr>
      <w:r>
        <w:rPr>
          <w:rFonts w:hint="eastAsia" w:ascii="楷体" w:hAnsi="楷体" w:eastAsia="楷体"/>
          <w:sz w:val="24"/>
          <w:szCs w:val="24"/>
        </w:rPr>
        <w:t>产品存续期内合作机构如有变化，管理人将按照监管规定和内部管理制度要求对合作机构进行准入，签署相关协议后，</w:t>
      </w:r>
      <w:r>
        <w:rPr>
          <w:rFonts w:hint="eastAsia" w:ascii="楷体" w:hAnsi="楷体" w:eastAsia="楷体"/>
          <w:sz w:val="24"/>
          <w:szCs w:val="24"/>
          <w:lang w:val="en-US" w:eastAsia="zh-CN"/>
        </w:rPr>
        <w:t>披露</w:t>
      </w:r>
      <w:r>
        <w:rPr>
          <w:rFonts w:hint="eastAsia" w:ascii="楷体" w:hAnsi="楷体" w:eastAsia="楷体"/>
          <w:sz w:val="24"/>
          <w:szCs w:val="24"/>
        </w:rPr>
        <w:t>新增</w:t>
      </w:r>
      <w:r>
        <w:rPr>
          <w:rFonts w:hint="eastAsia" w:ascii="楷体" w:hAnsi="楷体" w:eastAsia="楷体"/>
          <w:sz w:val="24"/>
          <w:szCs w:val="24"/>
          <w:lang w:val="en-US" w:eastAsia="zh-CN"/>
        </w:rPr>
        <w:t>的</w:t>
      </w:r>
      <w:r>
        <w:rPr>
          <w:rFonts w:hint="eastAsia" w:ascii="楷体" w:hAnsi="楷体" w:eastAsia="楷体"/>
          <w:sz w:val="24"/>
          <w:szCs w:val="24"/>
        </w:rPr>
        <w:t>投资合作机构。</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名词释义</w:t>
      </w:r>
    </w:p>
    <w:p>
      <w:pPr>
        <w:ind w:firstLine="480" w:firstLineChars="200"/>
        <w:rPr>
          <w:rFonts w:ascii="楷体" w:hAnsi="楷体" w:eastAsia="楷体"/>
          <w:sz w:val="24"/>
          <w:szCs w:val="24"/>
        </w:rPr>
      </w:pPr>
      <w:r>
        <w:rPr>
          <w:rFonts w:hint="eastAsia" w:ascii="楷体" w:hAnsi="楷体" w:eastAsia="楷体"/>
          <w:sz w:val="24"/>
          <w:szCs w:val="24"/>
        </w:rPr>
        <w:t>在本理财产品说明书中，除非上下文另有明确约定，下列用词将具有如下含义：</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参与主体用语</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★管理人/产品管理人/理财产品管理人：指苏银理财有限责任公司（本文简称“苏银理财”）。</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托管人/产品托管人：指江苏银行股份有限公司（本文简称“江苏银行”）。江苏银行具备理财产品托管资格。托管人负责履行安全保管理财产品资金及其所投资的资产，办理清算、交割事宜，与管理人对账，监督理财产品投资运作等职责。</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代销机构/销售机构：指符合《关于规范金融机构资产管理业务的指导意见》、《商业银行理财业务监督管理办法》、《商业银行理财子公司管理办法》、《理财公司理财产品销售管理暂行办法》和金融监管总局规定的其他条件，取得理财产品销售资格并与管理人签订了销售服务代理协议，代为办理销售业务的机构。代销机构接受产品管理人的委托，在该机构渠道向投资者宣传推介、销售产品管理人依法发行的资产管理产品的活动。其中，“销售”是指向投资者宣传推介资产管理产品，办理产品申购、赎回的活动。</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监管机构：指有权对本理财产品管理人及相关合作机构实施监督管理的机构，包括但不限于中国人民银行、金融监管总局、中国证券监督管理委员会、外汇管理局、银行业理财登记托管中心等。</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投资者：指符合相关法律法规、监管规定要求的，可以购买理财产品份额的自然人和法人。</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理财产品用语</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w:t>
      </w:r>
      <w:r>
        <w:rPr>
          <w:rFonts w:ascii="楷体" w:hAnsi="楷体" w:eastAsia="楷体" w:cs="Calibri"/>
          <w:sz w:val="24"/>
          <w:szCs w:val="24"/>
        </w:rPr>
        <w:t>/</w:t>
      </w:r>
      <w:r>
        <w:rPr>
          <w:rFonts w:hint="eastAsia" w:ascii="楷体" w:hAnsi="楷体" w:eastAsia="楷体" w:cs="Calibri"/>
          <w:sz w:val="24"/>
          <w:szCs w:val="24"/>
        </w:rPr>
        <w:t>产品：指苏银理财按照约定条件和实际投资收益情况向投资者支付收益、不保证本金支付和收益水平的非保本理财产品。</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本理财产品</w:t>
      </w:r>
      <w:r>
        <w:rPr>
          <w:rFonts w:ascii="楷体" w:hAnsi="楷体" w:eastAsia="楷体" w:cs="Calibri"/>
          <w:sz w:val="24"/>
          <w:szCs w:val="24"/>
        </w:rPr>
        <w:t>/</w:t>
      </w:r>
      <w:r>
        <w:rPr>
          <w:rFonts w:hint="eastAsia" w:ascii="楷体" w:hAnsi="楷体" w:eastAsia="楷体" w:cs="Calibri"/>
          <w:sz w:val="24"/>
          <w:szCs w:val="24"/>
        </w:rPr>
        <w:t>本产品：指“苏银理财</w:t>
      </w:r>
      <w:r>
        <w:rPr>
          <w:rFonts w:hint="eastAsia" w:ascii="楷体" w:hAnsi="楷体" w:eastAsia="楷体" w:cs="Calibri"/>
          <w:sz w:val="24"/>
          <w:szCs w:val="24"/>
          <w:lang w:eastAsia="zh-CN"/>
        </w:rPr>
        <w:t>恒源封闭债权211期优选2年</w:t>
      </w:r>
      <w:r>
        <w:rPr>
          <w:rFonts w:hint="eastAsia" w:ascii="楷体" w:hAnsi="楷体" w:eastAsia="楷体" w:cs="Calibri"/>
          <w:sz w:val="24"/>
          <w:szCs w:val="24"/>
        </w:rPr>
        <w:t>”理财产品。</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理财产品登记编码：指本款理财产品在全国银行业理财信息登记系统中的编码，投资者可在中国理财网进行查询该编码。</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理财产品代码/产品代码：指本款理财产品在全国银行业理财信息登记系统中登记的内部识别码。</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理财产品销售代码/销售代码：指本款理财产品可能存在不同产品份额类别，管理人在理财产品销售管理过程中为区分不同产品份额类别，在同一理财产品代码项下设置的内部识别码。</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理财产品份额：指投资者持有本理财产品的单位数额。投资者基于其所持有的理财产品单位数额享有理财产品利益、承担理财产品风险。</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理财产品资产净值/理财资产净值/产品资产净值：产品资产净值=产品资产总值-产品负债总值。</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产品资产总值：指产品拥有的各类有价证券、银行存款、应收款项及其他资产的价值总和。</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产品负债总值：指产品运作及融资时形成的负债价值总和，包括融资资金本息、应付各项费用（包括托管费、销售</w:t>
      </w:r>
      <w:r>
        <w:rPr>
          <w:rFonts w:ascii="楷体" w:hAnsi="楷体" w:eastAsia="楷体" w:cs="Calibri"/>
          <w:sz w:val="24"/>
          <w:szCs w:val="24"/>
        </w:rPr>
        <w:t>服务费、</w:t>
      </w:r>
      <w:r>
        <w:rPr>
          <w:rFonts w:hint="eastAsia" w:ascii="楷体" w:hAnsi="楷体" w:eastAsia="楷体" w:cs="Calibri"/>
          <w:sz w:val="24"/>
          <w:szCs w:val="24"/>
        </w:rPr>
        <w:t>投资管理费、超额业绩报酬、其他费用等）、应付税金及其他应付款项等。</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份额单位净值/理财产品单位净值/单位净值：指理财产品份额的单位净值，即每1份理财产品份额以人民币计价的价格。理财产品单位净值=理财资产净值/产品总份额。投资者按该份额单位净值进行理财产品申购、赎回和终止时分配。</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理财产品估值：指计算评估理财产品资产和负债以确定理财产品单位净值的过程。</w:t>
      </w:r>
    </w:p>
    <w:p>
      <w:pPr>
        <w:numPr>
          <w:ilvl w:val="0"/>
          <w:numId w:val="15"/>
        </w:numPr>
        <w:tabs>
          <w:tab w:val="left" w:pos="851"/>
        </w:tabs>
        <w:ind w:left="0" w:firstLine="482" w:firstLineChars="200"/>
        <w:rPr>
          <w:rFonts w:ascii="楷体" w:hAnsi="楷体" w:eastAsia="楷体" w:cs="Calibri"/>
          <w:b/>
          <w:sz w:val="24"/>
          <w:szCs w:val="24"/>
        </w:rPr>
      </w:pPr>
      <w:r>
        <w:rPr>
          <w:rFonts w:hint="eastAsia" w:ascii="楷体" w:hAnsi="楷体" w:eastAsia="楷体" w:cs="Calibri"/>
          <w:b/>
          <w:sz w:val="24"/>
          <w:szCs w:val="24"/>
        </w:rPr>
        <w:t>★业绩比较基准：指管理人基于过往投资经验及对产品存续期投资市场波动的预判而对本产品所设定的投资目标。业绩比较基准不代表理财产品未来表现，不等于理财产品实际收益，不作为产品收益的业绩保证，投资须谨慎。</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利益/理财利益：指投资者因持有理财产品份额，按照销售文件约定取得或有权取得的理财产品管理人分配的理财产品资产。在理财产品对外投资资产正常回收的情况下，理财产品利益包括理财产品本金及理财产品收益。</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本金/理财本金：指就每一投资者而言，指投资者为认购/申购理财产品份额而向理财产品管理人交付的货币资金，即投资者的初始投资本金。就每一理财产品份额而言，在本理财产品成立时每一理财产品份额的初始投资本金为1元。为避免疑义，理财产品本金的称谓仅为方便计算理财产品利益而创设的，并非对投资者理财产品本金不受损失的承诺。</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★理财产品收益/理财收益：指投资者投资理财产品获得的投资收益，该收益为其获得分配的全部理财产品利益中扣除理财产品本金的部分。</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认购：指投资者根据产品说明书约定在募集期内申请购买本产品理财产品份额的行为。</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投资者资金账户：指投资者开立的银行账户，理财产品投资交易的资金遵循同卡进出原则，通过银行卡A认购/申购理财产品的资金，赎回或到期资金只能划转至银行卡A。</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法律法规或监管机构另有规定的，从其规定。</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期间与日期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工作日：指国家法定工作日。</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交易日：</w:t>
      </w:r>
      <w:r>
        <w:rPr>
          <w:rFonts w:ascii="楷体" w:hAnsi="楷体" w:eastAsia="楷体" w:cs="Calibri"/>
          <w:sz w:val="24"/>
          <w:szCs w:val="24"/>
        </w:rPr>
        <w:t>指上海证券交易所和深圳证券交易所的正常开盘交易日</w:t>
      </w:r>
      <w:r>
        <w:rPr>
          <w:rFonts w:hint="eastAsia" w:ascii="楷体" w:hAnsi="楷体" w:eastAsia="楷体" w:cs="Calibri"/>
          <w:sz w:val="24"/>
          <w:szCs w:val="24"/>
        </w:rPr>
        <w:t>。</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成立日：指本产品开始运作的日期。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份额登记日/份额确认日：指管理人对投资者提交的认购申请进行份额登记的日期。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终止日/到期日：指本产品终止的日期。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估值日：指产品管理人对理财产品项下资产进行估值的日期。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兑付日：指投资者理财资金到达投资者资金账户的日期。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募集期：指理财产品成立前，理财产品管理人接受理财产品认购的时间。</w:t>
      </w:r>
    </w:p>
    <w:p>
      <w:pPr>
        <w:numPr>
          <w:ilvl w:val="0"/>
          <w:numId w:val="1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产品存续期：指自理财产品成立日起，至理财产品终止日的期间。</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其他</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元：指人民币元。</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适用法律：指在理财销售文件签署日和履行过程中，中国（不包括香港特别行政区、澳门特别行政区和台湾地区）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不可抗力：指理财产品合同各方当事人所不能预见、不能避免且不能克服的客观情况，使得任何一方当事人无法及时履行理财合同的全部或部分义务，该类事件包括但不限于：</w:t>
      </w:r>
    </w:p>
    <w:p>
      <w:pPr>
        <w:numPr>
          <w:ilvl w:val="0"/>
          <w:numId w:val="18"/>
        </w:numPr>
        <w:tabs>
          <w:tab w:val="left" w:pos="728"/>
        </w:tabs>
        <w:ind w:left="420" w:leftChars="200"/>
        <w:rPr>
          <w:rFonts w:ascii="楷体" w:hAnsi="楷体" w:eastAsia="楷体" w:cs="Calibri"/>
          <w:sz w:val="24"/>
          <w:szCs w:val="24"/>
        </w:rPr>
      </w:pPr>
      <w:r>
        <w:rPr>
          <w:rFonts w:hint="eastAsia" w:ascii="楷体" w:hAnsi="楷体" w:eastAsia="楷体" w:cs="Calibri"/>
          <w:sz w:val="24"/>
          <w:szCs w:val="24"/>
        </w:rPr>
        <w:t>地震、海啸、台风、洪水、火灾、停电、严重传染病等；</w:t>
      </w:r>
    </w:p>
    <w:p>
      <w:pPr>
        <w:numPr>
          <w:ilvl w:val="0"/>
          <w:numId w:val="18"/>
        </w:numPr>
        <w:tabs>
          <w:tab w:val="left" w:pos="728"/>
        </w:tabs>
        <w:ind w:left="420" w:leftChars="200"/>
        <w:rPr>
          <w:rFonts w:ascii="楷体" w:hAnsi="楷体" w:eastAsia="楷体" w:cs="Calibri"/>
          <w:sz w:val="24"/>
          <w:szCs w:val="24"/>
        </w:rPr>
      </w:pPr>
      <w:r>
        <w:rPr>
          <w:rFonts w:hint="eastAsia" w:ascii="楷体" w:hAnsi="楷体" w:eastAsia="楷体" w:cs="Calibri"/>
          <w:sz w:val="24"/>
          <w:szCs w:val="24"/>
        </w:rPr>
        <w:t>战争、政变、恐怖主义、骚乱、罢工等；</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（3）新的法律法规、国家政策颁布实施导致原适用的法律法规、国家政策失效；</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（4）因不可归咎于理财产品合同当事人的事由，金融监管机构强制要求终止该理财产品；</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（5）网络系统遭受攻击、电信部门技术调整或故障等原因导致的服务中断和延迟等。</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风险评级</w:t>
      </w:r>
    </w:p>
    <w:p>
      <w:pPr>
        <w:ind w:firstLine="480" w:firstLineChars="200"/>
        <w:rPr>
          <w:rFonts w:ascii="楷体" w:hAnsi="楷体" w:eastAsia="楷体"/>
          <w:sz w:val="24"/>
          <w:szCs w:val="24"/>
        </w:rPr>
      </w:pPr>
      <w:r>
        <w:rPr>
          <w:rFonts w:hint="eastAsia" w:ascii="楷体" w:hAnsi="楷体" w:eastAsia="楷体"/>
          <w:sz w:val="24"/>
          <w:szCs w:val="24"/>
        </w:rPr>
        <w:t>本理财产品经苏银理财内部风险评级为</w:t>
      </w:r>
      <w:r>
        <w:rPr>
          <w:rFonts w:hint="eastAsia" w:ascii="楷体" w:hAnsi="楷体" w:eastAsia="楷体"/>
          <w:b/>
          <w:sz w:val="24"/>
          <w:szCs w:val="24"/>
          <w:u w:val="single"/>
        </w:rPr>
        <w:t>★★二级，适合中低风险型投资者，适合投资策略为稳健发展的投资者</w:t>
      </w:r>
      <w:r>
        <w:rPr>
          <w:rFonts w:hint="eastAsia" w:ascii="楷体" w:hAnsi="楷体" w:eastAsia="楷体"/>
          <w:sz w:val="24"/>
          <w:szCs w:val="24"/>
        </w:rPr>
        <w:t>。本评级为苏银理财有限责任公司内部评级，由苏银理财根据理财产品的投资组合、同类产品过往业绩和风险状况等因素，对理财产品进行评级，仅供客户参考。</w:t>
      </w:r>
    </w:p>
    <w:p>
      <w:pPr>
        <w:ind w:firstLine="480" w:firstLineChars="200"/>
        <w:rPr>
          <w:rFonts w:ascii="楷体" w:hAnsi="楷体" w:eastAsia="楷体"/>
          <w:sz w:val="24"/>
          <w:szCs w:val="24"/>
        </w:rPr>
      </w:pPr>
      <w:r>
        <w:rPr>
          <w:rFonts w:hint="eastAsia" w:ascii="楷体" w:hAnsi="楷体" w:eastAsia="楷体"/>
          <w:sz w:val="24"/>
          <w:szCs w:val="24"/>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p>
    <w:p>
      <w:pPr>
        <w:ind w:firstLine="482" w:firstLineChars="200"/>
        <w:rPr>
          <w:rFonts w:ascii="楷体" w:hAnsi="楷体" w:eastAsia="楷体"/>
          <w:b/>
          <w:sz w:val="24"/>
          <w:szCs w:val="24"/>
          <w:u w:val="single"/>
        </w:rPr>
      </w:pPr>
      <w:r>
        <w:rPr>
          <w:rFonts w:hint="eastAsia" w:ascii="楷体" w:hAnsi="楷体" w:eastAsia="楷体"/>
          <w:b/>
          <w:bCs/>
          <w:sz w:val="24"/>
          <w:szCs w:val="24"/>
          <w:u w:val="single"/>
        </w:rPr>
        <w:t>如本产品通过代理销售机构渠道销售，</w:t>
      </w:r>
      <w:r>
        <w:rPr>
          <w:rFonts w:hint="eastAsia" w:ascii="楷体" w:hAnsi="楷体" w:eastAsia="楷体"/>
          <w:b/>
          <w:sz w:val="24"/>
          <w:szCs w:val="24"/>
          <w:u w:val="single"/>
        </w:rPr>
        <w:t>理财产品评级以代理销售机构最终披露的评级结果为准。</w:t>
      </w:r>
    </w:p>
    <w:p>
      <w:pPr>
        <w:ind w:firstLine="480" w:firstLineChars="200"/>
        <w:rPr>
          <w:rFonts w:ascii="楷体" w:hAnsi="楷体" w:eastAsia="楷体"/>
          <w:b/>
          <w:sz w:val="24"/>
          <w:szCs w:val="24"/>
          <w:u w:val="single"/>
        </w:rPr>
      </w:pPr>
      <w:r>
        <w:rPr>
          <w:rFonts w:hint="eastAsia" w:ascii="楷体" w:hAnsi="楷体" w:eastAsia="楷体"/>
          <w:sz w:val="24"/>
          <w:szCs w:val="24"/>
        </w:rPr>
        <w:t>销售机构负责完成投资者风险承受能力评估，并在遵循投资者适当性原则的前提下进行本理财产品的销售活动。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风险星级</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风险级别</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适合的投资者类别</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tcBorders>
              <w:bottom w:val="single" w:color="auto" w:sz="4" w:space="0"/>
            </w:tcBorders>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一级（PR1）</w:t>
            </w:r>
          </w:p>
        </w:tc>
        <w:tc>
          <w:tcPr>
            <w:tcW w:w="2268" w:type="dxa"/>
            <w:tcBorders>
              <w:bottom w:val="single" w:color="auto" w:sz="4" w:space="0"/>
            </w:tcBorders>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低风险型</w:t>
            </w:r>
          </w:p>
        </w:tc>
        <w:tc>
          <w:tcPr>
            <w:tcW w:w="2084" w:type="dxa"/>
            <w:tcBorders>
              <w:bottom w:val="single" w:color="auto" w:sz="4" w:space="0"/>
            </w:tcBorders>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vAlign w:val="bottom"/>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w:t>
            </w:r>
          </w:p>
        </w:tc>
        <w:tc>
          <w:tcPr>
            <w:tcW w:w="1842" w:type="dxa"/>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二级（PR2）</w:t>
            </w:r>
          </w:p>
        </w:tc>
        <w:tc>
          <w:tcPr>
            <w:tcW w:w="2268" w:type="dxa"/>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中低风险型</w:t>
            </w:r>
          </w:p>
        </w:tc>
        <w:tc>
          <w:tcPr>
            <w:tcW w:w="2084" w:type="dxa"/>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三级（PR3）</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中风险型</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四级（PR4）</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中高风险型</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五级（PR5）</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高风险型</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风险承受</w:t>
            </w:r>
          </w:p>
        </w:tc>
      </w:tr>
    </w:tbl>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投资管理</w:t>
      </w:r>
    </w:p>
    <w:p>
      <w:pPr>
        <w:numPr>
          <w:ilvl w:val="0"/>
          <w:numId w:val="1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投资范围和比例</w:t>
      </w:r>
    </w:p>
    <w:p>
      <w:pPr>
        <w:ind w:firstLine="480" w:firstLineChars="200"/>
        <w:rPr>
          <w:rFonts w:ascii="楷体" w:hAnsi="楷体" w:eastAsia="楷体"/>
          <w:sz w:val="24"/>
          <w:szCs w:val="24"/>
        </w:rPr>
      </w:pPr>
      <w:r>
        <w:rPr>
          <w:rFonts w:hint="eastAsia" w:ascii="楷体" w:hAnsi="楷体" w:eastAsia="楷体"/>
          <w:sz w:val="24"/>
          <w:szCs w:val="24"/>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80" w:firstLineChars="200"/>
        <w:rPr>
          <w:rFonts w:ascii="楷体" w:hAnsi="楷体" w:eastAsia="楷体"/>
          <w:bCs/>
          <w:sz w:val="24"/>
          <w:szCs w:val="24"/>
        </w:rPr>
      </w:pPr>
      <w:r>
        <w:rPr>
          <w:rFonts w:hint="eastAsia" w:ascii="楷体" w:hAnsi="楷体" w:eastAsia="楷体"/>
          <w:bCs/>
          <w:sz w:val="24"/>
          <w:szCs w:val="24"/>
        </w:rPr>
        <w:t>本产品计划配置以下</w:t>
      </w:r>
      <w:r>
        <w:rPr>
          <w:rFonts w:ascii="楷体" w:hAnsi="楷体" w:eastAsia="楷体"/>
          <w:bCs/>
          <w:sz w:val="24"/>
          <w:szCs w:val="24"/>
        </w:rPr>
        <w:t>备选</w:t>
      </w:r>
      <w:r>
        <w:rPr>
          <w:rFonts w:hint="eastAsia" w:ascii="楷体" w:hAnsi="楷体" w:eastAsia="楷体"/>
          <w:bCs/>
          <w:sz w:val="24"/>
          <w:szCs w:val="24"/>
        </w:rPr>
        <w:t>非标准化债权类资产：</w:t>
      </w:r>
    </w:p>
    <w:p>
      <w:pPr>
        <w:numPr>
          <w:ilvl w:val="0"/>
          <w:numId w:val="2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信托贷款：资产类型为信托公司设立的资金信托计划，底层资产为蚂蚁及信托公司双重审核、信托公司自主风控后发放的个人贷款债权，资产到期日不超过理财产品到期日，循环期不还本、摊还期过手摊还本息，资产运行正常。</w:t>
      </w:r>
    </w:p>
    <w:p>
      <w:pPr>
        <w:numPr>
          <w:ilvl w:val="0"/>
          <w:numId w:val="2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信托贷款：资产类型为信托公司设立的资金信托计划，底层资产为微信及信托公司双重审核、信托公司自主风控后发放的个人贷款债权，资产到期日不超过理财产品到期日，循环期不还本、摊还期过手摊还本息，资产运行正常。</w:t>
      </w:r>
    </w:p>
    <w:p>
      <w:pPr>
        <w:numPr>
          <w:ilvl w:val="0"/>
          <w:numId w:val="2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信托贷款：资产类型为信托公司设立的资金信托计划，底层资产为网商银行及信托公司双重审核、信托公司自主风控后发放的个人贷款债权，资产到期日不超过理财产品到期日，循环期不还本、摊还期过手摊还本息，资产运行正常。</w:t>
      </w:r>
    </w:p>
    <w:p>
      <w:pPr>
        <w:numPr>
          <w:ilvl w:val="0"/>
          <w:numId w:val="2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信托贷款：资产类型为信托公司设立的资金信托计划，底层资产为抖音及信托公司双重审核、信托公司自主风控后发放的个人贷款债权，资产到期日不超过理财产品到期日，循环期不还本、摊还期过手摊还本息，资产运行正常。</w:t>
      </w:r>
    </w:p>
    <w:p>
      <w:pPr>
        <w:numPr>
          <w:ilvl w:val="0"/>
          <w:numId w:val="2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信托贷款：资产类型为信托公司设立的资金信托计划，底层资产为度小满及信托公司双重审核、信托公司自主风控后发放的个人贷款债权，资产到期日不超过理财产品到期日，循环期不还本、摊还期过手摊还本息，资产运行正常。</w:t>
      </w:r>
    </w:p>
    <w:p>
      <w:pPr>
        <w:numPr>
          <w:ilvl w:val="0"/>
          <w:numId w:val="20"/>
        </w:numPr>
        <w:ind w:firstLine="480" w:firstLineChars="200"/>
        <w:rPr>
          <w:rFonts w:ascii="楷体" w:hAnsi="楷体" w:eastAsia="楷体" w:cs="楷体"/>
          <w:sz w:val="24"/>
          <w:szCs w:val="24"/>
        </w:rPr>
      </w:pPr>
      <w:r>
        <w:rPr>
          <w:rFonts w:hint="eastAsia" w:ascii="楷体" w:hAnsi="楷体" w:eastAsia="楷体" w:cs="楷体"/>
          <w:kern w:val="2"/>
          <w:sz w:val="24"/>
          <w:szCs w:val="24"/>
          <w:lang w:val="en-US" w:eastAsia="zh-CN" w:bidi="ar-SA"/>
        </w:rPr>
        <w:t>信托贷款：资产类型为信托公司设立的资金信托计划，底层资产为京东及信托公司双重审核、信托公司自主风控后发放的个人贷款债权，资产到期日不超过理财产品到期日，循环期不还本、摊还期过手摊还本息，资产运行正常。</w:t>
      </w:r>
    </w:p>
    <w:p>
      <w:pPr>
        <w:ind w:firstLine="480" w:firstLineChars="200"/>
        <w:rPr>
          <w:rFonts w:ascii="楷体" w:hAnsi="楷体" w:eastAsia="楷体"/>
          <w:sz w:val="24"/>
          <w:szCs w:val="24"/>
        </w:rPr>
      </w:pPr>
      <w:r>
        <w:rPr>
          <w:rFonts w:hint="eastAsia" w:ascii="楷体" w:hAnsi="楷体" w:eastAsia="楷体"/>
          <w:sz w:val="24"/>
          <w:szCs w:val="24"/>
        </w:rPr>
        <w:t>因产品实际募集规模和融资人资金需求存在不确定性，产品管理人将选择上述一笔或者多笔作为本理财产品投资的非标准化债权类资产（具体以实际投资为准），并在本理财产品的定期报告中进行信息披露。</w:t>
      </w:r>
    </w:p>
    <w:p>
      <w:pPr>
        <w:ind w:firstLine="480" w:firstLineChars="200"/>
        <w:rPr>
          <w:rFonts w:ascii="楷体" w:hAnsi="楷体" w:eastAsia="楷体"/>
          <w:sz w:val="24"/>
          <w:szCs w:val="24"/>
        </w:rPr>
      </w:pPr>
      <w:r>
        <w:rPr>
          <w:rFonts w:hint="eastAsia" w:ascii="楷体" w:hAnsi="楷体" w:eastAsia="楷体"/>
          <w:sz w:val="24"/>
          <w:szCs w:val="24"/>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投资集中度限制</w:t>
      </w:r>
    </w:p>
    <w:p>
      <w:pPr>
        <w:numPr>
          <w:ilvl w:val="0"/>
          <w:numId w:val="2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本产品持有单只证券或者单只公募证券投资基金的市值不得超过产品净资产的</w:t>
      </w:r>
      <w:r>
        <w:rPr>
          <w:rFonts w:ascii="楷体" w:hAnsi="楷体" w:eastAsia="楷体" w:cs="Calibri"/>
          <w:sz w:val="24"/>
          <w:szCs w:val="24"/>
        </w:rPr>
        <w:t>10%</w:t>
      </w:r>
      <w:r>
        <w:rPr>
          <w:rFonts w:hint="eastAsia" w:ascii="楷体" w:hAnsi="楷体" w:eastAsia="楷体" w:cs="Calibri"/>
          <w:sz w:val="24"/>
          <w:szCs w:val="24"/>
        </w:rPr>
        <w:t>。</w:t>
      </w:r>
    </w:p>
    <w:p>
      <w:pPr>
        <w:numPr>
          <w:ilvl w:val="0"/>
          <w:numId w:val="2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管理人全部公募产品持有单只证券或单只公募证券投资基金的市值，不得超过该证券市值或该公募证券投资基金市值的</w:t>
      </w:r>
      <w:r>
        <w:rPr>
          <w:rFonts w:ascii="楷体" w:hAnsi="楷体" w:eastAsia="楷体" w:cs="Calibri"/>
          <w:sz w:val="24"/>
          <w:szCs w:val="24"/>
        </w:rPr>
        <w:t>30%</w:t>
      </w:r>
      <w:r>
        <w:rPr>
          <w:rFonts w:hint="eastAsia" w:ascii="楷体" w:hAnsi="楷体" w:eastAsia="楷体" w:cs="Calibri"/>
          <w:sz w:val="24"/>
          <w:szCs w:val="24"/>
        </w:rPr>
        <w:t>。</w:t>
      </w:r>
    </w:p>
    <w:p>
      <w:pPr>
        <w:numPr>
          <w:ilvl w:val="0"/>
          <w:numId w:val="2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管理人全部产品持有单一上市公司发行的股票，不得超过该上市公司可流通股票的30%。</w:t>
      </w:r>
    </w:p>
    <w:p>
      <w:pPr>
        <w:ind w:firstLine="480" w:firstLineChars="200"/>
        <w:rPr>
          <w:rFonts w:ascii="楷体" w:hAnsi="楷体" w:eastAsia="楷体"/>
          <w:sz w:val="24"/>
          <w:szCs w:val="24"/>
        </w:rPr>
      </w:pPr>
      <w:r>
        <w:rPr>
          <w:rFonts w:hint="eastAsia" w:ascii="楷体" w:hAnsi="楷体" w:eastAsia="楷体"/>
          <w:sz w:val="24"/>
          <w:szCs w:val="24"/>
        </w:rPr>
        <w:t>金融监督管理部门另有规定的除外。</w:t>
      </w:r>
    </w:p>
    <w:p>
      <w:pPr>
        <w:ind w:firstLine="480" w:firstLineChars="200"/>
        <w:rPr>
          <w:rFonts w:ascii="楷体" w:hAnsi="楷体" w:eastAsia="楷体"/>
          <w:sz w:val="24"/>
          <w:szCs w:val="24"/>
        </w:rPr>
      </w:pPr>
      <w:r>
        <w:rPr>
          <w:rFonts w:hint="eastAsia" w:ascii="楷体" w:hAnsi="楷体" w:eastAsia="楷体"/>
          <w:sz w:val="24"/>
          <w:szCs w:val="24"/>
        </w:rPr>
        <w:t>非因管理人主观因素导致突破上述比例限制的，产品管理人在流动性受限资产可出售、可转让或者恢复交易的</w:t>
      </w:r>
      <w:r>
        <w:rPr>
          <w:rFonts w:ascii="楷体" w:hAnsi="楷体" w:eastAsia="楷体"/>
          <w:sz w:val="24"/>
          <w:szCs w:val="24"/>
        </w:rPr>
        <w:t>1</w:t>
      </w:r>
      <w:r>
        <w:rPr>
          <w:rFonts w:hint="eastAsia" w:ascii="楷体" w:hAnsi="楷体" w:eastAsia="楷体"/>
          <w:sz w:val="24"/>
          <w:szCs w:val="24"/>
        </w:rPr>
        <w:t>0个交易日内调整至符合要求。</w:t>
      </w:r>
    </w:p>
    <w:p>
      <w:pPr>
        <w:numPr>
          <w:ilvl w:val="0"/>
          <w:numId w:val="1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杠杆水平限制</w:t>
      </w:r>
    </w:p>
    <w:p>
      <w:pPr>
        <w:ind w:firstLine="480" w:firstLineChars="200"/>
        <w:rPr>
          <w:rFonts w:ascii="楷体" w:hAnsi="楷体" w:eastAsia="楷体"/>
          <w:sz w:val="24"/>
          <w:szCs w:val="24"/>
        </w:rPr>
      </w:pPr>
      <w:r>
        <w:rPr>
          <w:rFonts w:hint="eastAsia" w:ascii="楷体" w:hAnsi="楷体" w:eastAsia="楷体"/>
          <w:sz w:val="24"/>
          <w:szCs w:val="24"/>
        </w:rPr>
        <w:t>本理财产品资产总值/理财产品资产净值不超过</w:t>
      </w:r>
      <w:r>
        <w:rPr>
          <w:rFonts w:ascii="楷体" w:hAnsi="楷体" w:eastAsia="楷体"/>
          <w:sz w:val="24"/>
          <w:szCs w:val="24"/>
        </w:rPr>
        <w:t>15</w:t>
      </w:r>
      <w:r>
        <w:rPr>
          <w:rFonts w:hint="eastAsia" w:ascii="楷体" w:hAnsi="楷体" w:eastAsia="楷体"/>
          <w:sz w:val="24"/>
          <w:szCs w:val="24"/>
        </w:rPr>
        <w:t>0%（如监管有最新规定的参照监管规定调整）。</w:t>
      </w:r>
    </w:p>
    <w:p>
      <w:pPr>
        <w:numPr>
          <w:ilvl w:val="0"/>
          <w:numId w:val="1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投资范围调整</w:t>
      </w:r>
    </w:p>
    <w:p>
      <w:pPr>
        <w:ind w:firstLine="480" w:firstLineChars="200"/>
        <w:rPr>
          <w:rFonts w:ascii="楷体" w:hAnsi="楷体" w:eastAsia="楷体"/>
          <w:sz w:val="24"/>
          <w:szCs w:val="24"/>
        </w:rPr>
      </w:pPr>
      <w:r>
        <w:rPr>
          <w:rFonts w:hint="eastAsia" w:ascii="楷体" w:hAnsi="楷体" w:eastAsia="楷体"/>
          <w:sz w:val="24"/>
          <w:szCs w:val="24"/>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产品认购</w:t>
      </w:r>
    </w:p>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认购期间：202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6</w:t>
      </w:r>
      <w:r>
        <w:rPr>
          <w:rFonts w:hint="eastAsia" w:ascii="楷体" w:hAnsi="楷体" w:eastAsia="楷体" w:cs="Calibri"/>
          <w:sz w:val="24"/>
          <w:szCs w:val="24"/>
        </w:rPr>
        <w:t>月</w:t>
      </w:r>
      <w:r>
        <w:rPr>
          <w:rFonts w:hint="eastAsia" w:ascii="楷体" w:hAnsi="楷体" w:eastAsia="楷体" w:cs="Calibri"/>
          <w:sz w:val="24"/>
          <w:szCs w:val="24"/>
          <w:lang w:val="en-US" w:eastAsia="zh-CN"/>
        </w:rPr>
        <w:t>11</w:t>
      </w:r>
      <w:r>
        <w:rPr>
          <w:rFonts w:hint="eastAsia" w:ascii="楷体" w:hAnsi="楷体" w:eastAsia="楷体" w:cs="Calibri"/>
          <w:sz w:val="24"/>
          <w:szCs w:val="24"/>
        </w:rPr>
        <w:t>日9:00至202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6</w:t>
      </w:r>
      <w:r>
        <w:rPr>
          <w:rFonts w:hint="eastAsia" w:ascii="楷体" w:hAnsi="楷体" w:eastAsia="楷体" w:cs="Calibri"/>
          <w:sz w:val="24"/>
          <w:szCs w:val="24"/>
        </w:rPr>
        <w:t>月</w:t>
      </w:r>
      <w:r>
        <w:rPr>
          <w:rFonts w:hint="eastAsia" w:ascii="楷体" w:hAnsi="楷体" w:eastAsia="楷体" w:cs="Calibri"/>
          <w:sz w:val="24"/>
          <w:szCs w:val="24"/>
          <w:lang w:val="en-US" w:eastAsia="zh-CN"/>
        </w:rPr>
        <w:t>17</w:t>
      </w:r>
      <w:r>
        <w:rPr>
          <w:rFonts w:hint="eastAsia" w:ascii="楷体" w:hAnsi="楷体" w:eastAsia="楷体" w:cs="Calibri"/>
          <w:sz w:val="24"/>
          <w:szCs w:val="24"/>
        </w:rPr>
        <w:t>日17:00。</w:t>
      </w:r>
    </w:p>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认购方式：本理财产品可在各销售机构指定渠道进行认购。</w:t>
      </w:r>
    </w:p>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销售机构受理认购申请并不代表该申请成功确认，仅代表其收到了认购申请，申请是否成功以管理人最终确认为准。具体而言，投资者按规定提交认购申请、全额交付款项并经销售机构成功冻结或预扣的，认购申请成立，管理人在认购份额登记日对投资者的认购申请成功登记后，视为投资者的认购申请生效。投资者应在理财产品成立后及时查询最终的成交情况以及认购的份额。</w:t>
      </w:r>
    </w:p>
    <w:p>
      <w:pPr>
        <w:numPr>
          <w:ilvl w:val="0"/>
          <w:numId w:val="22"/>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单笔认购起点金额</w:t>
      </w:r>
      <w:r>
        <w:rPr>
          <w:rFonts w:hint="eastAsia" w:ascii="楷体" w:hAnsi="楷体" w:eastAsia="楷体" w:cs="Calibri"/>
          <w:sz w:val="24"/>
          <w:szCs w:val="24"/>
          <w:lang w:eastAsia="zh-CN"/>
        </w:rPr>
        <w:t>、</w:t>
      </w:r>
      <w:r>
        <w:rPr>
          <w:rFonts w:hint="eastAsia" w:ascii="楷体" w:hAnsi="楷体" w:eastAsia="楷体" w:cs="Calibri"/>
          <w:sz w:val="24"/>
          <w:szCs w:val="24"/>
        </w:rPr>
        <w:t>追加金额</w:t>
      </w:r>
      <w:r>
        <w:rPr>
          <w:rFonts w:ascii="楷体" w:hAnsi="楷体" w:eastAsia="楷体" w:cs="Calibri"/>
          <w:sz w:val="24"/>
          <w:szCs w:val="24"/>
        </w:rPr>
        <w:t>（以各销售机构设置为准）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672"/>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top"/>
          </w:tcPr>
          <w:p>
            <w:pPr>
              <w:numPr>
                <w:ilvl w:val="0"/>
                <w:numId w:val="0"/>
              </w:numPr>
              <w:tabs>
                <w:tab w:val="left" w:pos="993"/>
              </w:tabs>
              <w:jc w:val="center"/>
              <w:rPr>
                <w:rFonts w:hint="default" w:ascii="楷体" w:hAnsi="楷体" w:eastAsia="楷体" w:cs="Calibri"/>
                <w:b/>
                <w:bCs/>
                <w:sz w:val="24"/>
                <w:szCs w:val="24"/>
                <w:vertAlign w:val="baseline"/>
                <w:lang w:val="en-US" w:eastAsia="zh-CN"/>
              </w:rPr>
            </w:pPr>
            <w:r>
              <w:rPr>
                <w:rFonts w:hint="eastAsia" w:ascii="楷体" w:hAnsi="楷体" w:eastAsia="楷体" w:cs="Calibri"/>
                <w:b/>
                <w:bCs/>
                <w:sz w:val="24"/>
                <w:szCs w:val="24"/>
                <w:vertAlign w:val="baseline"/>
                <w:lang w:val="en-US" w:eastAsia="zh-CN"/>
              </w:rPr>
              <w:t>份额</w:t>
            </w:r>
          </w:p>
        </w:tc>
        <w:tc>
          <w:tcPr>
            <w:tcW w:w="3672" w:type="dxa"/>
            <w:noWrap w:val="0"/>
            <w:vAlign w:val="top"/>
          </w:tcPr>
          <w:p>
            <w:pPr>
              <w:numPr>
                <w:ilvl w:val="0"/>
                <w:numId w:val="0"/>
              </w:numPr>
              <w:tabs>
                <w:tab w:val="left" w:pos="993"/>
              </w:tabs>
              <w:jc w:val="center"/>
              <w:rPr>
                <w:rFonts w:hint="eastAsia" w:ascii="楷体" w:hAnsi="楷体" w:eastAsia="楷体" w:cs="Calibri"/>
                <w:b/>
                <w:bCs/>
                <w:sz w:val="24"/>
                <w:szCs w:val="24"/>
                <w:vertAlign w:val="baseline"/>
              </w:rPr>
            </w:pPr>
            <w:r>
              <w:rPr>
                <w:rFonts w:hint="eastAsia" w:ascii="楷体" w:hAnsi="楷体" w:eastAsia="楷体" w:cs="Calibri"/>
                <w:b/>
                <w:bCs/>
                <w:sz w:val="24"/>
                <w:szCs w:val="24"/>
              </w:rPr>
              <w:t>单笔认购起点金额</w:t>
            </w:r>
          </w:p>
        </w:tc>
        <w:tc>
          <w:tcPr>
            <w:tcW w:w="3246" w:type="dxa"/>
            <w:noWrap w:val="0"/>
            <w:vAlign w:val="top"/>
          </w:tcPr>
          <w:p>
            <w:pPr>
              <w:numPr>
                <w:ilvl w:val="0"/>
                <w:numId w:val="0"/>
              </w:numPr>
              <w:tabs>
                <w:tab w:val="left" w:pos="993"/>
              </w:tabs>
              <w:jc w:val="center"/>
              <w:rPr>
                <w:rFonts w:hint="eastAsia" w:ascii="楷体" w:hAnsi="楷体" w:eastAsia="楷体" w:cs="Calibri"/>
                <w:b/>
                <w:bCs/>
                <w:sz w:val="24"/>
                <w:szCs w:val="24"/>
                <w:vertAlign w:val="baseline"/>
              </w:rPr>
            </w:pPr>
            <w:r>
              <w:rPr>
                <w:rFonts w:hint="eastAsia" w:ascii="楷体" w:hAnsi="楷体" w:eastAsia="楷体" w:cs="Calibri"/>
                <w:b/>
                <w:bCs/>
                <w:sz w:val="24"/>
                <w:szCs w:val="24"/>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A份额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lang w:val="en-US" w:eastAsia="zh-CN"/>
              </w:rPr>
            </w:pPr>
            <w:r>
              <w:rPr>
                <w:rFonts w:hint="eastAsia" w:ascii="楷体" w:hAnsi="楷体" w:eastAsia="楷体" w:cs="宋体"/>
                <w:spacing w:val="-2"/>
                <w:sz w:val="24"/>
                <w:szCs w:val="24"/>
                <w:lang w:eastAsia="zh-CN"/>
              </w:rPr>
              <w:t>1元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sz w:val="24"/>
                <w:szCs w:val="24"/>
                <w:lang w:eastAsia="zh-CN"/>
              </w:rPr>
              <w:t>1元</w:t>
            </w:r>
            <w:r>
              <w:rPr>
                <w:rFonts w:hint="eastAsia" w:ascii="楷体" w:hAnsi="楷体" w:eastAsia="楷体"/>
                <w:sz w:val="24"/>
                <w:szCs w:val="24"/>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B份额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Calibri"/>
                <w:sz w:val="24"/>
                <w:szCs w:val="24"/>
                <w:vertAlign w:val="baseline"/>
                <w:lang w:val="en-US"/>
              </w:rPr>
            </w:pPr>
            <w:r>
              <w:rPr>
                <w:rFonts w:hint="eastAsia" w:ascii="楷体" w:hAnsi="楷体" w:eastAsia="楷体" w:cs="楷体"/>
                <w:i w:val="0"/>
                <w:iCs w:val="0"/>
                <w:color w:val="000000"/>
                <w:kern w:val="0"/>
                <w:sz w:val="24"/>
                <w:szCs w:val="24"/>
                <w:u w:val="none"/>
                <w:lang w:val="en-US" w:eastAsia="zh-CN" w:bidi="ar"/>
              </w:rPr>
              <w:t>C份额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D份额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E份额</w:t>
            </w:r>
          </w:p>
        </w:tc>
        <w:tc>
          <w:tcPr>
            <w:tcW w:w="3672"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cs="宋体"/>
                <w:spacing w:val="-2"/>
                <w:sz w:val="24"/>
                <w:szCs w:val="24"/>
                <w:highlight w:val="none"/>
                <w:vertAlign w:val="baseline"/>
                <w:lang w:val="en-US" w:eastAsia="zh-CN"/>
              </w:rPr>
              <w:t>300,000元</w:t>
            </w:r>
          </w:p>
        </w:tc>
        <w:tc>
          <w:tcPr>
            <w:tcW w:w="3246"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F份额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G份额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Z份额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NB份额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AJS份额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eastAsia="zh-CN"/>
              </w:rPr>
            </w:pPr>
            <w:r>
              <w:rPr>
                <w:rFonts w:hint="eastAsia" w:ascii="楷体" w:hAnsi="楷体" w:eastAsia="楷体" w:cs="宋体"/>
                <w:spacing w:val="-2"/>
                <w:sz w:val="24"/>
                <w:szCs w:val="24"/>
                <w:lang w:eastAsia="zh-CN"/>
              </w:rPr>
              <w:t>1元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lang w:eastAsia="zh-CN"/>
              </w:rPr>
            </w:pPr>
            <w:r>
              <w:rPr>
                <w:rFonts w:hint="eastAsia" w:ascii="楷体" w:hAnsi="楷体" w:eastAsia="楷体"/>
                <w:sz w:val="24"/>
                <w:szCs w:val="24"/>
                <w:lang w:eastAsia="zh-CN"/>
              </w:rPr>
              <w:t>1元</w:t>
            </w:r>
            <w:r>
              <w:rPr>
                <w:rFonts w:hint="eastAsia" w:ascii="楷体" w:hAnsi="楷体" w:eastAsia="楷体"/>
                <w:sz w:val="24"/>
                <w:szCs w:val="24"/>
              </w:rPr>
              <w:t>的整数倍</w:t>
            </w:r>
          </w:p>
        </w:tc>
      </w:tr>
    </w:tbl>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认购申请撤销时间：认购期间，投资者可于202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6</w:t>
      </w:r>
      <w:r>
        <w:rPr>
          <w:rFonts w:hint="eastAsia" w:ascii="楷体" w:hAnsi="楷体" w:eastAsia="楷体" w:cs="Calibri"/>
          <w:sz w:val="24"/>
          <w:szCs w:val="24"/>
        </w:rPr>
        <w:t>月</w:t>
      </w:r>
      <w:r>
        <w:rPr>
          <w:rFonts w:hint="eastAsia" w:ascii="楷体" w:hAnsi="楷体" w:eastAsia="楷体" w:cs="Calibri"/>
          <w:sz w:val="24"/>
          <w:szCs w:val="24"/>
          <w:lang w:val="en-US" w:eastAsia="zh-CN"/>
        </w:rPr>
        <w:t>17</w:t>
      </w:r>
      <w:r>
        <w:rPr>
          <w:rFonts w:hint="eastAsia" w:ascii="楷体" w:hAnsi="楷体" w:eastAsia="楷体" w:cs="Calibri"/>
          <w:sz w:val="24"/>
          <w:szCs w:val="24"/>
        </w:rPr>
        <w:t>日17:00前撤销认购申请，该时点后不得撤销。</w:t>
      </w:r>
      <w:r>
        <w:rPr>
          <w:rFonts w:hint="eastAsia" w:ascii="楷体" w:hAnsi="楷体" w:eastAsia="楷体" w:cs="Calibri"/>
          <w:b/>
          <w:sz w:val="24"/>
          <w:szCs w:val="24"/>
          <w:u w:val="single"/>
        </w:rPr>
        <w:t>本产品运行期间，不开放申购、赎回。</w:t>
      </w:r>
    </w:p>
    <w:p>
      <w:pPr>
        <w:numPr>
          <w:ilvl w:val="0"/>
          <w:numId w:val="22"/>
        </w:numPr>
        <w:tabs>
          <w:tab w:val="left" w:pos="993"/>
          <w:tab w:val="left" w:pos="6259"/>
        </w:tabs>
        <w:ind w:left="0" w:firstLine="480" w:firstLineChars="200"/>
        <w:rPr>
          <w:rFonts w:ascii="楷体" w:hAnsi="楷体" w:eastAsia="楷体" w:cs="Calibri"/>
          <w:sz w:val="24"/>
          <w:szCs w:val="24"/>
        </w:rPr>
      </w:pPr>
      <w:r>
        <w:rPr>
          <w:rFonts w:hint="eastAsia" w:ascii="楷体" w:hAnsi="楷体" w:eastAsia="楷体" w:cs="Calibri"/>
          <w:sz w:val="24"/>
          <w:szCs w:val="24"/>
        </w:rPr>
        <w:t>认购资金的清算</w:t>
      </w:r>
      <w:r>
        <w:rPr>
          <w:rFonts w:hint="eastAsia" w:ascii="楷体" w:hAnsi="楷体" w:eastAsia="楷体" w:cs="Calibri"/>
          <w:sz w:val="24"/>
          <w:szCs w:val="24"/>
          <w:lang w:eastAsia="zh-CN"/>
        </w:rPr>
        <w:tab/>
      </w:r>
    </w:p>
    <w:p>
      <w:pPr>
        <w:ind w:firstLine="480" w:firstLineChars="200"/>
        <w:rPr>
          <w:rFonts w:ascii="楷体" w:hAnsi="楷体" w:eastAsia="楷体"/>
          <w:sz w:val="24"/>
          <w:szCs w:val="24"/>
        </w:rPr>
      </w:pPr>
      <w:r>
        <w:rPr>
          <w:rFonts w:hint="eastAsia" w:ascii="楷体" w:hAnsi="楷体" w:eastAsia="楷体"/>
          <w:sz w:val="24"/>
          <w:szCs w:val="24"/>
        </w:rPr>
        <w:t>投资者提出认购申请时，须备足购买资金。如投资者通过代销渠道购买，管理人在份额确认日通知销售机构扣划投资者认购资金，投资者应在扣款前保证资金账户中拥有足够可用余额；如投资者通过苏银理财直营渠道购买，资金清算以《理财产品销售协议书》约定为准。因投资者资金账户余额不足、司法冻结、不可抗力因素或其他不可归责于苏银理财和销售机构的事由出现，造成扣款失败，认购申请未被确认的，苏银理财和销售机构不承担任何责任。</w:t>
      </w:r>
    </w:p>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认购份额登记日：本理财产品于202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6</w:t>
      </w:r>
      <w:r>
        <w:rPr>
          <w:rFonts w:hint="eastAsia" w:ascii="楷体" w:hAnsi="楷体" w:eastAsia="楷体" w:cs="Calibri"/>
          <w:sz w:val="24"/>
          <w:szCs w:val="24"/>
        </w:rPr>
        <w:t>月</w:t>
      </w:r>
      <w:r>
        <w:rPr>
          <w:rFonts w:hint="eastAsia" w:ascii="楷体" w:hAnsi="楷体" w:eastAsia="楷体" w:cs="Calibri"/>
          <w:sz w:val="24"/>
          <w:szCs w:val="24"/>
          <w:lang w:val="en-US" w:eastAsia="zh-CN"/>
        </w:rPr>
        <w:t>18</w:t>
      </w:r>
      <w:r>
        <w:rPr>
          <w:rFonts w:hint="eastAsia" w:ascii="楷体" w:hAnsi="楷体" w:eastAsia="楷体" w:cs="Calibri"/>
          <w:sz w:val="24"/>
          <w:szCs w:val="24"/>
        </w:rPr>
        <w:t>日进行份额登记。</w:t>
      </w:r>
    </w:p>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认购份额的计算</w:t>
      </w:r>
    </w:p>
    <w:p>
      <w:pPr>
        <w:ind w:firstLine="480" w:firstLineChars="200"/>
        <w:rPr>
          <w:rFonts w:ascii="楷体" w:hAnsi="楷体" w:eastAsia="楷体"/>
          <w:sz w:val="24"/>
          <w:szCs w:val="24"/>
        </w:rPr>
      </w:pPr>
      <w:r>
        <w:rPr>
          <w:rFonts w:ascii="楷体" w:hAnsi="楷体" w:eastAsia="楷体"/>
          <w:sz w:val="24"/>
          <w:szCs w:val="24"/>
        </w:rPr>
        <w:t>认购份额=</w:t>
      </w:r>
      <w:r>
        <w:rPr>
          <w:rFonts w:hint="eastAsia" w:ascii="楷体" w:hAnsi="楷体" w:eastAsia="楷体"/>
          <w:sz w:val="24"/>
          <w:szCs w:val="24"/>
        </w:rPr>
        <w:t>认购金额</w:t>
      </w:r>
      <w:r>
        <w:rPr>
          <w:rFonts w:ascii="楷体" w:hAnsi="楷体" w:eastAsia="楷体"/>
          <w:sz w:val="24"/>
          <w:szCs w:val="24"/>
        </w:rPr>
        <w:t>/</w:t>
      </w:r>
      <w:r>
        <w:rPr>
          <w:rFonts w:hint="eastAsia" w:ascii="楷体" w:hAnsi="楷体" w:eastAsia="楷体"/>
          <w:sz w:val="24"/>
          <w:szCs w:val="24"/>
        </w:rPr>
        <w:t>产品成立时单位净值</w:t>
      </w:r>
    </w:p>
    <w:p>
      <w:pPr>
        <w:ind w:firstLine="480" w:firstLineChars="200"/>
        <w:rPr>
          <w:rFonts w:ascii="楷体" w:hAnsi="楷体" w:eastAsia="楷体"/>
          <w:sz w:val="24"/>
          <w:szCs w:val="24"/>
        </w:rPr>
      </w:pPr>
      <w:r>
        <w:rPr>
          <w:rFonts w:hint="eastAsia" w:ascii="楷体" w:hAnsi="楷体" w:eastAsia="楷体"/>
          <w:sz w:val="24"/>
          <w:szCs w:val="24"/>
        </w:rPr>
        <w:t>产品成立时单位净值为1元/份，</w:t>
      </w:r>
      <w:r>
        <w:rPr>
          <w:rFonts w:ascii="楷体" w:hAnsi="楷体" w:eastAsia="楷体"/>
          <w:sz w:val="24"/>
          <w:szCs w:val="24"/>
        </w:rPr>
        <w:t>认购份额</w:t>
      </w:r>
      <w:r>
        <w:rPr>
          <w:rFonts w:hint="eastAsia" w:ascii="楷体" w:hAnsi="楷体" w:eastAsia="楷体"/>
          <w:sz w:val="24"/>
          <w:szCs w:val="24"/>
        </w:rPr>
        <w:t>以四舍五入的方法保留到小数点后两位。</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产品估值</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估值对象</w:t>
      </w:r>
    </w:p>
    <w:p>
      <w:pPr>
        <w:ind w:firstLine="480" w:firstLineChars="200"/>
        <w:rPr>
          <w:rFonts w:ascii="楷体" w:hAnsi="楷体" w:eastAsia="楷体"/>
          <w:sz w:val="24"/>
          <w:szCs w:val="24"/>
        </w:rPr>
      </w:pPr>
      <w:r>
        <w:rPr>
          <w:rFonts w:hint="eastAsia" w:ascii="楷体" w:hAnsi="楷体" w:eastAsia="楷体"/>
          <w:sz w:val="24"/>
          <w:szCs w:val="24"/>
        </w:rPr>
        <w:t>本产品所拥有的各类证券、银行存款、应收款项及其它资产及负债。</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估值要求</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本产品资产估值的目的是客观、准确的反映资产净值，确定理财产品资产净值，并为理财产品的兑付提供计价依据。</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本产品单位净值精确到小数点后6位，小数点6位后截位。</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本产品每周估值</w:t>
      </w:r>
      <w:r>
        <w:rPr>
          <w:rFonts w:ascii="楷体" w:hAnsi="楷体" w:eastAsia="楷体" w:cs="Calibri"/>
          <w:sz w:val="24"/>
          <w:szCs w:val="24"/>
        </w:rPr>
        <w:t>，</w:t>
      </w:r>
      <w:r>
        <w:rPr>
          <w:rFonts w:hint="eastAsia" w:ascii="楷体" w:hAnsi="楷体" w:eastAsia="楷体" w:cs="Calibri"/>
          <w:sz w:val="24"/>
          <w:szCs w:val="24"/>
        </w:rPr>
        <w:t>并于估值日后第2个工作日内，通过本产品说明书约定方式披露产品单位净值。</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估值方法</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1.存款类资产、货币市场工具：以本金列示，逐日计提利息。</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2.货币市场基金：按公允价值进行估值，以估值截止时间点能够取得的最新每万份收益进行估值。</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3.债券类资产：</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4.债权类资产：</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5.权益类资产：按公允价值进行估值，采用市价、监管认可的第三方估值机构提供的估值价格进行估值。</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7.其他资产：按公允价值进行估值。</w:t>
      </w:r>
    </w:p>
    <w:p>
      <w:pPr>
        <w:ind w:firstLine="480" w:firstLineChars="200"/>
        <w:rPr>
          <w:rFonts w:ascii="楷体" w:hAnsi="楷体" w:eastAsia="楷体"/>
          <w:sz w:val="24"/>
          <w:szCs w:val="24"/>
        </w:rPr>
      </w:pPr>
      <w:r>
        <w:rPr>
          <w:rFonts w:hint="eastAsia" w:ascii="楷体" w:hAnsi="楷体" w:eastAsia="楷体" w:cs="Calibri"/>
          <w:sz w:val="24"/>
          <w:szCs w:val="24"/>
        </w:rPr>
        <w:t>如有新增事项或变更事项，按国家法律法规及监管最新规定执行。</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估值错误的处理</w:t>
      </w:r>
    </w:p>
    <w:p>
      <w:pPr>
        <w:ind w:firstLine="480" w:firstLineChars="200"/>
        <w:rPr>
          <w:rFonts w:ascii="楷体" w:hAnsi="楷体" w:eastAsia="楷体"/>
          <w:sz w:val="24"/>
          <w:szCs w:val="24"/>
        </w:rPr>
      </w:pPr>
      <w:r>
        <w:rPr>
          <w:rFonts w:hint="eastAsia" w:ascii="楷体" w:hAnsi="楷体" w:eastAsia="楷体"/>
          <w:sz w:val="24"/>
          <w:szCs w:val="24"/>
        </w:rPr>
        <w:t>产品管理人和产品托管人将采取必要、适当合理的措施确保产品资产估值的准确性、及时性。当产品单位净值出现错误时，产品管理人应当立即予以纠正，并采取合理的措施防止损失进一步扩大。</w:t>
      </w:r>
      <w:r>
        <w:rPr>
          <w:rFonts w:hint="eastAsia" w:ascii="楷体" w:hAnsi="楷体" w:eastAsia="楷体"/>
          <w:sz w:val="24"/>
          <w:szCs w:val="24"/>
          <w:highlight w:val="none"/>
        </w:rPr>
        <w:t>由于证券交易所、期货交易所、第三方估值机构、登记机构等发送数据错误等非理财产品管理人和托管人原因，或由于其它不可抗力原因</w:t>
      </w:r>
      <w:r>
        <w:rPr>
          <w:rFonts w:hint="eastAsia" w:ascii="楷体" w:hAnsi="楷体" w:eastAsia="楷体"/>
          <w:sz w:val="24"/>
          <w:szCs w:val="24"/>
        </w:rPr>
        <w:t>，产品管理人和产品托管人虽然已采取必要、适当、合理的措施进行检查，但是未能发现该错误的，由此造成的产品估值错误，产品管理人和产品托管人免除赔偿责任。但产品管理人和产品托管人应当积极采取必要的措施</w:t>
      </w:r>
      <w:r>
        <w:rPr>
          <w:rFonts w:hint="eastAsia" w:ascii="楷体" w:hAnsi="楷体" w:eastAsia="楷体"/>
          <w:sz w:val="24"/>
          <w:szCs w:val="24"/>
          <w:lang w:val="en-US" w:eastAsia="zh-CN"/>
        </w:rPr>
        <w:t>减轻或</w:t>
      </w:r>
      <w:r>
        <w:rPr>
          <w:rFonts w:hint="eastAsia" w:ascii="楷体" w:hAnsi="楷体" w:eastAsia="楷体"/>
          <w:sz w:val="24"/>
          <w:szCs w:val="24"/>
        </w:rPr>
        <w:t>消除由此造成的影响。</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暂停估值</w:t>
      </w:r>
    </w:p>
    <w:p>
      <w:pPr>
        <w:ind w:firstLine="480" w:firstLineChars="200"/>
        <w:rPr>
          <w:rFonts w:ascii="楷体" w:hAnsi="楷体" w:eastAsia="楷体"/>
          <w:sz w:val="24"/>
          <w:szCs w:val="24"/>
        </w:rPr>
      </w:pPr>
      <w:r>
        <w:rPr>
          <w:rFonts w:hint="eastAsia" w:ascii="楷体" w:hAnsi="楷体" w:eastAsia="楷体"/>
          <w:sz w:val="24"/>
          <w:szCs w:val="24"/>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产品的终止与清算</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理财产品的终止</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提前终止</w:t>
      </w:r>
    </w:p>
    <w:p>
      <w:pPr>
        <w:ind w:firstLine="480" w:firstLineChars="200"/>
        <w:rPr>
          <w:rFonts w:ascii="楷体" w:hAnsi="楷体" w:eastAsia="楷体"/>
          <w:sz w:val="24"/>
          <w:szCs w:val="24"/>
        </w:rPr>
      </w:pPr>
      <w:r>
        <w:rPr>
          <w:rFonts w:hint="eastAsia" w:ascii="楷体" w:hAnsi="楷体" w:eastAsia="楷体"/>
          <w:sz w:val="24"/>
          <w:szCs w:val="24"/>
        </w:rPr>
        <w:t>在理财产品投资运作期间内，投资者无权要求提前终止该理财产品。在理财产品投资运作期间内，当出现下列情形之一时，产品管理人有权</w:t>
      </w:r>
      <w:r>
        <w:rPr>
          <w:rFonts w:hint="eastAsia" w:ascii="楷体" w:hAnsi="楷体" w:eastAsia="楷体"/>
          <w:sz w:val="24"/>
          <w:szCs w:val="24"/>
          <w:lang w:val="en-US" w:eastAsia="zh-CN"/>
        </w:rPr>
        <w:t>提前</w:t>
      </w:r>
      <w:r>
        <w:rPr>
          <w:rFonts w:hint="eastAsia" w:ascii="楷体" w:hAnsi="楷体" w:eastAsia="楷体"/>
          <w:sz w:val="24"/>
          <w:szCs w:val="24"/>
        </w:rPr>
        <w:t>终止本产品：</w:t>
      </w:r>
    </w:p>
    <w:p>
      <w:pPr>
        <w:numPr>
          <w:ilvl w:val="0"/>
          <w:numId w:val="27"/>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因不可抗力原因导致理财产品无法继续运作；</w:t>
      </w:r>
    </w:p>
    <w:p>
      <w:pPr>
        <w:numPr>
          <w:ilvl w:val="0"/>
          <w:numId w:val="27"/>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因法律法规变化或国家金融政策调整、紧急措施出台影响产品继续正常运作；</w:t>
      </w:r>
    </w:p>
    <w:p>
      <w:pPr>
        <w:numPr>
          <w:ilvl w:val="0"/>
          <w:numId w:val="27"/>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法律法规规定或监管部门认定的其他情形。</w:t>
      </w:r>
    </w:p>
    <w:p>
      <w:pPr>
        <w:tabs>
          <w:tab w:val="left" w:pos="1092"/>
        </w:tabs>
        <w:ind w:firstLine="480" w:firstLineChars="200"/>
        <w:rPr>
          <w:rFonts w:ascii="楷体" w:hAnsi="楷体" w:eastAsia="楷体" w:cs="Calibri"/>
          <w:sz w:val="24"/>
          <w:szCs w:val="24"/>
        </w:rPr>
      </w:pPr>
      <w:r>
        <w:rPr>
          <w:rFonts w:hint="eastAsia" w:ascii="楷体" w:hAnsi="楷体" w:eastAsia="楷体"/>
          <w:sz w:val="24"/>
          <w:szCs w:val="24"/>
        </w:rPr>
        <w:t>理财产品不因投资者死亡、丧失民事行为能力、破产等原因而终止。投资者因各种原因无法继续履行合同的，投资者的法定继承人、承继人、指定受益人或继任管理人等合法主体承担原投资者在本理财产品合同中相应的全部权利与义务。</w:t>
      </w:r>
    </w:p>
    <w:p>
      <w:pPr>
        <w:ind w:firstLine="480" w:firstLineChars="200"/>
        <w:rPr>
          <w:rFonts w:ascii="楷体" w:hAnsi="楷体" w:eastAsia="楷体"/>
          <w:sz w:val="24"/>
          <w:szCs w:val="24"/>
        </w:rPr>
      </w:pPr>
      <w:r>
        <w:rPr>
          <w:rFonts w:hint="eastAsia" w:ascii="楷体" w:hAnsi="楷体" w:eastAsia="楷体"/>
          <w:sz w:val="24"/>
          <w:szCs w:val="24"/>
        </w:rPr>
        <w:t>如理财产品管理人提前终止本理财产品，将至少提前</w:t>
      </w:r>
      <w:r>
        <w:rPr>
          <w:rFonts w:ascii="楷体" w:hAnsi="楷体" w:eastAsia="楷体"/>
          <w:sz w:val="24"/>
          <w:szCs w:val="24"/>
        </w:rPr>
        <w:t>2</w:t>
      </w:r>
      <w:r>
        <w:rPr>
          <w:rFonts w:hint="eastAsia" w:ascii="楷体" w:hAnsi="楷体" w:eastAsia="楷体"/>
          <w:sz w:val="24"/>
          <w:szCs w:val="24"/>
        </w:rPr>
        <w:t>个工作日（含）按说明书约定的信息披露方式予以披露。</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正常兑付</w:t>
      </w:r>
    </w:p>
    <w:p>
      <w:pPr>
        <w:ind w:firstLine="480" w:firstLineChars="200"/>
        <w:rPr>
          <w:rFonts w:ascii="楷体" w:hAnsi="楷体" w:eastAsia="楷体" w:cs="Calibri"/>
          <w:sz w:val="24"/>
          <w:szCs w:val="24"/>
        </w:rPr>
      </w:pPr>
      <w:r>
        <w:rPr>
          <w:rFonts w:hint="eastAsia" w:ascii="楷体" w:hAnsi="楷体" w:eastAsia="楷体"/>
          <w:sz w:val="24"/>
          <w:szCs w:val="24"/>
        </w:rPr>
        <w:t>投资者持有本理财产品至产品到期日，投资者的投资本金和收益（如有）将在产品到期后一次性支付。理财产品正常终止并兑付的，投资者的投资本金和收益（如有）将于产品到期日后5个工作日以内划至投资者指定账户，如遇法定节假日或公休日则相应顺延。产品到期日至资金实际到账日之间，投资者资金不计息。</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★延期兑付</w:t>
      </w:r>
    </w:p>
    <w:p>
      <w:pPr>
        <w:ind w:firstLine="480" w:firstLineChars="200"/>
        <w:rPr>
          <w:rFonts w:ascii="楷体" w:hAnsi="楷体" w:eastAsia="楷体"/>
          <w:sz w:val="24"/>
          <w:szCs w:val="24"/>
        </w:rPr>
      </w:pPr>
      <w:r>
        <w:rPr>
          <w:rFonts w:hint="eastAsia" w:ascii="楷体" w:hAnsi="楷体" w:eastAsia="楷体"/>
          <w:sz w:val="24"/>
          <w:szCs w:val="24"/>
        </w:rPr>
        <w:t>出现以下情况，产品管理人有权延长本理财产品的终止日：</w:t>
      </w:r>
    </w:p>
    <w:p>
      <w:pPr>
        <w:numPr>
          <w:ilvl w:val="0"/>
          <w:numId w:val="2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lang w:val="en-US" w:eastAsia="zh-CN"/>
        </w:rPr>
        <w:t>产</w:t>
      </w:r>
      <w:r>
        <w:rPr>
          <w:rFonts w:hint="eastAsia" w:ascii="楷体" w:hAnsi="楷体" w:eastAsia="楷体" w:cs="Calibri"/>
          <w:sz w:val="24"/>
          <w:szCs w:val="24"/>
        </w:rPr>
        <w:t>品终止日遇非工作日则顺延至下一工作日，投资者清算资金到账日将相应调整；</w:t>
      </w:r>
    </w:p>
    <w:p>
      <w:pPr>
        <w:numPr>
          <w:ilvl w:val="0"/>
          <w:numId w:val="2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市场发生重大变化等</w:t>
      </w:r>
      <w:r>
        <w:rPr>
          <w:rFonts w:hint="eastAsia" w:ascii="楷体" w:hAnsi="楷体" w:eastAsia="楷体" w:cs="Calibri"/>
          <w:sz w:val="24"/>
          <w:szCs w:val="24"/>
        </w:rPr>
        <w:t>原因导致产品项下对应的投资标的无法及时变现</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无法</w:t>
      </w:r>
      <w:r>
        <w:rPr>
          <w:rFonts w:hint="eastAsia" w:ascii="楷体" w:hAnsi="楷体" w:eastAsia="楷体" w:cs="Calibri"/>
          <w:sz w:val="24"/>
          <w:szCs w:val="24"/>
        </w:rPr>
        <w:t>及时收回资金；</w:t>
      </w:r>
    </w:p>
    <w:p>
      <w:pPr>
        <w:numPr>
          <w:ilvl w:val="0"/>
          <w:numId w:val="28"/>
        </w:numPr>
        <w:tabs>
          <w:tab w:val="left" w:pos="1092"/>
        </w:tabs>
        <w:ind w:left="0" w:firstLine="480" w:firstLineChars="200"/>
        <w:rPr>
          <w:rFonts w:ascii="楷体" w:hAnsi="楷体" w:eastAsia="楷体" w:cs="Calibri"/>
          <w:sz w:val="24"/>
          <w:szCs w:val="24"/>
        </w:rPr>
      </w:pPr>
      <w:r>
        <w:rPr>
          <w:rFonts w:hint="eastAsia" w:ascii="楷体" w:hAnsi="楷体" w:eastAsia="楷体" w:cs="Calibri"/>
          <w:color w:val="auto"/>
          <w:sz w:val="24"/>
          <w:szCs w:val="24"/>
        </w:rPr>
        <w:t>法律法规规定或监管部门认定的其他情形</w:t>
      </w:r>
      <w:r>
        <w:rPr>
          <w:rFonts w:hint="eastAsia" w:ascii="楷体" w:hAnsi="楷体" w:eastAsia="楷体" w:cs="Calibri"/>
          <w:sz w:val="24"/>
          <w:szCs w:val="24"/>
        </w:rPr>
        <w:t>。</w:t>
      </w:r>
    </w:p>
    <w:p>
      <w:pPr>
        <w:ind w:firstLine="480" w:firstLineChars="200"/>
        <w:rPr>
          <w:rFonts w:ascii="楷体" w:hAnsi="楷体" w:eastAsia="楷体"/>
          <w:sz w:val="24"/>
          <w:szCs w:val="24"/>
        </w:rPr>
      </w:pPr>
      <w:r>
        <w:rPr>
          <w:rFonts w:hint="eastAsia" w:ascii="楷体" w:hAnsi="楷体" w:eastAsia="楷体"/>
          <w:sz w:val="24"/>
          <w:szCs w:val="24"/>
        </w:rPr>
        <w:t>产品管理人决定延期兑付的，将至少提前</w:t>
      </w:r>
      <w:r>
        <w:rPr>
          <w:rFonts w:ascii="楷体" w:hAnsi="楷体" w:eastAsia="楷体"/>
          <w:sz w:val="24"/>
          <w:szCs w:val="24"/>
        </w:rPr>
        <w:t>2</w:t>
      </w:r>
      <w:r>
        <w:rPr>
          <w:rFonts w:hint="eastAsia" w:ascii="楷体" w:hAnsi="楷体" w:eastAsia="楷体"/>
          <w:sz w:val="24"/>
          <w:szCs w:val="24"/>
        </w:rPr>
        <w:t>个工作日（含）按说明书约定的信息披露方式予以披露。</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投资者可得资金计算</w:t>
      </w:r>
    </w:p>
    <w:p>
      <w:pPr>
        <w:ind w:firstLine="480" w:firstLineChars="200"/>
        <w:rPr>
          <w:rFonts w:ascii="楷体" w:hAnsi="楷体" w:eastAsia="楷体"/>
          <w:sz w:val="24"/>
          <w:szCs w:val="24"/>
        </w:rPr>
      </w:pPr>
      <w:r>
        <w:rPr>
          <w:rFonts w:hint="eastAsia" w:ascii="楷体" w:hAnsi="楷体" w:eastAsia="楷体"/>
          <w:sz w:val="24"/>
          <w:szCs w:val="24"/>
        </w:rPr>
        <w:t>投资者可得资金=投资者持有份额×产品到期时单位净值</w:t>
      </w:r>
    </w:p>
    <w:p>
      <w:pPr>
        <w:ind w:firstLine="480" w:firstLineChars="200"/>
        <w:rPr>
          <w:rFonts w:ascii="楷体" w:hAnsi="楷体" w:eastAsia="楷体"/>
          <w:sz w:val="24"/>
          <w:szCs w:val="24"/>
        </w:rPr>
      </w:pPr>
      <w:r>
        <w:rPr>
          <w:rFonts w:hint="eastAsia" w:ascii="楷体" w:hAnsi="楷体" w:eastAsia="楷体"/>
          <w:sz w:val="24"/>
          <w:szCs w:val="24"/>
        </w:rPr>
        <w:t>计算示例</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以下示例均为假设情况，不代表本产品实际投资业绩。</w:t>
      </w:r>
    </w:p>
    <w:p>
      <w:pPr>
        <w:ind w:firstLine="480" w:firstLineChars="200"/>
        <w:rPr>
          <w:rFonts w:ascii="楷体" w:hAnsi="楷体" w:eastAsia="楷体"/>
          <w:sz w:val="24"/>
          <w:szCs w:val="24"/>
        </w:rPr>
      </w:pPr>
      <w:r>
        <w:rPr>
          <w:rFonts w:hint="eastAsia" w:ascii="楷体" w:hAnsi="楷体" w:eastAsia="楷体"/>
          <w:sz w:val="24"/>
          <w:szCs w:val="24"/>
        </w:rPr>
        <w:t>1.情景一</w:t>
      </w:r>
    </w:p>
    <w:p>
      <w:pPr>
        <w:ind w:firstLine="480" w:firstLineChars="200"/>
        <w:rPr>
          <w:rFonts w:ascii="楷体" w:hAnsi="楷体" w:eastAsia="楷体"/>
          <w:sz w:val="24"/>
          <w:szCs w:val="24"/>
        </w:rPr>
      </w:pPr>
      <w:r>
        <w:rPr>
          <w:rFonts w:hint="eastAsia" w:ascii="楷体" w:hAnsi="楷体" w:eastAsia="楷体"/>
          <w:sz w:val="24"/>
          <w:szCs w:val="24"/>
        </w:rPr>
        <w:t>假定投资者于募集期认购本产品，投资金额为10,000.00元，购买产品时单位净值为1.0000</w:t>
      </w:r>
      <w:r>
        <w:rPr>
          <w:rFonts w:ascii="楷体" w:hAnsi="楷体" w:eastAsia="楷体"/>
          <w:sz w:val="24"/>
          <w:szCs w:val="24"/>
        </w:rPr>
        <w:t>00</w:t>
      </w:r>
      <w:r>
        <w:rPr>
          <w:rFonts w:hint="eastAsia" w:ascii="楷体" w:hAnsi="楷体" w:eastAsia="楷体"/>
          <w:sz w:val="24"/>
          <w:szCs w:val="24"/>
        </w:rPr>
        <w:t>元，折算份额为10,000.00份。产品到期时，产品单位净值为</w:t>
      </w:r>
      <w:r>
        <w:rPr>
          <w:rFonts w:ascii="楷体" w:hAnsi="楷体" w:eastAsia="楷体"/>
          <w:sz w:val="24"/>
          <w:szCs w:val="24"/>
        </w:rPr>
        <w:t>1.027000</w:t>
      </w:r>
      <w:r>
        <w:rPr>
          <w:rFonts w:hint="eastAsia" w:ascii="楷体" w:hAnsi="楷体" w:eastAsia="楷体"/>
          <w:sz w:val="24"/>
          <w:szCs w:val="24"/>
        </w:rPr>
        <w:t>元。</w:t>
      </w:r>
    </w:p>
    <w:p>
      <w:pPr>
        <w:ind w:firstLine="480" w:firstLineChars="200"/>
        <w:rPr>
          <w:rFonts w:ascii="楷体" w:hAnsi="楷体" w:eastAsia="楷体"/>
          <w:sz w:val="24"/>
          <w:szCs w:val="24"/>
        </w:rPr>
      </w:pPr>
      <w:r>
        <w:rPr>
          <w:rFonts w:hint="eastAsia" w:ascii="楷体" w:hAnsi="楷体" w:eastAsia="楷体"/>
          <w:sz w:val="24"/>
          <w:szCs w:val="24"/>
        </w:rPr>
        <w:t>投资者可得资金=10,000.00×</w:t>
      </w:r>
      <w:r>
        <w:rPr>
          <w:rFonts w:ascii="楷体" w:hAnsi="楷体" w:eastAsia="楷体"/>
          <w:sz w:val="24"/>
          <w:szCs w:val="24"/>
        </w:rPr>
        <w:t>1.027000</w:t>
      </w:r>
      <w:r>
        <w:rPr>
          <w:rFonts w:hint="eastAsia" w:ascii="楷体" w:hAnsi="楷体" w:eastAsia="楷体"/>
          <w:sz w:val="24"/>
          <w:szCs w:val="24"/>
        </w:rPr>
        <w:t>=10,</w:t>
      </w:r>
      <w:r>
        <w:rPr>
          <w:rFonts w:ascii="楷体" w:hAnsi="楷体" w:eastAsia="楷体"/>
          <w:sz w:val="24"/>
          <w:szCs w:val="24"/>
        </w:rPr>
        <w:t>27</w:t>
      </w:r>
      <w:r>
        <w:rPr>
          <w:rFonts w:hint="eastAsia" w:ascii="楷体" w:hAnsi="楷体" w:eastAsia="楷体"/>
          <w:sz w:val="24"/>
          <w:szCs w:val="24"/>
        </w:rPr>
        <w:t>0.00（元）</w:t>
      </w:r>
    </w:p>
    <w:p>
      <w:pPr>
        <w:ind w:firstLine="480" w:firstLineChars="200"/>
        <w:rPr>
          <w:rFonts w:ascii="楷体" w:hAnsi="楷体" w:eastAsia="楷体"/>
          <w:sz w:val="24"/>
          <w:szCs w:val="24"/>
        </w:rPr>
      </w:pPr>
      <w:r>
        <w:rPr>
          <w:rFonts w:hint="eastAsia" w:ascii="楷体" w:hAnsi="楷体" w:eastAsia="楷体"/>
          <w:sz w:val="24"/>
          <w:szCs w:val="24"/>
        </w:rPr>
        <w:t>投资者投资收益=10,</w:t>
      </w:r>
      <w:r>
        <w:rPr>
          <w:rFonts w:ascii="楷体" w:hAnsi="楷体" w:eastAsia="楷体"/>
          <w:sz w:val="24"/>
          <w:szCs w:val="24"/>
        </w:rPr>
        <w:t>27</w:t>
      </w:r>
      <w:r>
        <w:rPr>
          <w:rFonts w:hint="eastAsia" w:ascii="楷体" w:hAnsi="楷体" w:eastAsia="楷体"/>
          <w:sz w:val="24"/>
          <w:szCs w:val="24"/>
        </w:rPr>
        <w:t>0.00-10,000.00=</w:t>
      </w:r>
      <w:r>
        <w:rPr>
          <w:rFonts w:ascii="楷体" w:hAnsi="楷体" w:eastAsia="楷体"/>
          <w:sz w:val="24"/>
          <w:szCs w:val="24"/>
        </w:rPr>
        <w:t>27</w:t>
      </w:r>
      <w:r>
        <w:rPr>
          <w:rFonts w:hint="eastAsia" w:ascii="楷体" w:hAnsi="楷体" w:eastAsia="楷体"/>
          <w:sz w:val="24"/>
          <w:szCs w:val="24"/>
        </w:rPr>
        <w:t>0.00（元）</w:t>
      </w:r>
    </w:p>
    <w:p>
      <w:pPr>
        <w:ind w:firstLine="480" w:firstLineChars="200"/>
        <w:rPr>
          <w:rFonts w:ascii="楷体" w:hAnsi="楷体" w:eastAsia="楷体"/>
          <w:sz w:val="24"/>
          <w:szCs w:val="24"/>
        </w:rPr>
      </w:pPr>
      <w:r>
        <w:rPr>
          <w:rFonts w:hint="eastAsia" w:ascii="楷体" w:hAnsi="楷体" w:eastAsia="楷体"/>
          <w:sz w:val="24"/>
          <w:szCs w:val="24"/>
        </w:rPr>
        <w:t>2.情景二</w:t>
      </w:r>
    </w:p>
    <w:p>
      <w:pPr>
        <w:ind w:firstLine="480" w:firstLineChars="200"/>
        <w:rPr>
          <w:rFonts w:ascii="楷体" w:hAnsi="楷体" w:eastAsia="楷体"/>
          <w:sz w:val="24"/>
          <w:szCs w:val="24"/>
        </w:rPr>
      </w:pPr>
      <w:r>
        <w:rPr>
          <w:rFonts w:hint="eastAsia" w:ascii="楷体" w:hAnsi="楷体" w:eastAsia="楷体"/>
          <w:sz w:val="24"/>
          <w:szCs w:val="24"/>
        </w:rPr>
        <w:t>假定投资者于募集期认购本产品，投资金额为10,000.00元，购买产品时单位净值为1.0000</w:t>
      </w:r>
      <w:r>
        <w:rPr>
          <w:rFonts w:ascii="楷体" w:hAnsi="楷体" w:eastAsia="楷体"/>
          <w:sz w:val="24"/>
          <w:szCs w:val="24"/>
        </w:rPr>
        <w:t>00</w:t>
      </w:r>
      <w:r>
        <w:rPr>
          <w:rFonts w:hint="eastAsia" w:ascii="楷体" w:hAnsi="楷体" w:eastAsia="楷体"/>
          <w:sz w:val="24"/>
          <w:szCs w:val="24"/>
        </w:rPr>
        <w:t>元，折算份额为10,000.00份。产品到期时，产品单位净值为</w:t>
      </w:r>
      <w:r>
        <w:rPr>
          <w:rFonts w:ascii="楷体" w:hAnsi="楷体" w:eastAsia="楷体"/>
          <w:sz w:val="24"/>
          <w:szCs w:val="24"/>
        </w:rPr>
        <w:t>0.997500</w:t>
      </w:r>
      <w:r>
        <w:rPr>
          <w:rFonts w:hint="eastAsia" w:ascii="楷体" w:hAnsi="楷体" w:eastAsia="楷体"/>
          <w:sz w:val="24"/>
          <w:szCs w:val="24"/>
        </w:rPr>
        <w:t>元。</w:t>
      </w:r>
    </w:p>
    <w:p>
      <w:pPr>
        <w:ind w:firstLine="480" w:firstLineChars="200"/>
        <w:rPr>
          <w:rFonts w:ascii="楷体" w:hAnsi="楷体" w:eastAsia="楷体"/>
          <w:sz w:val="24"/>
          <w:szCs w:val="24"/>
        </w:rPr>
      </w:pPr>
      <w:r>
        <w:rPr>
          <w:rFonts w:hint="eastAsia" w:ascii="楷体" w:hAnsi="楷体" w:eastAsia="楷体"/>
          <w:sz w:val="24"/>
          <w:szCs w:val="24"/>
        </w:rPr>
        <w:t>投资者可得资金=10,000.00×0.9975</w:t>
      </w:r>
      <w:r>
        <w:rPr>
          <w:rFonts w:ascii="楷体" w:hAnsi="楷体" w:eastAsia="楷体"/>
          <w:sz w:val="24"/>
          <w:szCs w:val="24"/>
        </w:rPr>
        <w:t>00</w:t>
      </w:r>
      <w:r>
        <w:rPr>
          <w:rFonts w:hint="eastAsia" w:ascii="楷体" w:hAnsi="楷体" w:eastAsia="楷体"/>
          <w:sz w:val="24"/>
          <w:szCs w:val="24"/>
        </w:rPr>
        <w:t>=9,975.00（元）</w:t>
      </w:r>
    </w:p>
    <w:p>
      <w:pPr>
        <w:ind w:firstLine="480" w:firstLineChars="200"/>
        <w:rPr>
          <w:rFonts w:ascii="楷体" w:hAnsi="楷体" w:eastAsia="楷体"/>
          <w:sz w:val="24"/>
          <w:szCs w:val="24"/>
        </w:rPr>
      </w:pPr>
      <w:r>
        <w:rPr>
          <w:rFonts w:hint="eastAsia" w:ascii="楷体" w:hAnsi="楷体" w:eastAsia="楷体"/>
          <w:sz w:val="24"/>
          <w:szCs w:val="24"/>
        </w:rPr>
        <w:t>投资者投资收益=9,975.00-10,000.00=-</w:t>
      </w:r>
      <w:r>
        <w:rPr>
          <w:rFonts w:ascii="楷体" w:hAnsi="楷体" w:eastAsia="楷体"/>
          <w:sz w:val="24"/>
          <w:szCs w:val="24"/>
        </w:rPr>
        <w:t>25</w:t>
      </w:r>
      <w:r>
        <w:rPr>
          <w:rFonts w:hint="eastAsia" w:ascii="楷体" w:hAnsi="楷体" w:eastAsia="楷体"/>
          <w:sz w:val="24"/>
          <w:szCs w:val="24"/>
        </w:rPr>
        <w:t>.</w:t>
      </w:r>
      <w:r>
        <w:rPr>
          <w:rFonts w:ascii="楷体" w:hAnsi="楷体" w:eastAsia="楷体"/>
          <w:sz w:val="24"/>
          <w:szCs w:val="24"/>
        </w:rPr>
        <w:t>00</w:t>
      </w:r>
      <w:r>
        <w:rPr>
          <w:rFonts w:hint="eastAsia" w:ascii="楷体" w:hAnsi="楷体" w:eastAsia="楷体"/>
          <w:sz w:val="24"/>
          <w:szCs w:val="24"/>
        </w:rPr>
        <w:t>（元）</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最不利的情形下，投资者可能损失100%本金。</w:t>
      </w:r>
    </w:p>
    <w:p>
      <w:pPr>
        <w:ind w:firstLine="482" w:firstLineChars="200"/>
        <w:rPr>
          <w:rFonts w:ascii="楷体" w:hAnsi="楷体" w:eastAsia="楷体"/>
          <w:sz w:val="24"/>
          <w:szCs w:val="24"/>
        </w:rPr>
      </w:pPr>
      <w:r>
        <w:rPr>
          <w:rFonts w:hint="eastAsia" w:ascii="楷体" w:hAnsi="楷体" w:eastAsia="楷体"/>
          <w:b/>
          <w:sz w:val="24"/>
          <w:szCs w:val="24"/>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理财产品的清算</w:t>
      </w:r>
    </w:p>
    <w:p>
      <w:pPr>
        <w:numPr>
          <w:ilvl w:val="0"/>
          <w:numId w:val="29"/>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自本理财产品终止日至投资者理财本金及收益到账日之间为本理财产品的清算期。清算期不计算利息或投资收益。清算期原则上不得超过5个工作日，清算期超过5个工作日的，将依约定进行公告。</w:t>
      </w:r>
    </w:p>
    <w:p>
      <w:pPr>
        <w:numPr>
          <w:ilvl w:val="0"/>
          <w:numId w:val="29"/>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管理人将依照合同约定公布提前终止日并明确兑付日（一般为提前终止日之后的三个工作日以内）。产品管理人应将投资者理财资金于兑付日（遇节假日顺延）内划转至投资者资金账户。理财产品提前终止日（含当日）至兑付日之间，投资者资金不计息。</w:t>
      </w:r>
    </w:p>
    <w:p>
      <w:pPr>
        <w:numPr>
          <w:ilvl w:val="0"/>
          <w:numId w:val="11"/>
        </w:numPr>
        <w:tabs>
          <w:tab w:val="left" w:pos="1428"/>
        </w:tabs>
        <w:ind w:firstLine="562" w:firstLineChars="200"/>
        <w:rPr>
          <w:rFonts w:ascii="楷体" w:hAnsi="楷体" w:eastAsia="楷体"/>
          <w:b/>
          <w:sz w:val="28"/>
          <w:szCs w:val="28"/>
        </w:rPr>
      </w:pPr>
      <w:r>
        <w:rPr>
          <w:rFonts w:hint="eastAsia" w:ascii="楷体" w:hAnsi="楷体" w:eastAsia="楷体"/>
          <w:b/>
          <w:sz w:val="28"/>
          <w:szCs w:val="28"/>
        </w:rPr>
        <w:t>产品费用</w:t>
      </w:r>
    </w:p>
    <w:p>
      <w:pPr>
        <w:numPr>
          <w:ilvl w:val="0"/>
          <w:numId w:val="3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费用种类</w:t>
      </w:r>
    </w:p>
    <w:p>
      <w:pPr>
        <w:ind w:firstLine="480" w:firstLineChars="200"/>
        <w:rPr>
          <w:rFonts w:ascii="楷体" w:hAnsi="楷体" w:eastAsia="楷体"/>
          <w:sz w:val="24"/>
          <w:szCs w:val="24"/>
        </w:rPr>
      </w:pPr>
      <w:r>
        <w:rPr>
          <w:rFonts w:hint="eastAsia" w:ascii="楷体" w:hAnsi="楷体" w:eastAsia="楷体"/>
          <w:sz w:val="24"/>
          <w:szCs w:val="24"/>
        </w:rPr>
        <w:t>本产品费用包括托管费、销售服务费、投资管理费、超额业绩报酬（如有）以及产品运作和清算中产生的其他费用等。</w:t>
      </w:r>
    </w:p>
    <w:p>
      <w:pPr>
        <w:numPr>
          <w:ilvl w:val="0"/>
          <w:numId w:val="3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计提方法、计提标准和支付方式</w:t>
      </w:r>
    </w:p>
    <w:p>
      <w:pPr>
        <w:numPr>
          <w:ilvl w:val="0"/>
          <w:numId w:val="3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托管费：本产品的托管费每日计提，按季支付，由托管行收取。计算方法如下：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每日应计提的托管费＝前一日的产品资产净值×托管费率÷</w:t>
      </w:r>
      <w:r>
        <w:rPr>
          <w:rFonts w:ascii="楷体" w:hAnsi="楷体" w:eastAsia="楷体"/>
          <w:sz w:val="24"/>
          <w:szCs w:val="24"/>
        </w:rPr>
        <w:t>365</w:t>
      </w:r>
    </w:p>
    <w:p>
      <w:pPr>
        <w:ind w:firstLine="480" w:firstLineChars="200"/>
        <w:rPr>
          <w:rFonts w:ascii="楷体" w:hAnsi="楷体" w:eastAsia="楷体"/>
          <w:sz w:val="24"/>
          <w:szCs w:val="24"/>
        </w:rPr>
      </w:pPr>
      <w:r>
        <w:rPr>
          <w:rFonts w:hint="eastAsia" w:ascii="楷体" w:hAnsi="楷体" w:eastAsia="楷体"/>
          <w:sz w:val="24"/>
          <w:szCs w:val="24"/>
        </w:rPr>
        <w:t>四舍五入保留至小数点后两位</w:t>
      </w:r>
    </w:p>
    <w:p>
      <w:pPr>
        <w:numPr>
          <w:ilvl w:val="0"/>
          <w:numId w:val="3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销售服务费：</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lang w:val="en-US" w:eastAsia="zh-CN"/>
        </w:rPr>
        <w:t>（1）</w:t>
      </w:r>
      <w:r>
        <w:rPr>
          <w:rFonts w:hint="eastAsia" w:ascii="楷体" w:hAnsi="楷体" w:eastAsia="楷体" w:cs="Calibri"/>
          <w:sz w:val="24"/>
          <w:szCs w:val="24"/>
        </w:rPr>
        <w:t>本产品</w:t>
      </w:r>
      <w:r>
        <w:rPr>
          <w:rFonts w:hint="eastAsia" w:ascii="楷体" w:hAnsi="楷体" w:eastAsia="楷体" w:cs="Calibri"/>
          <w:sz w:val="24"/>
          <w:szCs w:val="24"/>
          <w:lang w:val="en-US" w:eastAsia="zh-CN"/>
        </w:rPr>
        <w:t>A、B、C、E、F、G、H、Z、NB、AJS份额</w:t>
      </w:r>
      <w:r>
        <w:rPr>
          <w:rFonts w:hint="eastAsia" w:ascii="楷体" w:hAnsi="楷体" w:eastAsia="楷体" w:cs="Calibri"/>
          <w:sz w:val="24"/>
          <w:szCs w:val="24"/>
        </w:rPr>
        <w:t>的销售服务费每日计提，按季支付，由销售机构收取。计算方法如下：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每日应计提的销售服务费＝前一日的产品资产净值×销售服务费率÷</w:t>
      </w:r>
      <w:r>
        <w:rPr>
          <w:rFonts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0"/>
        </w:numPr>
        <w:tabs>
          <w:tab w:val="left" w:pos="728"/>
        </w:tabs>
        <w:ind w:firstLine="480" w:firstLineChars="200"/>
        <w:rPr>
          <w:rFonts w:hint="eastAsia" w:ascii="楷体" w:hAnsi="楷体" w:eastAsia="楷体" w:cs="Calibri"/>
          <w:sz w:val="24"/>
          <w:szCs w:val="24"/>
        </w:rPr>
      </w:pP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2</w:t>
      </w:r>
      <w:r>
        <w:rPr>
          <w:rFonts w:hint="eastAsia" w:ascii="楷体" w:hAnsi="楷体" w:eastAsia="楷体" w:cs="Calibri"/>
          <w:sz w:val="24"/>
          <w:szCs w:val="24"/>
          <w:lang w:eastAsia="zh-CN"/>
        </w:rPr>
        <w:t>）</w:t>
      </w:r>
      <w:r>
        <w:rPr>
          <w:rFonts w:hint="eastAsia" w:ascii="楷体" w:hAnsi="楷体" w:eastAsia="楷体" w:cs="Calibri"/>
          <w:sz w:val="24"/>
          <w:szCs w:val="24"/>
        </w:rPr>
        <w:t>本产品</w:t>
      </w:r>
      <w:r>
        <w:rPr>
          <w:rFonts w:hint="eastAsia" w:ascii="楷体" w:hAnsi="楷体" w:eastAsia="楷体" w:cs="Calibri"/>
          <w:sz w:val="24"/>
          <w:szCs w:val="24"/>
          <w:lang w:val="en-US" w:eastAsia="zh-CN"/>
        </w:rPr>
        <w:t>D份额</w:t>
      </w:r>
      <w:r>
        <w:rPr>
          <w:rFonts w:hint="eastAsia" w:ascii="楷体" w:hAnsi="楷体" w:eastAsia="楷体" w:cs="Calibri"/>
          <w:sz w:val="24"/>
          <w:szCs w:val="24"/>
        </w:rPr>
        <w:t>的销售服务费</w:t>
      </w:r>
      <w:r>
        <w:rPr>
          <w:rFonts w:hint="eastAsia" w:ascii="楷体" w:hAnsi="楷体" w:eastAsia="楷体" w:cs="Calibri"/>
          <w:sz w:val="24"/>
          <w:szCs w:val="24"/>
          <w:lang w:val="en-US" w:eastAsia="zh-CN"/>
        </w:rPr>
        <w:t>于产品成立日一次性提取</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每日摊销，</w:t>
      </w:r>
      <w:r>
        <w:rPr>
          <w:rFonts w:hint="eastAsia" w:ascii="楷体" w:hAnsi="楷体" w:eastAsia="楷体" w:cs="Calibri"/>
          <w:sz w:val="24"/>
          <w:szCs w:val="24"/>
        </w:rPr>
        <w:t>由销售机构收取。计算方法如下：</w:t>
      </w:r>
    </w:p>
    <w:p>
      <w:pPr>
        <w:ind w:firstLine="480" w:firstLineChars="200"/>
        <w:rPr>
          <w:rFonts w:hint="eastAsia" w:ascii="楷体" w:hAnsi="楷体" w:eastAsia="楷体"/>
          <w:sz w:val="24"/>
          <w:szCs w:val="24"/>
        </w:rPr>
      </w:pPr>
      <w:r>
        <w:rPr>
          <w:rFonts w:hint="eastAsia" w:ascii="楷体" w:hAnsi="楷体" w:eastAsia="楷体"/>
          <w:sz w:val="24"/>
          <w:szCs w:val="24"/>
        </w:rPr>
        <w:t>销售服务费＝</w:t>
      </w:r>
      <w:r>
        <w:rPr>
          <w:rFonts w:hint="eastAsia" w:ascii="楷体" w:hAnsi="楷体" w:eastAsia="楷体"/>
          <w:sz w:val="24"/>
          <w:szCs w:val="24"/>
          <w:lang w:val="en-US" w:eastAsia="zh-CN"/>
        </w:rPr>
        <w:t>产品成立日的产品份额</w:t>
      </w:r>
      <w:r>
        <w:rPr>
          <w:rFonts w:hint="eastAsia" w:ascii="楷体" w:hAnsi="楷体" w:eastAsia="楷体"/>
          <w:sz w:val="24"/>
          <w:szCs w:val="24"/>
        </w:rPr>
        <w:t>×</w:t>
      </w:r>
      <w:r>
        <w:rPr>
          <w:rFonts w:hint="eastAsia" w:ascii="楷体" w:hAnsi="楷体" w:eastAsia="楷体"/>
          <w:sz w:val="24"/>
          <w:szCs w:val="24"/>
          <w:lang w:val="en-US" w:eastAsia="zh-CN"/>
        </w:rPr>
        <w:t>销售服务费率</w:t>
      </w:r>
      <w:r>
        <w:rPr>
          <w:rFonts w:hint="eastAsia" w:ascii="楷体" w:hAnsi="楷体" w:eastAsia="楷体"/>
          <w:sz w:val="24"/>
          <w:szCs w:val="24"/>
        </w:rPr>
        <w:t>×</w:t>
      </w:r>
      <w:r>
        <w:rPr>
          <w:rFonts w:hint="eastAsia" w:ascii="楷体" w:hAnsi="楷体" w:eastAsia="楷体"/>
          <w:sz w:val="24"/>
          <w:szCs w:val="24"/>
          <w:lang w:val="en-US" w:eastAsia="zh-CN"/>
        </w:rPr>
        <w:t>产品投资期限天数</w:t>
      </w:r>
      <w:r>
        <w:rPr>
          <w:rFonts w:hint="eastAsia"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3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投资管理费：本产品的投资管理费每日计提，按月支付，由管理人收取。计算方法如下：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每日应计提的投资管理费＝前一日的产品资产净值×投资管理费率÷</w:t>
      </w:r>
      <w:r>
        <w:rPr>
          <w:rFonts w:ascii="楷体" w:hAnsi="楷体" w:eastAsia="楷体"/>
          <w:sz w:val="24"/>
          <w:szCs w:val="24"/>
        </w:rPr>
        <w:t>365</w:t>
      </w:r>
    </w:p>
    <w:p>
      <w:pPr>
        <w:ind w:firstLine="480" w:firstLineChars="200"/>
        <w:rPr>
          <w:rFonts w:ascii="楷体" w:hAnsi="楷体" w:eastAsia="楷体"/>
          <w:sz w:val="24"/>
          <w:szCs w:val="24"/>
        </w:rPr>
      </w:pPr>
      <w:r>
        <w:rPr>
          <w:rFonts w:hint="eastAsia" w:ascii="楷体" w:hAnsi="楷体" w:eastAsia="楷体"/>
          <w:sz w:val="24"/>
          <w:szCs w:val="24"/>
        </w:rPr>
        <w:t>四舍五入保留至小数点后两位</w:t>
      </w:r>
    </w:p>
    <w:p>
      <w:pPr>
        <w:numPr>
          <w:ilvl w:val="0"/>
          <w:numId w:val="31"/>
        </w:numPr>
        <w:tabs>
          <w:tab w:val="left" w:pos="728"/>
        </w:tabs>
        <w:ind w:left="0" w:firstLine="480" w:firstLineChars="200"/>
        <w:rPr>
          <w:rFonts w:ascii="楷体" w:hAnsi="楷体" w:eastAsia="楷体"/>
          <w:sz w:val="24"/>
          <w:szCs w:val="24"/>
        </w:rPr>
      </w:pPr>
      <w:r>
        <w:rPr>
          <w:rFonts w:hint="eastAsia" w:ascii="楷体" w:hAnsi="楷体" w:eastAsia="楷体" w:cs="Calibri"/>
          <w:sz w:val="24"/>
          <w:szCs w:val="24"/>
        </w:rPr>
        <w:t>超额业绩报酬</w:t>
      </w:r>
      <w:r>
        <w:rPr>
          <w:rFonts w:hint="eastAsia" w:ascii="楷体" w:hAnsi="楷体" w:eastAsia="楷体"/>
          <w:sz w:val="24"/>
          <w:szCs w:val="24"/>
        </w:rPr>
        <w:t>：若产品各份额实际投资收益在扣除托管费、销售服务费、投资管理费</w:t>
      </w:r>
      <w:r>
        <w:rPr>
          <w:rFonts w:hint="eastAsia" w:ascii="楷体" w:hAnsi="楷体" w:eastAsia="楷体"/>
          <w:sz w:val="24"/>
          <w:szCs w:val="24"/>
          <w:lang w:val="en-US" w:eastAsia="zh-CN"/>
        </w:rPr>
        <w:t>等费用</w:t>
      </w:r>
      <w:r>
        <w:rPr>
          <w:rFonts w:hint="eastAsia" w:ascii="楷体" w:hAnsi="楷体" w:eastAsia="楷体"/>
          <w:sz w:val="24"/>
          <w:szCs w:val="24"/>
        </w:rPr>
        <w:t>后超过各份额业绩比较基准</w:t>
      </w:r>
      <w:r>
        <w:rPr>
          <w:rFonts w:hint="eastAsia" w:ascii="楷体" w:hAnsi="楷体" w:eastAsia="楷体"/>
          <w:sz w:val="24"/>
          <w:szCs w:val="24"/>
          <w:lang w:val="en-US" w:eastAsia="zh-CN"/>
        </w:rPr>
        <w:t>上限</w:t>
      </w:r>
      <w:r>
        <w:rPr>
          <w:rFonts w:hint="eastAsia" w:ascii="楷体" w:hAnsi="楷体" w:eastAsia="楷体"/>
          <w:sz w:val="24"/>
          <w:szCs w:val="24"/>
        </w:rPr>
        <w:t>，产品管理人将按照超出部分的</w:t>
      </w:r>
      <w:r>
        <w:rPr>
          <w:rFonts w:hint="eastAsia" w:ascii="楷体" w:hAnsi="楷体" w:eastAsia="楷体"/>
          <w:sz w:val="24"/>
          <w:szCs w:val="24"/>
          <w:lang w:val="en-US" w:eastAsia="zh-CN"/>
        </w:rPr>
        <w:t>5</w:t>
      </w:r>
      <w:r>
        <w:rPr>
          <w:rFonts w:hint="eastAsia" w:ascii="楷体" w:hAnsi="楷体" w:eastAsia="楷体"/>
          <w:sz w:val="24"/>
          <w:szCs w:val="24"/>
        </w:rPr>
        <w:t>0%收取超额业绩报酬。</w:t>
      </w:r>
    </w:p>
    <w:p>
      <w:pPr>
        <w:tabs>
          <w:tab w:val="left" w:pos="728"/>
        </w:tabs>
        <w:ind w:firstLine="480" w:firstLineChars="200"/>
        <w:rPr>
          <w:rFonts w:ascii="楷体" w:hAnsi="楷体" w:eastAsia="楷体"/>
          <w:sz w:val="24"/>
          <w:szCs w:val="24"/>
        </w:rPr>
      </w:pPr>
      <w:r>
        <w:rPr>
          <w:rFonts w:hint="eastAsia" w:ascii="楷体" w:hAnsi="楷体" w:eastAsia="楷体"/>
          <w:sz w:val="24"/>
          <w:szCs w:val="24"/>
        </w:rPr>
        <w:t>产品存续期内理财产品将每日暂估超额业绩报酬，仅用于理财产品会计核算，并将扣除“暂估超额业绩报酬”后的理财产品份额净值按照说明书约定向投资者进行披露。理财产品实际的超额业绩报酬以到期日计提核算的数值为准。计算累计年化收益率和业绩比较基准时，1年按365日计算。</w:t>
      </w:r>
    </w:p>
    <w:p>
      <w:pPr>
        <w:numPr>
          <w:ilvl w:val="0"/>
          <w:numId w:val="3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产品运作和清算中产生的交易手续费、注册登记费、账户服务费、审计费、及其他应由本产品承担的费用，按照实际发生时从产品中列支。</w:t>
      </w:r>
    </w:p>
    <w:p>
      <w:pPr>
        <w:ind w:firstLine="480" w:firstLineChars="200"/>
        <w:rPr>
          <w:rFonts w:ascii="楷体" w:hAnsi="楷体" w:eastAsia="楷体"/>
          <w:sz w:val="24"/>
          <w:szCs w:val="24"/>
        </w:rPr>
      </w:pPr>
      <w:r>
        <w:rPr>
          <w:rFonts w:hint="eastAsia" w:ascii="楷体" w:hAnsi="楷体" w:eastAsia="楷体"/>
          <w:sz w:val="24"/>
          <w:szCs w:val="24"/>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本产品不收取认购费用、申购费用、赎回费用。</w:t>
      </w:r>
    </w:p>
    <w:p>
      <w:pPr>
        <w:numPr>
          <w:ilvl w:val="0"/>
          <w:numId w:val="11"/>
        </w:numPr>
        <w:tabs>
          <w:tab w:val="left" w:pos="1428"/>
        </w:tabs>
        <w:ind w:firstLine="562" w:firstLineChars="200"/>
        <w:rPr>
          <w:rFonts w:ascii="楷体" w:hAnsi="楷体" w:eastAsia="楷体"/>
          <w:b/>
          <w:sz w:val="28"/>
          <w:szCs w:val="28"/>
        </w:rPr>
      </w:pPr>
      <w:r>
        <w:rPr>
          <w:rFonts w:hint="eastAsia" w:ascii="楷体" w:hAnsi="楷体" w:eastAsia="楷体"/>
          <w:b/>
          <w:sz w:val="28"/>
          <w:szCs w:val="28"/>
        </w:rPr>
        <w:t>税收规定</w:t>
      </w:r>
    </w:p>
    <w:p>
      <w:pPr>
        <w:ind w:firstLine="480" w:firstLineChars="200"/>
        <w:rPr>
          <w:rFonts w:ascii="楷体" w:hAnsi="楷体" w:eastAsia="楷体"/>
          <w:sz w:val="24"/>
          <w:szCs w:val="24"/>
        </w:rPr>
      </w:pPr>
      <w:r>
        <w:rPr>
          <w:rFonts w:hint="eastAsia" w:ascii="楷体" w:hAnsi="楷体" w:eastAsia="楷体"/>
          <w:sz w:val="24"/>
          <w:szCs w:val="24"/>
        </w:rPr>
        <w:t>根据中国增值税等税收相关法律法规、税收政策等要求，本理财产品运营过程中发生的增值税应税行为，以理财产品管理人为纳税人。签约各方同意本理财产品在运营过程应缴纳的增值税及附加税费（包括但不限于城市维护建设税、教育费附加及地方教育附加等）由管理人从理财产品财产中支付，应缴纳增值税的原因包括但不限于投资者从理财产品中获取的收益被政府机关认定为应缴纳部分、投资者转让未到期理财产品等，并由管理人根据中国税务机关要求，履行相关纳税申报义务，由此可能会使理财产品净值或实际收益降低，请投资者知悉。</w:t>
      </w:r>
      <w:r>
        <w:rPr>
          <w:rFonts w:hint="eastAsia" w:ascii="楷体" w:hAnsi="楷体" w:eastAsia="楷体"/>
          <w:b/>
          <w:sz w:val="24"/>
          <w:szCs w:val="24"/>
          <w:u w:val="single"/>
        </w:rPr>
        <w:t>投资者从理财产品取得的收益应缴纳的税款，由投资者自行申报及缴纳。</w:t>
      </w:r>
    </w:p>
    <w:p>
      <w:pPr>
        <w:numPr>
          <w:ilvl w:val="0"/>
          <w:numId w:val="11"/>
        </w:numPr>
        <w:tabs>
          <w:tab w:val="left" w:pos="1414"/>
        </w:tabs>
        <w:ind w:firstLine="562" w:firstLineChars="200"/>
        <w:rPr>
          <w:rFonts w:ascii="楷体" w:hAnsi="楷体" w:eastAsia="楷体"/>
          <w:b/>
          <w:sz w:val="28"/>
          <w:szCs w:val="28"/>
        </w:rPr>
      </w:pPr>
      <w:r>
        <w:rPr>
          <w:rFonts w:hint="eastAsia" w:ascii="楷体" w:hAnsi="楷体" w:eastAsia="楷体"/>
          <w:b/>
          <w:sz w:val="28"/>
          <w:szCs w:val="28"/>
        </w:rPr>
        <w:t>产品托管人</w:t>
      </w:r>
    </w:p>
    <w:p>
      <w:pPr>
        <w:numPr>
          <w:ilvl w:val="0"/>
          <w:numId w:val="3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托管人</w:t>
      </w:r>
    </w:p>
    <w:p>
      <w:pPr>
        <w:ind w:firstLine="480" w:firstLineChars="200"/>
        <w:rPr>
          <w:rFonts w:ascii="楷体" w:hAnsi="楷体" w:eastAsia="楷体"/>
          <w:sz w:val="24"/>
          <w:szCs w:val="24"/>
        </w:rPr>
      </w:pPr>
      <w:r>
        <w:rPr>
          <w:rFonts w:hint="eastAsia" w:ascii="楷体" w:hAnsi="楷体" w:eastAsia="楷体"/>
          <w:sz w:val="24"/>
          <w:szCs w:val="24"/>
        </w:rPr>
        <w:t>本产品托管人为江苏银行股份有限公司。产品管理人在此特别披露</w:t>
      </w:r>
      <w:r>
        <w:rPr>
          <w:rFonts w:ascii="楷体" w:hAnsi="楷体" w:eastAsia="楷体"/>
          <w:sz w:val="24"/>
          <w:szCs w:val="24"/>
        </w:rPr>
        <w:t>：</w:t>
      </w:r>
      <w:r>
        <w:rPr>
          <w:rFonts w:hint="eastAsia" w:ascii="楷体" w:hAnsi="楷体" w:eastAsia="楷体"/>
          <w:sz w:val="24"/>
          <w:szCs w:val="24"/>
        </w:rPr>
        <w:t>托管人为产品管理人的关联方</w:t>
      </w:r>
      <w:r>
        <w:rPr>
          <w:rFonts w:ascii="楷体" w:hAnsi="楷体" w:eastAsia="楷体"/>
          <w:sz w:val="24"/>
          <w:szCs w:val="24"/>
        </w:rPr>
        <w:t>，</w:t>
      </w:r>
      <w:r>
        <w:rPr>
          <w:rFonts w:hint="eastAsia" w:ascii="楷体" w:hAnsi="楷体" w:eastAsia="楷体"/>
          <w:sz w:val="24"/>
          <w:szCs w:val="24"/>
        </w:rPr>
        <w:t>产品管理人聘请其担任托管人已履行现行法律法规和监管规定所规定必须履行的程序</w:t>
      </w:r>
      <w:r>
        <w:rPr>
          <w:rFonts w:ascii="楷体" w:hAnsi="楷体" w:eastAsia="楷体"/>
          <w:sz w:val="24"/>
          <w:szCs w:val="24"/>
        </w:rPr>
        <w:t>，</w:t>
      </w:r>
      <w:r>
        <w:rPr>
          <w:rFonts w:hint="eastAsia" w:ascii="楷体" w:hAnsi="楷体" w:eastAsia="楷体"/>
          <w:sz w:val="24"/>
          <w:szCs w:val="24"/>
        </w:rPr>
        <w:t>产品管理人、投资者同意并接受理财产品由托管人托管。</w:t>
      </w:r>
    </w:p>
    <w:p>
      <w:pPr>
        <w:numPr>
          <w:ilvl w:val="0"/>
          <w:numId w:val="3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托管人职责</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安全保管理财产品财产；</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为理财产品开立银行托管账户、证券账户等；</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确认与执行理财产品资金划拨指令，办理理财产品资金的收付，核对理财产品资金划拨记录；</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建立与理财产品管理人的对账机制，复核理财产品资产净值、理财产品份额申购、赎回价格，及时核查投资资金的支付和到账情况；</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监督理财产品投资运作；</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办理与理财产品托管业务活动相关的信息披露事项；</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保存理财产品托管业务活动的记录、账册、报表和其他相关材料；</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对理财产品投资信息和相关资料承担保密责任；</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国务院银行业监督管理机构规定的其他职责。</w:t>
      </w:r>
    </w:p>
    <w:p>
      <w:pPr>
        <w:numPr>
          <w:ilvl w:val="0"/>
          <w:numId w:val="11"/>
        </w:numPr>
        <w:tabs>
          <w:tab w:val="left" w:pos="1428"/>
        </w:tabs>
        <w:ind w:firstLine="562" w:firstLineChars="200"/>
        <w:rPr>
          <w:rFonts w:ascii="楷体" w:hAnsi="楷体" w:eastAsia="楷体"/>
          <w:b/>
          <w:sz w:val="28"/>
          <w:szCs w:val="28"/>
        </w:rPr>
      </w:pPr>
      <w:r>
        <w:rPr>
          <w:rFonts w:hint="eastAsia" w:ascii="楷体" w:hAnsi="楷体" w:eastAsia="楷体"/>
          <w:b/>
          <w:sz w:val="28"/>
          <w:szCs w:val="28"/>
        </w:rPr>
        <w:t>信息披露</w:t>
      </w:r>
    </w:p>
    <w:p>
      <w:pPr>
        <w:numPr>
          <w:ilvl w:val="0"/>
          <w:numId w:val="3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信息披露内容</w:t>
      </w:r>
    </w:p>
    <w:p>
      <w:pPr>
        <w:numPr>
          <w:ilvl w:val="0"/>
          <w:numId w:val="3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产品类型、募集信息、产品净值、产品规模、托管安排、投资账户信息；</w:t>
      </w:r>
    </w:p>
    <w:p>
      <w:pPr>
        <w:numPr>
          <w:ilvl w:val="0"/>
          <w:numId w:val="3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产品投向、投资比例、持仓情况、杠杆水平以及主要投资风险；</w:t>
      </w:r>
    </w:p>
    <w:p>
      <w:pPr>
        <w:numPr>
          <w:ilvl w:val="0"/>
          <w:numId w:val="3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产品收益分配、各项费用情况；</w:t>
      </w:r>
    </w:p>
    <w:p>
      <w:pPr>
        <w:numPr>
          <w:ilvl w:val="0"/>
          <w:numId w:val="3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产品涉及关联交易；</w:t>
      </w:r>
    </w:p>
    <w:p>
      <w:pPr>
        <w:numPr>
          <w:ilvl w:val="0"/>
          <w:numId w:val="3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其他影响本产品投资运作的重大事项、临时性信息披露等。</w:t>
      </w:r>
    </w:p>
    <w:p>
      <w:pPr>
        <w:numPr>
          <w:ilvl w:val="0"/>
          <w:numId w:val="3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信息披露频率</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发行公告：管理人在产品成立后5个工作日内，披露产品成立公告，内容包括理财产品成立日期和募集规模等信息。</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到期公告：管理人在产品终止后5个工作日内，披露产品到期公告，内容包括理财产品的存续期限、终止日期、收费情况和收益分配情况等信息。</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重大事项公告：管理人在发生可能对理财产品投资者或者理财产品收益产生重大事项的事件后2个工作日内发布重大事项公告。</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产品净值披露：每周向投资者披露一次产品的资产净值和份额净值。</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临时性信息披露：管理人将及时披露国务院银行业监督管理机构规定的其他信息或除重大事项事件以外的其他信息。</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半年度整体报告：每半年披露从事理财业务活动的有关信息。</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账单：管理人每月向投资者提供其所持有的理财产品账单，账单内容包括但不限于投资者持有的理财产品份额、认购金额、份额单位净值、份额累计净值、资产净值、收益情况、投资者理财交易账户发生的交易明细记录等信息。</w:t>
      </w:r>
    </w:p>
    <w:p>
      <w:pPr>
        <w:numPr>
          <w:ilvl w:val="0"/>
          <w:numId w:val="3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信息披露方式</w:t>
      </w:r>
    </w:p>
    <w:p>
      <w:pPr>
        <w:ind w:firstLine="480" w:firstLineChars="200"/>
        <w:rPr>
          <w:rFonts w:ascii="楷体" w:hAnsi="楷体" w:eastAsia="楷体"/>
          <w:sz w:val="24"/>
          <w:szCs w:val="24"/>
        </w:rPr>
      </w:pPr>
      <w:r>
        <w:rPr>
          <w:rFonts w:hint="eastAsia" w:ascii="楷体" w:hAnsi="楷体" w:eastAsia="楷体"/>
          <w:sz w:val="24"/>
          <w:szCs w:val="24"/>
        </w:rPr>
        <w:t>由苏银理财按监管要求和说明书的约定，同时通过以下方式向投资者进行信息披露，披露方式包括：</w:t>
      </w:r>
    </w:p>
    <w:p>
      <w:pPr>
        <w:numPr>
          <w:ilvl w:val="0"/>
          <w:numId w:val="3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苏银理财通过苏银理财有限责任公司官方网站（</w:t>
      </w:r>
      <w:r>
        <w:rPr>
          <w:rFonts w:ascii="楷体" w:hAnsi="楷体" w:eastAsia="楷体" w:cs="Calibri"/>
          <w:sz w:val="24"/>
          <w:szCs w:val="24"/>
        </w:rPr>
        <w:t>www</w:t>
      </w:r>
      <w:r>
        <w:rPr>
          <w:rFonts w:hint="eastAsia" w:ascii="楷体" w:hAnsi="楷体" w:eastAsia="楷体" w:cs="Calibri"/>
          <w:sz w:val="24"/>
          <w:szCs w:val="24"/>
        </w:rPr>
        <w:t>.</w:t>
      </w:r>
      <w:r>
        <w:rPr>
          <w:rFonts w:ascii="楷体" w:hAnsi="楷体" w:eastAsia="楷体" w:cs="Calibri"/>
          <w:sz w:val="24"/>
          <w:szCs w:val="24"/>
        </w:rPr>
        <w:t>suyinwealth</w:t>
      </w:r>
      <w:r>
        <w:rPr>
          <w:rFonts w:hint="eastAsia" w:ascii="楷体" w:hAnsi="楷体" w:eastAsia="楷体" w:cs="Calibri"/>
          <w:sz w:val="24"/>
          <w:szCs w:val="24"/>
        </w:rPr>
        <w:t>.</w:t>
      </w:r>
      <w:r>
        <w:rPr>
          <w:rFonts w:ascii="楷体" w:hAnsi="楷体" w:eastAsia="楷体" w:cs="Calibri"/>
          <w:sz w:val="24"/>
          <w:szCs w:val="24"/>
        </w:rPr>
        <w:t>com</w:t>
      </w:r>
      <w:r>
        <w:rPr>
          <w:rFonts w:hint="eastAsia" w:ascii="楷体" w:hAnsi="楷体" w:eastAsia="楷体" w:cs="Calibri"/>
          <w:sz w:val="24"/>
          <w:szCs w:val="24"/>
        </w:rPr>
        <w:t>）进行信息披露。</w:t>
      </w:r>
    </w:p>
    <w:p>
      <w:pPr>
        <w:numPr>
          <w:ilvl w:val="0"/>
          <w:numId w:val="3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苏银理财将信息披露内容发送销售机构，由销售机构通过短信及销售机构电子渠道和营业网点等方式进行信息披露。</w:t>
      </w:r>
    </w:p>
    <w:p>
      <w:pPr>
        <w:ind w:firstLine="480" w:firstLineChars="200"/>
        <w:rPr>
          <w:rFonts w:ascii="楷体" w:hAnsi="楷体" w:eastAsia="楷体"/>
          <w:sz w:val="24"/>
          <w:szCs w:val="24"/>
        </w:rPr>
      </w:pPr>
      <w:r>
        <w:rPr>
          <w:rFonts w:hint="eastAsia" w:ascii="楷体" w:hAnsi="楷体" w:eastAsia="楷体"/>
          <w:sz w:val="24"/>
          <w:szCs w:val="24"/>
        </w:rPr>
        <w:t>相关信息在发布或发出之日视为通知已送达投资者并生效，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请投资者及时登陆苏银理财有限责任公司官方网站或者向销售机构查询获取披露信息。</w:t>
      </w:r>
    </w:p>
    <w:p>
      <w:pPr>
        <w:numPr>
          <w:ilvl w:val="0"/>
          <w:numId w:val="11"/>
        </w:numPr>
        <w:tabs>
          <w:tab w:val="left" w:pos="1428"/>
        </w:tabs>
        <w:ind w:firstLine="562" w:firstLineChars="200"/>
        <w:rPr>
          <w:rFonts w:ascii="楷体" w:hAnsi="楷体" w:eastAsia="楷体"/>
          <w:b/>
          <w:sz w:val="28"/>
          <w:szCs w:val="28"/>
        </w:rPr>
      </w:pPr>
      <w:r>
        <w:rPr>
          <w:rFonts w:hint="eastAsia" w:ascii="楷体" w:hAnsi="楷体" w:eastAsia="楷体"/>
          <w:b/>
          <w:sz w:val="28"/>
          <w:szCs w:val="28"/>
        </w:rPr>
        <w:t>其他</w:t>
      </w:r>
    </w:p>
    <w:p>
      <w:pPr>
        <w:numPr>
          <w:ilvl w:val="0"/>
          <w:numId w:val="38"/>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追索条款</w:t>
      </w:r>
    </w:p>
    <w:p>
      <w:pPr>
        <w:ind w:firstLine="480" w:firstLineChars="200"/>
        <w:rPr>
          <w:rFonts w:ascii="楷体" w:hAnsi="楷体" w:eastAsia="楷体"/>
          <w:sz w:val="24"/>
          <w:szCs w:val="24"/>
        </w:rPr>
      </w:pPr>
      <w:r>
        <w:rPr>
          <w:rFonts w:hint="eastAsia" w:ascii="楷体" w:hAnsi="楷体" w:eastAsia="楷体"/>
          <w:sz w:val="24"/>
          <w:szCs w:val="24"/>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38"/>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信息安全</w:t>
      </w:r>
    </w:p>
    <w:p>
      <w:pPr>
        <w:ind w:firstLine="480" w:firstLineChars="200"/>
        <w:rPr>
          <w:rFonts w:ascii="楷体" w:hAnsi="楷体" w:eastAsia="楷体"/>
          <w:sz w:val="24"/>
          <w:szCs w:val="24"/>
        </w:rPr>
      </w:pPr>
      <w:r>
        <w:rPr>
          <w:rFonts w:hint="eastAsia" w:ascii="楷体" w:hAnsi="楷体" w:eastAsia="楷体"/>
          <w:sz w:val="24"/>
          <w:szCs w:val="24"/>
        </w:rPr>
        <w:t>苏银理财及销售机构将据相关法律、法规严格履行投资者信息保密责任，除监管机构或司法机关等有权机构外，不得对其他第三方提供任何投资者信息。投资者在此同意并授权，苏银理财可根据监管要求，为理财产品登记等需要，向登记部门或监管机构提供投资者相关信息。</w:t>
      </w:r>
    </w:p>
    <w:p>
      <w:pPr>
        <w:ind w:firstLine="480" w:firstLineChars="200"/>
        <w:rPr>
          <w:rFonts w:ascii="楷体" w:hAnsi="楷体" w:eastAsia="楷体"/>
          <w:sz w:val="24"/>
          <w:szCs w:val="24"/>
        </w:rPr>
      </w:pPr>
      <w:r>
        <w:rPr>
          <w:rFonts w:hint="eastAsia" w:ascii="楷体" w:hAnsi="楷体" w:eastAsia="楷体"/>
          <w:sz w:val="24"/>
          <w:szCs w:val="24"/>
        </w:rPr>
        <w:t>投资者在此同意并授权苏银理财可根据业务需要向苏银理财集团成员、服务机构及其他苏银理财认为必要的业务合作机构提供苏银理财获取的投资者个人信息，范围包括但不限于投资人的身份信息、账户信息等。上述第三方将为处理本协议项下事务之目的接触并按照苏银理财的业务要求以及“最少必须”原则使用投资人个人信息。苏银理财承诺将向有关第三方明确其保护投资人信息的职责并要求第三方承担相应的保密义务。</w:t>
      </w:r>
    </w:p>
    <w:p>
      <w:pPr>
        <w:numPr>
          <w:ilvl w:val="0"/>
          <w:numId w:val="38"/>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争议解决</w:t>
      </w:r>
    </w:p>
    <w:p>
      <w:pPr>
        <w:ind w:firstLine="480" w:firstLineChars="200"/>
        <w:jc w:val="left"/>
        <w:rPr>
          <w:rFonts w:ascii="楷体" w:hAnsi="楷体" w:eastAsia="楷体"/>
          <w:sz w:val="24"/>
          <w:szCs w:val="24"/>
        </w:rPr>
      </w:pPr>
      <w:r>
        <w:rPr>
          <w:rFonts w:hint="eastAsia" w:ascii="楷体" w:hAnsi="楷体" w:eastAsia="楷体"/>
          <w:sz w:val="24"/>
          <w:szCs w:val="24"/>
        </w:rPr>
        <w:t>本合同的订立、生效、履行、解释、修改和终止等事项均适用中华人民共和国（不包括香港特别行政区、澳门特别行政区和台湾地区）法律。因本合同引起的或与本合同有关的任何争议，应当首先通过双方之间的友好协商解决；协商不成的，双方均有权提交产品管理人所在地有管辖权的人民法院诉讼解决。</w:t>
      </w:r>
    </w:p>
    <w:p>
      <w:pPr>
        <w:ind w:firstLine="480" w:firstLineChars="200"/>
        <w:jc w:val="left"/>
        <w:rPr>
          <w:rFonts w:ascii="楷体" w:hAnsi="楷体" w:eastAsia="楷体"/>
        </w:rPr>
      </w:pPr>
      <w:r>
        <w:rPr>
          <w:rFonts w:hint="eastAsia" w:ascii="楷体" w:hAnsi="楷体" w:eastAsia="楷体"/>
          <w:sz w:val="24"/>
          <w:szCs w:val="24"/>
        </w:rPr>
        <w:t>苏银理财有限责任公司将恪守勤勉尽责的原则，合理配置资产组合，为投资者提供专业化的理财服务。投资者应密切关注苏银理财有限责任公司与本产品有关的信息公告，以免造成不必要的损失。</w:t>
      </w:r>
      <w:bookmarkEnd w:id="1"/>
    </w:p>
    <w:bookmarkEnd w:id="2"/>
    <w:p>
      <w:pPr>
        <w:rPr>
          <w:rFonts w:ascii="楷体" w:hAnsi="楷体" w:eastAsia="楷体"/>
          <w:b/>
          <w:sz w:val="36"/>
          <w:szCs w:val="36"/>
        </w:rPr>
      </w:pPr>
      <w:r>
        <w:rPr>
          <w:rFonts w:hint="eastAsia" w:ascii="楷体" w:hAnsi="楷体" w:eastAsia="楷体"/>
          <w:b/>
          <w:sz w:val="36"/>
          <w:szCs w:val="36"/>
        </w:rPr>
        <w:br w:type="page"/>
      </w:r>
    </w:p>
    <w:p>
      <w:pPr>
        <w:jc w:val="center"/>
        <w:rPr>
          <w:rFonts w:ascii="楷体" w:hAnsi="楷体" w:eastAsia="楷体"/>
          <w:b/>
          <w:sz w:val="36"/>
          <w:szCs w:val="36"/>
        </w:rPr>
      </w:pPr>
      <w:r>
        <w:rPr>
          <w:rFonts w:hint="eastAsia" w:ascii="楷体" w:hAnsi="楷体" w:eastAsia="楷体"/>
          <w:b/>
          <w:sz w:val="36"/>
          <w:szCs w:val="36"/>
        </w:rPr>
        <w:t>苏银理财有限责任公司理财产品投资协议书</w:t>
      </w:r>
    </w:p>
    <w:p>
      <w:pPr>
        <w:jc w:val="center"/>
        <w:rPr>
          <w:rFonts w:ascii="楷体" w:hAnsi="楷体" w:eastAsia="楷体"/>
          <w:b/>
          <w:sz w:val="28"/>
          <w:szCs w:val="28"/>
        </w:rPr>
      </w:pPr>
      <w:r>
        <w:rPr>
          <w:rFonts w:hint="eastAsia" w:ascii="楷体" w:hAnsi="楷体" w:eastAsia="楷体"/>
          <w:b/>
          <w:sz w:val="28"/>
          <w:szCs w:val="28"/>
        </w:rPr>
        <w:t>理财非存款、产品有风险、投资须谨慎</w:t>
      </w:r>
    </w:p>
    <w:p>
      <w:pPr>
        <w:ind w:firstLine="480" w:firstLineChars="200"/>
        <w:rPr>
          <w:rFonts w:ascii="楷体" w:hAnsi="楷体" w:eastAsia="楷体"/>
          <w:sz w:val="24"/>
          <w:szCs w:val="24"/>
        </w:rPr>
      </w:pPr>
      <w:r>
        <w:rPr>
          <w:rFonts w:hint="eastAsia" w:ascii="楷体" w:hAnsi="楷体" w:eastAsia="楷体"/>
          <w:sz w:val="24"/>
          <w:szCs w:val="24"/>
        </w:rPr>
        <w:t>经甲方（投资人）与乙方（苏银理财有限责任公司，以下简称“苏银理财”）协商一致，就甲方向乙方购买理财产品，达成协议如下：</w:t>
      </w:r>
    </w:p>
    <w:p>
      <w:pPr>
        <w:ind w:firstLine="482" w:firstLineChars="200"/>
        <w:rPr>
          <w:rFonts w:ascii="楷体" w:hAnsi="楷体" w:eastAsia="楷体"/>
          <w:b/>
          <w:sz w:val="24"/>
          <w:szCs w:val="24"/>
        </w:rPr>
      </w:pPr>
      <w:r>
        <w:rPr>
          <w:rFonts w:hint="eastAsia" w:ascii="楷体" w:hAnsi="楷体" w:eastAsia="楷体"/>
          <w:b/>
          <w:sz w:val="24"/>
          <w:szCs w:val="24"/>
        </w:rPr>
        <w:t>一、重要声明</w:t>
      </w:r>
    </w:p>
    <w:p>
      <w:pPr>
        <w:ind w:firstLine="480" w:firstLineChars="200"/>
        <w:rPr>
          <w:rFonts w:ascii="楷体" w:hAnsi="楷体" w:eastAsia="楷体"/>
          <w:sz w:val="24"/>
          <w:szCs w:val="24"/>
        </w:rPr>
      </w:pPr>
      <w:r>
        <w:rPr>
          <w:rFonts w:hint="eastAsia" w:ascii="楷体" w:hAnsi="楷体" w:eastAsia="楷体"/>
          <w:sz w:val="24"/>
          <w:szCs w:val="24"/>
        </w:rPr>
        <w:t>本投资协议书与理财产品（代理）销售协议书、理财产品说明书、风险揭示书、投资者权益须知等销售文件构成完整的不可分割的理财产品合同。乙方作为理财产品管理人建议投资者在购买对应期次理财产品（以下简称“本理财产品”）前认真阅读相关理财产品合同或咨询专业理财经理。甲方签署本投资协议（含电子渠道确认）则被视为已详细阅读过本投资协议及完整理财产品合同，并充分理解合同条款和潜在风险，自愿购买本理财产品，并遵守本理财产品合同中的各项规定。</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本理财产品不保证本金和收益。受各种市场波动因素影响，本理财产品可能存在包括但不限于政策风险、信用风险、市场风险、流动性风险、管理风险、操作风险、产品不成立风险、兑付延期风险、提前终止风险、信息传递风险、代销风险、标的资产的特别投资风险及其他风险，具体风险因素由乙方在理财产品风险揭示书中揭示。请您充分认识投资风险，谨慎投资。</w:t>
      </w:r>
    </w:p>
    <w:p>
      <w:pPr>
        <w:ind w:firstLine="482" w:firstLineChars="200"/>
        <w:rPr>
          <w:rFonts w:ascii="楷体" w:hAnsi="楷体" w:eastAsia="楷体"/>
          <w:b/>
          <w:sz w:val="24"/>
          <w:szCs w:val="24"/>
        </w:rPr>
      </w:pPr>
      <w:r>
        <w:rPr>
          <w:rFonts w:hint="eastAsia" w:ascii="楷体" w:hAnsi="楷体" w:eastAsia="楷体"/>
          <w:b/>
          <w:sz w:val="24"/>
          <w:szCs w:val="24"/>
        </w:rPr>
        <w:t>二、甲方的权利义务</w:t>
      </w:r>
    </w:p>
    <w:p>
      <w:pPr>
        <w:ind w:firstLine="482" w:firstLineChars="200"/>
        <w:rPr>
          <w:rFonts w:ascii="楷体" w:hAnsi="楷体" w:eastAsia="楷体"/>
          <w:b/>
          <w:bCs/>
          <w:sz w:val="24"/>
          <w:szCs w:val="24"/>
        </w:rPr>
      </w:pPr>
      <w:r>
        <w:rPr>
          <w:rFonts w:hint="eastAsia" w:ascii="楷体" w:hAnsi="楷体" w:eastAsia="楷体"/>
          <w:b/>
          <w:bCs/>
          <w:sz w:val="24"/>
          <w:szCs w:val="24"/>
        </w:rPr>
        <w:t>甲方声明：</w:t>
      </w:r>
    </w:p>
    <w:p>
      <w:pPr>
        <w:numPr>
          <w:ilvl w:val="0"/>
          <w:numId w:val="39"/>
        </w:numPr>
        <w:ind w:firstLine="480" w:firstLineChars="200"/>
        <w:rPr>
          <w:rFonts w:ascii="楷体" w:hAnsi="楷体" w:eastAsia="楷体"/>
          <w:sz w:val="24"/>
          <w:szCs w:val="24"/>
        </w:rPr>
      </w:pPr>
      <w:r>
        <w:rPr>
          <w:rFonts w:hint="eastAsia" w:ascii="楷体" w:hAnsi="楷体" w:eastAsia="楷体"/>
          <w:sz w:val="24"/>
          <w:szCs w:val="24"/>
        </w:rPr>
        <w:t xml:space="preserve">甲方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甲方将配合乙方及销售服务机构开展反洗钱、反恐怖融资及非居民金融账户涉税信息尽职调查等相关法律法规要求的识别客户身份工作，及时、真实、准确、完整地提供身份信息及资金来源信息。 </w:t>
      </w:r>
    </w:p>
    <w:p>
      <w:pPr>
        <w:ind w:firstLine="480" w:firstLineChars="200"/>
        <w:rPr>
          <w:rFonts w:ascii="楷体" w:hAnsi="楷体" w:eastAsia="楷体"/>
          <w:sz w:val="24"/>
          <w:szCs w:val="24"/>
        </w:rPr>
      </w:pPr>
      <w:r>
        <w:rPr>
          <w:rFonts w:hint="eastAsia" w:ascii="楷体" w:hAnsi="楷体" w:eastAsia="楷体"/>
          <w:sz w:val="24"/>
          <w:szCs w:val="24"/>
        </w:rPr>
        <w:t>2. 甲方承诺所提供的所有资料真实、完整、合法、有效，如有变更，甲方应及时到乙方或销售服务机构办理变更手续。若甲方未及时办理相关变更手续，由此导致的一切后果由甲方自行承担，乙方对此不承担任何责任。</w:t>
      </w:r>
    </w:p>
    <w:p>
      <w:pPr>
        <w:ind w:firstLine="480" w:firstLineChars="200"/>
        <w:rPr>
          <w:rFonts w:ascii="楷体" w:hAnsi="楷体" w:eastAsia="楷体"/>
          <w:sz w:val="24"/>
          <w:szCs w:val="24"/>
        </w:rPr>
      </w:pPr>
      <w:r>
        <w:rPr>
          <w:rFonts w:hint="eastAsia" w:ascii="楷体" w:hAnsi="楷体" w:eastAsia="楷体"/>
          <w:sz w:val="24"/>
          <w:szCs w:val="24"/>
        </w:rPr>
        <w:t>3. 甲方购买本理财产品的行为即视为对理财产品合同的承认和接受，甲方自取得依据理财产品合同发行的理财产品份额，即成为理财产品投资者和理财产品合同当事人。甲方作为当事人并不以在理财产品合同上书面签章或签字为必要条件。</w:t>
      </w:r>
    </w:p>
    <w:p>
      <w:pPr>
        <w:ind w:firstLine="482" w:firstLineChars="200"/>
        <w:rPr>
          <w:rFonts w:ascii="楷体" w:hAnsi="楷体" w:eastAsia="楷体"/>
          <w:b/>
          <w:sz w:val="24"/>
          <w:szCs w:val="24"/>
        </w:rPr>
      </w:pPr>
      <w:r>
        <w:rPr>
          <w:rFonts w:hint="eastAsia" w:ascii="楷体" w:hAnsi="楷体" w:eastAsia="楷体"/>
          <w:b/>
          <w:sz w:val="24"/>
          <w:szCs w:val="24"/>
        </w:rPr>
        <w:t>（一）甲方的权利：</w:t>
      </w:r>
    </w:p>
    <w:p>
      <w:pPr>
        <w:ind w:left="480"/>
        <w:rPr>
          <w:rFonts w:ascii="楷体" w:hAnsi="楷体" w:eastAsia="楷体"/>
          <w:sz w:val="24"/>
          <w:szCs w:val="24"/>
        </w:rPr>
      </w:pPr>
      <w:r>
        <w:rPr>
          <w:rFonts w:hint="eastAsia" w:ascii="楷体" w:hAnsi="楷体" w:eastAsia="楷体"/>
          <w:sz w:val="24"/>
          <w:szCs w:val="24"/>
        </w:rPr>
        <w:t>1. 按理财产品合同的约定取得理财收益（如有）；</w:t>
      </w:r>
    </w:p>
    <w:p>
      <w:pPr>
        <w:ind w:left="480"/>
        <w:rPr>
          <w:rFonts w:ascii="楷体" w:hAnsi="楷体" w:eastAsia="楷体"/>
          <w:sz w:val="24"/>
          <w:szCs w:val="24"/>
        </w:rPr>
      </w:pPr>
      <w:r>
        <w:rPr>
          <w:rFonts w:hint="eastAsia" w:ascii="楷体" w:hAnsi="楷体" w:eastAsia="楷体"/>
          <w:sz w:val="24"/>
          <w:szCs w:val="24"/>
        </w:rPr>
        <w:t>2. 按理财产品合同的约定查询获得公开披露的理财产品信息资料；</w:t>
      </w:r>
    </w:p>
    <w:p>
      <w:pPr>
        <w:ind w:left="480"/>
        <w:rPr>
          <w:rFonts w:ascii="楷体" w:hAnsi="楷体" w:eastAsia="楷体"/>
          <w:sz w:val="24"/>
          <w:szCs w:val="24"/>
        </w:rPr>
      </w:pPr>
      <w:r>
        <w:rPr>
          <w:rFonts w:hint="eastAsia" w:ascii="楷体" w:hAnsi="楷体" w:eastAsia="楷体"/>
          <w:sz w:val="24"/>
          <w:szCs w:val="24"/>
        </w:rPr>
        <w:t>3. 产品终止后对清算后的理财产品资产净值按理财产品持有份额比例参与</w:t>
      </w:r>
    </w:p>
    <w:p>
      <w:pPr>
        <w:rPr>
          <w:rFonts w:ascii="楷体" w:hAnsi="楷体" w:eastAsia="楷体"/>
          <w:sz w:val="24"/>
          <w:szCs w:val="24"/>
        </w:rPr>
      </w:pPr>
      <w:r>
        <w:rPr>
          <w:rFonts w:hint="eastAsia" w:ascii="楷体" w:hAnsi="楷体" w:eastAsia="楷体"/>
          <w:sz w:val="24"/>
          <w:szCs w:val="24"/>
        </w:rPr>
        <w:t>分配；</w:t>
      </w:r>
    </w:p>
    <w:p>
      <w:pPr>
        <w:rPr>
          <w:rFonts w:ascii="楷体" w:hAnsi="楷体" w:eastAsia="楷体"/>
          <w:sz w:val="24"/>
          <w:szCs w:val="24"/>
        </w:rPr>
      </w:pPr>
      <w:r>
        <w:rPr>
          <w:rFonts w:hint="eastAsia" w:ascii="楷体" w:hAnsi="楷体" w:eastAsia="楷体"/>
          <w:sz w:val="24"/>
          <w:szCs w:val="24"/>
        </w:rPr>
        <w:t xml:space="preserve">    4. 要求乙方或理财产品托管人及时履行法律法规、理财产品合同所规定的义务；</w:t>
      </w:r>
    </w:p>
    <w:p>
      <w:pPr>
        <w:numPr>
          <w:ilvl w:val="0"/>
          <w:numId w:val="40"/>
        </w:numPr>
        <w:tabs>
          <w:tab w:val="left" w:pos="743"/>
        </w:tabs>
        <w:ind w:left="480"/>
        <w:rPr>
          <w:rFonts w:ascii="楷体" w:hAnsi="楷体" w:eastAsia="楷体"/>
          <w:sz w:val="24"/>
          <w:szCs w:val="24"/>
        </w:rPr>
      </w:pPr>
      <w:r>
        <w:rPr>
          <w:rFonts w:hint="eastAsia" w:ascii="楷体" w:hAnsi="楷体" w:eastAsia="楷体"/>
          <w:sz w:val="24"/>
          <w:szCs w:val="24"/>
        </w:rPr>
        <w:t>对乙方、理财产品托管人损害其合法权益的行为而要求予以赔偿；</w:t>
      </w:r>
    </w:p>
    <w:p>
      <w:pPr>
        <w:numPr>
          <w:ilvl w:val="0"/>
          <w:numId w:val="40"/>
        </w:numPr>
        <w:ind w:left="480"/>
        <w:rPr>
          <w:rFonts w:ascii="楷体" w:hAnsi="楷体" w:eastAsia="楷体"/>
          <w:sz w:val="24"/>
          <w:szCs w:val="24"/>
        </w:rPr>
      </w:pPr>
      <w:r>
        <w:rPr>
          <w:rFonts w:hint="eastAsia" w:ascii="楷体" w:hAnsi="楷体" w:eastAsia="楷体"/>
          <w:sz w:val="24"/>
          <w:szCs w:val="24"/>
        </w:rPr>
        <w:t>法律法规、理财产品合同规定的其它权利。</w:t>
      </w:r>
    </w:p>
    <w:p>
      <w:pPr>
        <w:ind w:firstLine="482" w:firstLineChars="200"/>
        <w:rPr>
          <w:rFonts w:ascii="楷体" w:hAnsi="楷体" w:eastAsia="楷体"/>
          <w:b/>
          <w:sz w:val="24"/>
          <w:szCs w:val="24"/>
        </w:rPr>
      </w:pPr>
      <w:r>
        <w:rPr>
          <w:rFonts w:hint="eastAsia" w:ascii="楷体" w:hAnsi="楷体" w:eastAsia="楷体"/>
          <w:b/>
          <w:sz w:val="24"/>
          <w:szCs w:val="24"/>
        </w:rPr>
        <w:t>（二）甲方的义务：</w:t>
      </w:r>
    </w:p>
    <w:p>
      <w:pPr>
        <w:ind w:left="426"/>
        <w:rPr>
          <w:rFonts w:ascii="楷体" w:hAnsi="楷体" w:eastAsia="楷体"/>
          <w:sz w:val="24"/>
          <w:szCs w:val="24"/>
        </w:rPr>
      </w:pPr>
      <w:r>
        <w:rPr>
          <w:rFonts w:hint="eastAsia" w:ascii="楷体" w:hAnsi="楷体" w:eastAsia="楷体"/>
          <w:sz w:val="24"/>
          <w:szCs w:val="24"/>
        </w:rPr>
        <w:t>1. 遵守有关法律法规和理财产品合同的约定；</w:t>
      </w:r>
    </w:p>
    <w:p>
      <w:pPr>
        <w:ind w:firstLine="425"/>
        <w:rPr>
          <w:rFonts w:ascii="楷体" w:hAnsi="楷体" w:eastAsia="楷体"/>
          <w:sz w:val="24"/>
          <w:szCs w:val="24"/>
        </w:rPr>
      </w:pPr>
      <w:r>
        <w:rPr>
          <w:rFonts w:hint="eastAsia" w:ascii="楷体" w:hAnsi="楷体" w:eastAsia="楷体"/>
          <w:sz w:val="24"/>
          <w:szCs w:val="24"/>
        </w:rPr>
        <w:t>2. 缴纳理财产品认购、申购和赎回等事宜涉及的款项及理财产品合同规定的费用；</w:t>
      </w:r>
    </w:p>
    <w:p>
      <w:pPr>
        <w:ind w:firstLine="425"/>
        <w:rPr>
          <w:rFonts w:ascii="楷体" w:hAnsi="楷体" w:eastAsia="楷体" w:cs="楷体"/>
          <w:sz w:val="24"/>
          <w:szCs w:val="24"/>
        </w:rPr>
      </w:pPr>
      <w:r>
        <w:rPr>
          <w:rFonts w:hint="eastAsia" w:ascii="楷体" w:hAnsi="楷体" w:eastAsia="楷体" w:cs="楷体"/>
          <w:sz w:val="24"/>
          <w:szCs w:val="24"/>
        </w:rPr>
        <w:t>3. 以其对理财产品的投资额为限承担本理财产品亏损或者终止的有限责任；</w:t>
      </w:r>
    </w:p>
    <w:p>
      <w:pPr>
        <w:numPr>
          <w:ilvl w:val="0"/>
          <w:numId w:val="41"/>
        </w:numPr>
        <w:ind w:left="426"/>
        <w:rPr>
          <w:rFonts w:ascii="楷体" w:hAnsi="楷体" w:eastAsia="楷体"/>
          <w:sz w:val="24"/>
          <w:szCs w:val="24"/>
        </w:rPr>
      </w:pPr>
      <w:r>
        <w:rPr>
          <w:rFonts w:hint="eastAsia" w:ascii="楷体" w:hAnsi="楷体" w:eastAsia="楷体"/>
          <w:sz w:val="24"/>
          <w:szCs w:val="24"/>
        </w:rPr>
        <w:t>不从事任何有损本理财产品及本理财产品其他理财产品合同当事人合法</w:t>
      </w:r>
    </w:p>
    <w:p>
      <w:pPr>
        <w:rPr>
          <w:rFonts w:ascii="楷体" w:hAnsi="楷体" w:eastAsia="楷体"/>
          <w:sz w:val="24"/>
          <w:szCs w:val="24"/>
        </w:rPr>
      </w:pPr>
      <w:r>
        <w:rPr>
          <w:rFonts w:hint="eastAsia" w:ascii="楷体" w:hAnsi="楷体" w:eastAsia="楷体"/>
          <w:sz w:val="24"/>
          <w:szCs w:val="24"/>
        </w:rPr>
        <w:t>权益的活动；</w:t>
      </w:r>
    </w:p>
    <w:p>
      <w:pPr>
        <w:numPr>
          <w:ilvl w:val="0"/>
          <w:numId w:val="41"/>
        </w:numPr>
        <w:ind w:left="426"/>
        <w:rPr>
          <w:rFonts w:ascii="楷体" w:hAnsi="楷体" w:eastAsia="楷体"/>
          <w:sz w:val="24"/>
          <w:szCs w:val="24"/>
        </w:rPr>
      </w:pPr>
      <w:r>
        <w:rPr>
          <w:rFonts w:hint="eastAsia" w:ascii="楷体" w:hAnsi="楷体" w:eastAsia="楷体"/>
          <w:sz w:val="24"/>
          <w:szCs w:val="24"/>
        </w:rPr>
        <w:t>返还其在理财投资过程中取得的不当得利；</w:t>
      </w:r>
    </w:p>
    <w:p>
      <w:pPr>
        <w:numPr>
          <w:ilvl w:val="0"/>
          <w:numId w:val="41"/>
        </w:numPr>
        <w:ind w:left="426"/>
        <w:rPr>
          <w:rFonts w:ascii="楷体" w:hAnsi="楷体" w:eastAsia="楷体"/>
          <w:sz w:val="24"/>
          <w:szCs w:val="24"/>
        </w:rPr>
      </w:pPr>
      <w:r>
        <w:rPr>
          <w:rFonts w:hint="eastAsia" w:ascii="楷体" w:hAnsi="楷体" w:eastAsia="楷体"/>
          <w:sz w:val="24"/>
          <w:szCs w:val="24"/>
        </w:rPr>
        <w:t>法律法规以及理财产品合同所规定的其它义务。</w:t>
      </w:r>
    </w:p>
    <w:p>
      <w:pPr>
        <w:ind w:firstLine="482" w:firstLineChars="200"/>
        <w:rPr>
          <w:rFonts w:ascii="楷体" w:hAnsi="楷体" w:eastAsia="楷体"/>
          <w:b/>
          <w:sz w:val="24"/>
          <w:szCs w:val="24"/>
        </w:rPr>
      </w:pPr>
      <w:r>
        <w:rPr>
          <w:rFonts w:hint="eastAsia" w:ascii="楷体" w:hAnsi="楷体" w:eastAsia="楷体"/>
          <w:b/>
          <w:sz w:val="24"/>
          <w:szCs w:val="24"/>
        </w:rPr>
        <w:t>三、乙方的权利义务</w:t>
      </w:r>
    </w:p>
    <w:p>
      <w:pPr>
        <w:ind w:firstLine="482" w:firstLineChars="200"/>
        <w:rPr>
          <w:rFonts w:ascii="楷体" w:hAnsi="楷体" w:eastAsia="楷体"/>
          <w:b/>
          <w:sz w:val="24"/>
          <w:szCs w:val="24"/>
        </w:rPr>
      </w:pPr>
      <w:r>
        <w:rPr>
          <w:rFonts w:hint="eastAsia" w:ascii="楷体" w:hAnsi="楷体" w:eastAsia="楷体"/>
          <w:b/>
          <w:sz w:val="24"/>
          <w:szCs w:val="24"/>
        </w:rPr>
        <w:t>（一）乙方的权利：</w:t>
      </w:r>
    </w:p>
    <w:p>
      <w:pPr>
        <w:ind w:firstLine="425"/>
        <w:rPr>
          <w:rFonts w:ascii="楷体" w:hAnsi="楷体" w:eastAsia="楷体"/>
          <w:sz w:val="24"/>
          <w:szCs w:val="24"/>
        </w:rPr>
      </w:pPr>
      <w:r>
        <w:rPr>
          <w:rFonts w:hint="eastAsia" w:ascii="楷体" w:hAnsi="楷体" w:eastAsia="楷体"/>
          <w:sz w:val="24"/>
          <w:szCs w:val="24"/>
        </w:rPr>
        <w:t>1. 乙方按照法律法规和《理财产品说明书》及《风险揭示书》的约定，诚实信用、谨慎勤勉地实施投资管理行为，以专业技能管理理财产品资产，依法维护理财产品全体投资者的利益；</w:t>
      </w:r>
    </w:p>
    <w:p>
      <w:pPr>
        <w:numPr>
          <w:ilvl w:val="0"/>
          <w:numId w:val="42"/>
        </w:numPr>
        <w:ind w:left="426"/>
        <w:rPr>
          <w:rFonts w:ascii="楷体" w:hAnsi="楷体" w:eastAsia="楷体"/>
          <w:sz w:val="24"/>
          <w:szCs w:val="24"/>
        </w:rPr>
      </w:pPr>
      <w:r>
        <w:rPr>
          <w:rFonts w:hint="eastAsia" w:ascii="楷体" w:hAnsi="楷体" w:eastAsia="楷体"/>
          <w:sz w:val="24"/>
          <w:szCs w:val="24"/>
        </w:rPr>
        <w:t>根据法律法规和理财产品合同的约定，制订、修改并公布有关理财募集、</w:t>
      </w:r>
    </w:p>
    <w:p>
      <w:pPr>
        <w:rPr>
          <w:rFonts w:ascii="楷体" w:hAnsi="楷体" w:eastAsia="楷体"/>
          <w:sz w:val="24"/>
          <w:szCs w:val="24"/>
        </w:rPr>
      </w:pPr>
      <w:r>
        <w:rPr>
          <w:rFonts w:hint="eastAsia" w:ascii="楷体" w:hAnsi="楷体" w:eastAsia="楷体"/>
          <w:sz w:val="24"/>
          <w:szCs w:val="24"/>
        </w:rPr>
        <w:t>认购、申购、赎回、非交易过户、冻结、收益分配等方面的业务规则；</w:t>
      </w:r>
    </w:p>
    <w:p>
      <w:pPr>
        <w:numPr>
          <w:ilvl w:val="0"/>
          <w:numId w:val="42"/>
        </w:numPr>
        <w:ind w:left="426"/>
        <w:rPr>
          <w:rFonts w:ascii="楷体" w:hAnsi="楷体" w:eastAsia="楷体"/>
          <w:sz w:val="24"/>
          <w:szCs w:val="24"/>
        </w:rPr>
      </w:pPr>
      <w:r>
        <w:rPr>
          <w:rFonts w:hint="eastAsia" w:ascii="楷体" w:hAnsi="楷体" w:eastAsia="楷体"/>
          <w:sz w:val="24"/>
          <w:szCs w:val="24"/>
        </w:rPr>
        <w:t>根据法律法规和理财产品合同的约定决定本理财产品的相关费率结构和</w:t>
      </w:r>
    </w:p>
    <w:p>
      <w:pPr>
        <w:rPr>
          <w:rFonts w:ascii="楷体" w:hAnsi="楷体" w:eastAsia="楷体"/>
          <w:sz w:val="24"/>
          <w:szCs w:val="24"/>
        </w:rPr>
      </w:pPr>
      <w:r>
        <w:rPr>
          <w:rFonts w:hint="eastAsia" w:ascii="楷体" w:hAnsi="楷体" w:eastAsia="楷体"/>
          <w:sz w:val="24"/>
          <w:szCs w:val="24"/>
        </w:rPr>
        <w:t>收费方式，获得理财产品管理费，收取超额业绩报酬（如有）及其它事先批准或公告的合理费用以及法律法规规定的其它费用；</w:t>
      </w:r>
    </w:p>
    <w:p>
      <w:pPr>
        <w:numPr>
          <w:ilvl w:val="0"/>
          <w:numId w:val="42"/>
        </w:numPr>
        <w:ind w:left="426"/>
        <w:rPr>
          <w:rFonts w:ascii="楷体" w:hAnsi="楷体" w:eastAsia="楷体"/>
          <w:sz w:val="24"/>
          <w:szCs w:val="24"/>
        </w:rPr>
      </w:pPr>
      <w:r>
        <w:rPr>
          <w:rFonts w:hint="eastAsia" w:ascii="楷体" w:hAnsi="楷体" w:eastAsia="楷体"/>
          <w:sz w:val="24"/>
          <w:szCs w:val="24"/>
        </w:rPr>
        <w:t>依据法律法规和理财产品合同的约定监督理财产品托管人，如认为理财</w:t>
      </w:r>
    </w:p>
    <w:p>
      <w:pPr>
        <w:rPr>
          <w:rFonts w:ascii="楷体" w:hAnsi="楷体" w:eastAsia="楷体"/>
          <w:sz w:val="24"/>
          <w:szCs w:val="24"/>
        </w:rPr>
      </w:pPr>
      <w:r>
        <w:rPr>
          <w:rFonts w:hint="eastAsia" w:ascii="楷体" w:hAnsi="楷体" w:eastAsia="楷体"/>
          <w:sz w:val="24"/>
          <w:szCs w:val="24"/>
        </w:rPr>
        <w:t>产品托管人违反了法律法规或理财产品合同约定，对理财产品资产、其它理财产品合同当事人的利益造成重大损失的，应及时呈报监管机构，以及采取其它必要措施以保护本理财产品及相关理财产品合同当事人的利益；</w:t>
      </w:r>
    </w:p>
    <w:p>
      <w:pPr>
        <w:numPr>
          <w:ilvl w:val="0"/>
          <w:numId w:val="42"/>
        </w:numPr>
        <w:ind w:left="426"/>
        <w:rPr>
          <w:rFonts w:ascii="楷体" w:hAnsi="楷体" w:eastAsia="楷体"/>
          <w:sz w:val="24"/>
          <w:szCs w:val="24"/>
        </w:rPr>
      </w:pPr>
      <w:r>
        <w:rPr>
          <w:rFonts w:hint="eastAsia" w:ascii="楷体" w:hAnsi="楷体" w:eastAsia="楷体"/>
          <w:sz w:val="24"/>
          <w:szCs w:val="24"/>
        </w:rPr>
        <w:t>在法律法规允许的前提下，为理财产品的利益依法为理财产品进行融资；</w:t>
      </w:r>
    </w:p>
    <w:p>
      <w:pPr>
        <w:numPr>
          <w:ilvl w:val="0"/>
          <w:numId w:val="42"/>
        </w:numPr>
        <w:ind w:left="426"/>
        <w:rPr>
          <w:rFonts w:ascii="楷体" w:hAnsi="楷体" w:eastAsia="楷体"/>
          <w:sz w:val="24"/>
          <w:szCs w:val="24"/>
        </w:rPr>
      </w:pPr>
      <w:r>
        <w:rPr>
          <w:rFonts w:hint="eastAsia" w:ascii="楷体" w:hAnsi="楷体" w:eastAsia="楷体"/>
          <w:sz w:val="24"/>
          <w:szCs w:val="24"/>
        </w:rPr>
        <w:t>按照法律法规，代表理财产品对被投资企业行使股东权利，代表理财产</w:t>
      </w:r>
    </w:p>
    <w:p>
      <w:pPr>
        <w:rPr>
          <w:rFonts w:ascii="楷体" w:hAnsi="楷体" w:eastAsia="楷体"/>
          <w:sz w:val="24"/>
          <w:szCs w:val="24"/>
        </w:rPr>
      </w:pPr>
      <w:r>
        <w:rPr>
          <w:rFonts w:hint="eastAsia" w:ascii="楷体" w:hAnsi="楷体" w:eastAsia="楷体"/>
          <w:sz w:val="24"/>
          <w:szCs w:val="24"/>
        </w:rPr>
        <w:t>品行使因投资于其它证券所产生的权利；</w:t>
      </w:r>
    </w:p>
    <w:p>
      <w:pPr>
        <w:ind w:firstLine="425"/>
        <w:rPr>
          <w:rFonts w:ascii="楷体" w:hAnsi="楷体" w:eastAsia="楷体"/>
          <w:sz w:val="24"/>
          <w:szCs w:val="24"/>
        </w:rPr>
      </w:pPr>
      <w:r>
        <w:rPr>
          <w:rFonts w:hint="eastAsia" w:ascii="楷体" w:hAnsi="楷体" w:eastAsia="楷体"/>
          <w:sz w:val="24"/>
          <w:szCs w:val="24"/>
        </w:rPr>
        <w:t>7. 以乙方名义，代表理财份额持有人利益行使诉讼权利或者实施其他法律行为；</w:t>
      </w:r>
    </w:p>
    <w:p>
      <w:pPr>
        <w:numPr>
          <w:ilvl w:val="0"/>
          <w:numId w:val="43"/>
        </w:numPr>
        <w:ind w:left="426"/>
        <w:rPr>
          <w:rFonts w:ascii="楷体" w:hAnsi="楷体" w:eastAsia="楷体"/>
          <w:sz w:val="24"/>
          <w:szCs w:val="24"/>
        </w:rPr>
      </w:pPr>
      <w:r>
        <w:rPr>
          <w:rFonts w:hint="eastAsia" w:ascii="楷体" w:hAnsi="楷体" w:eastAsia="楷体"/>
          <w:sz w:val="24"/>
          <w:szCs w:val="24"/>
        </w:rPr>
        <w:t>选择、更换律师、审计师、证券经纪商或其他为理财产品提供服务的外</w:t>
      </w:r>
    </w:p>
    <w:p>
      <w:pPr>
        <w:rPr>
          <w:rFonts w:ascii="楷体" w:hAnsi="楷体" w:eastAsia="楷体"/>
          <w:sz w:val="24"/>
          <w:szCs w:val="24"/>
        </w:rPr>
      </w:pPr>
      <w:r>
        <w:rPr>
          <w:rFonts w:hint="eastAsia" w:ascii="楷体" w:hAnsi="楷体" w:eastAsia="楷体"/>
          <w:sz w:val="24"/>
          <w:szCs w:val="24"/>
        </w:rPr>
        <w:t>部机构并确定有关费率；</w:t>
      </w:r>
    </w:p>
    <w:p>
      <w:pPr>
        <w:numPr>
          <w:ilvl w:val="0"/>
          <w:numId w:val="43"/>
        </w:numPr>
        <w:ind w:left="426"/>
        <w:rPr>
          <w:rFonts w:ascii="楷体" w:hAnsi="楷体" w:eastAsia="楷体"/>
          <w:sz w:val="24"/>
          <w:szCs w:val="24"/>
        </w:rPr>
      </w:pPr>
      <w:r>
        <w:rPr>
          <w:rFonts w:hint="eastAsia" w:ascii="楷体" w:hAnsi="楷体" w:eastAsia="楷体"/>
          <w:sz w:val="24"/>
          <w:szCs w:val="24"/>
        </w:rPr>
        <w:t>法律法规、理财产品合同以及依据理财产品合同制订的其它法律文件所</w:t>
      </w:r>
    </w:p>
    <w:p>
      <w:pPr>
        <w:rPr>
          <w:rFonts w:ascii="楷体" w:hAnsi="楷体" w:eastAsia="楷体"/>
          <w:sz w:val="24"/>
          <w:szCs w:val="24"/>
        </w:rPr>
      </w:pPr>
      <w:r>
        <w:rPr>
          <w:rFonts w:hint="eastAsia" w:ascii="楷体" w:hAnsi="楷体" w:eastAsia="楷体"/>
          <w:sz w:val="24"/>
          <w:szCs w:val="24"/>
        </w:rPr>
        <w:t>规定的其它权利。</w:t>
      </w:r>
    </w:p>
    <w:p>
      <w:pPr>
        <w:ind w:firstLine="602" w:firstLineChars="250"/>
        <w:rPr>
          <w:rFonts w:ascii="楷体" w:hAnsi="楷体" w:eastAsia="楷体"/>
          <w:b/>
          <w:sz w:val="24"/>
          <w:szCs w:val="24"/>
        </w:rPr>
      </w:pPr>
      <w:r>
        <w:rPr>
          <w:rFonts w:hint="eastAsia" w:ascii="楷体" w:hAnsi="楷体" w:eastAsia="楷体"/>
          <w:b/>
          <w:sz w:val="24"/>
          <w:szCs w:val="24"/>
        </w:rPr>
        <w:t>（二）乙方的义务：</w:t>
      </w:r>
    </w:p>
    <w:p>
      <w:pPr>
        <w:ind w:firstLine="425"/>
        <w:rPr>
          <w:rFonts w:ascii="楷体" w:hAnsi="楷体" w:eastAsia="楷体"/>
          <w:sz w:val="24"/>
          <w:szCs w:val="24"/>
        </w:rPr>
      </w:pPr>
      <w:r>
        <w:rPr>
          <w:rFonts w:hint="eastAsia" w:ascii="楷体" w:hAnsi="楷体" w:eastAsia="楷体"/>
          <w:sz w:val="24"/>
          <w:szCs w:val="24"/>
        </w:rPr>
        <w:t>1. 遵守法律法规和理财产品合同的约定；</w:t>
      </w:r>
    </w:p>
    <w:p>
      <w:pPr>
        <w:ind w:firstLine="425"/>
        <w:rPr>
          <w:rFonts w:ascii="楷体" w:hAnsi="楷体" w:eastAsia="楷体"/>
          <w:sz w:val="24"/>
          <w:szCs w:val="24"/>
        </w:rPr>
      </w:pPr>
      <w:r>
        <w:rPr>
          <w:rFonts w:hint="eastAsia" w:ascii="楷体" w:hAnsi="楷体" w:eastAsia="楷体"/>
          <w:sz w:val="24"/>
          <w:szCs w:val="24"/>
        </w:rPr>
        <w:t>2. 恪尽职守，依照诚实信用、勤勉尽责的原则，谨慎、有效管理和运用理财资产；</w:t>
      </w:r>
    </w:p>
    <w:p>
      <w:pPr>
        <w:numPr>
          <w:ilvl w:val="0"/>
          <w:numId w:val="44"/>
        </w:numPr>
        <w:ind w:firstLine="425"/>
        <w:rPr>
          <w:rFonts w:ascii="楷体" w:hAnsi="楷体" w:eastAsia="楷体"/>
          <w:sz w:val="24"/>
          <w:szCs w:val="24"/>
        </w:rPr>
      </w:pPr>
      <w:r>
        <w:rPr>
          <w:rFonts w:hint="eastAsia" w:ascii="楷体" w:hAnsi="楷体" w:eastAsia="楷体"/>
          <w:sz w:val="24"/>
          <w:szCs w:val="24"/>
        </w:rPr>
        <w:t>充分考虑本理财产品的特点，设置相应的部门并配备足够的具有专业资</w:t>
      </w:r>
    </w:p>
    <w:p>
      <w:pPr>
        <w:rPr>
          <w:rFonts w:ascii="楷体" w:hAnsi="楷体" w:eastAsia="楷体"/>
          <w:sz w:val="24"/>
          <w:szCs w:val="24"/>
        </w:rPr>
      </w:pPr>
      <w:r>
        <w:rPr>
          <w:rFonts w:hint="eastAsia" w:ascii="楷体" w:hAnsi="楷体" w:eastAsia="楷体"/>
          <w:sz w:val="24"/>
          <w:szCs w:val="24"/>
        </w:rPr>
        <w:t>格的人员进行理财投资分析、决策，以专业化的经营方式管理和运作理财资产，防范和减少风险；</w:t>
      </w:r>
    </w:p>
    <w:p>
      <w:pPr>
        <w:numPr>
          <w:ilvl w:val="0"/>
          <w:numId w:val="44"/>
        </w:numPr>
        <w:ind w:firstLine="425"/>
        <w:rPr>
          <w:rFonts w:ascii="楷体" w:hAnsi="楷体" w:eastAsia="楷体"/>
          <w:sz w:val="24"/>
          <w:szCs w:val="24"/>
        </w:rPr>
      </w:pPr>
      <w:r>
        <w:rPr>
          <w:rFonts w:hint="eastAsia" w:ascii="楷体" w:hAnsi="楷体" w:eastAsia="楷体"/>
          <w:sz w:val="24"/>
          <w:szCs w:val="24"/>
        </w:rPr>
        <w:t>按照法律、行政法规、监管规定和理财产品投资协议、销售协议的约定，</w:t>
      </w:r>
    </w:p>
    <w:p>
      <w:pPr>
        <w:rPr>
          <w:rFonts w:ascii="楷体" w:hAnsi="楷体" w:eastAsia="楷体"/>
          <w:sz w:val="24"/>
          <w:szCs w:val="24"/>
        </w:rPr>
      </w:pPr>
      <w:r>
        <w:rPr>
          <w:rFonts w:hint="eastAsia" w:ascii="楷体" w:hAnsi="楷体" w:eastAsia="楷体"/>
          <w:sz w:val="24"/>
          <w:szCs w:val="24"/>
        </w:rPr>
        <w:t>办理理财产品的认（申）购、赎回，不得擅自拒绝接受投资者的认（申）购、赎回申请。暂停或者开放认（申）购、赎回等业务的，应当按照相关规定和投资协议、销售协议约定说明具体原因和依据；</w:t>
      </w:r>
    </w:p>
    <w:p>
      <w:pPr>
        <w:numPr>
          <w:ilvl w:val="0"/>
          <w:numId w:val="44"/>
        </w:numPr>
        <w:ind w:firstLine="425"/>
        <w:rPr>
          <w:rFonts w:ascii="楷体" w:hAnsi="楷体" w:eastAsia="楷体"/>
          <w:sz w:val="24"/>
          <w:szCs w:val="24"/>
        </w:rPr>
      </w:pPr>
      <w:r>
        <w:rPr>
          <w:rFonts w:hint="eastAsia" w:ascii="楷体" w:hAnsi="楷体" w:eastAsia="楷体"/>
          <w:sz w:val="24"/>
          <w:szCs w:val="24"/>
        </w:rPr>
        <w:t>按照法律法规、监管规定、理财产品投资协议书、理财产品说明书、理</w:t>
      </w:r>
    </w:p>
    <w:p>
      <w:pPr>
        <w:rPr>
          <w:rFonts w:ascii="楷体" w:hAnsi="楷体" w:eastAsia="楷体"/>
          <w:sz w:val="24"/>
          <w:szCs w:val="24"/>
        </w:rPr>
      </w:pPr>
      <w:r>
        <w:rPr>
          <w:rFonts w:hint="eastAsia" w:ascii="楷体" w:hAnsi="楷体" w:eastAsia="楷体"/>
          <w:sz w:val="24"/>
          <w:szCs w:val="24"/>
        </w:rPr>
        <w:t>财产品（代理）销售协议书等的约定收取销售费用，并如实核算、记账；未经载明，不得对不同投资者适用不同费率；</w:t>
      </w:r>
    </w:p>
    <w:p>
      <w:pPr>
        <w:numPr>
          <w:ilvl w:val="0"/>
          <w:numId w:val="44"/>
        </w:numPr>
        <w:ind w:firstLine="425"/>
        <w:rPr>
          <w:rFonts w:ascii="楷体" w:hAnsi="楷体" w:eastAsia="楷体"/>
          <w:sz w:val="24"/>
          <w:szCs w:val="24"/>
        </w:rPr>
      </w:pPr>
      <w:r>
        <w:rPr>
          <w:rFonts w:hint="eastAsia" w:ascii="楷体" w:hAnsi="楷体" w:eastAsia="楷体"/>
          <w:sz w:val="24"/>
          <w:szCs w:val="24"/>
        </w:rPr>
        <w:t>建立健全内部控制制度，保证乙方的固有财产和理财财产相互独立，对所管理的不同理财财产分别管理、分别记账，进行投资；</w:t>
      </w:r>
    </w:p>
    <w:p>
      <w:pPr>
        <w:numPr>
          <w:ilvl w:val="0"/>
          <w:numId w:val="44"/>
        </w:numPr>
        <w:ind w:firstLine="425"/>
        <w:rPr>
          <w:rFonts w:ascii="楷体" w:hAnsi="楷体" w:eastAsia="楷体"/>
          <w:sz w:val="24"/>
          <w:szCs w:val="24"/>
        </w:rPr>
      </w:pPr>
      <w:r>
        <w:rPr>
          <w:rFonts w:hint="eastAsia" w:ascii="楷体" w:hAnsi="楷体" w:eastAsia="楷体"/>
          <w:sz w:val="24"/>
          <w:szCs w:val="24"/>
        </w:rPr>
        <w:t>除依据法律法规和理财产品合同的约定外，不得利用理财资产为乙方自身及任何第三方谋取利益；</w:t>
      </w:r>
    </w:p>
    <w:p>
      <w:pPr>
        <w:numPr>
          <w:ilvl w:val="0"/>
          <w:numId w:val="44"/>
        </w:numPr>
        <w:tabs>
          <w:tab w:val="right" w:pos="7881"/>
        </w:tabs>
        <w:ind w:firstLine="425"/>
        <w:rPr>
          <w:rFonts w:ascii="楷体" w:hAnsi="楷体" w:eastAsia="楷体"/>
          <w:sz w:val="24"/>
          <w:szCs w:val="24"/>
        </w:rPr>
      </w:pPr>
      <w:r>
        <w:rPr>
          <w:rFonts w:hint="eastAsia" w:ascii="楷体" w:hAnsi="楷体" w:eastAsia="楷体"/>
          <w:sz w:val="24"/>
          <w:szCs w:val="24"/>
        </w:rPr>
        <w:t>除依据法律法规和理财产品合同的约定外，乙方不得委托第三人管</w:t>
      </w:r>
      <w:r>
        <w:rPr>
          <w:rFonts w:hint="eastAsia" w:ascii="楷体" w:hAnsi="楷体" w:eastAsia="楷体"/>
          <w:sz w:val="24"/>
          <w:szCs w:val="24"/>
        </w:rPr>
        <w:tab/>
      </w:r>
      <w:r>
        <w:rPr>
          <w:rFonts w:hint="eastAsia" w:ascii="楷体" w:hAnsi="楷体" w:eastAsia="楷体"/>
          <w:sz w:val="24"/>
          <w:szCs w:val="24"/>
        </w:rPr>
        <w:t>理、运作理财资产；</w:t>
      </w:r>
    </w:p>
    <w:p>
      <w:pPr>
        <w:numPr>
          <w:ilvl w:val="0"/>
          <w:numId w:val="44"/>
        </w:numPr>
        <w:ind w:firstLine="425"/>
        <w:rPr>
          <w:rFonts w:ascii="楷体" w:hAnsi="楷体" w:eastAsia="楷体"/>
          <w:sz w:val="24"/>
          <w:szCs w:val="24"/>
        </w:rPr>
      </w:pPr>
      <w:r>
        <w:rPr>
          <w:rFonts w:hint="eastAsia" w:ascii="楷体" w:hAnsi="楷体" w:eastAsia="楷体"/>
          <w:sz w:val="24"/>
          <w:szCs w:val="24"/>
        </w:rPr>
        <w:t>依照法律、行政法规、规章规定和理财产品合同约定，接受理财产品托</w:t>
      </w:r>
    </w:p>
    <w:p>
      <w:pPr>
        <w:rPr>
          <w:rFonts w:ascii="楷体" w:hAnsi="楷体" w:eastAsia="楷体"/>
          <w:sz w:val="24"/>
          <w:szCs w:val="24"/>
        </w:rPr>
      </w:pPr>
      <w:r>
        <w:rPr>
          <w:rFonts w:hint="eastAsia" w:ascii="楷体" w:hAnsi="楷体" w:eastAsia="楷体"/>
          <w:sz w:val="24"/>
          <w:szCs w:val="24"/>
        </w:rPr>
        <w:t>管人对理财产品投资运作的监督；</w:t>
      </w:r>
    </w:p>
    <w:p>
      <w:pPr>
        <w:numPr>
          <w:ilvl w:val="0"/>
          <w:numId w:val="44"/>
        </w:numPr>
        <w:ind w:firstLine="425"/>
        <w:rPr>
          <w:rFonts w:ascii="楷体" w:hAnsi="楷体" w:eastAsia="楷体"/>
          <w:sz w:val="24"/>
          <w:szCs w:val="24"/>
        </w:rPr>
      </w:pPr>
      <w:r>
        <w:rPr>
          <w:rFonts w:hint="eastAsia" w:ascii="楷体" w:hAnsi="楷体" w:eastAsia="楷体"/>
          <w:sz w:val="24"/>
          <w:szCs w:val="24"/>
        </w:rPr>
        <w:t>采取所有必要措施对理财产品托管人违反法律法规、理财产品合同和托管协议的行为进行纠正；</w:t>
      </w:r>
    </w:p>
    <w:p>
      <w:pPr>
        <w:numPr>
          <w:ilvl w:val="0"/>
          <w:numId w:val="44"/>
        </w:numPr>
        <w:adjustRightInd w:val="0"/>
        <w:snapToGrid w:val="0"/>
        <w:ind w:firstLine="425"/>
        <w:rPr>
          <w:rFonts w:ascii="楷体" w:hAnsi="楷体" w:eastAsia="楷体"/>
          <w:sz w:val="24"/>
          <w:szCs w:val="24"/>
        </w:rPr>
      </w:pPr>
      <w:r>
        <w:rPr>
          <w:rFonts w:hint="eastAsia" w:ascii="楷体" w:hAnsi="楷体" w:eastAsia="楷体"/>
          <w:sz w:val="24"/>
          <w:szCs w:val="24"/>
        </w:rPr>
        <w:t>按规定计算并披露理财产品的资产净值和份额净值；</w:t>
      </w:r>
    </w:p>
    <w:p>
      <w:pPr>
        <w:numPr>
          <w:ilvl w:val="0"/>
          <w:numId w:val="44"/>
        </w:numPr>
        <w:tabs>
          <w:tab w:val="left" w:pos="993"/>
        </w:tabs>
        <w:ind w:firstLine="425"/>
        <w:rPr>
          <w:rFonts w:ascii="楷体" w:hAnsi="楷体" w:eastAsia="楷体"/>
          <w:sz w:val="24"/>
          <w:szCs w:val="24"/>
        </w:rPr>
      </w:pPr>
      <w:r>
        <w:rPr>
          <w:rFonts w:hint="eastAsia" w:ascii="楷体" w:hAnsi="楷体" w:eastAsia="楷体"/>
          <w:sz w:val="24"/>
          <w:szCs w:val="24"/>
        </w:rPr>
        <w:t>严格按照法律法规和理财产品合同的约定履行信息披露及报告义务；</w:t>
      </w:r>
    </w:p>
    <w:p>
      <w:pPr>
        <w:numPr>
          <w:ilvl w:val="0"/>
          <w:numId w:val="44"/>
        </w:numPr>
        <w:tabs>
          <w:tab w:val="left" w:pos="993"/>
        </w:tabs>
        <w:ind w:firstLine="425"/>
        <w:rPr>
          <w:rFonts w:ascii="楷体" w:hAnsi="楷体" w:eastAsia="楷体"/>
          <w:sz w:val="24"/>
          <w:szCs w:val="24"/>
        </w:rPr>
      </w:pPr>
      <w:r>
        <w:rPr>
          <w:rFonts w:hint="eastAsia" w:ascii="楷体" w:hAnsi="楷体" w:eastAsia="楷体"/>
          <w:sz w:val="24"/>
          <w:szCs w:val="24"/>
        </w:rPr>
        <w:t>根据相关法律、法规严格履行投资者信息保密责任，除监管机构或司</w:t>
      </w:r>
    </w:p>
    <w:p>
      <w:pPr>
        <w:tabs>
          <w:tab w:val="left" w:pos="993"/>
        </w:tabs>
        <w:rPr>
          <w:rFonts w:ascii="楷体" w:hAnsi="楷体" w:eastAsia="楷体" w:cs="楷体"/>
          <w:sz w:val="24"/>
          <w:szCs w:val="24"/>
        </w:rPr>
      </w:pPr>
      <w:r>
        <w:rPr>
          <w:rFonts w:hint="eastAsia" w:ascii="楷体" w:hAnsi="楷体" w:eastAsia="楷体"/>
          <w:sz w:val="24"/>
          <w:szCs w:val="24"/>
        </w:rPr>
        <w:t>法机关等有权机构及本协议另有约定外，不得对其他第三方提供任何投资者信息；</w:t>
      </w:r>
      <w:r>
        <w:rPr>
          <w:rFonts w:hint="eastAsia" w:ascii="楷体" w:hAnsi="楷体" w:eastAsia="楷体" w:cs="楷体"/>
          <w:sz w:val="24"/>
          <w:szCs w:val="24"/>
        </w:rPr>
        <w:t>在乙方办理本协议项下相关事项所必需的情况下，甲方同意并授权乙方向乙方或乙方委托的专业咨询机构提供乙方获取的甲方信息。乙方承诺将向有关第三方明确其保护甲方信息的职责并要求第三方承担相应的保密义务。</w:t>
      </w:r>
    </w:p>
    <w:p>
      <w:pPr>
        <w:tabs>
          <w:tab w:val="left" w:pos="993"/>
        </w:tabs>
        <w:rPr>
          <w:rFonts w:ascii="楷体" w:hAnsi="楷体" w:eastAsia="楷体" w:cs="楷体"/>
          <w:sz w:val="24"/>
          <w:szCs w:val="24"/>
        </w:rPr>
      </w:pPr>
      <w:r>
        <w:rPr>
          <w:rFonts w:hint="eastAsia" w:ascii="楷体" w:hAnsi="楷体" w:eastAsia="楷体" w:cs="楷体"/>
          <w:sz w:val="24"/>
          <w:szCs w:val="24"/>
        </w:rPr>
        <w:t xml:space="preserve">    无论本协议终止还是发生各种突发情况，本协议项下乙方和有关第三方的保密义务并不因此终止或中断；</w:t>
      </w:r>
    </w:p>
    <w:p>
      <w:pPr>
        <w:numPr>
          <w:ilvl w:val="0"/>
          <w:numId w:val="44"/>
        </w:numPr>
        <w:tabs>
          <w:tab w:val="left" w:pos="993"/>
        </w:tabs>
        <w:ind w:firstLine="425"/>
        <w:rPr>
          <w:rFonts w:ascii="楷体" w:hAnsi="楷体" w:eastAsia="楷体"/>
          <w:sz w:val="24"/>
          <w:szCs w:val="24"/>
        </w:rPr>
      </w:pPr>
      <w:r>
        <w:rPr>
          <w:rFonts w:hint="eastAsia" w:ascii="楷体" w:hAnsi="楷体" w:eastAsia="楷体"/>
          <w:sz w:val="24"/>
          <w:szCs w:val="24"/>
        </w:rPr>
        <w:t>依据理财产品合同约定制订理财收益分配方案并向本理财产品的理财</w:t>
      </w:r>
    </w:p>
    <w:p>
      <w:pPr>
        <w:tabs>
          <w:tab w:val="left" w:pos="993"/>
        </w:tabs>
        <w:rPr>
          <w:rFonts w:ascii="楷体" w:hAnsi="楷体" w:eastAsia="楷体"/>
          <w:sz w:val="24"/>
          <w:szCs w:val="24"/>
        </w:rPr>
      </w:pPr>
      <w:r>
        <w:rPr>
          <w:rFonts w:hint="eastAsia" w:ascii="楷体" w:hAnsi="楷体" w:eastAsia="楷体"/>
          <w:sz w:val="24"/>
          <w:szCs w:val="24"/>
        </w:rPr>
        <w:t>份额持有人分配理财收益（如有）；</w:t>
      </w:r>
    </w:p>
    <w:p>
      <w:pPr>
        <w:numPr>
          <w:ilvl w:val="0"/>
          <w:numId w:val="44"/>
        </w:numPr>
        <w:tabs>
          <w:tab w:val="left" w:pos="993"/>
        </w:tabs>
        <w:ind w:firstLine="425"/>
        <w:rPr>
          <w:rFonts w:ascii="楷体" w:hAnsi="楷体" w:eastAsia="楷体"/>
          <w:sz w:val="24"/>
          <w:szCs w:val="24"/>
        </w:rPr>
      </w:pPr>
      <w:r>
        <w:rPr>
          <w:rFonts w:hint="eastAsia" w:ascii="楷体" w:hAnsi="楷体" w:eastAsia="楷体"/>
          <w:sz w:val="24"/>
          <w:szCs w:val="24"/>
        </w:rPr>
        <w:t>监督理财产品托管人按法律法规和理财产品合同约定履行自己的义务。理财产品托管人因过错造成理财资产损失时，乙方应为理财利益向理财产品托管人追索，除法律法规另有规定外，不承担连带责任；</w:t>
      </w:r>
    </w:p>
    <w:p>
      <w:pPr>
        <w:numPr>
          <w:ilvl w:val="0"/>
          <w:numId w:val="44"/>
        </w:numPr>
        <w:tabs>
          <w:tab w:val="left" w:pos="993"/>
        </w:tabs>
        <w:ind w:firstLine="425"/>
        <w:rPr>
          <w:rFonts w:ascii="楷体" w:hAnsi="楷体" w:eastAsia="楷体"/>
          <w:sz w:val="24"/>
          <w:szCs w:val="24"/>
        </w:rPr>
      </w:pPr>
      <w:r>
        <w:rPr>
          <w:rFonts w:hint="eastAsia" w:ascii="楷体" w:hAnsi="楷体" w:eastAsia="楷体"/>
          <w:sz w:val="24"/>
          <w:szCs w:val="24"/>
        </w:rPr>
        <w:t>不从事任何有损本理财产品其他当事人合法权益的活动。</w:t>
      </w:r>
    </w:p>
    <w:p>
      <w:pPr>
        <w:ind w:firstLine="482" w:firstLineChars="200"/>
        <w:rPr>
          <w:rFonts w:ascii="楷体" w:hAnsi="楷体" w:eastAsia="楷体"/>
          <w:b/>
          <w:sz w:val="24"/>
          <w:szCs w:val="24"/>
        </w:rPr>
      </w:pPr>
      <w:r>
        <w:rPr>
          <w:rFonts w:hint="eastAsia" w:ascii="楷体" w:hAnsi="楷体" w:eastAsia="楷体"/>
          <w:b/>
          <w:sz w:val="24"/>
          <w:szCs w:val="24"/>
        </w:rPr>
        <w:t>四、理财产品的投资管理</w:t>
      </w:r>
    </w:p>
    <w:p>
      <w:pPr>
        <w:ind w:firstLine="480" w:firstLineChars="200"/>
        <w:rPr>
          <w:rFonts w:ascii="楷体" w:hAnsi="楷体" w:eastAsia="楷体"/>
          <w:sz w:val="24"/>
          <w:szCs w:val="24"/>
        </w:rPr>
      </w:pPr>
      <w:r>
        <w:rPr>
          <w:rFonts w:hint="eastAsia" w:ascii="楷体" w:hAnsi="楷体" w:eastAsia="楷体"/>
          <w:sz w:val="24"/>
          <w:szCs w:val="24"/>
        </w:rPr>
        <w:t>1. 本理财产品的产品类型、投资范围、投资比例等产品具体要素和风险信息详见产品说明书、风险揭示书、投资者权益须知等销售文件。</w:t>
      </w:r>
    </w:p>
    <w:p>
      <w:pPr>
        <w:ind w:firstLine="480" w:firstLineChars="200"/>
        <w:rPr>
          <w:rFonts w:ascii="楷体" w:hAnsi="楷体" w:eastAsia="楷体"/>
          <w:sz w:val="24"/>
          <w:szCs w:val="24"/>
        </w:rPr>
      </w:pPr>
      <w:r>
        <w:rPr>
          <w:rFonts w:hint="eastAsia" w:ascii="楷体" w:hAnsi="楷体" w:eastAsia="楷体"/>
          <w:sz w:val="24"/>
          <w:szCs w:val="24"/>
        </w:rPr>
        <w:t>2. 甲方已清楚知悉并同意本协议项下理财产品的投资管理由乙方负责实施。</w:t>
      </w:r>
    </w:p>
    <w:p>
      <w:pPr>
        <w:ind w:firstLine="480" w:firstLineChars="200"/>
        <w:rPr>
          <w:rFonts w:ascii="楷体" w:hAnsi="楷体" w:eastAsia="楷体"/>
          <w:sz w:val="24"/>
          <w:szCs w:val="24"/>
        </w:rPr>
      </w:pPr>
      <w:r>
        <w:rPr>
          <w:rFonts w:hint="eastAsia" w:ascii="楷体" w:hAnsi="楷体" w:eastAsia="楷体"/>
          <w:sz w:val="24"/>
          <w:szCs w:val="24"/>
        </w:rPr>
        <w:t>3. 乙方按照法律法规和产品说明书的约定诚实信用、谨慎勤勉地实施投资管理行为，以专业技能管理理财产品资产，依法维护理财产品全体投资者的利益。</w:t>
      </w:r>
    </w:p>
    <w:p>
      <w:pPr>
        <w:ind w:firstLine="482" w:firstLineChars="200"/>
        <w:rPr>
          <w:rFonts w:ascii="楷体" w:hAnsi="楷体" w:eastAsia="楷体"/>
          <w:sz w:val="24"/>
          <w:szCs w:val="24"/>
        </w:rPr>
      </w:pPr>
      <w:r>
        <w:rPr>
          <w:rFonts w:hint="eastAsia" w:ascii="楷体" w:hAnsi="楷体" w:eastAsia="楷体"/>
          <w:b/>
          <w:bCs/>
          <w:sz w:val="24"/>
          <w:szCs w:val="24"/>
        </w:rPr>
        <w:t>4. 乙方不对任何理财产品的本金或收益做出任何承诺或保证。</w:t>
      </w:r>
    </w:p>
    <w:p>
      <w:pPr>
        <w:ind w:firstLine="480" w:firstLineChars="200"/>
        <w:rPr>
          <w:rFonts w:ascii="楷体" w:hAnsi="楷体" w:eastAsia="楷体"/>
          <w:sz w:val="24"/>
          <w:szCs w:val="24"/>
        </w:rPr>
      </w:pPr>
      <w:r>
        <w:rPr>
          <w:rFonts w:hint="eastAsia" w:ascii="楷体" w:hAnsi="楷体" w:eastAsia="楷体"/>
          <w:sz w:val="24"/>
          <w:szCs w:val="24"/>
        </w:rPr>
        <w:t>5. 乙方依照产品说明书载明的投资范围、投资资产种类、投资比例进行投资，在投资管理过程中,遇市场变化或政策调整导致产品投资范围、投资资产种类、投资比例等暂时超出产品说明书的约定且乙方认为可能对投资者收益产生重大影响时，乙方将及时通过产品说明书约定的披露方式和途径进行披露。</w:t>
      </w:r>
    </w:p>
    <w:p>
      <w:pPr>
        <w:ind w:firstLine="482" w:firstLineChars="200"/>
        <w:rPr>
          <w:rFonts w:ascii="楷体" w:hAnsi="楷体" w:eastAsia="楷体"/>
          <w:sz w:val="24"/>
          <w:szCs w:val="24"/>
        </w:rPr>
      </w:pPr>
      <w:r>
        <w:rPr>
          <w:rFonts w:hint="eastAsia" w:ascii="楷体" w:hAnsi="楷体" w:eastAsia="楷体"/>
          <w:b/>
          <w:bCs/>
          <w:sz w:val="24"/>
          <w:szCs w:val="24"/>
        </w:rPr>
        <w:t>6. 甲方同意乙方依据相关法律法规规定、产品说明书约定或产品投资管理需要选任或委托相关投资管理机构、托管机构等理财投资合作机构；同意乙方以自身名义或理财产品名义签署合同/协议等相关文件；承诺承担乙方履行合同/协议等相关文件产生的法律后果。</w:t>
      </w:r>
    </w:p>
    <w:p>
      <w:pPr>
        <w:ind w:firstLine="480" w:firstLineChars="200"/>
        <w:rPr>
          <w:rFonts w:ascii="楷体" w:hAnsi="楷体" w:eastAsia="楷体"/>
          <w:sz w:val="24"/>
          <w:szCs w:val="24"/>
        </w:rPr>
      </w:pPr>
      <w:r>
        <w:rPr>
          <w:rFonts w:hint="eastAsia" w:ascii="楷体" w:hAnsi="楷体" w:eastAsia="楷体"/>
          <w:sz w:val="24"/>
          <w:szCs w:val="24"/>
        </w:rPr>
        <w:t>7. 为实现理财产品的投资目标及/或维护理财产品全体投资者的利益，乙方有权行使与投资相关的权利、履行相关义务，有权决定理财产品所投基础资产投资的管理、合同/文件条款变更、赎回、处置与披露等事宜，包括但不限于：有权处理基础资产抵质押、担保/增信等事宜、有权决定基础资产及其底层资产投放的先决条件是否放弃或延后、有权决定基础资产投资的相关罚息/违约金/损害赔偿金的降低或免除、利息的降低或免除、有权决定是否同意基础资产的债务人提前还款或立即还款（含全部及部分）或展期及展期条件、有权决定投后监管的执行等。当理财产品的资产安全受到侵害时或发生本理财产品基础资产项下义务人未按时足额付款等情形，乙方有权以自身名义代表理财产品全体投资者采取诉讼或其他权利救济措施。乙方采取上述行动所产生的费用（包括但不限于诉讼费、仲裁费、律师费等全部费用）和法律后果由理财产品全体投资者承担，乙方有权从追索回来的款项中优先扣除。</w:t>
      </w:r>
    </w:p>
    <w:p>
      <w:pPr>
        <w:ind w:firstLine="480" w:firstLineChars="200"/>
        <w:rPr>
          <w:rFonts w:ascii="楷体" w:hAnsi="楷体" w:eastAsia="楷体"/>
          <w:sz w:val="24"/>
          <w:szCs w:val="24"/>
        </w:rPr>
      </w:pPr>
      <w:r>
        <w:rPr>
          <w:rFonts w:hint="eastAsia" w:ascii="楷体" w:hAnsi="楷体" w:eastAsia="楷体"/>
          <w:sz w:val="24"/>
          <w:szCs w:val="24"/>
        </w:rPr>
        <w:t>8. 乙方有权代表投资者参加会议，对相关事项进行表决；乙方有权代表投资者利益，按照法律法规和监管部门相关规定对理财产品投资产生的风险资产进行多种方式的处置，包括但不限于转让、重组、债转股、资产证券化、委外催收、抵债资产收取与处置、破产重整等。</w:t>
      </w:r>
    </w:p>
    <w:p>
      <w:pPr>
        <w:ind w:firstLine="482" w:firstLineChars="200"/>
        <w:rPr>
          <w:rFonts w:ascii="楷体" w:hAnsi="楷体" w:eastAsia="楷体"/>
          <w:sz w:val="24"/>
          <w:szCs w:val="24"/>
        </w:rPr>
      </w:pPr>
      <w:r>
        <w:rPr>
          <w:rFonts w:hint="eastAsia" w:ascii="楷体" w:hAnsi="楷体" w:eastAsia="楷体"/>
          <w:b/>
          <w:bCs/>
          <w:sz w:val="24"/>
          <w:szCs w:val="24"/>
        </w:rPr>
        <w:t>9. 甲方同意乙方在产品说明书约定的投资计划（包括但不限于投资范围、投资资产种类、投资比例等内容）内，依据自身的投资决策流程和风险管理机制做出和实施相关投资管理决定。</w:t>
      </w:r>
    </w:p>
    <w:p>
      <w:pPr>
        <w:ind w:firstLine="425"/>
        <w:rPr>
          <w:rFonts w:ascii="楷体" w:hAnsi="楷体" w:eastAsia="楷体"/>
          <w:sz w:val="24"/>
          <w:szCs w:val="24"/>
        </w:rPr>
      </w:pPr>
      <w:r>
        <w:rPr>
          <w:rFonts w:hint="eastAsia" w:ascii="楷体" w:hAnsi="楷体" w:eastAsia="楷体"/>
          <w:sz w:val="24"/>
          <w:szCs w:val="24"/>
        </w:rPr>
        <w:t>10. 出现市场情况变化等情况时，乙方可根据需要做出调整产品说明书约定投资计划的决定，并通过产品说明书约定的途径与方式进行披露。甲方应注意及时就所认购/申购产品的信息进行查询。乙方将本着维护理财产品全体投资者利益的原则依据相关法律法规进行投资计划调整。</w:t>
      </w:r>
    </w:p>
    <w:p>
      <w:pPr>
        <w:ind w:firstLine="482" w:firstLineChars="200"/>
        <w:rPr>
          <w:rFonts w:ascii="楷体" w:hAnsi="楷体" w:eastAsia="楷体"/>
          <w:b/>
          <w:sz w:val="24"/>
          <w:szCs w:val="24"/>
        </w:rPr>
      </w:pPr>
      <w:r>
        <w:rPr>
          <w:rFonts w:ascii="楷体" w:hAnsi="楷体" w:eastAsia="楷体"/>
          <w:b/>
          <w:sz w:val="24"/>
          <w:szCs w:val="24"/>
        </w:rPr>
        <w:t>五</w:t>
      </w:r>
      <w:r>
        <w:rPr>
          <w:rFonts w:hint="eastAsia" w:ascii="楷体" w:hAnsi="楷体" w:eastAsia="楷体"/>
          <w:b/>
          <w:sz w:val="24"/>
          <w:szCs w:val="24"/>
        </w:rPr>
        <w:t>、</w:t>
      </w:r>
      <w:r>
        <w:rPr>
          <w:rFonts w:ascii="楷体" w:hAnsi="楷体" w:eastAsia="楷体"/>
          <w:b/>
          <w:sz w:val="24"/>
          <w:szCs w:val="24"/>
        </w:rPr>
        <w:t>违约责任</w:t>
      </w:r>
    </w:p>
    <w:p>
      <w:pPr>
        <w:ind w:firstLine="480" w:firstLineChars="200"/>
        <w:rPr>
          <w:rFonts w:ascii="楷体" w:hAnsi="楷体" w:eastAsia="楷体"/>
          <w:sz w:val="24"/>
          <w:szCs w:val="24"/>
        </w:rPr>
      </w:pPr>
      <w:r>
        <w:rPr>
          <w:rFonts w:hint="eastAsia" w:ascii="楷体" w:hAnsi="楷体" w:eastAsia="楷体"/>
          <w:sz w:val="24"/>
          <w:szCs w:val="24"/>
        </w:rPr>
        <w:t>1. 由于本协议一方当事人的过错，造成本协议不能履行或不能完全履行的，由有过错的一方承担违约责任；如双方同时负有过错，则应由双方各自按照过错程度承担责任。</w:t>
      </w:r>
    </w:p>
    <w:p>
      <w:pPr>
        <w:ind w:firstLine="482" w:firstLineChars="200"/>
        <w:rPr>
          <w:rFonts w:ascii="楷体" w:hAnsi="楷体" w:eastAsia="楷体"/>
          <w:sz w:val="24"/>
          <w:szCs w:val="24"/>
        </w:rPr>
      </w:pPr>
      <w:r>
        <w:rPr>
          <w:rFonts w:hint="eastAsia" w:ascii="楷体" w:hAnsi="楷体" w:eastAsia="楷体"/>
          <w:b/>
          <w:sz w:val="24"/>
          <w:szCs w:val="24"/>
        </w:rPr>
        <w:t>2. 双方同意，发生下列情况造成损失时，按以下约定承担责任</w:t>
      </w:r>
      <w:r>
        <w:rPr>
          <w:rFonts w:hint="eastAsia" w:ascii="楷体" w:hAnsi="楷体" w:eastAsia="楷体"/>
          <w:sz w:val="24"/>
          <w:szCs w:val="24"/>
        </w:rPr>
        <w:t>：</w:t>
      </w:r>
    </w:p>
    <w:p>
      <w:pPr>
        <w:ind w:firstLine="480" w:firstLineChars="200"/>
        <w:rPr>
          <w:rFonts w:ascii="楷体" w:hAnsi="楷体" w:eastAsia="楷体"/>
          <w:sz w:val="24"/>
          <w:szCs w:val="24"/>
        </w:rPr>
      </w:pPr>
      <w:r>
        <w:rPr>
          <w:rFonts w:hint="eastAsia" w:ascii="楷体" w:hAnsi="楷体" w:eastAsia="楷体"/>
          <w:sz w:val="24"/>
          <w:szCs w:val="24"/>
        </w:rPr>
        <w:t>（1）对由于国家有关法律、法规、规章、政策的变化，监管机构管理规则的修改、紧急措施的出台等原因而导致的相关风险及损失，双方当事人互不承担责任；</w:t>
      </w:r>
    </w:p>
    <w:p>
      <w:pPr>
        <w:ind w:firstLine="480" w:firstLineChars="200"/>
        <w:rPr>
          <w:rFonts w:ascii="楷体" w:hAnsi="楷体" w:eastAsia="楷体"/>
          <w:sz w:val="24"/>
          <w:szCs w:val="24"/>
        </w:rPr>
      </w:pPr>
      <w:r>
        <w:rPr>
          <w:rFonts w:hint="eastAsia" w:ascii="楷体" w:hAnsi="楷体" w:eastAsia="楷体"/>
          <w:sz w:val="24"/>
          <w:szCs w:val="24"/>
        </w:rPr>
        <w:t>（2）本协议书中涉及的相关到期日或兑付日如遇节假日，将顺延至下一个工作日，由此产生的风险及损失双方当事人互不承担责任；</w:t>
      </w:r>
    </w:p>
    <w:p>
      <w:pPr>
        <w:ind w:firstLine="480" w:firstLineChars="200"/>
        <w:rPr>
          <w:rFonts w:ascii="楷体" w:hAnsi="楷体" w:eastAsia="楷体"/>
          <w:sz w:val="24"/>
          <w:szCs w:val="24"/>
        </w:rPr>
      </w:pPr>
      <w:r>
        <w:rPr>
          <w:rFonts w:hint="eastAsia" w:ascii="楷体" w:hAnsi="楷体" w:eastAsia="楷体"/>
          <w:sz w:val="24"/>
          <w:szCs w:val="24"/>
        </w:rPr>
        <w:t>（3）</w:t>
      </w:r>
      <w:r>
        <w:rPr>
          <w:rFonts w:hint="eastAsia" w:ascii="楷体" w:hAnsi="楷体" w:eastAsia="楷体"/>
          <w:b/>
          <w:sz w:val="24"/>
          <w:szCs w:val="24"/>
        </w:rPr>
        <w:t>如甲方违反本协议所做的声明和保证，或本产品甲方所涉及的资金被有权机关全部或部分冻结或者扣划，或乙方发现或有合理理由怀疑甲方或其资金存在洗钱、恐怖融资、逃税等嫌疑，乙方有权提前终止本合同，且乙方不承担相应责任，如因此给乙方或产品其他投资者造成损失的，甲方应承担违约责任。</w:t>
      </w:r>
    </w:p>
    <w:p>
      <w:pPr>
        <w:ind w:firstLine="482" w:firstLineChars="200"/>
        <w:rPr>
          <w:rFonts w:ascii="楷体" w:hAnsi="楷体" w:eastAsia="楷体"/>
          <w:b/>
          <w:sz w:val="24"/>
          <w:szCs w:val="24"/>
        </w:rPr>
      </w:pPr>
      <w:r>
        <w:rPr>
          <w:rFonts w:hint="eastAsia" w:ascii="楷体" w:hAnsi="楷体" w:eastAsia="楷体"/>
          <w:b/>
          <w:sz w:val="24"/>
          <w:szCs w:val="24"/>
        </w:rPr>
        <w:t>六、免责条款</w:t>
      </w:r>
    </w:p>
    <w:p>
      <w:pPr>
        <w:ind w:firstLine="420"/>
        <w:rPr>
          <w:rFonts w:ascii="楷体" w:hAnsi="楷体" w:eastAsia="楷体"/>
          <w:sz w:val="24"/>
          <w:szCs w:val="24"/>
        </w:rPr>
      </w:pPr>
      <w:r>
        <w:rPr>
          <w:rFonts w:hint="eastAsia" w:ascii="楷体" w:hAnsi="楷体" w:eastAsia="楷体"/>
          <w:sz w:val="24"/>
          <w:szCs w:val="24"/>
        </w:rPr>
        <w:t>1. 由于地震、火灾、战争等不可抗力导致的交易中断、延误等风险及损失，乙方不承担责任，但应在条件允许的情况下通知甲方，并采取一切必要的补救措施以减小不可抗力造成的损失。</w:t>
      </w:r>
    </w:p>
    <w:p>
      <w:pPr>
        <w:ind w:firstLine="420"/>
        <w:rPr>
          <w:rFonts w:ascii="楷体" w:hAnsi="楷体" w:eastAsia="楷体"/>
          <w:sz w:val="24"/>
          <w:szCs w:val="24"/>
        </w:rPr>
      </w:pPr>
      <w:r>
        <w:rPr>
          <w:rFonts w:hint="eastAsia" w:ascii="楷体" w:hAnsi="楷体" w:eastAsia="楷体"/>
          <w:sz w:val="24"/>
          <w:szCs w:val="24"/>
        </w:rPr>
        <w:t>2. 由于国家的有关法律、法规、规章、政策的改变、紧急措施的出台而导致的风险，乙方不承担责任。</w:t>
      </w:r>
    </w:p>
    <w:p>
      <w:pPr>
        <w:ind w:firstLine="420"/>
        <w:rPr>
          <w:rFonts w:ascii="楷体" w:hAnsi="楷体" w:eastAsia="楷体"/>
          <w:sz w:val="24"/>
          <w:szCs w:val="24"/>
        </w:rPr>
      </w:pPr>
      <w:r>
        <w:rPr>
          <w:rFonts w:hint="eastAsia" w:ascii="楷体" w:hAnsi="楷体" w:eastAsia="楷体"/>
          <w:sz w:val="24"/>
          <w:szCs w:val="24"/>
        </w:rPr>
        <w:t>3. 乙方依照恪尽职守、诚实信用、谨慎勤勉的原则管理和运用理财产品财产，</w:t>
      </w:r>
      <w:r>
        <w:rPr>
          <w:rFonts w:hint="eastAsia" w:ascii="楷体" w:hAnsi="楷体" w:eastAsia="楷体"/>
          <w:b/>
          <w:bCs/>
          <w:sz w:val="24"/>
          <w:szCs w:val="24"/>
        </w:rPr>
        <w:t>但不保证理财产品财产中的认（申）购资金本金不受损失，也不保证一定盈利及最低收益。</w:t>
      </w:r>
      <w:r>
        <w:rPr>
          <w:rFonts w:hint="eastAsia" w:ascii="楷体" w:hAnsi="楷体" w:eastAsia="楷体"/>
          <w:sz w:val="24"/>
          <w:szCs w:val="24"/>
        </w:rPr>
        <w:t>本理财产品运作过程中，乙方依据产品合同约定管理和运用理财产品财产所产生的风险，由理财产品财产及甲方承担。甲方应充分知晓投资运营的相关风险，具体风险详见风险揭示书及理财产品说明书的具体约定，其风险应由甲方自担。</w:t>
      </w:r>
    </w:p>
    <w:p>
      <w:pPr>
        <w:ind w:firstLine="420"/>
        <w:rPr>
          <w:rFonts w:ascii="楷体" w:hAnsi="楷体" w:eastAsia="楷体"/>
          <w:sz w:val="24"/>
          <w:szCs w:val="24"/>
        </w:rPr>
      </w:pPr>
      <w:r>
        <w:rPr>
          <w:rFonts w:hint="eastAsia" w:ascii="楷体" w:hAnsi="楷体" w:eastAsia="楷体"/>
          <w:sz w:val="24"/>
          <w:szCs w:val="24"/>
        </w:rPr>
        <w:t>4. 非因乙方原因（包括但不限于甲方遗失本协议、理财产品合同被盗用、甲方资金账户被司法机关等有权部门冻结、扣划及其他投资者自身原因、投资标的固有风险等原因）造成的损失，乙方不承担责任。</w:t>
      </w:r>
    </w:p>
    <w:p>
      <w:pPr>
        <w:ind w:firstLine="482" w:firstLineChars="200"/>
        <w:rPr>
          <w:rFonts w:ascii="楷体" w:hAnsi="楷体" w:eastAsia="楷体"/>
          <w:b/>
          <w:sz w:val="24"/>
          <w:szCs w:val="24"/>
        </w:rPr>
      </w:pPr>
      <w:r>
        <w:rPr>
          <w:rFonts w:ascii="楷体" w:hAnsi="楷体" w:eastAsia="楷体"/>
          <w:b/>
          <w:sz w:val="24"/>
          <w:szCs w:val="24"/>
        </w:rPr>
        <w:t>七</w:t>
      </w:r>
      <w:r>
        <w:rPr>
          <w:rFonts w:hint="eastAsia" w:ascii="楷体" w:hAnsi="楷体" w:eastAsia="楷体"/>
          <w:b/>
          <w:sz w:val="24"/>
          <w:szCs w:val="24"/>
        </w:rPr>
        <w:t>、</w:t>
      </w:r>
      <w:r>
        <w:rPr>
          <w:rFonts w:ascii="楷体" w:hAnsi="楷体" w:eastAsia="楷体"/>
          <w:b/>
          <w:sz w:val="24"/>
          <w:szCs w:val="24"/>
        </w:rPr>
        <w:t>信息披露</w:t>
      </w:r>
    </w:p>
    <w:p>
      <w:pPr>
        <w:ind w:firstLine="480" w:firstLineChars="200"/>
        <w:rPr>
          <w:rFonts w:ascii="楷体" w:hAnsi="楷体" w:eastAsia="楷体"/>
          <w:sz w:val="24"/>
          <w:szCs w:val="24"/>
        </w:rPr>
      </w:pPr>
      <w:r>
        <w:rPr>
          <w:rFonts w:hint="eastAsia" w:ascii="楷体" w:hAnsi="楷体" w:eastAsia="楷体"/>
          <w:sz w:val="24"/>
          <w:szCs w:val="24"/>
        </w:rPr>
        <w:t>1. 本产品存续期间，乙方将以苏银理财或销售服务机构的信息披露渠道（包括但不限于苏银理财或代销机构的营业网点、门户网站、电子销售渠道等）作为本理财产品的信息披露渠道，具体信息披露详见《理财产品说明书》。</w:t>
      </w:r>
    </w:p>
    <w:p>
      <w:pPr>
        <w:ind w:firstLine="480" w:firstLineChars="200"/>
        <w:rPr>
          <w:rFonts w:ascii="楷体" w:hAnsi="楷体" w:eastAsia="楷体"/>
          <w:sz w:val="24"/>
          <w:szCs w:val="24"/>
        </w:rPr>
      </w:pPr>
      <w:r>
        <w:rPr>
          <w:rFonts w:hint="eastAsia" w:ascii="楷体" w:hAnsi="楷体" w:eastAsia="楷体"/>
          <w:sz w:val="24"/>
          <w:szCs w:val="24"/>
        </w:rPr>
        <w:t>2. 乙方通过苏银理财或销售服务机构的信息披露渠道发布理财产品有关信息，即视为已适当履行其在本条下的信息披露义务。如乙方或销售服务机构认为需要直接联系甲方的，乙方或销售服务机构将依据本协议书投资者信息中甲方预留的信息进行通知。因甲方原因而导致该等通知失败的，乙方不承担责任。</w:t>
      </w:r>
    </w:p>
    <w:p>
      <w:pPr>
        <w:ind w:firstLine="482" w:firstLineChars="200"/>
        <w:rPr>
          <w:rFonts w:ascii="楷体" w:hAnsi="楷体" w:eastAsia="楷体"/>
          <w:b/>
          <w:sz w:val="24"/>
          <w:szCs w:val="24"/>
        </w:rPr>
      </w:pPr>
      <w:r>
        <w:rPr>
          <w:rFonts w:hint="eastAsia" w:ascii="楷体" w:hAnsi="楷体" w:eastAsia="楷体"/>
          <w:b/>
          <w:sz w:val="24"/>
          <w:szCs w:val="24"/>
        </w:rPr>
        <w:t>八、协议的生效、变更及终止</w:t>
      </w:r>
    </w:p>
    <w:p>
      <w:pPr>
        <w:ind w:firstLine="420"/>
        <w:rPr>
          <w:rFonts w:ascii="楷体" w:hAnsi="楷体" w:eastAsia="楷体"/>
          <w:sz w:val="24"/>
          <w:szCs w:val="24"/>
        </w:rPr>
      </w:pPr>
      <w:r>
        <w:rPr>
          <w:rFonts w:hint="eastAsia" w:ascii="楷体" w:hAnsi="楷体" w:eastAsia="楷体"/>
          <w:sz w:val="24"/>
          <w:szCs w:val="24"/>
        </w:rPr>
        <w:t>1. 甲方直接通过乙方购买本理财产品，本协议经甲方个人客户签字/机构客户法定代表人签字并加盖公章且乙方加盖公章或业务专用章后生效。甲方通过销售服务机构的网点柜面渠道购买本理财产品，本协议经甲方个人客户签字/机构客户法定代表人签字并加盖公章且成功缴纳购买资金并经乙方系统确认购买份额后生效。甲方通过乙方或销售服务机构电子渠道进行理财交易的，甲方在相应电子页面点击“确定”或“接受”或“已阅读并同意”或“同意”或“提交”或其他同等含义词语，即视为其已签署，表示其同意接受本协议、对应《理财产品说明书》《风险揭示书》和《投资者权益须知》等相关销售文件的全部约定内容，认可其法律约束力。协议各方当事人认可电子渠道所产生电子数据的有效性。本协议生效并不代表甲方认（申）购成功，是否认（申）购成功以及认（申）购的具体金额以乙方最终确认为准。</w:t>
      </w:r>
    </w:p>
    <w:p>
      <w:pPr>
        <w:ind w:firstLine="420"/>
        <w:rPr>
          <w:rStyle w:val="20"/>
        </w:rPr>
      </w:pPr>
      <w:r>
        <w:rPr>
          <w:rFonts w:hint="eastAsia" w:ascii="楷体" w:hAnsi="楷体" w:eastAsia="楷体"/>
          <w:sz w:val="24"/>
          <w:szCs w:val="24"/>
        </w:rPr>
        <w:t>2. 甲方在办理理财产品的购买、赎回等交易后，需通过销售机构营业网点或网上销售平台查询相关交易的确认情况，最终以乙方确认的产品购买金额或赎回份额作为理财产品合同的生效或终止依据。</w:t>
      </w:r>
    </w:p>
    <w:p>
      <w:pPr>
        <w:ind w:firstLine="420"/>
        <w:rPr>
          <w:rFonts w:ascii="楷体" w:hAnsi="楷体" w:eastAsia="楷体"/>
          <w:color w:val="0000FF"/>
          <w:sz w:val="24"/>
          <w:szCs w:val="24"/>
        </w:rPr>
      </w:pPr>
      <w:r>
        <w:rPr>
          <w:rFonts w:hint="eastAsia" w:ascii="楷体" w:hAnsi="楷体" w:eastAsia="楷体"/>
          <w:sz w:val="24"/>
          <w:szCs w:val="24"/>
        </w:rPr>
        <w:t>3. 除按《理财</w:t>
      </w:r>
      <w:r>
        <w:rPr>
          <w:rFonts w:hint="eastAsia" w:ascii="楷体" w:hAnsi="楷体" w:eastAsia="楷体" w:cs="浠垮畫"/>
          <w:kern w:val="0"/>
          <w:sz w:val="24"/>
          <w:szCs w:val="24"/>
        </w:rPr>
        <w:t>产品说明书》约定乙方有权提前终止情形外，甲方有违约行为或交易资金被国家有权机关采取保全措施时，乙方有权提前终止本协议。</w:t>
      </w:r>
    </w:p>
    <w:p>
      <w:pPr>
        <w:ind w:firstLine="420"/>
        <w:rPr>
          <w:rFonts w:ascii="楷体" w:hAnsi="楷体" w:eastAsia="楷体"/>
          <w:sz w:val="24"/>
          <w:szCs w:val="24"/>
        </w:rPr>
      </w:pPr>
      <w:r>
        <w:rPr>
          <w:rFonts w:hint="eastAsia" w:ascii="楷体" w:hAnsi="楷体" w:eastAsia="楷体"/>
          <w:sz w:val="24"/>
          <w:szCs w:val="24"/>
        </w:rPr>
        <w:t>4. 乙方或代销机构发现或有合理理由怀疑甲方或其资金存在洗钱、恐怖融资、逃税等嫌疑，乙方有权提前终止本协议，造成甲方损失的，乙方不承担责任。</w:t>
      </w:r>
    </w:p>
    <w:p>
      <w:pPr>
        <w:ind w:firstLine="420"/>
        <w:rPr>
          <w:rFonts w:ascii="楷体" w:hAnsi="楷体" w:eastAsia="楷体"/>
          <w:sz w:val="24"/>
          <w:szCs w:val="24"/>
        </w:rPr>
      </w:pPr>
      <w:r>
        <w:rPr>
          <w:rFonts w:hint="eastAsia" w:ascii="楷体" w:hAnsi="楷体" w:eastAsia="楷体"/>
          <w:sz w:val="24"/>
          <w:szCs w:val="24"/>
        </w:rPr>
        <w:t>5. 本协议及《理财产品说明书》、《理财产品（代理）销售协议书》项下各方权利义务履行完毕之日，本协议自动终止。</w:t>
      </w:r>
    </w:p>
    <w:p>
      <w:pPr>
        <w:ind w:firstLine="420"/>
        <w:rPr>
          <w:rFonts w:ascii="楷体" w:hAnsi="楷体" w:eastAsia="楷体"/>
          <w:b/>
          <w:sz w:val="24"/>
          <w:szCs w:val="24"/>
        </w:rPr>
      </w:pPr>
      <w:r>
        <w:rPr>
          <w:rFonts w:hint="eastAsia" w:ascii="楷体" w:hAnsi="楷体" w:eastAsia="楷体"/>
          <w:b/>
          <w:sz w:val="24"/>
          <w:szCs w:val="24"/>
        </w:rPr>
        <w:t>九、本合同的订立、生效、履行、解释、修改和终止等事项均适用中华人民共和国（不包括香港特别行政区、澳门特别行政区和台湾地区）法律。</w:t>
      </w:r>
    </w:p>
    <w:p>
      <w:pPr>
        <w:ind w:firstLine="420"/>
        <w:rPr>
          <w:rFonts w:ascii="楷体" w:hAnsi="楷体" w:eastAsia="楷体"/>
          <w:sz w:val="24"/>
          <w:szCs w:val="24"/>
        </w:rPr>
      </w:pPr>
      <w:r>
        <w:rPr>
          <w:rFonts w:hint="eastAsia" w:ascii="楷体" w:hAnsi="楷体" w:eastAsia="楷体"/>
          <w:sz w:val="24"/>
          <w:szCs w:val="24"/>
        </w:rPr>
        <w:t>因本合同引起的或与本合同有关的任何争议，应当首先通过双方之间的友好协商解决；协商不成的，双方均有权提交乙方所在地有管辖权的人民法院诉讼解决。</w:t>
      </w:r>
    </w:p>
    <w:p>
      <w:pPr>
        <w:ind w:firstLine="420"/>
        <w:rPr>
          <w:rFonts w:ascii="楷体" w:hAnsi="楷体" w:eastAsia="楷体"/>
          <w:b/>
          <w:sz w:val="24"/>
          <w:szCs w:val="24"/>
        </w:rPr>
      </w:pPr>
      <w:r>
        <w:rPr>
          <w:rFonts w:hint="eastAsia" w:ascii="楷体" w:hAnsi="楷体" w:eastAsia="楷体"/>
          <w:b/>
          <w:sz w:val="24"/>
          <w:szCs w:val="24"/>
        </w:rPr>
        <w:t>十、本投资协议书未尽事宜，以理财产品说明书、风险揭示书、理财产品（代理）销售协议书、投资者权益须知的约定内容为准。</w:t>
      </w:r>
    </w:p>
    <w:p>
      <w:pPr>
        <w:ind w:firstLine="420"/>
        <w:rPr>
          <w:rFonts w:ascii="楷体" w:hAnsi="楷体" w:eastAsia="楷体"/>
          <w:b/>
          <w:sz w:val="24"/>
          <w:szCs w:val="24"/>
        </w:rPr>
      </w:pPr>
    </w:p>
    <w:p>
      <w:pPr>
        <w:ind w:firstLine="420"/>
        <w:rPr>
          <w:rFonts w:ascii="楷体" w:hAnsi="楷体" w:eastAsia="楷体"/>
          <w:b/>
          <w:sz w:val="24"/>
          <w:szCs w:val="24"/>
        </w:rPr>
      </w:pPr>
    </w:p>
    <w:p>
      <w:pPr>
        <w:ind w:firstLine="420"/>
        <w:rPr>
          <w:rFonts w:ascii="楷体" w:hAnsi="楷体" w:eastAsia="楷体"/>
          <w:b/>
          <w:sz w:val="24"/>
          <w:szCs w:val="24"/>
        </w:rPr>
      </w:pPr>
    </w:p>
    <w:p>
      <w:pPr>
        <w:ind w:firstLine="420"/>
        <w:rPr>
          <w:rFonts w:ascii="楷体" w:hAnsi="楷体" w:eastAsia="楷体"/>
          <w:sz w:val="24"/>
          <w:szCs w:val="24"/>
        </w:rPr>
      </w:pPr>
    </w:p>
    <w:p>
      <w:pPr>
        <w:rPr>
          <w:rFonts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 xml:space="preserve">（个人客户签字）：      </w:t>
      </w:r>
      <w:r>
        <w:rPr>
          <w:rFonts w:ascii="楷体" w:hAnsi="楷体" w:eastAsia="楷体"/>
          <w:sz w:val="24"/>
          <w:szCs w:val="24"/>
        </w:rPr>
        <w:t>甲方</w:t>
      </w:r>
      <w:r>
        <w:rPr>
          <w:rFonts w:hint="eastAsia" w:ascii="楷体" w:hAnsi="楷体" w:eastAsia="楷体"/>
          <w:sz w:val="24"/>
          <w:szCs w:val="24"/>
        </w:rPr>
        <w:t>（机构客户盖章）：</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rPr>
        <w:t xml:space="preserve">                               </w:t>
      </w:r>
      <w:r>
        <w:rPr>
          <w:rFonts w:hint="eastAsia" w:ascii="楷体" w:hAnsi="楷体" w:eastAsia="楷体"/>
          <w:sz w:val="24"/>
          <w:szCs w:val="24"/>
        </w:rPr>
        <w:t>机构客户法定代表人或授权代表（签字或盖章）</w:t>
      </w:r>
    </w:p>
    <w:p>
      <w:pPr>
        <w:rPr>
          <w:rFonts w:ascii="楷体" w:hAnsi="楷体" w:eastAsia="楷体"/>
          <w:sz w:val="24"/>
          <w:szCs w:val="24"/>
        </w:rPr>
      </w:pPr>
    </w:p>
    <w:p>
      <w:pPr>
        <w:rPr>
          <w:rFonts w:ascii="楷体" w:hAnsi="楷体" w:eastAsia="楷体"/>
          <w:sz w:val="24"/>
          <w:szCs w:val="24"/>
        </w:rPr>
      </w:pPr>
    </w:p>
    <w:p>
      <w:pPr>
        <w:rPr>
          <w:rFonts w:ascii="楷体" w:hAnsi="楷体" w:eastAsia="楷体"/>
        </w:rPr>
      </w:pPr>
    </w:p>
    <w:p>
      <w:pPr>
        <w:rPr>
          <w:rFonts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：苏银</w:t>
      </w:r>
      <w:r>
        <w:rPr>
          <w:rFonts w:ascii="楷体" w:hAnsi="楷体" w:eastAsia="楷体"/>
          <w:sz w:val="24"/>
          <w:szCs w:val="24"/>
        </w:rPr>
        <w:t>理财有限责任公司</w:t>
      </w:r>
    </w:p>
    <w:p>
      <w:pPr>
        <w:rPr>
          <w:rFonts w:ascii="楷体" w:hAnsi="楷体" w:eastAsia="楷体"/>
          <w:sz w:val="24"/>
          <w:szCs w:val="24"/>
        </w:rPr>
      </w:pPr>
    </w:p>
    <w:p>
      <w:pPr>
        <w:rPr>
          <w:rFonts w:ascii="楷体" w:hAnsi="楷体" w:eastAsia="楷体"/>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autoSpaceDE w:val="0"/>
        <w:autoSpaceDN w:val="0"/>
        <w:adjustRightInd w:val="0"/>
        <w:rPr>
          <w:rFonts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rPr>
          <w:rFonts w:ascii="楷体" w:hAnsi="楷体" w:eastAsia="楷体"/>
          <w:sz w:val="24"/>
          <w:szCs w:val="24"/>
        </w:rPr>
      </w:pPr>
    </w:p>
    <w:p/>
    <w:sectPr>
      <w:headerReference r:id="rId10" w:type="first"/>
      <w:headerReference r:id="rId8" w:type="default"/>
      <w:footerReference r:id="rId11" w:type="default"/>
      <w:head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rPr>
          <w:rFonts w:ascii="楷体" w:hAnsi="楷体" w:eastAsia="楷体" w:cs="楷体"/>
        </w:rPr>
      </w:pPr>
      <w:r>
        <w:rPr>
          <w:rFonts w:hint="eastAsia" w:ascii="楷体" w:hAnsi="楷体" w:eastAsia="楷体" w:cs="楷体"/>
          <w:sz w:val="15"/>
          <w:szCs w:val="15"/>
          <w:vertAlign w:val="superscript"/>
        </w:rPr>
        <w:footnoteRef/>
      </w:r>
      <w:r>
        <w:rPr>
          <w:rFonts w:hint="eastAsia" w:ascii="楷体" w:hAnsi="楷体" w:eastAsia="楷体" w:cs="楷体"/>
          <w:vertAlign w:val="superscript"/>
        </w:rPr>
        <w:t xml:space="preserve"> </w:t>
      </w:r>
      <w:r>
        <w:rPr>
          <w:rFonts w:hint="eastAsia" w:ascii="楷体" w:hAnsi="楷体" w:eastAsia="楷体" w:cs="楷体"/>
        </w:rPr>
        <w:t>注：投资者权益须知的名称和内容以销售机构实际使用为准。</w:t>
      </w:r>
    </w:p>
  </w:footnote>
  <w:footnote w:id="1">
    <w:p>
      <w:pPr>
        <w:pStyle w:val="11"/>
      </w:pPr>
      <w:r>
        <w:rPr>
          <w:rFonts w:hint="eastAsia" w:ascii="楷体" w:hAnsi="楷体" w:eastAsia="楷体" w:cs="楷体"/>
          <w:sz w:val="15"/>
          <w:szCs w:val="15"/>
          <w:vertAlign w:val="superscript"/>
        </w:rPr>
        <w:footnoteRef/>
      </w:r>
      <w:r>
        <w:rPr>
          <w:rFonts w:hint="eastAsia" w:ascii="楷体" w:hAnsi="楷体" w:eastAsia="楷体" w:cs="楷体"/>
          <w:vertAlign w:val="superscript"/>
        </w:rPr>
        <w:t xml:space="preserve"> </w:t>
      </w:r>
      <w:r>
        <w:rPr>
          <w:rFonts w:hint="eastAsia" w:ascii="楷体" w:hAnsi="楷体" w:eastAsia="楷体" w:cs="楷体"/>
        </w:rPr>
        <w:t>注：理财产品（代理）销售协议书的名称和内容以销售机构实际使用为准</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黑体" w:eastAsia="黑体" w:cs="黑体"/>
        <w:spacing w:val="-2"/>
        <w:sz w:val="24"/>
        <w:szCs w:val="24"/>
      </w:rPr>
    </w:pPr>
    <w:r>
      <w:pict>
        <v:shape id="WordPictureWatermark367144751" o:spid="_x0000_s1026" o:spt="75" type="#_x0000_t75" style="position:absolute;left:0pt;height:862.85pt;width:1137.3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2" o:spid="_x0000_s1027" o:spt="75" alt="说明: C:\Users\JSYH\Desktop\苏银理财.png" type="#_x0000_t75" style="position:absolute;left:0pt;margin-left:308.95pt;margin-top:-7.5pt;height:33.45pt;width:104.35pt;mso-wrap-distance-bottom:0pt;mso-wrap-distance-left:9pt;mso-wrap-distance-right:9pt;mso-wrap-distance-top:0pt;z-index:251666432;mso-width-relative:page;mso-height-relative:page;" filled="f" o:preferrelative="t" stroked="f" coordsize="21600,21600">
          <v:path/>
          <v:fill on="f" focussize="0,0"/>
          <v:stroke on="f" joinstyle="miter"/>
          <v:imagedata r:id="rId2" o:title="苏银理财"/>
          <o:lock v:ext="edit" aspectratio="t"/>
          <w10:wrap type="square"/>
        </v:shape>
      </w:pict>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50" o:spid="_x0000_s1025" o:spt="75" type="#_x0000_t75" style="position:absolute;left:0pt;height:862.85pt;width:1137.3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49" o:spid="_x0000_s1028" o:spt="75" type="#_x0000_t75" style="position:absolute;left:0pt;height:862.85pt;width:1137.3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5408;mso-width-relative:page;mso-height-relative:page;" filled="f" o:preferrelative="t" stroked="f" coordsize="21600,21600">
          <v:path/>
          <v:fill on="f" focussize="0,0"/>
          <v:stroke on="f" joinstyle="miter"/>
          <v:imagedata r:id="rId2"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5D44A"/>
    <w:multiLevelType w:val="singleLevel"/>
    <w:tmpl w:val="9E55D44A"/>
    <w:lvl w:ilvl="0" w:tentative="0">
      <w:start w:val="3"/>
      <w:numFmt w:val="decimal"/>
      <w:suff w:val="space"/>
      <w:lvlText w:val="%1."/>
      <w:lvlJc w:val="left"/>
    </w:lvl>
  </w:abstractNum>
  <w:abstractNum w:abstractNumId="1">
    <w:nsid w:val="D29BAE0D"/>
    <w:multiLevelType w:val="singleLevel"/>
    <w:tmpl w:val="D29BAE0D"/>
    <w:lvl w:ilvl="0" w:tentative="0">
      <w:start w:val="1"/>
      <w:numFmt w:val="decimal"/>
      <w:suff w:val="space"/>
      <w:lvlText w:val="%1."/>
      <w:lvlJc w:val="left"/>
    </w:lvl>
  </w:abstractNum>
  <w:abstractNum w:abstractNumId="2">
    <w:nsid w:val="ED4BC391"/>
    <w:multiLevelType w:val="singleLevel"/>
    <w:tmpl w:val="ED4BC391"/>
    <w:lvl w:ilvl="0" w:tentative="0">
      <w:start w:val="5"/>
      <w:numFmt w:val="decimal"/>
      <w:suff w:val="space"/>
      <w:lvlText w:val="%1."/>
      <w:lvlJc w:val="left"/>
    </w:lvl>
  </w:abstractNum>
  <w:abstractNum w:abstractNumId="3">
    <w:nsid w:val="EE75D0C4"/>
    <w:multiLevelType w:val="singleLevel"/>
    <w:tmpl w:val="EE75D0C4"/>
    <w:lvl w:ilvl="0" w:tentative="0">
      <w:start w:val="1"/>
      <w:numFmt w:val="decimal"/>
      <w:suff w:val="nothing"/>
      <w:lvlText w:val="（%1）"/>
      <w:lvlJc w:val="left"/>
    </w:lvl>
  </w:abstractNum>
  <w:abstractNum w:abstractNumId="4">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A62A71"/>
    <w:multiLevelType w:val="multilevel"/>
    <w:tmpl w:val="0AA62A7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278C74"/>
    <w:multiLevelType w:val="singleLevel"/>
    <w:tmpl w:val="18278C74"/>
    <w:lvl w:ilvl="0" w:tentative="0">
      <w:start w:val="2"/>
      <w:numFmt w:val="decimal"/>
      <w:suff w:val="space"/>
      <w:lvlText w:val="%1."/>
      <w:lvlJc w:val="left"/>
    </w:lvl>
  </w:abstractNum>
  <w:abstractNum w:abstractNumId="8">
    <w:nsid w:val="1CA52050"/>
    <w:multiLevelType w:val="multilevel"/>
    <w:tmpl w:val="1CA52050"/>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BB215EF"/>
    <w:multiLevelType w:val="multilevel"/>
    <w:tmpl w:val="2BB215EF"/>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15">
    <w:nsid w:val="2D3D19BD"/>
    <w:multiLevelType w:val="singleLevel"/>
    <w:tmpl w:val="2D3D19BD"/>
    <w:lvl w:ilvl="0" w:tentative="0">
      <w:start w:val="4"/>
      <w:numFmt w:val="decimal"/>
      <w:suff w:val="space"/>
      <w:lvlText w:val="%1."/>
      <w:lvlJc w:val="left"/>
    </w:lvl>
  </w:abstractNum>
  <w:abstractNum w:abstractNumId="16">
    <w:nsid w:val="33DE002A"/>
    <w:multiLevelType w:val="multilevel"/>
    <w:tmpl w:val="33DE00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4304046"/>
    <w:multiLevelType w:val="multilevel"/>
    <w:tmpl w:val="34304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1C02CA7"/>
    <w:multiLevelType w:val="multilevel"/>
    <w:tmpl w:val="41C02C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7833841"/>
    <w:multiLevelType w:val="multilevel"/>
    <w:tmpl w:val="47833841"/>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9655AE0"/>
    <w:multiLevelType w:val="multilevel"/>
    <w:tmpl w:val="49655A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5CB1E63"/>
    <w:multiLevelType w:val="multilevel"/>
    <w:tmpl w:val="55CB1E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A1C30FB"/>
    <w:multiLevelType w:val="multilevel"/>
    <w:tmpl w:val="5A1C30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37049F"/>
    <w:multiLevelType w:val="multilevel"/>
    <w:tmpl w:val="673704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B501D7C"/>
    <w:multiLevelType w:val="multilevel"/>
    <w:tmpl w:val="6B501D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CD3B1D"/>
    <w:multiLevelType w:val="multilevel"/>
    <w:tmpl w:val="6CCD3B1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D244212"/>
    <w:multiLevelType w:val="multilevel"/>
    <w:tmpl w:val="6D2442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FC4DC05"/>
    <w:multiLevelType w:val="singleLevel"/>
    <w:tmpl w:val="6FC4DC05"/>
    <w:lvl w:ilvl="0" w:tentative="0">
      <w:start w:val="1"/>
      <w:numFmt w:val="decimal"/>
      <w:suff w:val="space"/>
      <w:lvlText w:val="%1."/>
      <w:lvlJc w:val="left"/>
    </w:lvl>
  </w:abstractNum>
  <w:abstractNum w:abstractNumId="37">
    <w:nsid w:val="71604D5C"/>
    <w:multiLevelType w:val="multilevel"/>
    <w:tmpl w:val="71604D5C"/>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38">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67AF553"/>
    <w:multiLevelType w:val="singleLevel"/>
    <w:tmpl w:val="767AF553"/>
    <w:lvl w:ilvl="0" w:tentative="0">
      <w:start w:val="8"/>
      <w:numFmt w:val="decimal"/>
      <w:suff w:val="space"/>
      <w:lvlText w:val="%1."/>
      <w:lvlJc w:val="left"/>
    </w:lvl>
  </w:abstractNum>
  <w:abstractNum w:abstractNumId="41">
    <w:nsid w:val="77E31909"/>
    <w:multiLevelType w:val="multilevel"/>
    <w:tmpl w:val="77E3190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78541B78"/>
    <w:multiLevelType w:val="singleLevel"/>
    <w:tmpl w:val="78541B78"/>
    <w:lvl w:ilvl="0" w:tentative="0">
      <w:start w:val="1"/>
      <w:numFmt w:val="decimal"/>
      <w:suff w:val="nothing"/>
      <w:lvlText w:val="（%1）"/>
      <w:lvlJc w:val="left"/>
    </w:lvl>
  </w:abstractNum>
  <w:abstractNum w:abstractNumId="43">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6"/>
  </w:num>
  <w:num w:numId="2">
    <w:abstractNumId w:val="10"/>
  </w:num>
  <w:num w:numId="3">
    <w:abstractNumId w:val="3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4"/>
  </w:num>
  <w:num w:numId="8">
    <w:abstractNumId w:val="9"/>
  </w:num>
  <w:num w:numId="9">
    <w:abstractNumId w:val="22"/>
  </w:num>
  <w:num w:numId="10">
    <w:abstractNumId w:val="21"/>
  </w:num>
  <w:num w:numId="11">
    <w:abstractNumId w:val="8"/>
  </w:num>
  <w:num w:numId="12">
    <w:abstractNumId w:val="17"/>
  </w:num>
  <w:num w:numId="13">
    <w:abstractNumId w:val="12"/>
  </w:num>
  <w:num w:numId="14">
    <w:abstractNumId w:val="28"/>
  </w:num>
  <w:num w:numId="15">
    <w:abstractNumId w:val="32"/>
  </w:num>
  <w:num w:numId="16">
    <w:abstractNumId w:val="11"/>
  </w:num>
  <w:num w:numId="17">
    <w:abstractNumId w:val="20"/>
  </w:num>
  <w:num w:numId="18">
    <w:abstractNumId w:val="3"/>
  </w:num>
  <w:num w:numId="19">
    <w:abstractNumId w:val="39"/>
  </w:num>
  <w:num w:numId="20">
    <w:abstractNumId w:val="42"/>
  </w:num>
  <w:num w:numId="21">
    <w:abstractNumId w:val="29"/>
  </w:num>
  <w:num w:numId="22">
    <w:abstractNumId w:val="24"/>
  </w:num>
  <w:num w:numId="23">
    <w:abstractNumId w:val="13"/>
  </w:num>
  <w:num w:numId="24">
    <w:abstractNumId w:val="6"/>
  </w:num>
  <w:num w:numId="25">
    <w:abstractNumId w:val="27"/>
  </w:num>
  <w:num w:numId="26">
    <w:abstractNumId w:val="31"/>
  </w:num>
  <w:num w:numId="27">
    <w:abstractNumId w:val="5"/>
  </w:num>
  <w:num w:numId="28">
    <w:abstractNumId w:val="33"/>
  </w:num>
  <w:num w:numId="29">
    <w:abstractNumId w:val="26"/>
  </w:num>
  <w:num w:numId="30">
    <w:abstractNumId w:val="34"/>
  </w:num>
  <w:num w:numId="31">
    <w:abstractNumId w:val="43"/>
  </w:num>
  <w:num w:numId="32">
    <w:abstractNumId w:val="30"/>
  </w:num>
  <w:num w:numId="33">
    <w:abstractNumId w:val="16"/>
  </w:num>
  <w:num w:numId="34">
    <w:abstractNumId w:val="25"/>
  </w:num>
  <w:num w:numId="35">
    <w:abstractNumId w:val="23"/>
  </w:num>
  <w:num w:numId="36">
    <w:abstractNumId w:val="35"/>
  </w:num>
  <w:num w:numId="37">
    <w:abstractNumId w:val="4"/>
  </w:num>
  <w:num w:numId="38">
    <w:abstractNumId w:val="19"/>
  </w:num>
  <w:num w:numId="39">
    <w:abstractNumId w:val="1"/>
  </w:num>
  <w:num w:numId="40">
    <w:abstractNumId w:val="2"/>
  </w:num>
  <w:num w:numId="41">
    <w:abstractNumId w:val="15"/>
  </w:num>
  <w:num w:numId="42">
    <w:abstractNumId w:val="7"/>
  </w:num>
  <w:num w:numId="43">
    <w:abstractNumId w:val="4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B7D0D"/>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A744D"/>
    <w:rsid w:val="014354FF"/>
    <w:rsid w:val="0153453C"/>
    <w:rsid w:val="0153462C"/>
    <w:rsid w:val="01572ED7"/>
    <w:rsid w:val="015A3032"/>
    <w:rsid w:val="0168358B"/>
    <w:rsid w:val="01695881"/>
    <w:rsid w:val="016D09F4"/>
    <w:rsid w:val="018876DC"/>
    <w:rsid w:val="018E7785"/>
    <w:rsid w:val="01A02591"/>
    <w:rsid w:val="01AA6FD1"/>
    <w:rsid w:val="01AB1B3B"/>
    <w:rsid w:val="01B522D2"/>
    <w:rsid w:val="01C03B1E"/>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5560D9"/>
    <w:rsid w:val="045C7D7F"/>
    <w:rsid w:val="04674182"/>
    <w:rsid w:val="046874D3"/>
    <w:rsid w:val="046D4B31"/>
    <w:rsid w:val="04763DF0"/>
    <w:rsid w:val="0482632C"/>
    <w:rsid w:val="049632DF"/>
    <w:rsid w:val="04A741FF"/>
    <w:rsid w:val="04A76ED6"/>
    <w:rsid w:val="04AC0EFB"/>
    <w:rsid w:val="04AD6FEA"/>
    <w:rsid w:val="04B63702"/>
    <w:rsid w:val="04C81C8C"/>
    <w:rsid w:val="04CF101F"/>
    <w:rsid w:val="04D502C0"/>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5911"/>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17809"/>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D7E8E"/>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D80961"/>
    <w:rsid w:val="10D84BB2"/>
    <w:rsid w:val="10E55ACF"/>
    <w:rsid w:val="10ED705E"/>
    <w:rsid w:val="10FF7721"/>
    <w:rsid w:val="1101035E"/>
    <w:rsid w:val="11072F1A"/>
    <w:rsid w:val="110C25A3"/>
    <w:rsid w:val="111B64DD"/>
    <w:rsid w:val="111F0D72"/>
    <w:rsid w:val="1124174C"/>
    <w:rsid w:val="112B0EFD"/>
    <w:rsid w:val="113532CD"/>
    <w:rsid w:val="113E77D4"/>
    <w:rsid w:val="11483541"/>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33951"/>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26272"/>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376F8"/>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AB4CA1"/>
    <w:rsid w:val="1AB00ACD"/>
    <w:rsid w:val="1AB77CCA"/>
    <w:rsid w:val="1ABC53BD"/>
    <w:rsid w:val="1AC90C8B"/>
    <w:rsid w:val="1AE47673"/>
    <w:rsid w:val="1B003112"/>
    <w:rsid w:val="1B0571CA"/>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A713E"/>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3F971CB"/>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6874DC"/>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17FE3"/>
    <w:rsid w:val="260F0FCC"/>
    <w:rsid w:val="26162F9F"/>
    <w:rsid w:val="26285570"/>
    <w:rsid w:val="262B337E"/>
    <w:rsid w:val="262C1722"/>
    <w:rsid w:val="262C38A3"/>
    <w:rsid w:val="262E0F7F"/>
    <w:rsid w:val="26473C37"/>
    <w:rsid w:val="264944B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628DC"/>
    <w:rsid w:val="26E65E49"/>
    <w:rsid w:val="26EA4AAD"/>
    <w:rsid w:val="26F0197C"/>
    <w:rsid w:val="26F55BE8"/>
    <w:rsid w:val="26F56719"/>
    <w:rsid w:val="270B5779"/>
    <w:rsid w:val="270D7803"/>
    <w:rsid w:val="273A445C"/>
    <w:rsid w:val="273B1378"/>
    <w:rsid w:val="273F08A2"/>
    <w:rsid w:val="27427939"/>
    <w:rsid w:val="27533C8E"/>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B291C"/>
    <w:rsid w:val="350C4AD3"/>
    <w:rsid w:val="350F4737"/>
    <w:rsid w:val="35143012"/>
    <w:rsid w:val="351A1EF3"/>
    <w:rsid w:val="351E2264"/>
    <w:rsid w:val="3526195B"/>
    <w:rsid w:val="35270D50"/>
    <w:rsid w:val="35281E1D"/>
    <w:rsid w:val="353D15CB"/>
    <w:rsid w:val="35404339"/>
    <w:rsid w:val="35437901"/>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26537A"/>
    <w:rsid w:val="363D5BC2"/>
    <w:rsid w:val="363E4C6B"/>
    <w:rsid w:val="36411BD2"/>
    <w:rsid w:val="364918AE"/>
    <w:rsid w:val="364A5848"/>
    <w:rsid w:val="365E5B6A"/>
    <w:rsid w:val="36641444"/>
    <w:rsid w:val="36762B93"/>
    <w:rsid w:val="367F0410"/>
    <w:rsid w:val="368159C6"/>
    <w:rsid w:val="3696776B"/>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5B2C90"/>
    <w:rsid w:val="3B60454D"/>
    <w:rsid w:val="3B642C2E"/>
    <w:rsid w:val="3B6704C0"/>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EF47F52"/>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60186"/>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43BB2"/>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A5E97"/>
    <w:rsid w:val="4A8F6D97"/>
    <w:rsid w:val="4A947899"/>
    <w:rsid w:val="4A9608B5"/>
    <w:rsid w:val="4AB374A7"/>
    <w:rsid w:val="4AC015DC"/>
    <w:rsid w:val="4ADD6B8B"/>
    <w:rsid w:val="4AE24FDB"/>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13BCF"/>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035EC"/>
    <w:rsid w:val="4E2502CA"/>
    <w:rsid w:val="4E26047E"/>
    <w:rsid w:val="4E2F6C60"/>
    <w:rsid w:val="4E3130AB"/>
    <w:rsid w:val="4E365133"/>
    <w:rsid w:val="4E3A196E"/>
    <w:rsid w:val="4E3D2BEC"/>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64DF"/>
    <w:rsid w:val="5B671FDF"/>
    <w:rsid w:val="5B680C72"/>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1E1738"/>
    <w:rsid w:val="5C2470F5"/>
    <w:rsid w:val="5C260ED7"/>
    <w:rsid w:val="5C274363"/>
    <w:rsid w:val="5C28396C"/>
    <w:rsid w:val="5C2F4D65"/>
    <w:rsid w:val="5C453383"/>
    <w:rsid w:val="5C4A6E17"/>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8560E7"/>
    <w:rsid w:val="5D8A326E"/>
    <w:rsid w:val="5D8B579D"/>
    <w:rsid w:val="5D8F6E8C"/>
    <w:rsid w:val="5D91227B"/>
    <w:rsid w:val="5D9616D3"/>
    <w:rsid w:val="5D9D0CBF"/>
    <w:rsid w:val="5DA630FD"/>
    <w:rsid w:val="5DAD534C"/>
    <w:rsid w:val="5DC85C22"/>
    <w:rsid w:val="5DD051EB"/>
    <w:rsid w:val="5DDD0C01"/>
    <w:rsid w:val="5DDF2C78"/>
    <w:rsid w:val="5DDF7118"/>
    <w:rsid w:val="5DE00FDA"/>
    <w:rsid w:val="5DE01E22"/>
    <w:rsid w:val="5DEF4C41"/>
    <w:rsid w:val="5DF62864"/>
    <w:rsid w:val="5DF748A1"/>
    <w:rsid w:val="5E0D293F"/>
    <w:rsid w:val="5E202A9E"/>
    <w:rsid w:val="5E3905DF"/>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145EA7"/>
    <w:rsid w:val="65283C7D"/>
    <w:rsid w:val="65360A56"/>
    <w:rsid w:val="65402B6D"/>
    <w:rsid w:val="65456463"/>
    <w:rsid w:val="65462F10"/>
    <w:rsid w:val="65624DB7"/>
    <w:rsid w:val="65671CA7"/>
    <w:rsid w:val="6567622F"/>
    <w:rsid w:val="656A2983"/>
    <w:rsid w:val="656E4F40"/>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671D"/>
    <w:rsid w:val="67FC2839"/>
    <w:rsid w:val="67FC624E"/>
    <w:rsid w:val="68024255"/>
    <w:rsid w:val="6802716F"/>
    <w:rsid w:val="6804711D"/>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6FFD565E"/>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20B25"/>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11AEA"/>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02A01"/>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01135F"/>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3">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1"/>
    <w:unhideWhenUsed/>
    <w:qFormat/>
    <w:uiPriority w:val="99"/>
    <w:pPr>
      <w:jc w:val="left"/>
    </w:pPr>
  </w:style>
  <w:style w:type="paragraph" w:styleId="6">
    <w:name w:val="Body Text"/>
    <w:basedOn w:val="1"/>
    <w:link w:val="42"/>
    <w:qFormat/>
    <w:uiPriority w:val="1"/>
    <w:pPr>
      <w:autoSpaceDE w:val="0"/>
      <w:autoSpaceDN w:val="0"/>
      <w:adjustRightInd w:val="0"/>
      <w:spacing w:before="162"/>
      <w:ind w:left="120"/>
      <w:jc w:val="left"/>
    </w:pPr>
    <w:rPr>
      <w:rFonts w:ascii="宋体"/>
      <w:kern w:val="0"/>
      <w:sz w:val="20"/>
      <w:szCs w:val="21"/>
    </w:r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2"/>
    <w:qFormat/>
    <w:uiPriority w:val="1"/>
    <w:rPr>
      <w:rFonts w:ascii="黑体" w:hAnsi="Times New Roman" w:eastAsia="黑体" w:cs="黑体"/>
      <w:b/>
      <w:bCs/>
      <w:kern w:val="0"/>
      <w:sz w:val="36"/>
      <w:szCs w:val="36"/>
    </w:rPr>
  </w:style>
  <w:style w:type="character" w:customStyle="1" w:styleId="39">
    <w:name w:val="标题 2 字符1"/>
    <w:link w:val="3"/>
    <w:qFormat/>
    <w:uiPriority w:val="9"/>
    <w:rPr>
      <w:rFonts w:ascii="Cambria" w:hAnsi="Cambria" w:eastAsia="宋体" w:cs="Times New Roman"/>
      <w:b/>
      <w:bCs/>
      <w:sz w:val="32"/>
      <w:szCs w:val="32"/>
    </w:rPr>
  </w:style>
  <w:style w:type="character" w:customStyle="1" w:styleId="40">
    <w:name w:val="标题 3 字符1"/>
    <w:link w:val="4"/>
    <w:qFormat/>
    <w:uiPriority w:val="1"/>
    <w:rPr>
      <w:rFonts w:ascii="宋体" w:hAnsi="Times New Roman" w:eastAsia="宋体" w:cs="宋体"/>
      <w:b/>
      <w:bCs/>
      <w:kern w:val="0"/>
      <w:szCs w:val="21"/>
    </w:rPr>
  </w:style>
  <w:style w:type="character" w:customStyle="1" w:styleId="41">
    <w:name w:val="批注文字 字符1"/>
    <w:link w:val="5"/>
    <w:qFormat/>
    <w:uiPriority w:val="99"/>
    <w:rPr>
      <w:rFonts w:ascii="Times New Roman" w:hAnsi="Times New Roman" w:eastAsia="宋体" w:cs="Times New Roman"/>
      <w:kern w:val="2"/>
      <w:sz w:val="21"/>
      <w:szCs w:val="22"/>
    </w:rPr>
  </w:style>
  <w:style w:type="character" w:customStyle="1" w:styleId="42">
    <w:name w:val="正文文本 字符1"/>
    <w:link w:val="6"/>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5"/>
    <customShpInfo spid="_x0000_s1028"/>
    <customShpInfo spid="_x0000_s1030"/>
    <customShpInfo spid="_x0000_s1031"/>
    <customShpInfo spid="_x0000_s1029"/>
    <customShpInfo spid="_x0000_s103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30577</Words>
  <Characters>31416</Characters>
  <Lines>243</Lines>
  <Paragraphs>68</Paragraphs>
  <TotalTime>0</TotalTime>
  <ScaleCrop>false</ScaleCrop>
  <LinksUpToDate>false</LinksUpToDate>
  <CharactersWithSpaces>31648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2025-06-05T07:21:37Z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464E9CA6432B43BD837C4F34B089BBAF</vt:lpwstr>
  </property>
</Properties>
</file>