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【兴银理财稳利恒盈封闭式2025年427期固收类理财产品】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稳利恒盈封闭式2025年427期A</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A</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稳利恒盈封闭式2025年427期S(私银专属款)</w:t>
            </w:r>
            <w:r>
              <w:rPr>
                <w:rFonts w:hint="eastAsia" w:asciiTheme="majorEastAsia" w:hAnsiTheme="majorEastAsia" w:eastAsiaTheme="majorEastAsia"/>
                <w:bCs/>
                <w:kern w:val="0"/>
                <w:sz w:val="18"/>
                <w:szCs w:val="18"/>
              </w:rPr>
              <w:t>】</w:t>
            </w:r>
            <w:r>
              <w:rPr>
                <w:rFonts w:hint="eastAsia" w:hAnsi="宋体"/>
                <w:sz w:val="18"/>
                <w:szCs w:val="18"/>
              </w:rPr>
              <w:t>（</w:t>
            </w:r>
            <w:r>
              <w:rPr>
                <w:rFonts w:hint="eastAsia" w:hAnsi="宋体"/>
                <w:sz w:val="18"/>
                <w:szCs w:val="18"/>
                <w:lang w:eastAsia="zh-CN"/>
              </w:rPr>
              <w:t>适用【S】类份额</w:t>
            </w:r>
            <w:r>
              <w:rPr>
                <w:rFonts w:hint="eastAsia" w:hAnsi="宋体"/>
                <w:sz w:val="18"/>
                <w:szCs w:val="18"/>
              </w:rPr>
              <w:t>）</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稳利恒盈封闭式2025年427期Q(私人定制款)</w:t>
            </w:r>
            <w:r>
              <w:rPr>
                <w:rFonts w:hint="eastAsia" w:asciiTheme="majorEastAsia" w:hAnsiTheme="majorEastAsia" w:eastAsiaTheme="majorEastAsia"/>
                <w:bCs/>
                <w:kern w:val="0"/>
                <w:sz w:val="18"/>
                <w:szCs w:val="18"/>
              </w:rPr>
              <w:t>】</w:t>
            </w:r>
            <w:r>
              <w:rPr>
                <w:rFonts w:hint="eastAsia" w:hAnsi="宋体"/>
                <w:sz w:val="18"/>
                <w:szCs w:val="18"/>
              </w:rPr>
              <w:t>（</w:t>
            </w:r>
            <w:r>
              <w:rPr>
                <w:rFonts w:hint="eastAsia" w:hAnsi="宋体"/>
                <w:sz w:val="18"/>
                <w:szCs w:val="18"/>
                <w:lang w:eastAsia="zh-CN"/>
              </w:rPr>
              <w:t>适用【Q】类份额</w:t>
            </w:r>
            <w:r>
              <w:rPr>
                <w:rFonts w:hint="eastAsia" w:hAnsi="宋体"/>
                <w:sz w:val="18"/>
                <w:szCs w:val="18"/>
              </w:rPr>
              <w:t>）</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稳利恒盈封闭式2025年427期B(纯盈款)</w:t>
            </w:r>
            <w:bookmarkStart w:id="156" w:name="_GoBack"/>
            <w:bookmarkEnd w:id="156"/>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稳利恒盈封闭式2025年427期C(私银)</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稳利恒盈封闭式2025年427期D(私银尊享)</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D</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稳利恒盈封闭式2025年427期E(纯盈款)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E</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稳利恒盈封闭式2025年427期F(纯盈款)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F</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稳利恒盈封闭式2025年427期G(纯盈款)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G</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【Z7002025000799】</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Theme="minorEastAsia" w:hAnsiTheme="minorEastAsia"/>
                <w:sz w:val="18"/>
                <w:szCs w:val="18"/>
              </w:rPr>
              <w:t>9N254270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w:t>
            </w:r>
            <w:r>
              <w:rPr>
                <w:rFonts w:hint="eastAsia" w:asciiTheme="minorEastAsia" w:hAnsiTheme="minorEastAsia"/>
                <w:sz w:val="18"/>
                <w:szCs w:val="18"/>
              </w:rPr>
              <w:t>A</w:t>
            </w:r>
            <w:r>
              <w:rPr>
                <w:rFonts w:hint="eastAsia" w:hAnsi="宋体"/>
                <w:sz w:val="18"/>
                <w:szCs w:val="18"/>
              </w:rPr>
              <w:t>】（适用【</w:t>
            </w:r>
            <w:r>
              <w:rPr>
                <w:rFonts w:hint="eastAsia" w:hAnsi="宋体"/>
                <w:sz w:val="18"/>
                <w:szCs w:val="18"/>
                <w:lang w:val="en-US" w:eastAsia="zh-CN"/>
              </w:rPr>
              <w:t>A</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w:t>
            </w:r>
            <w:r>
              <w:rPr>
                <w:rFonts w:hint="eastAsia" w:asciiTheme="minorEastAsia" w:hAnsiTheme="minorEastAsia"/>
                <w:sz w:val="18"/>
                <w:szCs w:val="18"/>
              </w:rPr>
              <w:t>S</w:t>
            </w:r>
            <w:r>
              <w:rPr>
                <w:rFonts w:hint="eastAsia" w:hAnsi="宋体"/>
                <w:sz w:val="18"/>
                <w:szCs w:val="18"/>
              </w:rPr>
              <w:t>】（</w:t>
            </w:r>
            <w:r>
              <w:rPr>
                <w:rFonts w:hint="eastAsia" w:hAnsi="宋体"/>
                <w:sz w:val="18"/>
                <w:szCs w:val="18"/>
                <w:lang w:eastAsia="zh-CN"/>
              </w:rPr>
              <w:t>适用【S】类份额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w:t>
            </w:r>
            <w:r>
              <w:rPr>
                <w:rFonts w:hint="eastAsia" w:asciiTheme="minorEastAsia" w:hAnsiTheme="minorEastAsia"/>
                <w:sz w:val="18"/>
                <w:szCs w:val="18"/>
              </w:rPr>
              <w:t>Q</w:t>
            </w:r>
            <w:r>
              <w:rPr>
                <w:rFonts w:hint="eastAsia" w:hAnsi="宋体"/>
                <w:sz w:val="18"/>
                <w:szCs w:val="18"/>
              </w:rPr>
              <w:t>】（</w:t>
            </w:r>
            <w:r>
              <w:rPr>
                <w:rFonts w:hint="eastAsia" w:hAnsi="宋体"/>
                <w:sz w:val="18"/>
                <w:szCs w:val="18"/>
                <w:lang w:eastAsia="zh-CN"/>
              </w:rPr>
              <w:t>适用【Q】类份额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7B</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B</w:t>
            </w:r>
            <w:r>
              <w:rPr>
                <w:rFonts w:hint="eastAsia" w:hAnsi="宋体"/>
                <w:sz w:val="18"/>
                <w:szCs w:val="18"/>
                <w:lang w:eastAsia="zh-CN"/>
              </w:rPr>
              <w:t>】类份额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7C</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C</w:t>
            </w:r>
            <w:r>
              <w:rPr>
                <w:rFonts w:hint="eastAsia" w:hAnsi="宋体"/>
                <w:sz w:val="18"/>
                <w:szCs w:val="18"/>
                <w:lang w:eastAsia="zh-CN"/>
              </w:rPr>
              <w:t>】类份额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7D</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D</w:t>
            </w:r>
            <w:r>
              <w:rPr>
                <w:rFonts w:hint="eastAsia" w:hAnsi="宋体"/>
                <w:sz w:val="18"/>
                <w:szCs w:val="18"/>
                <w:lang w:eastAsia="zh-CN"/>
              </w:rPr>
              <w:t>】类份额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7E</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E</w:t>
            </w:r>
            <w:r>
              <w:rPr>
                <w:rFonts w:hint="eastAsia" w:hAnsi="宋体"/>
                <w:sz w:val="18"/>
                <w:szCs w:val="18"/>
                <w:lang w:eastAsia="zh-CN"/>
              </w:rPr>
              <w:t>】类份额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7F</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F</w:t>
            </w:r>
            <w:r>
              <w:rPr>
                <w:rFonts w:hint="eastAsia" w:hAnsi="宋体"/>
                <w:sz w:val="18"/>
                <w:szCs w:val="18"/>
                <w:lang w:eastAsia="zh-CN"/>
              </w:rPr>
              <w:t>】类份额</w:t>
            </w:r>
            <w:r>
              <w:rPr>
                <w:rFonts w:hint="eastAsia" w:hAnsi="宋体"/>
                <w:sz w:val="18"/>
                <w:szCs w:val="18"/>
              </w:rPr>
              <w:t>）</w:t>
            </w:r>
          </w:p>
          <w:p>
            <w:pPr>
              <w:spacing w:line="360" w:lineRule="auto"/>
              <w:jc w:val="left"/>
              <w:rPr>
                <w:rFonts w:hint="eastAsia" w:hAnsi="宋体"/>
                <w:sz w:val="18"/>
                <w:szCs w:val="18"/>
              </w:rPr>
            </w:pPr>
            <w:r>
              <w:rPr>
                <w:rFonts w:hint="eastAsia" w:hAnsi="宋体"/>
                <w:sz w:val="18"/>
                <w:szCs w:val="18"/>
              </w:rPr>
              <w:t>【</w:t>
            </w:r>
            <w:r>
              <w:rPr>
                <w:rFonts w:hint="eastAsia" w:asciiTheme="minorEastAsia" w:hAnsiTheme="minorEastAsia"/>
                <w:sz w:val="18"/>
                <w:szCs w:val="18"/>
              </w:rPr>
              <w:t>9N2542</w:t>
            </w:r>
            <w:r>
              <w:rPr>
                <w:rFonts w:hint="eastAsia" w:asciiTheme="minorEastAsia" w:hAnsiTheme="minorEastAsia"/>
                <w:sz w:val="18"/>
                <w:szCs w:val="18"/>
                <w:lang w:val="en-US" w:eastAsia="zh-CN"/>
              </w:rPr>
              <w:t>7G</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G</w:t>
            </w:r>
            <w:r>
              <w:rPr>
                <w:rFonts w:hint="eastAsia" w:hAnsi="宋体"/>
                <w:sz w:val="18"/>
                <w:szCs w:val="18"/>
                <w:lang w:eastAsia="zh-CN"/>
              </w:rPr>
              <w:t>】类份额</w:t>
            </w:r>
            <w:r>
              <w:rPr>
                <w:rFonts w:hint="eastAsia"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104天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bidi w:val="0"/>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03</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04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300,000.00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S</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10,000,000.00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Q</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1,000,000.00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C</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1,000,000.00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D</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E</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F</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200,000.00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G</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w:t>
            </w:r>
            <w:r>
              <w:rPr>
                <w:rFonts w:hint="eastAsia" w:hAnsi="宋体"/>
                <w:bCs/>
                <w:sz w:val="18"/>
                <w:szCs w:val="18"/>
                <w:lang w:eastAsia="zh-CN"/>
              </w:rPr>
              <w:t>】类份额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【以一年期定期存款利率为无风险利率，基于当前对未来市场的判断，根据拟投资债权类资产的信用利差、久期敞口以及流动性溢价，预判组合的波动幅度，设定业绩比较基准。</w:t>
            </w:r>
            <w:r>
              <w:rPr>
                <w:rFonts w:ascii="宋体" w:hAnsi="宋体"/>
                <w:bCs/>
                <w:sz w:val="18"/>
                <w:szCs w:val="18"/>
              </w:rPr>
              <w:t>】</w:t>
            </w:r>
          </w:p>
          <w:p>
            <w:pPr>
              <w:spacing w:line="360" w:lineRule="auto"/>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eastAsiaTheme="majorEastAsia"/>
                <w:bCs/>
                <w:sz w:val="18"/>
                <w:szCs w:val="18"/>
              </w:rPr>
              <w:t>管理人对</w:t>
            </w:r>
            <w:r>
              <w:rPr>
                <w:rFonts w:asciiTheme="majorEastAsia" w:hAnsiTheme="majorEastAsia" w:eastAsiaTheme="majorEastAsia"/>
                <w:bCs/>
                <w:sz w:val="18"/>
                <w:szCs w:val="18"/>
              </w:rPr>
              <w:t>本产品设定</w:t>
            </w:r>
            <w:r>
              <w:rPr>
                <w:rFonts w:hint="eastAsia" w:asciiTheme="majorEastAsia" w:hAnsiTheme="majorEastAsia" w:eastAsiaTheme="majorEastAsia"/>
                <w:bCs/>
                <w:sz w:val="18"/>
                <w:szCs w:val="18"/>
              </w:rPr>
              <w:t>业绩比较基准：</w:t>
            </w:r>
          </w:p>
          <w:p>
            <w:pPr>
              <w:spacing w:line="360" w:lineRule="auto"/>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2</w:t>
            </w:r>
            <w:r>
              <w:rPr>
                <w:rFonts w:hint="eastAsia" w:asciiTheme="majorEastAsia" w:hAnsiTheme="majorEastAsia" w:eastAsiaTheme="majorEastAsia"/>
                <w:bCs/>
                <w:sz w:val="18"/>
                <w:szCs w:val="18"/>
              </w:rPr>
              <w:t>5%-</w:t>
            </w:r>
            <w:r>
              <w:rPr>
                <w:rFonts w:hint="eastAsia" w:asciiTheme="majorEastAsia" w:hAnsiTheme="majorEastAsia" w:eastAsiaTheme="majorEastAsia"/>
                <w:bCs/>
                <w:sz w:val="18"/>
                <w:szCs w:val="18"/>
                <w:lang w:val="en-US" w:eastAsia="zh-CN"/>
              </w:rPr>
              <w:t>2.65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A</w:t>
            </w:r>
            <w:r>
              <w:rPr>
                <w:rFonts w:hint="eastAsia" w:asciiTheme="majorEastAsia" w:hAnsiTheme="majorEastAsia" w:eastAsiaTheme="majorEastAsia"/>
                <w:bCs/>
                <w:sz w:val="18"/>
                <w:szCs w:val="18"/>
                <w:lang w:eastAsia="zh-CN"/>
              </w:rPr>
              <w:t>】类份额</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3</w:t>
            </w:r>
            <w:r>
              <w:rPr>
                <w:rFonts w:hint="eastAsia" w:asciiTheme="majorEastAsia" w:hAnsiTheme="majorEastAsia" w:eastAsiaTheme="majorEastAsia"/>
                <w:bCs/>
                <w:sz w:val="18"/>
                <w:szCs w:val="18"/>
              </w:rPr>
              <w:t>0%-</w:t>
            </w:r>
            <w:r>
              <w:rPr>
                <w:rFonts w:hint="eastAsia" w:asciiTheme="majorEastAsia" w:hAnsiTheme="majorEastAsia" w:eastAsiaTheme="majorEastAsia"/>
                <w:bCs/>
                <w:sz w:val="18"/>
                <w:szCs w:val="18"/>
                <w:lang w:val="en-US" w:eastAsia="zh-CN"/>
              </w:rPr>
              <w:t>2.70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S</w:t>
            </w:r>
            <w:r>
              <w:rPr>
                <w:rFonts w:hint="eastAsia" w:asciiTheme="majorEastAsia" w:hAnsiTheme="majorEastAsia" w:eastAsiaTheme="majorEastAsia"/>
                <w:bCs/>
                <w:sz w:val="18"/>
                <w:szCs w:val="18"/>
                <w:lang w:eastAsia="zh-CN"/>
              </w:rPr>
              <w:t>】类份额</w:t>
            </w:r>
            <w:r>
              <w:rPr>
                <w:rFonts w:hint="eastAsia" w:asciiTheme="majorEastAsia" w:hAnsiTheme="majorEastAsia" w:eastAsiaTheme="majorEastAsia"/>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34</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2.7</w:t>
            </w:r>
            <w:r>
              <w:rPr>
                <w:rFonts w:hint="eastAsia" w:asciiTheme="majorEastAsia" w:hAnsiTheme="majorEastAsia" w:eastAsiaTheme="majorEastAsia"/>
                <w:bCs/>
                <w:sz w:val="18"/>
                <w:szCs w:val="18"/>
              </w:rPr>
              <w:t>4%】（</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Q</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2.55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B</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2.60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C</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25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2.65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D</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2.70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E</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25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2.65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F</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2.60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G</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hint="eastAsia"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p>
          <w:p>
            <w:pPr>
              <w:spacing w:line="360" w:lineRule="auto"/>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4</w:t>
            </w:r>
            <w:r>
              <w:rPr>
                <w:rFonts w:hint="eastAsia" w:asciiTheme="majorEastAsia" w:hAnsiTheme="majorEastAsia" w:eastAsiaTheme="majorEastAsia"/>
                <w:bCs/>
                <w:sz w:val="18"/>
                <w:szCs w:val="18"/>
              </w:rPr>
              <w:t>5%】（</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A</w:t>
            </w:r>
            <w:r>
              <w:rPr>
                <w:rFonts w:hint="eastAsia" w:asciiTheme="majorEastAsia" w:hAnsiTheme="majorEastAsia" w:eastAsiaTheme="majorEastAsia"/>
                <w:bCs/>
                <w:sz w:val="18"/>
                <w:szCs w:val="18"/>
                <w:lang w:eastAsia="zh-CN"/>
              </w:rPr>
              <w:t>】类份额</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50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S</w:t>
            </w:r>
            <w:r>
              <w:rPr>
                <w:rFonts w:hint="eastAsia" w:asciiTheme="majorEastAsia" w:hAnsiTheme="majorEastAsia" w:eastAsiaTheme="majorEastAsia"/>
                <w:bCs/>
                <w:sz w:val="18"/>
                <w:szCs w:val="18"/>
                <w:lang w:eastAsia="zh-CN"/>
              </w:rPr>
              <w:t>】类份额</w:t>
            </w:r>
            <w:r>
              <w:rPr>
                <w:rFonts w:hint="eastAsia" w:asciiTheme="majorEastAsia" w:hAnsiTheme="majorEastAsia" w:eastAsiaTheme="majorEastAsia"/>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4%】（</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Q</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35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B</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40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C</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45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D</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50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E</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45</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F</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Theme="majorEastAsia" w:hAnsiTheme="majorEastAsia" w:eastAsiaTheme="majorEastAsia"/>
                <w:bCs/>
                <w:sz w:val="18"/>
                <w:szCs w:val="18"/>
              </w:rPr>
              <w:t>年化【2.</w:t>
            </w:r>
            <w:r>
              <w:rPr>
                <w:rFonts w:hint="eastAsia" w:asciiTheme="majorEastAsia" w:hAnsiTheme="majorEastAsia" w:eastAsiaTheme="majorEastAsia"/>
                <w:bCs/>
                <w:sz w:val="18"/>
                <w:szCs w:val="18"/>
                <w:lang w:val="en-US" w:eastAsia="zh-CN"/>
              </w:rPr>
              <w:t>40</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G</w:t>
            </w:r>
            <w:r>
              <w:rPr>
                <w:rFonts w:hint="eastAsia" w:hAnsi="宋体"/>
                <w:sz w:val="18"/>
                <w:szCs w:val="18"/>
                <w:lang w:eastAsia="zh-CN"/>
              </w:rPr>
              <w:t>】类份额</w:t>
            </w:r>
            <w:r>
              <w:rPr>
                <w:rFonts w:hint="eastAsia" w:hAnsi="宋体"/>
                <w:sz w:val="18"/>
                <w:szCs w:val="18"/>
              </w:rPr>
              <w:t>）</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10</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A</w:t>
            </w:r>
            <w:r>
              <w:rPr>
                <w:rFonts w:hint="eastAsia" w:asciiTheme="majorEastAsia" w:hAnsiTheme="majorEastAsia" w:eastAsiaTheme="majorEastAsia"/>
                <w:bCs/>
                <w:sz w:val="18"/>
                <w:szCs w:val="18"/>
                <w:lang w:eastAsia="zh-CN"/>
              </w:rPr>
              <w:t>】类份额</w:t>
            </w:r>
            <w:r>
              <w:rPr>
                <w:rFonts w:hint="eastAsia" w:asciiTheme="majorEastAsia" w:hAnsiTheme="majorEastAsia" w:eastAsiaTheme="majorEastAsia"/>
                <w:bCs/>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05</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S</w:t>
            </w:r>
            <w:r>
              <w:rPr>
                <w:rFonts w:hint="eastAsia" w:asciiTheme="majorEastAsia" w:hAnsiTheme="majorEastAsia" w:eastAsiaTheme="majorEastAsia"/>
                <w:bCs/>
                <w:sz w:val="18"/>
                <w:szCs w:val="18"/>
                <w:lang w:eastAsia="zh-CN"/>
              </w:rPr>
              <w:t>】类份额</w:t>
            </w:r>
            <w:r>
              <w:rPr>
                <w:rFonts w:hint="eastAsia" w:asciiTheme="majorEastAsia" w:hAnsiTheme="majorEastAsia" w:eastAsiaTheme="majorEastAsia"/>
                <w:bCs/>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01</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Q</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B</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C</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10</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D</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05</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E</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10</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F</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rPr>
              <w:t>年化费率</w:t>
            </w:r>
            <w:r>
              <w:rPr>
                <w:rFonts w:hint="eastAsia" w:asciiTheme="majorEastAsia" w:hAnsiTheme="majorEastAsia" w:eastAsiaTheme="majorEastAsia"/>
                <w:bCs/>
                <w:sz w:val="18"/>
                <w:szCs w:val="18"/>
                <w:lang w:eastAsia="zh-CN"/>
              </w:rPr>
              <w:t>【0.</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适用【</w:t>
            </w:r>
            <w:r>
              <w:rPr>
                <w:rFonts w:hint="eastAsia" w:asciiTheme="majorEastAsia" w:hAnsiTheme="majorEastAsia" w:eastAsiaTheme="majorEastAsia"/>
                <w:bCs/>
                <w:sz w:val="18"/>
                <w:szCs w:val="18"/>
                <w:lang w:val="en-US" w:eastAsia="zh-CN"/>
              </w:rPr>
              <w:t>G</w:t>
            </w:r>
            <w:r>
              <w:rPr>
                <w:rFonts w:hint="eastAsia" w:hAnsi="宋体"/>
                <w:sz w:val="18"/>
                <w:szCs w:val="18"/>
                <w:lang w:eastAsia="zh-CN"/>
              </w:rPr>
              <w:t>】类份额</w:t>
            </w:r>
            <w:r>
              <w:rPr>
                <w:rFonts w:hint="eastAsia" w:hAnsi="宋体"/>
                <w:sz w:val="18"/>
                <w:szCs w:val="18"/>
              </w:rPr>
              <w:t>）</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0.05%</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w:t>
            </w:r>
            <w:r>
              <w:rPr>
                <w:rFonts w:hint="eastAsia" w:ascii="宋体" w:hAnsi="宋体"/>
                <w:sz w:val="18"/>
                <w:szCs w:val="18"/>
                <w:lang w:val="en-US" w:eastAsia="zh-CN"/>
              </w:rPr>
              <w:t>50%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90742688"/>
      <w:bookmarkStart w:id="12" w:name="_Toc15203"/>
      <w:bookmarkStart w:id="13" w:name="_Toc7151"/>
      <w:bookmarkStart w:id="14" w:name="_Toc90742321"/>
      <w:bookmarkStart w:id="15" w:name="_Toc90742390"/>
      <w:bookmarkStart w:id="16" w:name="_Toc16265"/>
      <w:bookmarkStart w:id="17" w:name="_Toc3266"/>
      <w:bookmarkStart w:id="18" w:name="_Toc29784"/>
      <w:bookmarkStart w:id="19" w:name="_Toc29948"/>
      <w:bookmarkStart w:id="20" w:name="_Toc22074"/>
      <w:bookmarkStart w:id="21" w:name="_Toc27189"/>
      <w:bookmarkStart w:id="22" w:name="_Toc79154668"/>
      <w:bookmarkStart w:id="23" w:name="_Toc27226"/>
      <w:bookmarkStart w:id="24" w:name="_Toc74065741"/>
      <w:bookmarkStart w:id="25" w:name="_Toc671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pStyle w:val="34"/>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（4）以套期保值为目的的国债期货、利率互换、信用风险缓释工具、债券借贷。</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540" w:firstLineChars="300"/>
        <w:jc w:val="left"/>
        <w:rPr>
          <w:rFonts w:hint="eastAsia" w:asciiTheme="majorEastAsia" w:hAnsiTheme="majorEastAsia" w:eastAsiaTheme="majorEastAsia"/>
          <w:bCs/>
          <w:kern w:val="0"/>
          <w:sz w:val="18"/>
          <w:szCs w:val="18"/>
        </w:rPr>
      </w:pPr>
      <w:permStart w:id="16" w:edGrp="everyone"/>
      <w:r>
        <w:rPr>
          <w:rFonts w:hint="eastAsia" w:asciiTheme="majorEastAsia" w:hAnsiTheme="majorEastAsia" w:eastAsiaTheme="majorEastAsia"/>
          <w:bCs/>
          <w:kern w:val="0"/>
          <w:sz w:val="18"/>
          <w:szCs w:val="18"/>
        </w:rPr>
        <w:t xml:space="preserve">【（1）本产品投资于债权类资产的比例不低于产品总资产的80%。 </w:t>
      </w:r>
    </w:p>
    <w:p>
      <w:pPr>
        <w:autoSpaceDE w:val="0"/>
        <w:autoSpaceDN w:val="0"/>
        <w:adjustRightInd w:val="0"/>
        <w:spacing w:line="360" w:lineRule="auto"/>
        <w:ind w:firstLine="540" w:firstLineChars="3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540" w:firstLineChars="3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（3）国债期货、利率互换、信用风险缓释工具等衍生品占产品总资产比例低于20%。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9154669"/>
      <w:bookmarkStart w:id="28" w:name="_Toc1823"/>
      <w:bookmarkStart w:id="29" w:name="_Toc176189758"/>
      <w:bookmarkStart w:id="30" w:name="_Toc18797"/>
      <w:bookmarkStart w:id="31" w:name="_Toc14893"/>
      <w:bookmarkStart w:id="32" w:name="_Toc7848"/>
      <w:bookmarkStart w:id="33" w:name="_Toc17912"/>
      <w:bookmarkStart w:id="34" w:name="_Toc26986"/>
      <w:bookmarkStart w:id="35" w:name="_Toc4741"/>
      <w:bookmarkStart w:id="36" w:name="_Toc139991735"/>
      <w:bookmarkStart w:id="37" w:name="_Toc141703885"/>
      <w:bookmarkStart w:id="38" w:name="_Toc74065742"/>
      <w:bookmarkStart w:id="39" w:name="_Toc18526"/>
      <w:bookmarkStart w:id="40" w:name="_Toc18329"/>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051452"/>
      <w:bookmarkStart w:id="44" w:name="_Toc141703886"/>
      <w:bookmarkStart w:id="45" w:name="_Toc610"/>
      <w:bookmarkStart w:id="46" w:name="_Toc98560352"/>
      <w:bookmarkStart w:id="47" w:name="_Toc79392606"/>
      <w:bookmarkStart w:id="48" w:name="_Toc176189759"/>
      <w:bookmarkStart w:id="49" w:name="_Toc139991736"/>
      <w:bookmarkStart w:id="50" w:name="_Toc23822"/>
      <w:bookmarkStart w:id="51" w:name="_Toc1270"/>
      <w:bookmarkStart w:id="52" w:name="_Toc123102453"/>
      <w:bookmarkStart w:id="53" w:name="_Toc123112234"/>
      <w:bookmarkStart w:id="54" w:name="_Toc20733"/>
      <w:bookmarkStart w:id="55" w:name="_Toc48649707"/>
      <w:bookmarkStart w:id="56" w:name="_Toc74065743"/>
      <w:bookmarkStart w:id="57" w:name="_Toc23261"/>
      <w:bookmarkStart w:id="58" w:name="_Toc79154670"/>
      <w:bookmarkStart w:id="59" w:name="_Toc7920"/>
      <w:bookmarkStart w:id="60" w:name="_Toc1427"/>
      <w:bookmarkStart w:id="61" w:name="_Toc17244"/>
      <w:bookmarkStart w:id="62" w:name="_Toc10463"/>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123112235"/>
      <w:bookmarkStart w:id="67" w:name="_Toc74065744"/>
      <w:bookmarkStart w:id="68" w:name="_Toc3601"/>
      <w:bookmarkStart w:id="69" w:name="_Toc98560353"/>
      <w:bookmarkStart w:id="70" w:name="_Toc14835"/>
      <w:bookmarkStart w:id="71" w:name="_Toc31644"/>
      <w:bookmarkStart w:id="72" w:name="_Toc176189760"/>
      <w:bookmarkStart w:id="73" w:name="_Toc141703887"/>
      <w:bookmarkStart w:id="74" w:name="_Toc123102454"/>
      <w:bookmarkStart w:id="75" w:name="_Toc15143"/>
      <w:bookmarkStart w:id="76" w:name="_Toc12245"/>
      <w:bookmarkStart w:id="77" w:name="_Toc139991737"/>
      <w:bookmarkStart w:id="78" w:name="_Toc26207"/>
      <w:bookmarkStart w:id="79" w:name="_Toc31653"/>
      <w:bookmarkStart w:id="80" w:name="_Toc6405"/>
      <w:bookmarkStart w:id="81" w:name="_Toc123051453"/>
      <w:bookmarkStart w:id="82" w:name="_Toc31235"/>
      <w:bookmarkStart w:id="83" w:name="_Toc7915467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523711668"/>
      <w:bookmarkStart w:id="87" w:name="_Toc15118234"/>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706"/>
      <w:bookmarkStart w:id="92" w:name="_Toc3321"/>
      <w:bookmarkStart w:id="93" w:name="_Toc11030"/>
      <w:bookmarkStart w:id="94" w:name="_Toc123112236"/>
      <w:bookmarkStart w:id="95" w:name="_Toc79392583"/>
      <w:bookmarkStart w:id="96" w:name="_Toc74065745"/>
      <w:bookmarkStart w:id="97" w:name="_Toc123051454"/>
      <w:bookmarkStart w:id="98" w:name="_Toc123102455"/>
      <w:bookmarkStart w:id="99" w:name="_Toc79154672"/>
      <w:bookmarkStart w:id="100" w:name="_Toc139991738"/>
      <w:bookmarkStart w:id="101" w:name="_Toc10650"/>
      <w:bookmarkStart w:id="102" w:name="_Toc141703888"/>
      <w:bookmarkStart w:id="103" w:name="_Toc6447"/>
      <w:bookmarkStart w:id="104" w:name="_Toc4559"/>
      <w:bookmarkStart w:id="105" w:name="_Toc18567"/>
      <w:bookmarkStart w:id="106" w:name="_Toc7058"/>
      <w:bookmarkStart w:id="107" w:name="_Toc176189761"/>
      <w:bookmarkStart w:id="108" w:name="_Toc98560354"/>
      <w:bookmarkStart w:id="109" w:name="_Toc3771"/>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0398"/>
      <w:bookmarkStart w:id="114" w:name="_Toc141703889"/>
      <w:bookmarkStart w:id="115" w:name="_Toc3572"/>
      <w:bookmarkStart w:id="116" w:name="_Toc123051455"/>
      <w:bookmarkStart w:id="117" w:name="_Toc74065746"/>
      <w:bookmarkStart w:id="118" w:name="_Toc123102456"/>
      <w:bookmarkStart w:id="119" w:name="_Toc98560355"/>
      <w:bookmarkStart w:id="120" w:name="_Toc176189762"/>
      <w:bookmarkStart w:id="121" w:name="_Toc18206"/>
      <w:bookmarkStart w:id="122" w:name="_Toc3080"/>
      <w:bookmarkStart w:id="123" w:name="_Toc79154673"/>
      <w:bookmarkStart w:id="124" w:name="_Toc725"/>
      <w:bookmarkStart w:id="125" w:name="_Toc21735"/>
      <w:bookmarkStart w:id="126" w:name="_Toc16164"/>
      <w:bookmarkStart w:id="127" w:name="_Toc123112237"/>
      <w:bookmarkStart w:id="128" w:name="_Toc31821"/>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8791"/>
      <w:bookmarkStart w:id="135" w:name="_Toc123051456"/>
      <w:bookmarkStart w:id="136" w:name="_Toc17198"/>
      <w:bookmarkStart w:id="137" w:name="_Toc29408"/>
      <w:bookmarkStart w:id="138" w:name="_Toc739"/>
      <w:bookmarkStart w:id="139" w:name="_Toc141703890"/>
      <w:bookmarkStart w:id="140" w:name="_Toc21237"/>
      <w:bookmarkStart w:id="141" w:name="_Toc139991740"/>
      <w:bookmarkStart w:id="142" w:name="_Toc5170"/>
      <w:bookmarkStart w:id="143" w:name="_Toc74065747"/>
      <w:bookmarkStart w:id="144" w:name="_Toc32584"/>
      <w:bookmarkStart w:id="145" w:name="_Toc3329"/>
      <w:bookmarkStart w:id="146" w:name="_Toc176189763"/>
      <w:bookmarkStart w:id="147" w:name="_Toc79154674"/>
      <w:bookmarkStart w:id="148" w:name="_Toc98560356"/>
      <w:bookmarkStart w:id="149" w:name="_Toc48649708"/>
      <w:bookmarkStart w:id="150" w:name="_Toc123102457"/>
      <w:bookmarkStart w:id="151" w:name="_Toc32092"/>
      <w:bookmarkStart w:id="152" w:name="_Toc17920"/>
      <w:bookmarkStart w:id="153" w:name="_Toc12311223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hint="eastAsia"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hint="eastAsia"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0" w:firstLineChars="200"/>
        <w:rPr>
          <w:rFonts w:ascii="宋体" w:hAnsi="宋体"/>
          <w:sz w:val="18"/>
          <w:szCs w:val="18"/>
        </w:rPr>
      </w:pP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663A3"/>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5C6551"/>
    <w:rsid w:val="034537E6"/>
    <w:rsid w:val="0356786B"/>
    <w:rsid w:val="03935544"/>
    <w:rsid w:val="046E31C1"/>
    <w:rsid w:val="056C4F65"/>
    <w:rsid w:val="066B031D"/>
    <w:rsid w:val="06F4696E"/>
    <w:rsid w:val="07245E56"/>
    <w:rsid w:val="072779FF"/>
    <w:rsid w:val="0A5373BA"/>
    <w:rsid w:val="0AB34A96"/>
    <w:rsid w:val="0B4570B1"/>
    <w:rsid w:val="0C023D8C"/>
    <w:rsid w:val="0C6F3034"/>
    <w:rsid w:val="0D826FF0"/>
    <w:rsid w:val="0DB82A03"/>
    <w:rsid w:val="0DC97F51"/>
    <w:rsid w:val="0E94232E"/>
    <w:rsid w:val="0F1306D5"/>
    <w:rsid w:val="0F575851"/>
    <w:rsid w:val="102179A4"/>
    <w:rsid w:val="11295396"/>
    <w:rsid w:val="15A252EC"/>
    <w:rsid w:val="15DC3426"/>
    <w:rsid w:val="163E2FB7"/>
    <w:rsid w:val="173A1269"/>
    <w:rsid w:val="17C9479E"/>
    <w:rsid w:val="19EF6555"/>
    <w:rsid w:val="1A48157B"/>
    <w:rsid w:val="1A666AF5"/>
    <w:rsid w:val="1ABE2ED9"/>
    <w:rsid w:val="1B792633"/>
    <w:rsid w:val="1BD70953"/>
    <w:rsid w:val="1BF87698"/>
    <w:rsid w:val="1C4B45E1"/>
    <w:rsid w:val="1C78144D"/>
    <w:rsid w:val="1E585AB7"/>
    <w:rsid w:val="1EB160C2"/>
    <w:rsid w:val="1F713302"/>
    <w:rsid w:val="1FF145B9"/>
    <w:rsid w:val="209575E0"/>
    <w:rsid w:val="20D1785A"/>
    <w:rsid w:val="2193546F"/>
    <w:rsid w:val="23083986"/>
    <w:rsid w:val="23190733"/>
    <w:rsid w:val="23AF29A3"/>
    <w:rsid w:val="26123FD6"/>
    <w:rsid w:val="26614F22"/>
    <w:rsid w:val="26F50BA9"/>
    <w:rsid w:val="27976201"/>
    <w:rsid w:val="27B35EEA"/>
    <w:rsid w:val="282B1CA8"/>
    <w:rsid w:val="29026D00"/>
    <w:rsid w:val="2A642791"/>
    <w:rsid w:val="2B153788"/>
    <w:rsid w:val="2BE152BA"/>
    <w:rsid w:val="2CCE6EDC"/>
    <w:rsid w:val="2E340BB4"/>
    <w:rsid w:val="2E5D3AA0"/>
    <w:rsid w:val="2E711ACC"/>
    <w:rsid w:val="2EA644DF"/>
    <w:rsid w:val="2F321A82"/>
    <w:rsid w:val="2FB532A0"/>
    <w:rsid w:val="2FC625FA"/>
    <w:rsid w:val="2FF33A83"/>
    <w:rsid w:val="319C4BEA"/>
    <w:rsid w:val="319D049B"/>
    <w:rsid w:val="32960B46"/>
    <w:rsid w:val="32ED3270"/>
    <w:rsid w:val="33DA2E89"/>
    <w:rsid w:val="34C829B2"/>
    <w:rsid w:val="35381804"/>
    <w:rsid w:val="3613404D"/>
    <w:rsid w:val="386A3F56"/>
    <w:rsid w:val="3933365C"/>
    <w:rsid w:val="3A810EF7"/>
    <w:rsid w:val="3B8F680F"/>
    <w:rsid w:val="3C131540"/>
    <w:rsid w:val="3C3802E9"/>
    <w:rsid w:val="3D213021"/>
    <w:rsid w:val="3E0B40FD"/>
    <w:rsid w:val="3E0C1771"/>
    <w:rsid w:val="3E586AB8"/>
    <w:rsid w:val="3E5C1B1D"/>
    <w:rsid w:val="3E7710E3"/>
    <w:rsid w:val="3EAE14E9"/>
    <w:rsid w:val="3FD261A6"/>
    <w:rsid w:val="404D69AE"/>
    <w:rsid w:val="40A96186"/>
    <w:rsid w:val="420F4395"/>
    <w:rsid w:val="42EB2F9C"/>
    <w:rsid w:val="44044270"/>
    <w:rsid w:val="44CC4676"/>
    <w:rsid w:val="45226963"/>
    <w:rsid w:val="457D5824"/>
    <w:rsid w:val="45A2262A"/>
    <w:rsid w:val="45DF5261"/>
    <w:rsid w:val="46935C39"/>
    <w:rsid w:val="469F5C49"/>
    <w:rsid w:val="46D03EE5"/>
    <w:rsid w:val="480949FA"/>
    <w:rsid w:val="4A575002"/>
    <w:rsid w:val="4C7A1F82"/>
    <w:rsid w:val="4D072270"/>
    <w:rsid w:val="4D39606F"/>
    <w:rsid w:val="4DB14CC0"/>
    <w:rsid w:val="4E311D67"/>
    <w:rsid w:val="4E9D79E5"/>
    <w:rsid w:val="4F8E3D4D"/>
    <w:rsid w:val="4FA308F4"/>
    <w:rsid w:val="500109A2"/>
    <w:rsid w:val="5152532E"/>
    <w:rsid w:val="532E7954"/>
    <w:rsid w:val="53852255"/>
    <w:rsid w:val="53B3493A"/>
    <w:rsid w:val="53D547F5"/>
    <w:rsid w:val="543B7000"/>
    <w:rsid w:val="551D7584"/>
    <w:rsid w:val="5537323C"/>
    <w:rsid w:val="557A05C1"/>
    <w:rsid w:val="55855837"/>
    <w:rsid w:val="55D4039D"/>
    <w:rsid w:val="55DD0DE4"/>
    <w:rsid w:val="56503211"/>
    <w:rsid w:val="56945AA8"/>
    <w:rsid w:val="56AC38C9"/>
    <w:rsid w:val="56C50CE6"/>
    <w:rsid w:val="56D312B6"/>
    <w:rsid w:val="57BD5DAE"/>
    <w:rsid w:val="58861A09"/>
    <w:rsid w:val="58C5771C"/>
    <w:rsid w:val="598B567E"/>
    <w:rsid w:val="5A7C3892"/>
    <w:rsid w:val="5ADD4D16"/>
    <w:rsid w:val="5B10394B"/>
    <w:rsid w:val="5B6655C5"/>
    <w:rsid w:val="5BA577EB"/>
    <w:rsid w:val="5C624734"/>
    <w:rsid w:val="5DFA16AB"/>
    <w:rsid w:val="5FCB5810"/>
    <w:rsid w:val="5FE91ABC"/>
    <w:rsid w:val="60A805AA"/>
    <w:rsid w:val="60A968BB"/>
    <w:rsid w:val="60D42826"/>
    <w:rsid w:val="628E734C"/>
    <w:rsid w:val="6580603B"/>
    <w:rsid w:val="6584625B"/>
    <w:rsid w:val="669A2071"/>
    <w:rsid w:val="66E24392"/>
    <w:rsid w:val="689E1B10"/>
    <w:rsid w:val="68B96EA7"/>
    <w:rsid w:val="68C57805"/>
    <w:rsid w:val="68C7223A"/>
    <w:rsid w:val="68EF6886"/>
    <w:rsid w:val="694A7300"/>
    <w:rsid w:val="699457CF"/>
    <w:rsid w:val="6A735FA8"/>
    <w:rsid w:val="6AD05048"/>
    <w:rsid w:val="6C894139"/>
    <w:rsid w:val="6E882C52"/>
    <w:rsid w:val="6EFF33ED"/>
    <w:rsid w:val="6FDD1093"/>
    <w:rsid w:val="70167F30"/>
    <w:rsid w:val="709C0126"/>
    <w:rsid w:val="70A63359"/>
    <w:rsid w:val="710E5E35"/>
    <w:rsid w:val="71F451EF"/>
    <w:rsid w:val="72F00583"/>
    <w:rsid w:val="73487180"/>
    <w:rsid w:val="73EB7F47"/>
    <w:rsid w:val="75902FEE"/>
    <w:rsid w:val="75A81BFD"/>
    <w:rsid w:val="76022652"/>
    <w:rsid w:val="768501BE"/>
    <w:rsid w:val="76C8601E"/>
    <w:rsid w:val="76E93A76"/>
    <w:rsid w:val="7778235D"/>
    <w:rsid w:val="780532CA"/>
    <w:rsid w:val="78651BF7"/>
    <w:rsid w:val="78F7565D"/>
    <w:rsid w:val="795215B5"/>
    <w:rsid w:val="79805F5E"/>
    <w:rsid w:val="7D2768A0"/>
    <w:rsid w:val="7D80556D"/>
    <w:rsid w:val="7ED86E63"/>
    <w:rsid w:val="7F821C23"/>
    <w:rsid w:val="7F9C2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EEDD527-97BA-47F6-B37E-95B51416FA3B}">
  <ds:schemaRefs/>
</ds:datastoreItem>
</file>

<file path=customXml/itemProps11.xml><?xml version="1.0" encoding="utf-8"?>
<ds:datastoreItem xmlns:ds="http://schemas.openxmlformats.org/officeDocument/2006/customXml" ds:itemID="{79B37214-9E52-4241-8DD2-9E9CD9442006}">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2108FF18-8EC8-4170-A536-1AA8E39CC797}">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BEEE0313-55EB-45FA-BBBD-C0232D367255}">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8</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姚霖钰</cp:lastModifiedBy>
  <cp:lastPrinted>2020-09-21T06:35:00Z</cp:lastPrinted>
  <dcterms:modified xsi:type="dcterms:W3CDTF">2025-05-22T04:15:32Z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