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【稳添利最短持有期日开固收类】</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【稳添利最短持有期日开固收类】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【稳添利最短持有期日开固收类】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【稳添利最短持有期日开固收类】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【稳添利最短持有期日开固收类】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【稳添利最短持有期日开固收类】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【稳添利最短持有期日开固收类】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23701383"/>
      <w:bookmarkStart w:id="2" w:name="_Toc123112263"/>
      <w:bookmarkStart w:id="3" w:name="_Toc139991726"/>
      <w:bookmarkStart w:id="4" w:name="_Toc139992301"/>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23112264"/>
      <w:bookmarkStart w:id="7" w:name="_Toc139992302"/>
      <w:bookmarkStart w:id="8" w:name="_Toc123701384"/>
      <w:bookmarkStart w:id="9" w:name="_Toc123112225"/>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5</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理财产品过往业绩不代表其未来表现，不等于理财产品实际收益，投资须谨慎。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rPr>
                <w:rFonts w:ascii="黑体" w:hAnsi="黑体" w:eastAsia="黑体"/>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关于理财产品信息披露的提示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pStyle w:val="21"/>
              <w:snapToGrid w:val="0"/>
              <w:spacing w:before="0" w:beforeAutospacing="0" w:after="0" w:afterAutospacing="0" w:line="360" w:lineRule="auto"/>
              <w:jc w:val="both"/>
              <w:rPr>
                <w:bCs/>
                <w:sz w:val="32"/>
              </w:rPr>
            </w:pPr>
            <w:r>
              <w:rPr>
                <w:rFonts w:hint="eastAsia" w:ascii="黑体" w:hAnsi="黑体" w:eastAsia="黑体"/>
                <w:bCs/>
                <w:sz w:val="18"/>
                <w:szCs w:val="18"/>
              </w:rPr>
              <w:t>投资者对本理财产品及销售文件的内容有任何疑问，请向产品管理人或销售机构咨询。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112227"/>
      <w:bookmarkStart w:id="12" w:name="_Toc123701386"/>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sz w:val="18"/>
                <w:szCs w:val="18"/>
              </w:rPr>
            </w:pPr>
            <w:permStart w:id="9" w:edGrp="everyone" w:colFirst="3" w:colLast="3"/>
            <w:r>
              <w:rPr>
                <w:rFonts w:hint="eastAsia" w:ascii="宋体" w:hAnsi="宋体"/>
                <w:sz w:val="18"/>
                <w:szCs w:val="18"/>
              </w:rPr>
              <w:t>投资者信息</w:t>
            </w:r>
          </w:p>
        </w:tc>
        <w:tc>
          <w:tcPr>
            <w:tcW w:w="708" w:type="dxa"/>
            <w:vMerge w:val="restart"/>
            <w:shd w:val="solid" w:color="FFFFFF" w:fill="FFFFFF"/>
            <w:vAlign w:val="center"/>
          </w:tcPr>
          <w:p>
            <w:pPr>
              <w:spacing w:line="360" w:lineRule="auto"/>
              <w:jc w:val="left"/>
              <w:rPr>
                <w:rFonts w:ascii="宋体" w:hAnsi="宋体"/>
                <w:sz w:val="18"/>
                <w:szCs w:val="18"/>
              </w:rPr>
            </w:pPr>
            <w:r>
              <w:rPr>
                <w:rFonts w:hint="eastAsia" w:ascii="宋体" w:hAnsi="宋体"/>
                <w:sz w:val="18"/>
                <w:szCs w:val="18"/>
              </w:rPr>
              <w:t>个人投资者适用</w:t>
            </w:r>
          </w:p>
        </w:tc>
        <w:tc>
          <w:tcPr>
            <w:tcW w:w="982"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姓名</w:t>
            </w:r>
          </w:p>
        </w:tc>
        <w:tc>
          <w:tcPr>
            <w:tcW w:w="6389" w:type="dxa"/>
            <w:gridSpan w:val="3"/>
            <w:shd w:val="solid" w:color="FFFFFF" w:fill="FFFFFF"/>
            <w:vAlign w:val="center"/>
          </w:tcPr>
          <w:p>
            <w:pPr>
              <w:spacing w:line="360" w:lineRule="auto"/>
              <w:jc w:val="left"/>
              <w:rPr>
                <w:rFonts w:ascii="宋体" w:hAnsi="宋体"/>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sz w:val="18"/>
                <w:szCs w:val="18"/>
              </w:rPr>
            </w:pPr>
          </w:p>
        </w:tc>
        <w:tc>
          <w:tcPr>
            <w:tcW w:w="982"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证件类型</w:t>
            </w:r>
          </w:p>
        </w:tc>
        <w:tc>
          <w:tcPr>
            <w:tcW w:w="1854" w:type="dxa"/>
            <w:shd w:val="solid" w:color="FFFFFF" w:fill="FFFFFF"/>
            <w:vAlign w:val="center"/>
          </w:tcPr>
          <w:p>
            <w:pPr>
              <w:spacing w:line="360" w:lineRule="auto"/>
              <w:jc w:val="left"/>
              <w:rPr>
                <w:rFonts w:ascii="宋体" w:hAnsi="宋体"/>
                <w:sz w:val="18"/>
                <w:szCs w:val="18"/>
              </w:rPr>
            </w:pPr>
          </w:p>
        </w:tc>
        <w:tc>
          <w:tcPr>
            <w:tcW w:w="1417"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证件号码</w:t>
            </w:r>
          </w:p>
        </w:tc>
        <w:tc>
          <w:tcPr>
            <w:tcW w:w="3118" w:type="dxa"/>
            <w:shd w:val="solid" w:color="FFFFFF" w:fill="FFFFFF"/>
            <w:vAlign w:val="center"/>
          </w:tcPr>
          <w:p>
            <w:pPr>
              <w:spacing w:line="360" w:lineRule="auto"/>
              <w:jc w:val="left"/>
              <w:rPr>
                <w:rFonts w:ascii="宋体" w:hAnsi="宋体"/>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sz w:val="18"/>
                <w:szCs w:val="18"/>
              </w:rPr>
            </w:pPr>
          </w:p>
        </w:tc>
        <w:tc>
          <w:tcPr>
            <w:tcW w:w="982"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联系电话</w:t>
            </w:r>
          </w:p>
        </w:tc>
        <w:tc>
          <w:tcPr>
            <w:tcW w:w="1854" w:type="dxa"/>
            <w:shd w:val="solid" w:color="FFFFFF" w:fill="FFFFFF"/>
            <w:vAlign w:val="center"/>
          </w:tcPr>
          <w:p>
            <w:pPr>
              <w:spacing w:line="360" w:lineRule="auto"/>
              <w:jc w:val="left"/>
              <w:rPr>
                <w:rFonts w:ascii="宋体" w:hAnsi="宋体"/>
                <w:sz w:val="18"/>
                <w:szCs w:val="18"/>
              </w:rPr>
            </w:pPr>
          </w:p>
        </w:tc>
        <w:tc>
          <w:tcPr>
            <w:tcW w:w="1417"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电子邮箱</w:t>
            </w:r>
          </w:p>
        </w:tc>
        <w:tc>
          <w:tcPr>
            <w:tcW w:w="3118" w:type="dxa"/>
            <w:shd w:val="solid" w:color="FFFFFF" w:fill="FFFFFF"/>
            <w:vAlign w:val="center"/>
          </w:tcPr>
          <w:p>
            <w:pPr>
              <w:spacing w:line="360" w:lineRule="auto"/>
              <w:jc w:val="left"/>
              <w:rPr>
                <w:rFonts w:ascii="宋体" w:hAnsi="宋体"/>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sz w:val="18"/>
                <w:szCs w:val="18"/>
              </w:rPr>
            </w:pPr>
          </w:p>
        </w:tc>
        <w:tc>
          <w:tcPr>
            <w:tcW w:w="982"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联系地址</w:t>
            </w:r>
          </w:p>
        </w:tc>
        <w:tc>
          <w:tcPr>
            <w:tcW w:w="6389" w:type="dxa"/>
            <w:gridSpan w:val="3"/>
            <w:shd w:val="solid" w:color="FFFFFF" w:fill="FFFFFF"/>
            <w:vAlign w:val="center"/>
          </w:tcPr>
          <w:p>
            <w:pPr>
              <w:spacing w:line="360" w:lineRule="auto"/>
              <w:jc w:val="left"/>
              <w:rPr>
                <w:rFonts w:ascii="宋体" w:hAnsi="宋体"/>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机构</w:t>
            </w:r>
            <w:r>
              <w:rPr>
                <w:rFonts w:ascii="宋体" w:hAnsi="宋体"/>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sz w:val="18"/>
                <w:szCs w:val="18"/>
              </w:rPr>
            </w:pPr>
            <w:r>
              <w:rPr>
                <w:rFonts w:hint="eastAsia" w:hAnsi="宋体"/>
                <w:sz w:val="18"/>
                <w:szCs w:val="18"/>
              </w:rPr>
              <w:t>★</w:t>
            </w:r>
            <w:r>
              <w:rPr>
                <w:rFonts w:hint="eastAsia" w:ascii="宋体" w:hAnsi="宋体"/>
                <w:sz w:val="18"/>
                <w:szCs w:val="18"/>
              </w:rPr>
              <w:t>理财产品名称</w:t>
            </w:r>
          </w:p>
        </w:tc>
        <w:tc>
          <w:tcPr>
            <w:tcW w:w="6389" w:type="dxa"/>
            <w:gridSpan w:val="3"/>
            <w:shd w:val="solid" w:color="FFFFFF" w:fill="FFFFFF"/>
          </w:tcPr>
          <w:p>
            <w:pPr>
              <w:spacing w:line="360" w:lineRule="auto"/>
              <w:jc w:val="left"/>
              <w:rPr>
                <w:rFonts w:ascii="宋体" w:hAnsi="宋体"/>
                <w:sz w:val="18"/>
                <w:szCs w:val="18"/>
              </w:rPr>
            </w:pPr>
            <w:r>
              <w:rPr>
                <w:rFonts w:hint="eastAsia" w:ascii="宋体" w:hAnsi="宋体"/>
                <w:sz w:val="18"/>
                <w:szCs w:val="18"/>
              </w:rPr>
              <w:t>【兴银理财稳添利周盈66号(7天最短持有期)日开固收类理财产品】</w:t>
            </w: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5" w:edGrp="everyone"/>
          </w:p>
        </w:tc>
        <w:tc>
          <w:tcPr>
            <w:tcW w:w="1690" w:type="dxa"/>
            <w:gridSpan w:val="2"/>
            <w:shd w:val="solid" w:color="FFFFFF" w:fill="FFFFFF"/>
            <w:vAlign w:val="center"/>
          </w:tcPr>
          <w:p>
            <w:pPr>
              <w:spacing w:line="360" w:lineRule="auto"/>
              <w:jc w:val="left"/>
              <w:rPr>
                <w:rFonts w:ascii="宋体" w:hAnsi="宋体"/>
                <w:sz w:val="18"/>
                <w:szCs w:val="18"/>
              </w:rPr>
            </w:pPr>
            <w:r>
              <w:rPr>
                <w:rFonts w:hint="eastAsia" w:hAnsi="宋体"/>
                <w:sz w:val="18"/>
                <w:szCs w:val="18"/>
              </w:rPr>
              <w:t>★</w:t>
            </w:r>
            <w:r>
              <w:rPr>
                <w:rFonts w:hint="eastAsia" w:ascii="宋体" w:hAnsi="宋体"/>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sz w:val="18"/>
                <w:szCs w:val="18"/>
              </w:rPr>
              <w:t>【稳添利周盈66号B(兴普惠)】</w:t>
            </w:r>
            <w:r>
              <w:rPr>
                <w:rFonts w:hint="eastAsia"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eastAsia="zh-CN"/>
                <w14:textFill>
                  <w14:solidFill>
                    <w14:schemeClr w14:val="tx1"/>
                  </w14:solidFill>
                </w14:textFill>
              </w:rPr>
              <w:t>适用【B】类份额</w:t>
            </w:r>
            <w:r>
              <w:rPr>
                <w:rFonts w:hint="eastAsia" w:ascii="宋体" w:hAnsi="宋体"/>
                <w:color w:val="000000" w:themeColor="text1"/>
                <w:sz w:val="18"/>
                <w:szCs w:val="18"/>
                <w14:textFill>
                  <w14:solidFill>
                    <w14:schemeClr w14:val="tx1"/>
                  </w14:solidFill>
                </w14:textFill>
              </w:rPr>
              <w:t>）</w:t>
            </w:r>
          </w:p>
        </w:tc>
      </w:tr>
      <w:permEnd w:id="2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6" w:edGrp="everyone"/>
          </w:p>
        </w:tc>
        <w:tc>
          <w:tcPr>
            <w:tcW w:w="1690" w:type="dxa"/>
            <w:gridSpan w:val="2"/>
            <w:shd w:val="solid" w:color="FFFFFF" w:fill="FFFFFF"/>
          </w:tcPr>
          <w:p>
            <w:pPr>
              <w:spacing w:line="360" w:lineRule="auto"/>
              <w:jc w:val="left"/>
              <w:rPr>
                <w:rFonts w:ascii="宋体" w:hAnsi="宋体"/>
                <w:sz w:val="18"/>
                <w:szCs w:val="18"/>
              </w:rPr>
            </w:pPr>
            <w:r>
              <w:rPr>
                <w:rFonts w:hint="eastAsia" w:hAnsi="宋体"/>
                <w:sz w:val="18"/>
                <w:szCs w:val="18"/>
              </w:rPr>
              <w:t>★</w:t>
            </w:r>
            <w:r>
              <w:rPr>
                <w:rFonts w:hint="eastAsia" w:ascii="宋体" w:hAnsi="宋体"/>
                <w:sz w:val="18"/>
                <w:szCs w:val="18"/>
              </w:rPr>
              <w:t>产品登记编码</w:t>
            </w:r>
          </w:p>
        </w:tc>
        <w:tc>
          <w:tcPr>
            <w:tcW w:w="6389" w:type="dxa"/>
            <w:gridSpan w:val="3"/>
            <w:shd w:val="solid" w:color="FFFFFF" w:fill="FFFFFF"/>
          </w:tcPr>
          <w:p>
            <w:pPr>
              <w:spacing w:line="360" w:lineRule="auto"/>
              <w:jc w:val="left"/>
              <w:rPr>
                <w:rFonts w:ascii="宋体" w:hAnsi="宋体"/>
                <w:sz w:val="18"/>
                <w:szCs w:val="18"/>
              </w:rPr>
            </w:pPr>
            <w:r>
              <w:rPr>
                <w:rFonts w:hint="eastAsia" w:ascii="宋体" w:hAnsi="宋体"/>
                <w:sz w:val="18"/>
                <w:szCs w:val="18"/>
              </w:rPr>
              <w:t>【Z7002025000858】注：投资者可依据理财产品登记编码在中国理财网查询产品信息</w:t>
            </w:r>
            <w:r>
              <w:fldChar w:fldCharType="begin"/>
            </w:r>
            <w:r>
              <w:instrText xml:space="preserve"> HYPERLINK "http://www.chinawealth.com.cn" </w:instrText>
            </w:r>
            <w:r>
              <w:fldChar w:fldCharType="separate"/>
            </w:r>
            <w:r>
              <w:rPr>
                <w:rFonts w:ascii="宋体" w:hAnsi="宋体"/>
                <w:sz w:val="18"/>
                <w:szCs w:val="18"/>
              </w:rPr>
              <w:t>www.chinawealth.com.c</w:t>
            </w:r>
            <w:bookmarkStart w:id="66" w:name="_GoBack"/>
            <w:bookmarkEnd w:id="66"/>
            <w:r>
              <w:rPr>
                <w:rFonts w:ascii="宋体" w:hAnsi="宋体"/>
                <w:sz w:val="18"/>
                <w:szCs w:val="18"/>
              </w:rPr>
              <w:t>n</w:t>
            </w:r>
            <w:r>
              <w:rPr>
                <w:rFonts w:ascii="宋体" w:hAnsi="宋体"/>
                <w:sz w:val="18"/>
                <w:szCs w:val="18"/>
              </w:rPr>
              <w:fldChar w:fldCharType="end"/>
            </w:r>
          </w:p>
        </w:tc>
      </w:tr>
      <w:permEnd w:id="2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7" w:edGrp="everyone"/>
          </w:p>
        </w:tc>
        <w:tc>
          <w:tcPr>
            <w:tcW w:w="1690" w:type="dxa"/>
            <w:gridSpan w:val="2"/>
            <w:shd w:val="solid" w:color="FFFFFF" w:fill="FFFFFF"/>
            <w:vAlign w:val="center"/>
          </w:tcPr>
          <w:p>
            <w:pPr>
              <w:spacing w:line="360" w:lineRule="auto"/>
              <w:jc w:val="left"/>
              <w:rPr>
                <w:rFonts w:ascii="宋体" w:hAnsi="宋体"/>
                <w:sz w:val="18"/>
                <w:szCs w:val="18"/>
              </w:rPr>
            </w:pPr>
            <w:r>
              <w:rPr>
                <w:rFonts w:hint="eastAsia" w:hAnsi="宋体"/>
                <w:sz w:val="18"/>
                <w:szCs w:val="18"/>
              </w:rPr>
              <w:t>★</w:t>
            </w:r>
            <w:r>
              <w:rPr>
                <w:rFonts w:hint="eastAsia" w:ascii="宋体" w:hAnsi="宋体"/>
                <w:sz w:val="18"/>
                <w:szCs w:val="18"/>
              </w:rPr>
              <w:t>产品</w:t>
            </w:r>
            <w:r>
              <w:rPr>
                <w:rFonts w:ascii="宋体" w:hAnsi="宋体"/>
                <w:sz w:val="18"/>
                <w:szCs w:val="18"/>
              </w:rPr>
              <w:t>代码</w:t>
            </w:r>
          </w:p>
        </w:tc>
        <w:tc>
          <w:tcPr>
            <w:tcW w:w="6389" w:type="dxa"/>
            <w:gridSpan w:val="3"/>
            <w:shd w:val="solid" w:color="FFFFFF" w:fill="FFFFFF"/>
            <w:vAlign w:val="center"/>
          </w:tcPr>
          <w:p>
            <w:pPr>
              <w:spacing w:line="360" w:lineRule="auto"/>
              <w:jc w:val="left"/>
              <w:rPr>
                <w:rFonts w:ascii="宋体" w:hAnsi="宋体"/>
                <w:sz w:val="18"/>
                <w:szCs w:val="18"/>
              </w:rPr>
            </w:pP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9K410660</w:t>
            </w:r>
            <w:r>
              <w:rPr>
                <w:rFonts w:ascii="宋体" w:hAnsi="宋体"/>
                <w:color w:val="000000" w:themeColor="text1"/>
                <w:sz w:val="18"/>
                <w:szCs w:val="18"/>
                <w14:textFill>
                  <w14:solidFill>
                    <w14:schemeClr w14:val="tx1"/>
                  </w14:solidFill>
                </w14:textFill>
              </w:rPr>
              <w:t>】</w:t>
            </w:r>
          </w:p>
        </w:tc>
      </w:tr>
      <w:permEnd w:id="27"/>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8" w:edGrp="everyone"/>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sz w:val="18"/>
                <w:szCs w:val="18"/>
              </w:rPr>
              <w:t>销售</w:t>
            </w:r>
            <w:r>
              <w:rPr>
                <w:rFonts w:ascii="宋体" w:hAnsi="宋体"/>
                <w:sz w:val="18"/>
                <w:szCs w:val="18"/>
              </w:rPr>
              <w:t>代码</w:t>
            </w:r>
          </w:p>
        </w:tc>
        <w:tc>
          <w:tcPr>
            <w:tcW w:w="6389" w:type="dxa"/>
            <w:gridSpan w:val="3"/>
            <w:shd w:val="solid" w:color="FFFFFF" w:fill="FFFFFF"/>
            <w:vAlign w:val="center"/>
          </w:tcPr>
          <w:p>
            <w:pPr>
              <w:spacing w:line="320" w:lineRule="exact"/>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【9K41066</w:t>
            </w:r>
            <w:r>
              <w:rPr>
                <w:rFonts w:hint="eastAsia" w:ascii="宋体" w:hAnsi="宋体"/>
                <w:color w:val="000000" w:themeColor="text1"/>
                <w:sz w:val="18"/>
                <w:szCs w:val="18"/>
                <w:lang w:val="en-US" w:eastAsia="zh-CN"/>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lang w:eastAsia="zh-CN"/>
                <w14:textFill>
                  <w14:solidFill>
                    <w14:schemeClr w14:val="tx1"/>
                  </w14:solidFill>
                </w14:textFill>
              </w:rPr>
              <w:t>适用【B】类份额</w:t>
            </w:r>
            <w:r>
              <w:rPr>
                <w:rFonts w:hint="eastAsia" w:ascii="宋体" w:hAnsi="宋体"/>
                <w:color w:val="000000" w:themeColor="text1"/>
                <w:sz w:val="18"/>
                <w:szCs w:val="18"/>
                <w14:textFill>
                  <w14:solidFill>
                    <w14:schemeClr w14:val="tx1"/>
                  </w14:solidFill>
                </w14:textFill>
              </w:rPr>
              <w:t>）</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9" w:edGrp="everyone"/>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30" w:edGrp="everyone"/>
            <w:r>
              <w:rPr>
                <w:rFonts w:ascii="宋体" w:hAnsi="宋体"/>
                <w:szCs w:val="18"/>
                <w:u w:val="single"/>
              </w:rPr>
              <w:t xml:space="preserve">　                     </w:t>
            </w:r>
            <w:permEnd w:id="30"/>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4966"/>
      <w:bookmarkStart w:id="15" w:name="_Toc32639"/>
      <w:bookmarkStart w:id="16" w:name="_Toc123112229"/>
      <w:bookmarkStart w:id="17" w:name="_Toc29629"/>
      <w:bookmarkStart w:id="18" w:name="_Toc4867"/>
      <w:bookmarkStart w:id="19" w:name="_Toc6306"/>
      <w:bookmarkStart w:id="20" w:name="_Toc123112268"/>
      <w:bookmarkStart w:id="21" w:name="_Toc123701389"/>
      <w:bookmarkStart w:id="22" w:name="_Toc23386"/>
      <w:bookmarkStart w:id="23" w:name="_Toc8727"/>
      <w:bookmarkStart w:id="24" w:name="_Toc30935"/>
      <w:bookmarkStart w:id="25" w:name="_Toc141703880"/>
      <w:bookmarkStart w:id="26" w:name="_Toc139991730"/>
      <w:bookmarkStart w:id="27" w:name="_Toc15517"/>
      <w:bookmarkStart w:id="28" w:name="_Toc2689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2864"/>
      <w:bookmarkStart w:id="33" w:name="_Toc13020"/>
      <w:bookmarkStart w:id="34" w:name="_Toc3224"/>
      <w:bookmarkStart w:id="35" w:name="_Toc819"/>
      <w:bookmarkStart w:id="36" w:name="_Toc6617"/>
      <w:bookmarkStart w:id="37" w:name="_Toc19592"/>
      <w:bookmarkStart w:id="38" w:name="_Toc24860"/>
      <w:bookmarkStart w:id="39" w:name="_Toc21301"/>
      <w:bookmarkStart w:id="40" w:name="_Toc2465"/>
      <w:bookmarkStart w:id="41" w:name="_Toc258829399"/>
      <w:bookmarkStart w:id="42" w:name="_Toc15067"/>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cs="黑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cs="黑体"/>
          <w:sz w:val="18"/>
          <w:szCs w:val="18"/>
        </w:rPr>
        <w:t>如因投资者未及时办理变更手续而造成产品管理人及</w:t>
      </w:r>
      <w:r>
        <w:rPr>
          <w:rFonts w:ascii="黑体" w:hAnsi="黑体" w:eastAsia="黑体" w:cs="黑体"/>
          <w:sz w:val="18"/>
          <w:szCs w:val="18"/>
        </w:rPr>
        <w:t>/或</w:t>
      </w:r>
      <w:r>
        <w:rPr>
          <w:rFonts w:hint="eastAsia" w:ascii="黑体" w:hAnsi="黑体" w:eastAsia="黑体" w:cs="黑体"/>
          <w:sz w:val="18"/>
          <w:szCs w:val="18"/>
        </w:rPr>
        <w:t>销售机构无法向投资者进行正常利益分配和资金清算分配</w:t>
      </w:r>
      <w:r>
        <w:rPr>
          <w:rFonts w:ascii="黑体" w:hAnsi="黑体" w:eastAsia="黑体" w:cs="黑体"/>
          <w:sz w:val="18"/>
          <w:szCs w:val="18"/>
        </w:rPr>
        <w:t>,</w:t>
      </w:r>
      <w:r>
        <w:rPr>
          <w:rFonts w:hint="eastAsia" w:ascii="黑体" w:hAnsi="黑体" w:eastAsia="黑体" w:cs="黑体"/>
          <w:sz w:val="18"/>
          <w:szCs w:val="18"/>
        </w:rPr>
        <w:t>由此导致投资者损失的由投资者自行承担</w:t>
      </w:r>
      <w:r>
        <w:rPr>
          <w:rFonts w:ascii="黑体" w:hAnsi="黑体" w:eastAsia="黑体" w:cs="黑体"/>
          <w:sz w:val="18"/>
          <w:szCs w:val="18"/>
        </w:rPr>
        <w:t xml:space="preserve">, </w:t>
      </w:r>
      <w:r>
        <w:rPr>
          <w:rFonts w:hint="eastAsia" w:ascii="黑体" w:hAnsi="黑体" w:eastAsia="黑体" w:cs="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20318"/>
      <w:bookmarkStart w:id="48" w:name="_Toc74065740"/>
      <w:bookmarkStart w:id="49" w:name="_Toc733"/>
      <w:bookmarkStart w:id="50" w:name="_Toc22708"/>
      <w:bookmarkStart w:id="51" w:name="_Toc20627"/>
      <w:bookmarkStart w:id="52" w:name="_Toc6149"/>
      <w:bookmarkStart w:id="53" w:name="_Toc13288"/>
      <w:bookmarkStart w:id="54" w:name="_Toc6683"/>
      <w:bookmarkStart w:id="55" w:name="_Toc24571"/>
      <w:bookmarkStart w:id="56" w:name="_Toc545"/>
      <w:bookmarkStart w:id="57" w:name="_Toc18631"/>
      <w:bookmarkStart w:id="58" w:name="_Toc233456272"/>
      <w:bookmarkStart w:id="59" w:name="_Toc258829400"/>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，本协议自投资者签名/盖章后则为签署</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Cs/>
                <w:sz w:val="18"/>
                <w:szCs w:val="18"/>
              </w:rPr>
            </w:pPr>
            <w:permStart w:id="31" w:edGrp="everyone"/>
            <w:r>
              <w:rPr>
                <w:rFonts w:hint="eastAsia" w:ascii="宋体" w:hAnsi="宋体" w:cs="宋体"/>
                <w:bCs/>
                <w:sz w:val="18"/>
                <w:szCs w:val="18"/>
              </w:rPr>
              <w:t>【】</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Cs/>
                <w:sz w:val="18"/>
                <w:szCs w:val="18"/>
              </w:rPr>
            </w:pPr>
            <w:permStart w:id="32" w:edGrp="everyone"/>
            <w:r>
              <w:rPr>
                <w:rFonts w:hint="eastAsia" w:ascii="宋体" w:hAnsi="宋体" w:cs="宋体"/>
                <w:bCs/>
                <w:sz w:val="18"/>
                <w:szCs w:val="18"/>
              </w:rPr>
              <w:t>【】类</w:t>
            </w:r>
            <w:r>
              <w:rPr>
                <w:rFonts w:ascii="宋体" w:hAnsi="宋体" w:cs="宋体"/>
                <w:bCs/>
                <w:sz w:val="18"/>
                <w:szCs w:val="18"/>
              </w:rPr>
              <w:t>份额</w:t>
            </w:r>
            <w:permEnd w:id="32"/>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33"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Cs/>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3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4"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3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5"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rPr>
                <w:rFonts w:ascii="宋体" w:hAnsi="宋体"/>
                <w:bCs/>
                <w:sz w:val="18"/>
                <w:szCs w:val="18"/>
              </w:rPr>
            </w:pPr>
            <w:r>
              <w:rPr>
                <w:rFonts w:ascii="宋体" w:hAnsi="宋体"/>
                <w:bCs/>
                <w:sz w:val="18"/>
                <w:szCs w:val="18"/>
              </w:rPr>
              <w:t>份额：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份。</w:t>
            </w:r>
          </w:p>
        </w:tc>
      </w:tr>
      <w:permEnd w:id="3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Cs/>
                <w:sz w:val="18"/>
                <w:szCs w:val="18"/>
              </w:rPr>
            </w:pPr>
            <w:permStart w:id="36" w:edGrp="everyone"/>
            <w:r>
              <w:rPr>
                <w:rFonts w:hint="eastAsia" w:asciiTheme="minorEastAsia" w:hAnsiTheme="minorEastAsia"/>
                <w:bCs/>
                <w:sz w:val="18"/>
                <w:szCs w:val="18"/>
              </w:rPr>
              <w:t>【</w:t>
            </w:r>
            <w:r>
              <w:rPr>
                <w:rFonts w:asciiTheme="minorEastAsia" w:hAnsiTheme="minorEastAsia"/>
                <w:bCs/>
                <w:sz w:val="18"/>
                <w:szCs w:val="18"/>
              </w:rPr>
              <w:t xml:space="preserve"> 】年</w:t>
            </w:r>
            <w:r>
              <w:rPr>
                <w:rFonts w:hint="eastAsia" w:asciiTheme="minorEastAsia" w:hAnsiTheme="minorEastAsia"/>
                <w:bCs/>
                <w:sz w:val="18"/>
                <w:szCs w:val="18"/>
              </w:rPr>
              <w:t>【</w:t>
            </w:r>
            <w:r>
              <w:rPr>
                <w:rFonts w:asciiTheme="minorEastAsia" w:hAnsiTheme="minorEastAsia"/>
                <w:bCs/>
                <w:sz w:val="18"/>
                <w:szCs w:val="18"/>
              </w:rPr>
              <w:t xml:space="preserve"> </w:t>
            </w:r>
            <w:r>
              <w:rPr>
                <w:rFonts w:hint="eastAsia" w:asciiTheme="minorEastAsia" w:hAnsiTheme="minorEastAsia"/>
                <w:bCs/>
                <w:sz w:val="18"/>
                <w:szCs w:val="18"/>
              </w:rPr>
              <w:t>】月【</w:t>
            </w:r>
            <w:r>
              <w:rPr>
                <w:rFonts w:asciiTheme="minorEastAsia" w:hAnsiTheme="minorEastAsia"/>
                <w:bCs/>
                <w:sz w:val="18"/>
                <w:szCs w:val="18"/>
              </w:rPr>
              <w:t xml:space="preserve"> </w:t>
            </w:r>
            <w:r>
              <w:rPr>
                <w:rFonts w:hint="eastAsia" w:asciiTheme="minorEastAsia" w:hAnsiTheme="minorEastAsia"/>
                <w:bCs/>
                <w:sz w:val="18"/>
                <w:szCs w:val="18"/>
              </w:rPr>
              <w:t>】日</w:t>
            </w:r>
            <w:permEnd w:id="3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w:t>
            </w:r>
            <w:r>
              <w:rPr>
                <w:bCs/>
                <w:sz w:val="18"/>
                <w:szCs w:val="18"/>
              </w:rPr>
              <w:t>签名</w:t>
            </w:r>
            <w:r>
              <w:rPr>
                <w:rFonts w:hint="eastAsia"/>
                <w:bCs/>
                <w:sz w:val="18"/>
                <w:szCs w:val="18"/>
              </w:rPr>
              <w:t>/线上确认</w:t>
            </w:r>
            <w:r>
              <w:rPr>
                <w:rFonts w:hint="eastAsia"/>
                <w:sz w:val="18"/>
                <w:szCs w:val="18"/>
              </w:rPr>
              <w:t>）：</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rFonts w:hint="eastAsia" w:cs="Arial"/>
                <w:bCs/>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w:t>
            </w:r>
            <w:r>
              <w:rPr>
                <w:rFonts w:cs="Arial"/>
                <w:bCs/>
                <w:sz w:val="18"/>
                <w:szCs w:val="18"/>
              </w:rPr>
              <w:t>签名</w:t>
            </w:r>
            <w:r>
              <w:rPr>
                <w:rFonts w:hint="eastAsia" w:cs="Arial"/>
                <w:bCs/>
                <w:sz w:val="18"/>
                <w:szCs w:val="18"/>
              </w:rPr>
              <w:t>/盖章/线上确认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（本《投资协议书》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13</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readOnly" w:enforcement="1" w:cryptProviderType="rsaAES" w:cryptAlgorithmClass="hash" w:cryptAlgorithmType="typeAny" w:cryptAlgorithmSid="14" w:cryptSpinCount="100000" w:hash="+WNdffj/97Q3YZXKjv3+6jVuciJC8HBKvP94Qc+O//e7Nr7Gvg+nFBFQ/gLv39QV469m+fbWkBEWqetXg/zuWA==" w:salt="iw5OoBUsYxyn/AezuF/b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3192"/>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23E7"/>
    <w:rsid w:val="000C5F0B"/>
    <w:rsid w:val="000C66F8"/>
    <w:rsid w:val="000C6CA3"/>
    <w:rsid w:val="000D1DE9"/>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494"/>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28FF"/>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4E40"/>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0C08"/>
    <w:rsid w:val="006C1201"/>
    <w:rsid w:val="006C14BB"/>
    <w:rsid w:val="006C1FF4"/>
    <w:rsid w:val="006C5648"/>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6A3C"/>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26FFC"/>
    <w:rsid w:val="00830913"/>
    <w:rsid w:val="00833DA0"/>
    <w:rsid w:val="0084117B"/>
    <w:rsid w:val="008419CA"/>
    <w:rsid w:val="00842ECC"/>
    <w:rsid w:val="00844C52"/>
    <w:rsid w:val="00844FAC"/>
    <w:rsid w:val="00847D06"/>
    <w:rsid w:val="00851415"/>
    <w:rsid w:val="008526AD"/>
    <w:rsid w:val="00852A74"/>
    <w:rsid w:val="0085467A"/>
    <w:rsid w:val="00855E29"/>
    <w:rsid w:val="00856912"/>
    <w:rsid w:val="00861C4A"/>
    <w:rsid w:val="00862721"/>
    <w:rsid w:val="008631F7"/>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00"/>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15BF"/>
    <w:rsid w:val="00983DF9"/>
    <w:rsid w:val="00987518"/>
    <w:rsid w:val="00993714"/>
    <w:rsid w:val="00994225"/>
    <w:rsid w:val="009969BB"/>
    <w:rsid w:val="009A14A5"/>
    <w:rsid w:val="009A42BC"/>
    <w:rsid w:val="009B0C9E"/>
    <w:rsid w:val="009B1C9C"/>
    <w:rsid w:val="009B2C85"/>
    <w:rsid w:val="009B5BC2"/>
    <w:rsid w:val="009C2069"/>
    <w:rsid w:val="009C521A"/>
    <w:rsid w:val="009C6F8E"/>
    <w:rsid w:val="009D4365"/>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4611"/>
    <w:rsid w:val="00BC68AA"/>
    <w:rsid w:val="00BD020C"/>
    <w:rsid w:val="00BD0D17"/>
    <w:rsid w:val="00BD4663"/>
    <w:rsid w:val="00BD6425"/>
    <w:rsid w:val="00BF0849"/>
    <w:rsid w:val="00BF33D6"/>
    <w:rsid w:val="00BF39F1"/>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070CCA"/>
    <w:rsid w:val="05134138"/>
    <w:rsid w:val="05F13238"/>
    <w:rsid w:val="087C19F4"/>
    <w:rsid w:val="08F06232"/>
    <w:rsid w:val="0DDF5E64"/>
    <w:rsid w:val="11F023F4"/>
    <w:rsid w:val="149E474A"/>
    <w:rsid w:val="163755A5"/>
    <w:rsid w:val="164A47DE"/>
    <w:rsid w:val="18D640E4"/>
    <w:rsid w:val="19212E29"/>
    <w:rsid w:val="1EE51934"/>
    <w:rsid w:val="211675B4"/>
    <w:rsid w:val="27057D75"/>
    <w:rsid w:val="2A2D3AC3"/>
    <w:rsid w:val="2D8E27B1"/>
    <w:rsid w:val="2EA262FB"/>
    <w:rsid w:val="312C3FCE"/>
    <w:rsid w:val="35C863A1"/>
    <w:rsid w:val="367430C9"/>
    <w:rsid w:val="395A71E2"/>
    <w:rsid w:val="4069171A"/>
    <w:rsid w:val="487A428F"/>
    <w:rsid w:val="4A280999"/>
    <w:rsid w:val="4C6D505D"/>
    <w:rsid w:val="4DA3434F"/>
    <w:rsid w:val="4F9B33E8"/>
    <w:rsid w:val="52A916A7"/>
    <w:rsid w:val="56C22B29"/>
    <w:rsid w:val="5C090AEC"/>
    <w:rsid w:val="630E3328"/>
    <w:rsid w:val="64DE20E9"/>
    <w:rsid w:val="657411FF"/>
    <w:rsid w:val="67BD1109"/>
    <w:rsid w:val="6AC14FF1"/>
    <w:rsid w:val="6B364EF9"/>
    <w:rsid w:val="6C5F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B4B4E-44BD-4429-9074-24CF2488852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1529</Words>
  <Characters>8716</Characters>
  <Lines>72</Lines>
  <Paragraphs>20</Paragraphs>
  <TotalTime>2</TotalTime>
  <ScaleCrop>false</ScaleCrop>
  <LinksUpToDate>false</LinksUpToDate>
  <CharactersWithSpaces>10225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2024-03-04T03:42:00Z</dcterms:created>
  <dc:creator>Mandy.Z</dc:creator>
  <cp:lastModifiedBy>cib</cp:lastModifiedBy>
  <cp:lastPrinted>2017-10-31T06:33:00Z</cp:lastPrinted>
  <dcterms:modified xsi:type="dcterms:W3CDTF">2025-05-19T03:19:14Z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7F764BA8FE1445D395384AAC04665998_13</vt:lpwstr>
  </property>
</Properties>
</file>