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AE6D">
      <w:pPr>
        <w:spacing w:line="276" w:lineRule="auto"/>
        <w:rPr>
          <w:rFonts w:ascii="Times New Roman" w:hAnsi="Times New Roman"/>
          <w:b/>
          <w:sz w:val="32"/>
          <w:szCs w:val="32"/>
        </w:rPr>
      </w:pPr>
      <w:r>
        <w:rPr>
          <w:rFonts w:hint="eastAsia" w:ascii="Times New Roman" w:hAnsi="Times New Roman"/>
          <w:b/>
          <w:sz w:val="32"/>
          <w:szCs w:val="32"/>
        </w:rPr>
        <w:t xml:space="preserve"> </w:t>
      </w:r>
    </w:p>
    <w:p w14:paraId="0BBBD4EE">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657473F8">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w:t>
      </w:r>
      <w:r>
        <w:rPr>
          <w:rFonts w:hint="eastAsia" w:ascii="Times New Roman" w:hAnsi="Times New Roman"/>
          <w:b/>
          <w:sz w:val="32"/>
          <w:szCs w:val="32"/>
          <w:lang w:eastAsia="zh-CN"/>
        </w:rPr>
        <w:t>兴时</w:t>
      </w:r>
      <w:r>
        <w:rPr>
          <w:rFonts w:hint="eastAsia" w:ascii="Times New Roman" w:hAnsi="Times New Roman"/>
          <w:b/>
          <w:sz w:val="32"/>
          <w:szCs w:val="32"/>
          <w:lang w:val="en-US" w:eastAsia="zh-CN"/>
        </w:rPr>
        <w:t>丰收</w:t>
      </w:r>
      <w:r>
        <w:rPr>
          <w:rFonts w:hint="eastAsia" w:ascii="Times New Roman" w:hAnsi="Times New Roman"/>
          <w:b/>
          <w:sz w:val="32"/>
          <w:szCs w:val="32"/>
          <w:lang w:eastAsia="zh-CN"/>
        </w:rPr>
        <w:t>（最短持有</w:t>
      </w:r>
      <w:r>
        <w:rPr>
          <w:rFonts w:hint="eastAsia" w:ascii="Times New Roman" w:hAnsi="Times New Roman"/>
          <w:b/>
          <w:sz w:val="32"/>
          <w:szCs w:val="32"/>
          <w:lang w:val="en-US" w:eastAsia="zh-CN"/>
        </w:rPr>
        <w:t>14</w:t>
      </w:r>
      <w:r>
        <w:rPr>
          <w:rFonts w:hint="eastAsia" w:ascii="Times New Roman" w:hAnsi="Times New Roman"/>
          <w:b/>
          <w:sz w:val="32"/>
          <w:szCs w:val="32"/>
          <w:lang w:eastAsia="zh-CN"/>
        </w:rPr>
        <w:t>天）每日开放8号</w:t>
      </w:r>
    </w:p>
    <w:p w14:paraId="4214B3C6">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51527410">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24GSGK13</w:t>
      </w:r>
      <w:r>
        <w:rPr>
          <w:rFonts w:hint="eastAsia" w:ascii="Times New Roman" w:hAnsi="Times New Roman"/>
          <w:b/>
          <w:bCs/>
          <w:sz w:val="28"/>
          <w:szCs w:val="28"/>
          <w:lang w:val="en-US" w:eastAsia="zh-CN"/>
        </w:rPr>
        <w:t>11</w:t>
      </w:r>
      <w:r>
        <w:rPr>
          <w:rFonts w:hint="eastAsia" w:ascii="Times New Roman" w:hAnsi="Times New Roman"/>
          <w:b/>
          <w:bCs/>
          <w:sz w:val="28"/>
          <w:szCs w:val="28"/>
          <w:lang w:eastAsia="zh-CN"/>
        </w:rPr>
        <w:t>8</w:t>
      </w:r>
      <w:r>
        <w:rPr>
          <w:rFonts w:hint="eastAsia" w:ascii="Times New Roman" w:hAnsi="Times New Roman"/>
          <w:b/>
          <w:bCs/>
          <w:sz w:val="28"/>
          <w:szCs w:val="28"/>
        </w:rPr>
        <w:t>）</w:t>
      </w:r>
    </w:p>
    <w:p w14:paraId="52F5FBF3">
      <w:pPr>
        <w:spacing w:line="276" w:lineRule="auto"/>
        <w:jc w:val="center"/>
        <w:rPr>
          <w:rFonts w:ascii="Times New Roman" w:hAnsi="Times New Roman"/>
          <w:b/>
        </w:rPr>
      </w:pPr>
    </w:p>
    <w:p w14:paraId="5541468C">
      <w:pPr>
        <w:spacing w:line="276" w:lineRule="auto"/>
        <w:rPr>
          <w:rFonts w:ascii="Times New Roman" w:hAnsi="Times New Roman" w:cs="Arial"/>
          <w:b/>
          <w:szCs w:val="21"/>
        </w:rPr>
      </w:pPr>
      <w:bookmarkStart w:id="0" w:name="_Hlk38470305"/>
      <w:r>
        <w:rPr>
          <w:rFonts w:hint="eastAsia" w:ascii="Times New Roman" w:hAnsi="Times New Roman" w:cs="Arial"/>
          <w:b/>
          <w:szCs w:val="21"/>
        </w:rPr>
        <w:t>重要提示：</w:t>
      </w:r>
    </w:p>
    <w:p w14:paraId="3AB09783">
      <w:pPr>
        <w:pStyle w:val="25"/>
        <w:tabs>
          <w:tab w:val="left" w:pos="420"/>
        </w:tabs>
        <w:adjustRightInd w:val="0"/>
        <w:snapToGrid w:val="0"/>
        <w:spacing w:line="300" w:lineRule="auto"/>
        <w:ind w:firstLine="0" w:firstLineChars="0"/>
        <w:jc w:val="left"/>
        <w:rPr>
          <w:rFonts w:ascii="Times New Roman" w:hAnsi="Times New Roman"/>
          <w:b/>
          <w:szCs w:val="21"/>
        </w:rPr>
      </w:pPr>
      <w:r>
        <w:rPr>
          <w:rFonts w:hint="eastAsia" w:ascii="Times New Roman" w:hAnsi="Times New Roman"/>
          <w:b/>
          <w:szCs w:val="21"/>
        </w:rPr>
        <w:t>一、本《理财产品说明书》与《理财产品投资协议书》、《销售（代理销售）协议书》、《风险揭示书》、《投资者权益须知》共同构成完整的不可分割的理财产品销售文件，具有同等的法律效力；</w:t>
      </w:r>
    </w:p>
    <w:p w14:paraId="091DB50D">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03EDF74B">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4F842C8D">
      <w:pPr>
        <w:tabs>
          <w:tab w:val="left" w:pos="420"/>
        </w:tabs>
        <w:adjustRightInd w:val="0"/>
        <w:snapToGrid w:val="0"/>
        <w:spacing w:line="300"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5CAFB211">
      <w:pPr>
        <w:adjustRightInd w:val="0"/>
        <w:snapToGrid w:val="0"/>
        <w:spacing w:line="300" w:lineRule="auto"/>
        <w:jc w:val="left"/>
        <w:rPr>
          <w:rFonts w:ascii="Times New Roman" w:hAnsi="Times New Roman" w:cs="宋体"/>
          <w:b/>
          <w:szCs w:val="21"/>
        </w:rPr>
      </w:pPr>
      <w:r>
        <w:rPr>
          <w:rFonts w:hint="eastAsia" w:ascii="Times New Roman" w:hAnsi="Times New Roman"/>
          <w:b/>
          <w:szCs w:val="21"/>
        </w:rPr>
        <w:t>五、</w:t>
      </w:r>
      <w:r>
        <w:rPr>
          <w:rFonts w:hint="eastAsia" w:ascii="Times New Roman" w:hAnsi="Times New Roman" w:cs="宋体"/>
          <w:b/>
          <w:szCs w:val="21"/>
        </w:rPr>
        <w:t>在购买理财产品后，投资者应随时关注该理财产品的信息披露情况，及时获取相关信息。</w:t>
      </w:r>
    </w:p>
    <w:p w14:paraId="55FC11E2">
      <w:pPr>
        <w:spacing w:line="276" w:lineRule="auto"/>
        <w:ind w:left="361" w:leftChars="172"/>
        <w:jc w:val="left"/>
        <w:rPr>
          <w:rFonts w:ascii="Times New Roman" w:hAnsi="Times New Roman"/>
          <w:b/>
          <w:bCs/>
          <w:szCs w:val="21"/>
        </w:rPr>
      </w:pPr>
    </w:p>
    <w:p w14:paraId="34CB6A3F">
      <w:pPr>
        <w:adjustRightInd w:val="0"/>
        <w:snapToGrid w:val="0"/>
        <w:spacing w:line="300" w:lineRule="auto"/>
        <w:jc w:val="left"/>
        <w:rPr>
          <w:rFonts w:ascii="宋体" w:hAnsi="宋体" w:cs="宋体"/>
          <w:bCs/>
          <w:szCs w:val="21"/>
        </w:rPr>
      </w:pPr>
      <w:bookmarkStart w:id="1" w:name="_Hlk152860916"/>
      <w:r>
        <w:rPr>
          <w:rFonts w:hint="eastAsia" w:ascii="宋体" w:hAnsi="宋体" w:cs="宋体"/>
          <w:bCs/>
          <w:szCs w:val="21"/>
        </w:rPr>
        <w:t>定义：</w:t>
      </w:r>
    </w:p>
    <w:p w14:paraId="2F98A432">
      <w:pPr>
        <w:adjustRightInd w:val="0"/>
        <w:snapToGrid w:val="0"/>
        <w:spacing w:line="300" w:lineRule="auto"/>
        <w:jc w:val="left"/>
        <w:rPr>
          <w:rFonts w:ascii="宋体" w:hAnsi="宋体"/>
          <w:szCs w:val="21"/>
        </w:rPr>
      </w:pPr>
      <w:bookmarkStart w:id="2" w:name="_Hlk152850442"/>
      <w:r>
        <w:rPr>
          <w:rFonts w:hint="eastAsia" w:ascii="宋体" w:hAnsi="宋体"/>
          <w:szCs w:val="21"/>
        </w:rPr>
        <w:t>在本《理财产品说明书》中，除非上下文另有明确约定，下列用词将具有如下含义：</w:t>
      </w:r>
    </w:p>
    <w:p w14:paraId="77542D0C">
      <w:pPr>
        <w:autoSpaceDE w:val="0"/>
        <w:autoSpaceDN w:val="0"/>
        <w:adjustRightInd w:val="0"/>
        <w:snapToGrid w:val="0"/>
        <w:spacing w:line="300" w:lineRule="auto"/>
        <w:rPr>
          <w:rFonts w:ascii="宋体" w:hAnsi="宋体"/>
          <w:szCs w:val="21"/>
        </w:rPr>
      </w:pPr>
      <w:r>
        <w:rPr>
          <w:rFonts w:hint="eastAsia" w:ascii="宋体" w:hAnsi="宋体" w:cs="宋体"/>
          <w:b/>
          <w:bCs/>
          <w:color w:val="000000"/>
          <w:kern w:val="0"/>
          <w:szCs w:val="21"/>
        </w:rPr>
        <w:t>1</w:t>
      </w:r>
      <w:r>
        <w:rPr>
          <w:rFonts w:ascii="宋体" w:hAnsi="宋体" w:cs="宋体"/>
          <w:b/>
          <w:bCs/>
          <w:color w:val="000000"/>
          <w:kern w:val="0"/>
          <w:szCs w:val="21"/>
        </w:rPr>
        <w:t>.</w:t>
      </w:r>
      <w:r>
        <w:rPr>
          <w:rFonts w:hint="eastAsia" w:ascii="宋体" w:hAnsi="宋体" w:cs="宋体"/>
          <w:b/>
          <w:bCs/>
          <w:color w:val="000000"/>
          <w:kern w:val="0"/>
          <w:szCs w:val="21"/>
        </w:rPr>
        <w:t>渝农商理财</w:t>
      </w:r>
      <w:r>
        <w:rPr>
          <w:rFonts w:ascii="宋体" w:hAnsi="宋体" w:cs="宋体"/>
          <w:b/>
          <w:bCs/>
          <w:color w:val="000000"/>
          <w:kern w:val="0"/>
          <w:szCs w:val="21"/>
        </w:rPr>
        <w:t>/</w:t>
      </w:r>
      <w:r>
        <w:rPr>
          <w:rFonts w:hint="eastAsia" w:ascii="宋体" w:hAnsi="宋体" w:cs="宋体"/>
          <w:b/>
          <w:bCs/>
          <w:color w:val="000000"/>
          <w:kern w:val="0"/>
          <w:szCs w:val="21"/>
        </w:rPr>
        <w:t>产品管理人/管理人：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3E450989">
      <w:pPr>
        <w:autoSpaceDE w:val="0"/>
        <w:autoSpaceDN w:val="0"/>
        <w:adjustRightInd w:val="0"/>
        <w:snapToGrid w:val="0"/>
        <w:spacing w:line="300" w:lineRule="auto"/>
        <w:jc w:val="left"/>
        <w:rPr>
          <w:rFonts w:ascii="宋体" w:hAnsi="宋体"/>
          <w:szCs w:val="21"/>
        </w:rPr>
      </w:pPr>
      <w:r>
        <w:rPr>
          <w:rFonts w:hint="eastAsia" w:ascii="宋体" w:hAnsi="宋体"/>
          <w:b/>
          <w:bCs/>
          <w:kern w:val="0"/>
          <w:szCs w:val="21"/>
        </w:rPr>
        <w:t>2</w:t>
      </w:r>
      <w:r>
        <w:rPr>
          <w:rFonts w:ascii="宋体" w:hAnsi="宋体"/>
          <w:b/>
          <w:bCs/>
          <w:kern w:val="0"/>
          <w:szCs w:val="21"/>
        </w:rPr>
        <w:t>.</w:t>
      </w: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5B27F0D0">
      <w:pPr>
        <w:autoSpaceDE w:val="0"/>
        <w:autoSpaceDN w:val="0"/>
        <w:adjustRightInd w:val="0"/>
        <w:snapToGrid w:val="0"/>
        <w:spacing w:line="300" w:lineRule="auto"/>
        <w:rPr>
          <w:rFonts w:ascii="宋体" w:hAnsi="宋体"/>
          <w:szCs w:val="21"/>
        </w:rPr>
      </w:pPr>
      <w:r>
        <w:rPr>
          <w:rFonts w:hint="eastAsia" w:ascii="宋体" w:hAnsi="宋体"/>
          <w:b/>
          <w:bCs/>
          <w:szCs w:val="21"/>
        </w:rPr>
        <w:t>3．认购：</w:t>
      </w:r>
      <w:r>
        <w:rPr>
          <w:rFonts w:hint="eastAsia" w:ascii="宋体" w:hAnsi="宋体"/>
          <w:szCs w:val="21"/>
        </w:rPr>
        <w:t>指在理财产品的募集期内申请购买理财产品份额的行为。</w:t>
      </w:r>
    </w:p>
    <w:p w14:paraId="7A56668B">
      <w:pPr>
        <w:adjustRightInd w:val="0"/>
        <w:snapToGrid w:val="0"/>
        <w:spacing w:line="300" w:lineRule="auto"/>
        <w:rPr>
          <w:rFonts w:ascii="宋体" w:hAnsi="宋体"/>
          <w:bCs/>
          <w:szCs w:val="21"/>
        </w:rPr>
      </w:pPr>
      <w:r>
        <w:rPr>
          <w:rFonts w:hint="eastAsia" w:ascii="宋体" w:hAnsi="宋体"/>
          <w:b/>
          <w:bCs/>
          <w:szCs w:val="21"/>
        </w:rPr>
        <w:t>4</w:t>
      </w:r>
      <w:r>
        <w:rPr>
          <w:rFonts w:ascii="宋体" w:hAnsi="宋体"/>
          <w:b/>
          <w:bCs/>
          <w:szCs w:val="21"/>
        </w:rPr>
        <w:t>.</w:t>
      </w:r>
      <w:r>
        <w:rPr>
          <w:rFonts w:hint="eastAsia" w:ascii="宋体" w:hAnsi="宋体"/>
          <w:b/>
          <w:bCs/>
          <w:szCs w:val="21"/>
        </w:rPr>
        <w:t>申购：</w:t>
      </w:r>
      <w:r>
        <w:rPr>
          <w:rFonts w:hint="eastAsia" w:ascii="宋体" w:hAnsi="宋体"/>
          <w:bCs/>
          <w:szCs w:val="21"/>
        </w:rPr>
        <w:t>指投资者在理财产品的开放期内申请购买</w:t>
      </w:r>
      <w:r>
        <w:rPr>
          <w:rFonts w:hint="eastAsia" w:ascii="宋体" w:hAnsi="宋体"/>
          <w:szCs w:val="21"/>
        </w:rPr>
        <w:t>理财产品份额的行为</w:t>
      </w:r>
      <w:r>
        <w:rPr>
          <w:rFonts w:hint="eastAsia" w:ascii="宋体" w:hAnsi="宋体"/>
          <w:bCs/>
          <w:szCs w:val="21"/>
        </w:rPr>
        <w:t>。</w:t>
      </w:r>
    </w:p>
    <w:p w14:paraId="60BCB72F">
      <w:pPr>
        <w:autoSpaceDE w:val="0"/>
        <w:autoSpaceDN w:val="0"/>
        <w:adjustRightInd w:val="0"/>
        <w:snapToGrid w:val="0"/>
        <w:spacing w:line="300" w:lineRule="auto"/>
        <w:rPr>
          <w:rFonts w:ascii="宋体" w:hAnsi="宋体"/>
          <w:szCs w:val="21"/>
        </w:rPr>
      </w:pPr>
      <w:r>
        <w:rPr>
          <w:rFonts w:hint="eastAsia" w:ascii="宋体" w:hAnsi="宋体"/>
          <w:b/>
          <w:bCs/>
          <w:szCs w:val="21"/>
        </w:rPr>
        <w:t>5</w:t>
      </w:r>
      <w:r>
        <w:rPr>
          <w:rFonts w:ascii="宋体" w:hAnsi="宋体"/>
          <w:b/>
          <w:bCs/>
          <w:szCs w:val="21"/>
        </w:rPr>
        <w:t>.</w:t>
      </w:r>
      <w:r>
        <w:rPr>
          <w:rFonts w:hint="eastAsia" w:ascii="宋体" w:hAnsi="宋体"/>
          <w:b/>
          <w:bCs/>
          <w:szCs w:val="21"/>
        </w:rPr>
        <w:t>赎回：</w:t>
      </w:r>
      <w:r>
        <w:rPr>
          <w:rFonts w:hint="eastAsia" w:ascii="宋体" w:hAnsi="宋体"/>
          <w:szCs w:val="21"/>
        </w:rPr>
        <w:t>指投资者在理财产品的开放期内申请卖出部分或全部理财产品份额的行为。</w:t>
      </w:r>
    </w:p>
    <w:bookmarkEnd w:id="2"/>
    <w:p w14:paraId="78F32BA0">
      <w:pPr>
        <w:autoSpaceDE w:val="0"/>
        <w:autoSpaceDN w:val="0"/>
        <w:adjustRightInd w:val="0"/>
        <w:snapToGrid w:val="0"/>
        <w:spacing w:line="300" w:lineRule="auto"/>
        <w:rPr>
          <w:rFonts w:ascii="宋体" w:hAnsi="宋体"/>
          <w:szCs w:val="21"/>
        </w:rPr>
      </w:pPr>
      <w:bookmarkStart w:id="3" w:name="_Hlk153356714"/>
      <w:bookmarkStart w:id="4" w:name="_Hlk152850499"/>
      <w:r>
        <w:rPr>
          <w:rFonts w:hint="eastAsia" w:ascii="宋体" w:hAnsi="宋体"/>
          <w:b/>
          <w:bCs/>
          <w:szCs w:val="21"/>
        </w:rPr>
        <w:t>6</w:t>
      </w:r>
      <w:r>
        <w:rPr>
          <w:rFonts w:ascii="宋体" w:hAnsi="宋体"/>
          <w:b/>
          <w:bCs/>
          <w:szCs w:val="21"/>
        </w:rPr>
        <w:t>.</w:t>
      </w:r>
      <w:r>
        <w:rPr>
          <w:rFonts w:hint="eastAsia" w:ascii="宋体" w:hAnsi="宋体"/>
          <w:b/>
          <w:bCs/>
          <w:szCs w:val="21"/>
        </w:rPr>
        <w:t>巨额赎回：</w:t>
      </w:r>
      <w:bookmarkStart w:id="5" w:name="_Hlk153356926"/>
      <w:r>
        <w:rPr>
          <w:rFonts w:hint="eastAsia" w:ascii="宋体" w:hAnsi="宋体"/>
          <w:szCs w:val="21"/>
        </w:rPr>
        <w:t>指理财产品单个开放日净赎回申请（赎回申请份额总数扣除申购申请份额总数）超过前一日终理财产品总份额的</w:t>
      </w:r>
      <w:r>
        <w:rPr>
          <w:rFonts w:ascii="宋体" w:hAnsi="宋体"/>
          <w:szCs w:val="21"/>
        </w:rPr>
        <w:t>10%</w:t>
      </w:r>
      <w:r>
        <w:rPr>
          <w:rFonts w:hint="eastAsia" w:ascii="宋体" w:hAnsi="宋体"/>
          <w:szCs w:val="21"/>
        </w:rPr>
        <w:t>的情形。</w:t>
      </w:r>
      <w:bookmarkEnd w:id="5"/>
    </w:p>
    <w:bookmarkEnd w:id="3"/>
    <w:p w14:paraId="0E4C3EE8">
      <w:pPr>
        <w:adjustRightInd w:val="0"/>
        <w:snapToGrid w:val="0"/>
        <w:spacing w:line="300" w:lineRule="auto"/>
        <w:rPr>
          <w:rFonts w:ascii="宋体" w:hAnsi="宋体"/>
          <w:szCs w:val="21"/>
        </w:rPr>
      </w:pPr>
      <w:r>
        <w:rPr>
          <w:rFonts w:hint="eastAsia" w:ascii="宋体" w:hAnsi="宋体"/>
          <w:b/>
          <w:bCs/>
          <w:kern w:val="0"/>
          <w:szCs w:val="21"/>
        </w:rPr>
        <w:t>7</w:t>
      </w:r>
      <w:r>
        <w:rPr>
          <w:rFonts w:ascii="宋体" w:hAnsi="宋体"/>
          <w:b/>
          <w:bCs/>
          <w:kern w:val="0"/>
          <w:szCs w:val="21"/>
        </w:rPr>
        <w:t>.</w:t>
      </w:r>
      <w:r>
        <w:rPr>
          <w:rFonts w:hint="eastAsia" w:ascii="宋体" w:hAnsi="宋体"/>
          <w:b/>
          <w:bCs/>
          <w:kern w:val="0"/>
          <w:szCs w:val="21"/>
        </w:rPr>
        <w:t>募集期（认购期）：</w:t>
      </w:r>
      <w:r>
        <w:rPr>
          <w:rFonts w:hint="eastAsia" w:ascii="宋体" w:hAnsi="宋体"/>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5956AD3B">
      <w:pPr>
        <w:adjustRightInd w:val="0"/>
        <w:snapToGrid w:val="0"/>
        <w:spacing w:line="300" w:lineRule="auto"/>
        <w:rPr>
          <w:rFonts w:ascii="宋体" w:hAnsi="宋体"/>
          <w:szCs w:val="21"/>
        </w:rPr>
      </w:pPr>
      <w:r>
        <w:rPr>
          <w:rFonts w:hint="eastAsia" w:ascii="宋体" w:hAnsi="宋体"/>
          <w:b/>
          <w:bCs/>
          <w:kern w:val="0"/>
          <w:szCs w:val="21"/>
        </w:rPr>
        <w:t>8</w:t>
      </w:r>
      <w:r>
        <w:rPr>
          <w:rFonts w:ascii="宋体" w:hAnsi="宋体"/>
          <w:b/>
          <w:bCs/>
          <w:kern w:val="0"/>
          <w:szCs w:val="21"/>
        </w:rPr>
        <w:t>.</w:t>
      </w:r>
      <w:r>
        <w:rPr>
          <w:rFonts w:hint="eastAsia" w:ascii="宋体" w:hAnsi="宋体"/>
          <w:b/>
          <w:bCs/>
          <w:kern w:val="0"/>
          <w:szCs w:val="21"/>
        </w:rPr>
        <w:t>产品成立日（认购确认日）</w:t>
      </w:r>
      <w:r>
        <w:rPr>
          <w:rFonts w:hint="eastAsia" w:ascii="宋体" w:hAnsi="宋体"/>
          <w:szCs w:val="21"/>
        </w:rPr>
        <w:t>：指达到本《理财产品说明书》约定的成立条件后，管理人宣布理财产品成立的日期。</w:t>
      </w:r>
    </w:p>
    <w:bookmarkEnd w:id="4"/>
    <w:p w14:paraId="467A4B0B">
      <w:pPr>
        <w:adjustRightInd w:val="0"/>
        <w:snapToGrid w:val="0"/>
        <w:spacing w:line="300" w:lineRule="auto"/>
        <w:rPr>
          <w:rFonts w:ascii="宋体" w:hAnsi="宋体"/>
          <w:szCs w:val="21"/>
        </w:rPr>
      </w:pPr>
      <w:bookmarkStart w:id="6" w:name="_Hlk152850314"/>
      <w:r>
        <w:rPr>
          <w:rFonts w:hint="eastAsia" w:ascii="宋体" w:hAnsi="宋体"/>
          <w:b/>
          <w:bCs/>
          <w:szCs w:val="21"/>
        </w:rPr>
        <w:t>9</w:t>
      </w:r>
      <w:r>
        <w:rPr>
          <w:rFonts w:ascii="宋体" w:hAnsi="宋体"/>
          <w:b/>
          <w:bCs/>
          <w:szCs w:val="21"/>
        </w:rPr>
        <w:t>.</w:t>
      </w:r>
      <w:r>
        <w:rPr>
          <w:rFonts w:hint="eastAsia" w:ascii="宋体" w:hAnsi="宋体"/>
          <w:b/>
          <w:bCs/>
          <w:szCs w:val="21"/>
        </w:rPr>
        <w:t>产品到期日</w:t>
      </w:r>
      <w:r>
        <w:rPr>
          <w:rFonts w:ascii="宋体" w:hAnsi="宋体"/>
          <w:b/>
          <w:bCs/>
          <w:szCs w:val="21"/>
        </w:rPr>
        <w:t>/</w:t>
      </w:r>
      <w:r>
        <w:rPr>
          <w:rFonts w:hint="eastAsia" w:ascii="宋体" w:hAnsi="宋体"/>
          <w:b/>
          <w:bCs/>
          <w:szCs w:val="21"/>
        </w:rPr>
        <w:t>终止日</w:t>
      </w:r>
      <w:r>
        <w:rPr>
          <w:rFonts w:hint="eastAsia" w:ascii="宋体" w:hAnsi="宋体"/>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0BB0FD44">
      <w:pPr>
        <w:autoSpaceDE w:val="0"/>
        <w:autoSpaceDN w:val="0"/>
        <w:adjustRightInd w:val="0"/>
        <w:snapToGrid w:val="0"/>
        <w:spacing w:line="300" w:lineRule="auto"/>
        <w:jc w:val="left"/>
        <w:rPr>
          <w:rFonts w:ascii="宋体" w:hAnsi="宋体"/>
          <w:szCs w:val="21"/>
        </w:rPr>
      </w:pPr>
      <w:r>
        <w:rPr>
          <w:rFonts w:hint="eastAsia" w:ascii="宋体" w:hAnsi="宋体"/>
          <w:b/>
          <w:bCs/>
          <w:szCs w:val="21"/>
        </w:rPr>
        <w:t>10</w:t>
      </w:r>
      <w:r>
        <w:rPr>
          <w:rFonts w:ascii="宋体" w:hAnsi="宋体"/>
          <w:b/>
          <w:bCs/>
          <w:szCs w:val="21"/>
        </w:rPr>
        <w:t>.</w:t>
      </w:r>
      <w:r>
        <w:rPr>
          <w:rFonts w:hint="eastAsia" w:ascii="宋体" w:hAnsi="宋体"/>
          <w:b/>
          <w:bCs/>
          <w:szCs w:val="21"/>
        </w:rPr>
        <w:t>产品存续期</w:t>
      </w:r>
      <w:r>
        <w:rPr>
          <w:rFonts w:ascii="宋体" w:hAnsi="宋体"/>
          <w:b/>
          <w:bCs/>
          <w:szCs w:val="21"/>
        </w:rPr>
        <w:t>/</w:t>
      </w:r>
      <w:r>
        <w:rPr>
          <w:rFonts w:hint="eastAsia" w:ascii="宋体" w:hAnsi="宋体"/>
          <w:b/>
          <w:bCs/>
          <w:szCs w:val="21"/>
        </w:rPr>
        <w:t>存续期：</w:t>
      </w:r>
      <w:r>
        <w:rPr>
          <w:rFonts w:hint="eastAsia" w:ascii="宋体" w:hAnsi="宋体"/>
          <w:szCs w:val="21"/>
        </w:rPr>
        <w:t>指自理财产品成立日起，至理财产品终止日的期间。</w:t>
      </w:r>
    </w:p>
    <w:p w14:paraId="707AC376">
      <w:pPr>
        <w:autoSpaceDE w:val="0"/>
        <w:autoSpaceDN w:val="0"/>
        <w:adjustRightInd w:val="0"/>
        <w:snapToGrid w:val="0"/>
        <w:spacing w:line="300" w:lineRule="auto"/>
        <w:jc w:val="left"/>
        <w:rPr>
          <w:rFonts w:ascii="宋体" w:hAnsi="宋体"/>
          <w:szCs w:val="21"/>
        </w:rPr>
      </w:pPr>
      <w:r>
        <w:rPr>
          <w:rFonts w:hint="eastAsia" w:ascii="宋体" w:hAnsi="宋体"/>
          <w:b/>
          <w:bCs/>
          <w:szCs w:val="21"/>
        </w:rPr>
        <w:t>11</w:t>
      </w:r>
      <w:r>
        <w:rPr>
          <w:rFonts w:ascii="宋体" w:hAnsi="宋体"/>
          <w:b/>
          <w:bCs/>
          <w:szCs w:val="21"/>
        </w:rPr>
        <w:t>.</w:t>
      </w:r>
      <w:r>
        <w:rPr>
          <w:rFonts w:hint="eastAsia" w:ascii="宋体" w:hAnsi="宋体"/>
          <w:b/>
          <w:bCs/>
          <w:szCs w:val="21"/>
        </w:rPr>
        <w:t>工作日：</w:t>
      </w:r>
      <w:r>
        <w:rPr>
          <w:rFonts w:hint="eastAsia" w:ascii="宋体" w:hAnsi="宋体"/>
          <w:szCs w:val="21"/>
        </w:rPr>
        <w:t>指</w:t>
      </w:r>
      <w:r>
        <w:rPr>
          <w:rFonts w:hint="eastAsia" w:ascii="宋体" w:hAnsi="宋体"/>
          <w:bCs/>
          <w:szCs w:val="21"/>
        </w:rPr>
        <w:t>中华人民共和国国家法定工作日</w:t>
      </w:r>
      <w:r>
        <w:rPr>
          <w:rFonts w:hint="eastAsia" w:ascii="宋体" w:hAnsi="宋体"/>
          <w:szCs w:val="21"/>
        </w:rPr>
        <w:t>。</w:t>
      </w:r>
    </w:p>
    <w:p w14:paraId="77A308C4">
      <w:pPr>
        <w:autoSpaceDE w:val="0"/>
        <w:autoSpaceDN w:val="0"/>
        <w:adjustRightInd w:val="0"/>
        <w:snapToGrid w:val="0"/>
        <w:spacing w:line="300" w:lineRule="auto"/>
        <w:jc w:val="left"/>
        <w:rPr>
          <w:rFonts w:ascii="宋体" w:hAnsi="宋体"/>
          <w:szCs w:val="21"/>
        </w:rPr>
      </w:pPr>
      <w:bookmarkStart w:id="7" w:name="_Hlk152860280"/>
      <w:r>
        <w:rPr>
          <w:rFonts w:hint="eastAsia" w:ascii="宋体" w:hAnsi="宋体"/>
          <w:b/>
          <w:bCs/>
          <w:szCs w:val="21"/>
        </w:rPr>
        <w:t>12</w:t>
      </w:r>
      <w:r>
        <w:rPr>
          <w:rFonts w:ascii="宋体" w:hAnsi="宋体"/>
          <w:b/>
          <w:bCs/>
          <w:szCs w:val="21"/>
        </w:rPr>
        <w:t>.</w:t>
      </w:r>
      <w:r>
        <w:rPr>
          <w:rFonts w:hint="eastAsia" w:ascii="宋体" w:hAnsi="宋体"/>
          <w:b/>
          <w:bCs/>
          <w:szCs w:val="21"/>
        </w:rPr>
        <w:t>交易日：</w:t>
      </w:r>
      <w:r>
        <w:rPr>
          <w:rFonts w:hint="eastAsia" w:ascii="宋体" w:hAnsi="宋体"/>
          <w:szCs w:val="21"/>
        </w:rPr>
        <w:t>指中国大陆证券交易所正常开盘交易日。</w:t>
      </w:r>
      <w:bookmarkEnd w:id="7"/>
    </w:p>
    <w:p w14:paraId="4132F967">
      <w:pPr>
        <w:autoSpaceDE w:val="0"/>
        <w:autoSpaceDN w:val="0"/>
        <w:adjustRightInd w:val="0"/>
        <w:snapToGrid w:val="0"/>
        <w:spacing w:line="300" w:lineRule="auto"/>
        <w:jc w:val="left"/>
        <w:rPr>
          <w:rFonts w:ascii="宋体" w:hAnsi="宋体"/>
          <w:szCs w:val="21"/>
        </w:rPr>
      </w:pPr>
      <w:r>
        <w:rPr>
          <w:rFonts w:hint="eastAsia" w:ascii="宋体" w:hAnsi="宋体"/>
          <w:b/>
          <w:bCs/>
          <w:szCs w:val="21"/>
        </w:rPr>
        <w:t>13</w:t>
      </w:r>
      <w:r>
        <w:rPr>
          <w:rFonts w:ascii="宋体" w:hAnsi="宋体"/>
          <w:b/>
          <w:bCs/>
          <w:szCs w:val="21"/>
        </w:rPr>
        <w:t>.</w:t>
      </w:r>
      <w:r>
        <w:rPr>
          <w:rFonts w:hint="eastAsia" w:ascii="宋体" w:hAnsi="宋体"/>
          <w:b/>
          <w:bCs/>
          <w:szCs w:val="21"/>
        </w:rPr>
        <w:t>固定收益类</w:t>
      </w:r>
      <w:r>
        <w:rPr>
          <w:rFonts w:ascii="宋体" w:hAnsi="宋体"/>
          <w:b/>
          <w:bCs/>
          <w:szCs w:val="21"/>
        </w:rPr>
        <w:t>/</w:t>
      </w:r>
      <w:r>
        <w:rPr>
          <w:rFonts w:hint="eastAsia" w:ascii="宋体" w:hAnsi="宋体"/>
          <w:b/>
          <w:bCs/>
          <w:szCs w:val="21"/>
        </w:rPr>
        <w:t>权益类</w:t>
      </w:r>
      <w:r>
        <w:rPr>
          <w:rFonts w:ascii="宋体" w:hAnsi="宋体"/>
          <w:b/>
          <w:bCs/>
          <w:szCs w:val="21"/>
        </w:rPr>
        <w:t>/</w:t>
      </w:r>
      <w:r>
        <w:rPr>
          <w:rFonts w:hint="eastAsia" w:ascii="宋体" w:hAnsi="宋体"/>
          <w:b/>
          <w:bCs/>
          <w:szCs w:val="21"/>
        </w:rPr>
        <w:t>商品及衍生品类/混合类理财产品：</w:t>
      </w:r>
      <w:r>
        <w:rPr>
          <w:rFonts w:hint="eastAsia" w:ascii="宋体" w:hAnsi="宋体"/>
          <w:szCs w:val="21"/>
        </w:rPr>
        <w:t>固定收益类理财产品是指投资于存款、债券等债权类资产的比例不低于</w:t>
      </w:r>
      <w:r>
        <w:rPr>
          <w:rFonts w:ascii="宋体" w:hAnsi="宋体"/>
          <w:szCs w:val="21"/>
        </w:rPr>
        <w:t>80</w:t>
      </w:r>
      <w:r>
        <w:rPr>
          <w:rFonts w:hint="eastAsia" w:ascii="宋体" w:hAnsi="宋体"/>
          <w:szCs w:val="21"/>
        </w:rPr>
        <w:t>％的理财产品，权益类理财产品是指投资于股票等权益类资产的比例不低于</w:t>
      </w:r>
      <w:r>
        <w:rPr>
          <w:rFonts w:ascii="宋体" w:hAnsi="宋体"/>
          <w:szCs w:val="21"/>
        </w:rPr>
        <w:t>80</w:t>
      </w:r>
      <w:r>
        <w:rPr>
          <w:rFonts w:hint="eastAsia" w:ascii="宋体" w:hAnsi="宋体"/>
          <w:szCs w:val="21"/>
        </w:rPr>
        <w:t>％的理财产品，商品及金融衍生品类理财产品是指投资于商品及金融衍生品的比例不低于</w:t>
      </w:r>
      <w:r>
        <w:rPr>
          <w:rFonts w:ascii="宋体" w:hAnsi="宋体"/>
          <w:szCs w:val="21"/>
        </w:rPr>
        <w:t>80</w:t>
      </w:r>
      <w:r>
        <w:rPr>
          <w:rFonts w:hint="eastAsia" w:ascii="宋体" w:hAnsi="宋体"/>
          <w:szCs w:val="21"/>
        </w:rPr>
        <w:t>％的理财产品，混合类理财产品是指投资于债权类资产、权益类资产、商品及金融衍生品类资产且任一资产的投资比例未达到前三类产品标准的理财产品。</w:t>
      </w:r>
    </w:p>
    <w:p w14:paraId="19E4B528">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hint="eastAsia" w:ascii="宋体" w:hAnsi="宋体"/>
          <w:b/>
          <w:bCs/>
          <w:szCs w:val="21"/>
        </w:rPr>
        <w:t>4</w:t>
      </w:r>
      <w:r>
        <w:rPr>
          <w:rFonts w:ascii="宋体" w:hAnsi="宋体"/>
          <w:b/>
          <w:bCs/>
          <w:szCs w:val="21"/>
        </w:rPr>
        <w:t>.</w:t>
      </w:r>
      <w:bookmarkStart w:id="8" w:name="_Hlk155863124"/>
      <w:r>
        <w:rPr>
          <w:rFonts w:hint="eastAsia" w:ascii="宋体" w:hAnsi="宋体"/>
          <w:b/>
          <w:bCs/>
          <w:szCs w:val="21"/>
        </w:rPr>
        <w:t>公募理财产品：</w:t>
      </w:r>
      <w:r>
        <w:rPr>
          <w:rFonts w:hint="eastAsia" w:ascii="宋体" w:hAnsi="宋体"/>
          <w:szCs w:val="21"/>
        </w:rPr>
        <w:t>指面向不特定社会公众公开发行的理财产品。</w:t>
      </w:r>
    </w:p>
    <w:bookmarkEnd w:id="8"/>
    <w:p w14:paraId="1C5CD28F">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hint="eastAsia" w:ascii="宋体" w:hAnsi="宋体"/>
          <w:b/>
          <w:bCs/>
          <w:szCs w:val="21"/>
        </w:rPr>
        <w:t>5</w:t>
      </w:r>
      <w:r>
        <w:rPr>
          <w:rFonts w:ascii="宋体" w:hAnsi="宋体"/>
          <w:b/>
          <w:bCs/>
          <w:szCs w:val="21"/>
        </w:rPr>
        <w:t>.</w:t>
      </w:r>
      <w:bookmarkStart w:id="9"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p w14:paraId="5631252E">
      <w:pPr>
        <w:autoSpaceDE w:val="0"/>
        <w:autoSpaceDN w:val="0"/>
        <w:adjustRightInd w:val="0"/>
        <w:snapToGrid w:val="0"/>
        <w:spacing w:line="300" w:lineRule="auto"/>
        <w:jc w:val="left"/>
        <w:rPr>
          <w:rFonts w:ascii="宋体" w:hAnsi="宋体"/>
          <w:b/>
          <w:bCs/>
          <w:szCs w:val="21"/>
        </w:rPr>
      </w:pPr>
      <w:r>
        <w:rPr>
          <w:rFonts w:hint="eastAsia" w:ascii="宋体" w:hAnsi="宋体"/>
          <w:b/>
          <w:bCs/>
          <w:szCs w:val="21"/>
        </w:rPr>
        <w:t>16</w:t>
      </w:r>
      <w:r>
        <w:rPr>
          <w:rFonts w:ascii="宋体" w:hAnsi="宋体"/>
          <w:b/>
          <w:bCs/>
          <w:szCs w:val="21"/>
        </w:rPr>
        <w:t>.</w:t>
      </w: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p>
    <w:p w14:paraId="6E1F1C43">
      <w:pPr>
        <w:autoSpaceDE w:val="0"/>
        <w:autoSpaceDN w:val="0"/>
        <w:adjustRightInd w:val="0"/>
        <w:snapToGrid w:val="0"/>
        <w:spacing w:line="300" w:lineRule="auto"/>
        <w:jc w:val="left"/>
        <w:rPr>
          <w:rFonts w:ascii="宋体" w:hAnsi="宋体"/>
          <w:szCs w:val="21"/>
        </w:rPr>
      </w:pPr>
      <w:r>
        <w:rPr>
          <w:rFonts w:hint="eastAsia" w:ascii="宋体" w:hAnsi="宋体"/>
          <w:b/>
          <w:bCs/>
          <w:szCs w:val="21"/>
        </w:rPr>
        <w:t>17</w:t>
      </w:r>
      <w:r>
        <w:rPr>
          <w:rFonts w:ascii="宋体" w:hAnsi="宋体"/>
          <w:b/>
          <w:bCs/>
          <w:szCs w:val="21"/>
        </w:rPr>
        <w:t>.</w:t>
      </w: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01AE7F0B">
      <w:pPr>
        <w:autoSpaceDE w:val="0"/>
        <w:autoSpaceDN w:val="0"/>
        <w:adjustRightInd w:val="0"/>
        <w:snapToGrid w:val="0"/>
        <w:spacing w:line="300" w:lineRule="auto"/>
        <w:jc w:val="left"/>
        <w:rPr>
          <w:rFonts w:ascii="宋体" w:hAnsi="宋体"/>
          <w:szCs w:val="21"/>
        </w:rPr>
      </w:pPr>
      <w:r>
        <w:rPr>
          <w:rFonts w:hint="eastAsia" w:ascii="宋体" w:hAnsi="宋体"/>
          <w:b/>
          <w:bCs/>
          <w:szCs w:val="21"/>
        </w:rPr>
        <w:t>18</w:t>
      </w:r>
      <w:r>
        <w:rPr>
          <w:rFonts w:ascii="宋体" w:hAnsi="宋体"/>
          <w:b/>
          <w:bCs/>
          <w:szCs w:val="21"/>
        </w:rPr>
        <w:t>.</w:t>
      </w:r>
      <w:r>
        <w:rPr>
          <w:rFonts w:hint="eastAsia" w:ascii="宋体" w:hAnsi="宋体"/>
          <w:b/>
          <w:bCs/>
          <w:szCs w:val="21"/>
        </w:rPr>
        <w:t>理财产品估值：</w:t>
      </w:r>
      <w:r>
        <w:rPr>
          <w:rFonts w:hint="eastAsia" w:ascii="宋体" w:hAnsi="宋体"/>
          <w:szCs w:val="21"/>
        </w:rPr>
        <w:t>指计算评估理财产品资产以确定理财产品单位净值的过程。</w:t>
      </w:r>
    </w:p>
    <w:p w14:paraId="79D8E1CD">
      <w:pPr>
        <w:autoSpaceDE w:val="0"/>
        <w:autoSpaceDN w:val="0"/>
        <w:adjustRightInd w:val="0"/>
        <w:snapToGrid w:val="0"/>
        <w:spacing w:line="300" w:lineRule="auto"/>
        <w:jc w:val="left"/>
        <w:rPr>
          <w:rFonts w:ascii="宋体" w:hAnsi="宋体"/>
          <w:szCs w:val="21"/>
        </w:rPr>
      </w:pPr>
      <w:r>
        <w:rPr>
          <w:rFonts w:hint="eastAsia" w:ascii="宋体" w:hAnsi="宋体"/>
          <w:b/>
          <w:bCs/>
          <w:szCs w:val="21"/>
        </w:rPr>
        <w:t>19</w:t>
      </w:r>
      <w:r>
        <w:rPr>
          <w:rFonts w:ascii="宋体" w:hAnsi="宋体"/>
          <w:b/>
          <w:bCs/>
          <w:szCs w:val="21"/>
        </w:rPr>
        <w:t>.</w:t>
      </w:r>
      <w:r>
        <w:rPr>
          <w:rFonts w:hint="eastAsia" w:ascii="宋体" w:hAnsi="宋体"/>
          <w:b/>
          <w:bCs/>
          <w:szCs w:val="21"/>
        </w:rPr>
        <w:t>元：</w:t>
      </w:r>
      <w:r>
        <w:rPr>
          <w:rFonts w:hint="eastAsia" w:ascii="宋体" w:hAnsi="宋体"/>
          <w:szCs w:val="21"/>
        </w:rPr>
        <w:t>指人民币元。</w:t>
      </w:r>
    </w:p>
    <w:p w14:paraId="158BE240">
      <w:pPr>
        <w:autoSpaceDE w:val="0"/>
        <w:autoSpaceDN w:val="0"/>
        <w:adjustRightInd w:val="0"/>
        <w:snapToGrid w:val="0"/>
        <w:spacing w:line="300" w:lineRule="auto"/>
        <w:jc w:val="left"/>
        <w:rPr>
          <w:rFonts w:ascii="宋体" w:hAnsi="宋体"/>
          <w:b/>
          <w:bCs/>
          <w:szCs w:val="21"/>
        </w:rPr>
      </w:pPr>
      <w:r>
        <w:rPr>
          <w:rFonts w:ascii="宋体" w:hAnsi="宋体"/>
          <w:b/>
          <w:bCs/>
          <w:szCs w:val="21"/>
        </w:rPr>
        <w:t>2</w:t>
      </w:r>
      <w:r>
        <w:rPr>
          <w:rFonts w:hint="eastAsia" w:ascii="宋体" w:hAnsi="宋体"/>
          <w:b/>
          <w:bCs/>
          <w:szCs w:val="21"/>
        </w:rPr>
        <w:t>0</w:t>
      </w:r>
      <w:r>
        <w:rPr>
          <w:rFonts w:ascii="宋体" w:hAnsi="宋体"/>
          <w:b/>
          <w:bCs/>
          <w:szCs w:val="21"/>
        </w:rPr>
        <w:t>.</w:t>
      </w: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4D3DA23B">
      <w:pPr>
        <w:autoSpaceDE w:val="0"/>
        <w:autoSpaceDN w:val="0"/>
        <w:adjustRightInd w:val="0"/>
        <w:snapToGrid w:val="0"/>
        <w:spacing w:line="300" w:lineRule="auto"/>
        <w:jc w:val="left"/>
        <w:rPr>
          <w:rFonts w:ascii="宋体" w:hAnsi="宋体"/>
          <w:b/>
          <w:bCs/>
          <w:szCs w:val="21"/>
        </w:rPr>
      </w:pPr>
      <w:r>
        <w:rPr>
          <w:rFonts w:hint="eastAsia" w:ascii="宋体" w:hAnsi="宋体"/>
          <w:b/>
          <w:bCs/>
          <w:szCs w:val="21"/>
        </w:rPr>
        <w:t>21</w:t>
      </w:r>
      <w:r>
        <w:rPr>
          <w:rFonts w:ascii="宋体" w:hAnsi="宋体"/>
          <w:b/>
          <w:bCs/>
          <w:szCs w:val="21"/>
        </w:rPr>
        <w:t>.</w:t>
      </w:r>
      <w:r>
        <w:rPr>
          <w:rFonts w:hint="eastAsia" w:ascii="宋体" w:hAnsi="宋体"/>
          <w:b/>
          <w:bCs/>
          <w:szCs w:val="21"/>
        </w:rPr>
        <w:t>意外事件：包括但不限于系统故障、通讯故障、电力系统故障、金融危机、投资市场或投资品无法正常交易等情况。</w:t>
      </w:r>
    </w:p>
    <w:p w14:paraId="70C6E574">
      <w:pPr>
        <w:autoSpaceDE w:val="0"/>
        <w:autoSpaceDN w:val="0"/>
        <w:adjustRightInd w:val="0"/>
        <w:spacing w:line="276" w:lineRule="auto"/>
        <w:jc w:val="left"/>
        <w:rPr>
          <w:rFonts w:ascii="宋体" w:hAnsi="宋体"/>
          <w:b/>
          <w:bCs/>
          <w:szCs w:val="21"/>
        </w:rPr>
      </w:pPr>
    </w:p>
    <w:bookmarkEnd w:id="0"/>
    <w:bookmarkEnd w:id="1"/>
    <w:p w14:paraId="69E06909">
      <w:pPr>
        <w:spacing w:line="276" w:lineRule="auto"/>
        <w:outlineLvl w:val="0"/>
        <w:rPr>
          <w:rFonts w:ascii="Times New Roman" w:hAnsi="Times New Roman"/>
          <w:b/>
          <w:bCs/>
          <w:szCs w:val="21"/>
        </w:rPr>
      </w:pPr>
      <w:r>
        <w:rPr>
          <w:rFonts w:hint="eastAsia" w:ascii="Times New Roman" w:hAnsi="Times New Roman"/>
          <w:b/>
          <w:bCs/>
          <w:szCs w:val="21"/>
        </w:rPr>
        <w:t>一、产品概述</w:t>
      </w:r>
    </w:p>
    <w:tbl>
      <w:tblPr>
        <w:tblStyle w:val="11"/>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6213"/>
        <w:gridCol w:w="15"/>
      </w:tblGrid>
      <w:tr w14:paraId="4590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9B95FD6">
            <w:pPr>
              <w:spacing w:line="276" w:lineRule="auto"/>
              <w:jc w:val="center"/>
              <w:rPr>
                <w:rFonts w:ascii="Times New Roman" w:hAnsi="Times New Roman"/>
                <w:bCs/>
                <w:szCs w:val="21"/>
              </w:rPr>
            </w:pPr>
            <w:r>
              <w:rPr>
                <w:rFonts w:hint="eastAsia" w:ascii="Times New Roman" w:hAnsi="Times New Roman"/>
                <w:bCs/>
                <w:szCs w:val="21"/>
              </w:rPr>
              <w:t>产品名称</w:t>
            </w:r>
          </w:p>
        </w:tc>
        <w:tc>
          <w:tcPr>
            <w:tcW w:w="6213" w:type="dxa"/>
          </w:tcPr>
          <w:p w14:paraId="2382E496">
            <w:pPr>
              <w:spacing w:line="276" w:lineRule="auto"/>
              <w:rPr>
                <w:rFonts w:ascii="Times New Roman" w:hAnsi="Times New Roman"/>
                <w:bCs/>
                <w:szCs w:val="21"/>
              </w:rPr>
            </w:pPr>
            <w:r>
              <w:rPr>
                <w:rFonts w:hint="eastAsia" w:ascii="Times New Roman" w:hAnsi="Times New Roman" w:cs="宋体"/>
                <w:bCs/>
                <w:szCs w:val="21"/>
                <w:lang w:eastAsia="zh-CN"/>
              </w:rPr>
              <w:t>渝农商理财兴时</w:t>
            </w:r>
            <w:r>
              <w:rPr>
                <w:rFonts w:hint="eastAsia" w:ascii="Times New Roman" w:hAnsi="Times New Roman" w:cs="宋体"/>
                <w:bCs/>
                <w:szCs w:val="21"/>
                <w:lang w:val="en-US" w:eastAsia="zh-CN"/>
              </w:rPr>
              <w:t>丰收</w:t>
            </w:r>
            <w:r>
              <w:rPr>
                <w:rFonts w:hint="eastAsia" w:ascii="Times New Roman" w:hAnsi="Times New Roman" w:cs="宋体"/>
                <w:bCs/>
                <w:szCs w:val="21"/>
                <w:lang w:eastAsia="zh-CN"/>
              </w:rPr>
              <w:t>（最短持有</w:t>
            </w:r>
            <w:r>
              <w:rPr>
                <w:rFonts w:hint="eastAsia" w:ascii="Times New Roman" w:hAnsi="Times New Roman" w:cs="宋体"/>
                <w:bCs/>
                <w:szCs w:val="21"/>
                <w:lang w:val="en-US" w:eastAsia="zh-CN"/>
              </w:rPr>
              <w:t>14</w:t>
            </w:r>
            <w:r>
              <w:rPr>
                <w:rFonts w:hint="eastAsia" w:ascii="Times New Roman" w:hAnsi="Times New Roman" w:cs="宋体"/>
                <w:bCs/>
                <w:szCs w:val="21"/>
                <w:lang w:eastAsia="zh-CN"/>
              </w:rPr>
              <w:t>天）每日开放8号</w:t>
            </w:r>
          </w:p>
        </w:tc>
      </w:tr>
      <w:tr w14:paraId="315A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9304628">
            <w:pPr>
              <w:spacing w:line="276" w:lineRule="auto"/>
              <w:jc w:val="center"/>
              <w:rPr>
                <w:rFonts w:ascii="Times New Roman" w:hAnsi="Times New Roman"/>
                <w:bCs/>
                <w:szCs w:val="21"/>
              </w:rPr>
            </w:pPr>
            <w:r>
              <w:rPr>
                <w:rFonts w:hint="eastAsia" w:ascii="Times New Roman" w:hAnsi="Times New Roman"/>
                <w:bCs/>
                <w:szCs w:val="21"/>
              </w:rPr>
              <w:t>产品编号</w:t>
            </w:r>
          </w:p>
        </w:tc>
        <w:tc>
          <w:tcPr>
            <w:tcW w:w="6213" w:type="dxa"/>
          </w:tcPr>
          <w:p w14:paraId="78D3D6D2">
            <w:pPr>
              <w:spacing w:line="276" w:lineRule="auto"/>
              <w:rPr>
                <w:rFonts w:ascii="Times New Roman" w:hAnsi="Times New Roman"/>
                <w:szCs w:val="21"/>
              </w:rPr>
            </w:pP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p>
        </w:tc>
      </w:tr>
      <w:tr w14:paraId="5439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27EBAD5C">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6213" w:type="dxa"/>
          </w:tcPr>
          <w:p w14:paraId="373D461A">
            <w:pPr>
              <w:spacing w:line="276" w:lineRule="auto"/>
              <w:rPr>
                <w:rFonts w:ascii="Times New Roman" w:hAnsi="Times New Roman"/>
                <w:bCs/>
                <w:szCs w:val="21"/>
              </w:rPr>
            </w:pPr>
            <w:r>
              <w:rPr>
                <w:rFonts w:hint="eastAsia" w:ascii="Times New Roman" w:hAnsi="Times New Roman"/>
                <w:bCs/>
                <w:szCs w:val="21"/>
              </w:rPr>
              <w:t>Z7002724000713</w:t>
            </w:r>
            <w:r>
              <w:rPr>
                <w:rFonts w:hint="eastAsia" w:ascii="Times New Roman" w:hAnsi="Times New Roman"/>
                <w:szCs w:val="21"/>
              </w:rPr>
              <w:t>。</w:t>
            </w:r>
            <w:r>
              <w:rPr>
                <w:rFonts w:hint="eastAsia" w:ascii="Times New Roman" w:hAnsi="Times New Roman" w:cs="宋体"/>
                <w:bCs/>
                <w:szCs w:val="21"/>
              </w:rPr>
              <w:t>投资者</w:t>
            </w:r>
            <w:r>
              <w:rPr>
                <w:rFonts w:hint="eastAsia" w:ascii="Times New Roman" w:hAnsi="Times New Roman" w:cs="宋体"/>
                <w:szCs w:val="21"/>
              </w:rPr>
              <w:t>可依据本产品理财信息系统登记编码在“中国理财网（</w:t>
            </w:r>
            <w:r>
              <w:rPr>
                <w:rFonts w:ascii="Times New Roman" w:hAnsi="Times New Roman" w:cs="宋体"/>
                <w:szCs w:val="21"/>
              </w:rPr>
              <w:t>www.chinawealth.com.cn）”上查询产品信息</w:t>
            </w:r>
            <w:r>
              <w:rPr>
                <w:rFonts w:hint="eastAsia" w:ascii="Times New Roman" w:hAnsi="Times New Roman"/>
                <w:szCs w:val="21"/>
              </w:rPr>
              <w:t>。</w:t>
            </w:r>
          </w:p>
        </w:tc>
      </w:tr>
      <w:tr w14:paraId="17F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44336C56">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6213" w:type="dxa"/>
          </w:tcPr>
          <w:p w14:paraId="445B433C">
            <w:pPr>
              <w:spacing w:line="276" w:lineRule="auto"/>
              <w:rPr>
                <w:rFonts w:ascii="Times New Roman" w:hAnsi="Times New Roman"/>
                <w:bCs/>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693E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39" w:type="dxa"/>
            <w:vAlign w:val="center"/>
          </w:tcPr>
          <w:p w14:paraId="7A3D0FB4">
            <w:pPr>
              <w:spacing w:line="276" w:lineRule="auto"/>
              <w:jc w:val="center"/>
              <w:rPr>
                <w:rFonts w:ascii="Times New Roman" w:hAnsi="Times New Roman" w:cs="宋体"/>
                <w:bCs/>
                <w:szCs w:val="21"/>
              </w:rPr>
            </w:pPr>
            <w:r>
              <w:rPr>
                <w:rFonts w:hint="eastAsia" w:ascii="Times New Roman" w:hAnsi="Times New Roman"/>
                <w:bCs/>
                <w:szCs w:val="21"/>
              </w:rPr>
              <w:t>理财产品份额类别</w:t>
            </w:r>
          </w:p>
        </w:tc>
        <w:tc>
          <w:tcPr>
            <w:tcW w:w="6228" w:type="dxa"/>
            <w:gridSpan w:val="2"/>
          </w:tcPr>
          <w:p w14:paraId="7B15780E">
            <w:pPr>
              <w:spacing w:line="276" w:lineRule="auto"/>
              <w:rPr>
                <w:rFonts w:ascii="Times New Roman" w:hAnsi="Times New Roman" w:cs="宋体"/>
                <w:szCs w:val="21"/>
              </w:rPr>
            </w:pPr>
            <w:r>
              <w:rPr>
                <w:rFonts w:hint="eastAsia" w:ascii="Times New Roman" w:hAnsi="Times New Roman" w:cs="宋体"/>
                <w:szCs w:val="21"/>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1EE09C2F">
            <w:pPr>
              <w:spacing w:line="276" w:lineRule="auto"/>
              <w:rPr>
                <w:rFonts w:hint="eastAsia"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ascii="Times New Roman" w:hAnsi="Times New Roman" w:cs="宋体"/>
                <w:szCs w:val="21"/>
              </w:rPr>
              <w:t>A</w:t>
            </w:r>
            <w:r>
              <w:rPr>
                <w:rFonts w:hint="eastAsia" w:ascii="Times New Roman" w:hAnsi="Times New Roman" w:cs="宋体"/>
                <w:szCs w:val="21"/>
              </w:rPr>
              <w:tab/>
            </w:r>
          </w:p>
          <w:p w14:paraId="76C7B3E2">
            <w:pPr>
              <w:spacing w:line="276" w:lineRule="auto"/>
              <w:rPr>
                <w:rFonts w:ascii="Times New Roman" w:hAnsi="Times New Roman" w:cs="宋体"/>
                <w:szCs w:val="21"/>
              </w:rPr>
            </w:pPr>
            <w:r>
              <w:rPr>
                <w:rFonts w:hint="eastAsia" w:ascii="Times New Roman" w:hAnsi="Times New Roman" w:cs="宋体"/>
                <w:szCs w:val="21"/>
                <w:lang w:val="en-US" w:eastAsia="zh-CN"/>
              </w:rPr>
              <w:t>B</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B</w:t>
            </w:r>
            <w:r>
              <w:rPr>
                <w:rFonts w:hint="eastAsia" w:ascii="Times New Roman" w:hAnsi="Times New Roman" w:cs="宋体"/>
                <w:szCs w:val="21"/>
              </w:rPr>
              <w:tab/>
            </w:r>
          </w:p>
          <w:p w14:paraId="22AF065B">
            <w:pPr>
              <w:spacing w:line="276" w:lineRule="auto"/>
              <w:rPr>
                <w:rFonts w:ascii="Times New Roman" w:hAnsi="Times New Roman" w:cs="宋体"/>
                <w:szCs w:val="21"/>
              </w:rPr>
            </w:pPr>
            <w:r>
              <w:rPr>
                <w:rFonts w:hint="eastAsia" w:ascii="Times New Roman" w:hAnsi="Times New Roman" w:cs="宋体"/>
                <w:szCs w:val="21"/>
                <w:lang w:val="en-US" w:eastAsia="zh-CN"/>
              </w:rPr>
              <w:t>C</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C</w:t>
            </w:r>
            <w:r>
              <w:rPr>
                <w:rFonts w:hint="eastAsia" w:ascii="Times New Roman" w:hAnsi="Times New Roman" w:cs="宋体"/>
                <w:szCs w:val="21"/>
              </w:rPr>
              <w:tab/>
            </w:r>
          </w:p>
          <w:p w14:paraId="344F6B95">
            <w:pPr>
              <w:spacing w:line="276" w:lineRule="auto"/>
              <w:rPr>
                <w:rFonts w:hint="eastAsia" w:ascii="Times New Roman" w:hAnsi="Times New Roman"/>
                <w:bCs/>
                <w:szCs w:val="21"/>
                <w:lang w:val="en-US" w:eastAsia="zh-CN"/>
              </w:rPr>
            </w:pPr>
            <w:r>
              <w:rPr>
                <w:rFonts w:hint="eastAsia" w:ascii="Times New Roman" w:hAnsi="Times New Roman" w:cs="宋体"/>
                <w:szCs w:val="21"/>
                <w:lang w:val="en-US" w:eastAsia="zh-CN"/>
              </w:rPr>
              <w:t>D</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D</w:t>
            </w:r>
          </w:p>
          <w:p w14:paraId="716E091B">
            <w:pPr>
              <w:spacing w:line="276" w:lineRule="auto"/>
              <w:rPr>
                <w:rFonts w:hint="eastAsia" w:ascii="Times New Roman" w:hAnsi="Times New Roman" w:cs="宋体"/>
                <w:szCs w:val="21"/>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bCs/>
                <w:szCs w:val="21"/>
                <w:lang w:eastAsia="zh-CN"/>
              </w:rPr>
              <w:t>24GSGK13</w:t>
            </w:r>
            <w:r>
              <w:rPr>
                <w:rFonts w:hint="eastAsia" w:ascii="Times New Roman" w:hAnsi="Times New Roman"/>
                <w:bCs/>
                <w:szCs w:val="21"/>
                <w:lang w:val="en-US" w:eastAsia="zh-CN"/>
              </w:rPr>
              <w:t>11</w:t>
            </w:r>
            <w:r>
              <w:rPr>
                <w:rFonts w:hint="eastAsia" w:ascii="Times New Roman" w:hAnsi="Times New Roman"/>
                <w:bCs/>
                <w:szCs w:val="21"/>
                <w:lang w:eastAsia="zh-CN"/>
              </w:rPr>
              <w:t>8</w:t>
            </w:r>
            <w:r>
              <w:rPr>
                <w:rFonts w:hint="eastAsia" w:ascii="Times New Roman" w:hAnsi="Times New Roman"/>
                <w:bCs/>
                <w:szCs w:val="21"/>
                <w:lang w:val="en-US" w:eastAsia="zh-CN"/>
              </w:rPr>
              <w:t>E</w:t>
            </w:r>
            <w:r>
              <w:rPr>
                <w:rFonts w:hint="eastAsia" w:ascii="Times New Roman" w:hAnsi="Times New Roman" w:cs="宋体"/>
                <w:szCs w:val="21"/>
              </w:rPr>
              <w:tab/>
            </w:r>
          </w:p>
          <w:p w14:paraId="1BA64AF5">
            <w:pPr>
              <w:spacing w:line="276" w:lineRule="auto"/>
              <w:rPr>
                <w:rFonts w:ascii="Times New Roman" w:hAnsi="Times New Roman" w:cs="宋体"/>
                <w:szCs w:val="21"/>
              </w:rPr>
            </w:pPr>
            <w:r>
              <w:rPr>
                <w:rFonts w:hint="eastAsia" w:ascii="Times New Roman" w:hAnsi="Times New Roman" w:cs="宋体"/>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cs="宋体"/>
                <w:b/>
                <w:bCs/>
                <w:szCs w:val="21"/>
              </w:rPr>
              <w:t>投资者未在变更生效前提出赎回申请的，视为同意接受变更后条款</w:t>
            </w:r>
            <w:r>
              <w:rPr>
                <w:rFonts w:hint="eastAsia" w:ascii="Times New Roman" w:hAnsi="Times New Roman" w:cs="宋体"/>
                <w:szCs w:val="21"/>
              </w:rPr>
              <w:t>，产品管理人有权按照变更后的约定内容进行操作。</w:t>
            </w:r>
          </w:p>
        </w:tc>
      </w:tr>
      <w:tr w14:paraId="7928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6F235801">
            <w:pPr>
              <w:spacing w:line="276" w:lineRule="auto"/>
              <w:jc w:val="center"/>
              <w:rPr>
                <w:rFonts w:ascii="Times New Roman" w:hAnsi="Times New Roman"/>
                <w:bCs/>
                <w:szCs w:val="21"/>
              </w:rPr>
            </w:pPr>
            <w:r>
              <w:rPr>
                <w:rFonts w:hint="eastAsia" w:ascii="Times New Roman" w:hAnsi="Times New Roman" w:cs="宋体"/>
                <w:bCs/>
                <w:szCs w:val="21"/>
              </w:rPr>
              <w:t>销售对象</w:t>
            </w:r>
          </w:p>
        </w:tc>
        <w:tc>
          <w:tcPr>
            <w:tcW w:w="6213" w:type="dxa"/>
          </w:tcPr>
          <w:p w14:paraId="6DB78502">
            <w:pPr>
              <w:spacing w:line="276" w:lineRule="auto"/>
              <w:rPr>
                <w:rFonts w:ascii="Times New Roman" w:hAnsi="Times New Roman"/>
                <w:bCs/>
                <w:szCs w:val="21"/>
              </w:rPr>
            </w:pPr>
            <w:r>
              <w:rPr>
                <w:rFonts w:hint="eastAsia" w:ascii="Times New Roman" w:hAnsi="Times New Roman" w:cs="宋体"/>
                <w:szCs w:val="21"/>
              </w:rPr>
              <w:t>不特定社会公众</w:t>
            </w:r>
          </w:p>
        </w:tc>
      </w:tr>
      <w:tr w14:paraId="5C0A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1B073182">
            <w:pPr>
              <w:spacing w:line="276" w:lineRule="auto"/>
              <w:jc w:val="center"/>
              <w:rPr>
                <w:rFonts w:ascii="Times New Roman" w:hAnsi="Times New Roman" w:cs="宋体"/>
                <w:bCs/>
                <w:szCs w:val="21"/>
              </w:rPr>
            </w:pPr>
            <w:r>
              <w:rPr>
                <w:rFonts w:hint="eastAsia" w:ascii="Times New Roman" w:hAnsi="Times New Roman" w:cs="宋体"/>
                <w:bCs/>
                <w:szCs w:val="21"/>
              </w:rPr>
              <w:t>适合投资者类型</w:t>
            </w:r>
          </w:p>
        </w:tc>
        <w:tc>
          <w:tcPr>
            <w:tcW w:w="6213" w:type="dxa"/>
          </w:tcPr>
          <w:p w14:paraId="7AC12AD0">
            <w:pPr>
              <w:spacing w:line="276" w:lineRule="auto"/>
              <w:rPr>
                <w:rFonts w:ascii="Times New Roman" w:hAnsi="Times New Roman" w:cs="宋体"/>
                <w:szCs w:val="21"/>
              </w:rPr>
            </w:pPr>
            <w:r>
              <w:rPr>
                <w:rFonts w:hint="eastAsia" w:ascii="Times New Roman" w:hAnsi="Times New Roman" w:cs="宋体"/>
                <w:szCs w:val="21"/>
              </w:rPr>
              <w:t>本产品适合稳健型、平衡型、积极型、激进型的个人投资者，机构投资者。</w:t>
            </w:r>
          </w:p>
          <w:p w14:paraId="7EB0C7E4">
            <w:pPr>
              <w:spacing w:line="276" w:lineRule="auto"/>
              <w:rPr>
                <w:rFonts w:ascii="Times New Roman" w:hAnsi="Times New Roman" w:cs="宋体"/>
                <w:szCs w:val="21"/>
              </w:rPr>
            </w:pPr>
            <w:r>
              <w:rPr>
                <w:rFonts w:hint="eastAsia" w:ascii="Times New Roman" w:hAnsi="Times New Roman" w:cs="宋体"/>
                <w:szCs w:val="21"/>
              </w:rPr>
              <w:t>其中：</w:t>
            </w:r>
          </w:p>
          <w:p w14:paraId="6A600A04">
            <w:pPr>
              <w:spacing w:line="276" w:lineRule="auto"/>
              <w:rPr>
                <w:rFonts w:ascii="Times New Roman" w:hAnsi="Times New Roman" w:cs="宋体"/>
                <w:szCs w:val="21"/>
              </w:rPr>
            </w:pPr>
            <w:r>
              <w:rPr>
                <w:rFonts w:hint="eastAsia" w:ascii="Times New Roman" w:hAnsi="Times New Roman" w:cs="宋体"/>
                <w:szCs w:val="21"/>
              </w:rPr>
              <w:t>A份额适合稳健型、平衡型、积极型、激进型的个人投资者，机构投资者</w:t>
            </w:r>
            <w:r>
              <w:rPr>
                <w:rFonts w:ascii="Times New Roman" w:hAnsi="Times New Roman" w:cs="宋体"/>
                <w:szCs w:val="21"/>
              </w:rPr>
              <w:t>。</w:t>
            </w:r>
          </w:p>
          <w:p w14:paraId="3C505C79">
            <w:pPr>
              <w:spacing w:line="276" w:lineRule="auto"/>
              <w:rPr>
                <w:rFonts w:ascii="Times New Roman" w:hAnsi="Times New Roman" w:cs="宋体"/>
                <w:szCs w:val="21"/>
              </w:rPr>
            </w:pPr>
            <w:r>
              <w:rPr>
                <w:rFonts w:hint="eastAsia" w:ascii="Times New Roman" w:hAnsi="Times New Roman" w:cs="宋体"/>
                <w:szCs w:val="21"/>
                <w:lang w:val="en-US" w:eastAsia="zh-CN"/>
              </w:rPr>
              <w:t>B</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76DADBD8">
            <w:pPr>
              <w:spacing w:line="276" w:lineRule="auto"/>
              <w:rPr>
                <w:rFonts w:ascii="Times New Roman" w:hAnsi="Times New Roman" w:cs="宋体"/>
                <w:szCs w:val="21"/>
              </w:rPr>
            </w:pPr>
            <w:r>
              <w:rPr>
                <w:rFonts w:hint="eastAsia" w:ascii="Times New Roman" w:hAnsi="Times New Roman" w:cs="宋体"/>
                <w:szCs w:val="21"/>
                <w:lang w:val="en-US" w:eastAsia="zh-CN"/>
              </w:rPr>
              <w:t>C</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751D04A4">
            <w:pPr>
              <w:spacing w:line="276" w:lineRule="auto"/>
              <w:rPr>
                <w:rFonts w:ascii="Times New Roman" w:hAnsi="Times New Roman" w:cs="宋体"/>
                <w:szCs w:val="21"/>
              </w:rPr>
            </w:pPr>
            <w:r>
              <w:rPr>
                <w:rFonts w:hint="eastAsia" w:ascii="Times New Roman" w:hAnsi="Times New Roman" w:cs="宋体"/>
                <w:szCs w:val="21"/>
                <w:lang w:val="en-US" w:eastAsia="zh-CN"/>
              </w:rPr>
              <w:t>D</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076D8E1C">
            <w:pPr>
              <w:spacing w:line="276" w:lineRule="auto"/>
              <w:rPr>
                <w:rFonts w:ascii="Times New Roman" w:hAnsi="Times New Roman" w:cs="宋体"/>
                <w:szCs w:val="21"/>
              </w:rPr>
            </w:pPr>
            <w:r>
              <w:rPr>
                <w:rFonts w:hint="eastAsia" w:ascii="Times New Roman" w:hAnsi="Times New Roman" w:cs="宋体"/>
                <w:szCs w:val="21"/>
                <w:lang w:val="en-US" w:eastAsia="zh-CN"/>
              </w:rPr>
              <w:t>E</w:t>
            </w:r>
            <w:r>
              <w:rPr>
                <w:rFonts w:hint="eastAsia" w:ascii="Times New Roman" w:hAnsi="Times New Roman" w:cs="宋体"/>
                <w:szCs w:val="21"/>
              </w:rPr>
              <w:t>份额适合稳健型、平衡型、积极型、激进型的个人投资者，机构投资者</w:t>
            </w:r>
            <w:r>
              <w:rPr>
                <w:rFonts w:ascii="Times New Roman" w:hAnsi="Times New Roman" w:cs="宋体"/>
                <w:szCs w:val="21"/>
              </w:rPr>
              <w:t>。</w:t>
            </w:r>
          </w:p>
          <w:p w14:paraId="5EE5084B">
            <w:pPr>
              <w:spacing w:line="276" w:lineRule="auto"/>
              <w:rPr>
                <w:rFonts w:ascii="Times New Roman" w:hAnsi="Times New Roman" w:cs="宋体"/>
                <w:szCs w:val="21"/>
              </w:rPr>
            </w:pPr>
            <w:r>
              <w:rPr>
                <w:rFonts w:hint="eastAsia" w:ascii="Times New Roman" w:hAnsi="Times New Roman" w:cs="宋体"/>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28A3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5" w:hRule="atLeast"/>
        </w:trPr>
        <w:tc>
          <w:tcPr>
            <w:tcW w:w="1739" w:type="dxa"/>
            <w:vAlign w:val="center"/>
          </w:tcPr>
          <w:p w14:paraId="5C256BCF">
            <w:pPr>
              <w:spacing w:line="276" w:lineRule="auto"/>
              <w:jc w:val="center"/>
              <w:rPr>
                <w:rFonts w:ascii="Times New Roman" w:hAnsi="Times New Roman"/>
                <w:bCs/>
                <w:szCs w:val="21"/>
              </w:rPr>
            </w:pPr>
            <w:r>
              <w:rPr>
                <w:rFonts w:hint="eastAsia" w:ascii="Times New Roman" w:hAnsi="Times New Roman" w:cs="宋体"/>
                <w:bCs/>
                <w:szCs w:val="21"/>
              </w:rPr>
              <w:t>销售范围</w:t>
            </w:r>
          </w:p>
        </w:tc>
        <w:tc>
          <w:tcPr>
            <w:tcW w:w="6213" w:type="dxa"/>
          </w:tcPr>
          <w:p w14:paraId="449FAC2F">
            <w:pPr>
              <w:spacing w:line="276" w:lineRule="auto"/>
              <w:rPr>
                <w:rFonts w:ascii="Times New Roman" w:hAnsi="Times New Roman"/>
                <w:bCs/>
                <w:szCs w:val="21"/>
              </w:rPr>
            </w:pPr>
            <w:r>
              <w:rPr>
                <w:rFonts w:hint="eastAsia" w:ascii="Times New Roman" w:hAnsi="Times New Roman" w:cs="宋体"/>
                <w:szCs w:val="21"/>
              </w:rPr>
              <w:t>全国</w:t>
            </w:r>
          </w:p>
        </w:tc>
      </w:tr>
      <w:tr w14:paraId="51AC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3F452ED6">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6213" w:type="dxa"/>
          </w:tcPr>
          <w:p w14:paraId="4A2C8F4C">
            <w:pPr>
              <w:spacing w:line="276" w:lineRule="auto"/>
              <w:rPr>
                <w:rFonts w:ascii="Times New Roman" w:hAnsi="Times New Roman"/>
                <w:bCs/>
                <w:szCs w:val="21"/>
              </w:rPr>
            </w:pPr>
            <w:r>
              <w:rPr>
                <w:rFonts w:hint="eastAsia" w:ascii="Times New Roman" w:hAnsi="Times New Roman"/>
                <w:bCs/>
                <w:szCs w:val="21"/>
              </w:rPr>
              <w:t>人民币</w:t>
            </w:r>
          </w:p>
        </w:tc>
      </w:tr>
      <w:tr w14:paraId="3AD8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D7D0AAF">
            <w:pPr>
              <w:spacing w:line="276" w:lineRule="auto"/>
              <w:jc w:val="center"/>
              <w:rPr>
                <w:rFonts w:ascii="Times New Roman" w:hAnsi="Times New Roman"/>
                <w:bCs/>
                <w:szCs w:val="21"/>
              </w:rPr>
            </w:pPr>
            <w:r>
              <w:rPr>
                <w:rFonts w:hint="eastAsia" w:ascii="Times New Roman" w:hAnsi="Times New Roman"/>
                <w:bCs/>
                <w:szCs w:val="21"/>
              </w:rPr>
              <w:t>产品类型</w:t>
            </w:r>
          </w:p>
        </w:tc>
        <w:tc>
          <w:tcPr>
            <w:tcW w:w="6213" w:type="dxa"/>
          </w:tcPr>
          <w:p w14:paraId="5F0228E2">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1214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tcPr>
          <w:p w14:paraId="6325B22B">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6213" w:type="dxa"/>
          </w:tcPr>
          <w:p w14:paraId="4B4D3B7E">
            <w:pPr>
              <w:spacing w:line="276" w:lineRule="auto"/>
              <w:rPr>
                <w:rFonts w:ascii="Times New Roman" w:hAnsi="Times New Roman"/>
                <w:b/>
                <w:bCs/>
                <w:szCs w:val="21"/>
              </w:rPr>
            </w:pPr>
            <w:r>
              <w:rPr>
                <w:rFonts w:hint="eastAsia" w:ascii="Times New Roman" w:hAnsi="Times New Roman"/>
                <w:szCs w:val="21"/>
              </w:rPr>
              <w:t>开放式</w:t>
            </w:r>
          </w:p>
        </w:tc>
      </w:tr>
      <w:tr w14:paraId="69E2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9" w:hRule="atLeast"/>
        </w:trPr>
        <w:tc>
          <w:tcPr>
            <w:tcW w:w="1739" w:type="dxa"/>
            <w:vAlign w:val="center"/>
          </w:tcPr>
          <w:p w14:paraId="270D3B5C">
            <w:pPr>
              <w:spacing w:line="276" w:lineRule="auto"/>
              <w:jc w:val="center"/>
              <w:rPr>
                <w:rFonts w:ascii="Times New Roman" w:hAnsi="Times New Roman"/>
                <w:bCs/>
                <w:szCs w:val="21"/>
              </w:rPr>
            </w:pPr>
            <w:r>
              <w:rPr>
                <w:rFonts w:hint="eastAsia" w:ascii="Times New Roman" w:hAnsi="Times New Roman"/>
                <w:bCs/>
                <w:szCs w:val="21"/>
              </w:rPr>
              <w:t>产品期限</w:t>
            </w:r>
          </w:p>
        </w:tc>
        <w:tc>
          <w:tcPr>
            <w:tcW w:w="6213" w:type="dxa"/>
          </w:tcPr>
          <w:p w14:paraId="7174EE11">
            <w:pPr>
              <w:spacing w:line="276" w:lineRule="auto"/>
              <w:rPr>
                <w:rFonts w:ascii="Times New Roman" w:hAnsi="Times New Roman"/>
                <w:bCs/>
                <w:szCs w:val="21"/>
              </w:rPr>
            </w:pPr>
            <w:r>
              <w:rPr>
                <w:rFonts w:hint="eastAsia" w:ascii="Times New Roman" w:hAnsi="Times New Roman"/>
                <w:bCs/>
                <w:szCs w:val="21"/>
              </w:rPr>
              <w:t>无固定期限</w:t>
            </w:r>
          </w:p>
        </w:tc>
      </w:tr>
      <w:tr w14:paraId="0E5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9" w:hRule="atLeast"/>
        </w:trPr>
        <w:tc>
          <w:tcPr>
            <w:tcW w:w="1739" w:type="dxa"/>
            <w:vAlign w:val="center"/>
          </w:tcPr>
          <w:p w14:paraId="596188AE">
            <w:pPr>
              <w:spacing w:line="276" w:lineRule="auto"/>
              <w:jc w:val="center"/>
              <w:rPr>
                <w:rFonts w:ascii="Times New Roman" w:hAnsi="Times New Roman"/>
                <w:bCs/>
                <w:szCs w:val="21"/>
              </w:rPr>
            </w:pPr>
            <w:r>
              <w:rPr>
                <w:rFonts w:hint="eastAsia" w:ascii="Times New Roman" w:hAnsi="Times New Roman"/>
                <w:bCs/>
                <w:szCs w:val="21"/>
              </w:rPr>
              <w:t>最短持有期限</w:t>
            </w:r>
          </w:p>
        </w:tc>
        <w:tc>
          <w:tcPr>
            <w:tcW w:w="6213" w:type="dxa"/>
          </w:tcPr>
          <w:p w14:paraId="5413D9A5">
            <w:pPr>
              <w:spacing w:line="276" w:lineRule="auto"/>
              <w:rPr>
                <w:rFonts w:ascii="Times New Roman" w:hAnsi="Times New Roman"/>
                <w:bCs/>
                <w:szCs w:val="21"/>
              </w:rPr>
            </w:pPr>
            <w:r>
              <w:rPr>
                <w:rFonts w:hint="eastAsia" w:ascii="Times New Roman" w:hAnsi="Times New Roman"/>
                <w:bCs/>
                <w:szCs w:val="21"/>
              </w:rPr>
              <w:t>该份额的最短持有期限为</w:t>
            </w:r>
            <w:r>
              <w:rPr>
                <w:rFonts w:hint="eastAsia" w:ascii="Times New Roman" w:hAnsi="Times New Roman"/>
                <w:bCs/>
                <w:szCs w:val="21"/>
                <w:lang w:val="en-US" w:eastAsia="zh-CN"/>
              </w:rPr>
              <w:t>14</w:t>
            </w:r>
            <w:r>
              <w:rPr>
                <w:rFonts w:hint="eastAsia" w:ascii="Times New Roman" w:hAnsi="Times New Roman"/>
                <w:bCs/>
                <w:szCs w:val="21"/>
              </w:rPr>
              <w:t>个自然日，自投资者认购/申购确认日起第</w:t>
            </w:r>
            <w:r>
              <w:rPr>
                <w:rFonts w:hint="eastAsia" w:ascii="Times New Roman" w:hAnsi="Times New Roman"/>
                <w:bCs/>
                <w:szCs w:val="21"/>
                <w:lang w:val="en-US" w:eastAsia="zh-CN"/>
              </w:rPr>
              <w:t>14</w:t>
            </w:r>
            <w:r>
              <w:rPr>
                <w:rFonts w:hint="eastAsia" w:ascii="Times New Roman" w:hAnsi="Times New Roman"/>
                <w:bCs/>
                <w:szCs w:val="21"/>
              </w:rPr>
              <w:t>个自然日起（含当日），投资者可于开放日申请赎回。</w:t>
            </w:r>
          </w:p>
        </w:tc>
      </w:tr>
      <w:tr w14:paraId="439B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69BD5C4">
            <w:pPr>
              <w:spacing w:line="276" w:lineRule="auto"/>
              <w:jc w:val="center"/>
              <w:rPr>
                <w:rFonts w:ascii="Times New Roman" w:hAnsi="Times New Roman"/>
                <w:bCs/>
                <w:szCs w:val="21"/>
              </w:rPr>
            </w:pPr>
            <w:r>
              <w:rPr>
                <w:rFonts w:hint="eastAsia" w:ascii="Times New Roman" w:hAnsi="Times New Roman"/>
                <w:bCs/>
                <w:szCs w:val="21"/>
              </w:rPr>
              <w:t>产品规模</w:t>
            </w:r>
          </w:p>
        </w:tc>
        <w:tc>
          <w:tcPr>
            <w:tcW w:w="6213" w:type="dxa"/>
            <w:vAlign w:val="center"/>
          </w:tcPr>
          <w:p w14:paraId="1CFE88C3">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200</w:t>
            </w:r>
            <w:r>
              <w:rPr>
                <w:rFonts w:ascii="Times New Roman" w:hAnsi="Times New Roman"/>
                <w:bCs/>
                <w:szCs w:val="21"/>
              </w:rPr>
              <w:t>亿</w:t>
            </w:r>
            <w:r>
              <w:rPr>
                <w:rFonts w:hint="eastAsia" w:ascii="Times New Roman" w:hAnsi="Times New Roman"/>
                <w:bCs/>
                <w:szCs w:val="21"/>
              </w:rPr>
              <w:t>元，产品规模下限为</w:t>
            </w:r>
            <w:r>
              <w:rPr>
                <w:rFonts w:hint="eastAsia" w:ascii="Times New Roman" w:hAnsi="Times New Roman"/>
                <w:bCs/>
                <w:szCs w:val="21"/>
                <w:lang w:val="en-US" w:eastAsia="zh-CN"/>
              </w:rPr>
              <w:t>1</w:t>
            </w:r>
            <w:r>
              <w:rPr>
                <w:rFonts w:hint="eastAsia" w:ascii="Times New Roman" w:hAnsi="Times New Roman"/>
                <w:bCs/>
                <w:szCs w:val="21"/>
              </w:rPr>
              <w:t>元（产品管理人有权根据产品实际运作情况调整产品规模）。</w:t>
            </w:r>
          </w:p>
        </w:tc>
      </w:tr>
      <w:tr w14:paraId="79B5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5AE4529E">
            <w:pPr>
              <w:spacing w:line="276" w:lineRule="auto"/>
              <w:jc w:val="center"/>
              <w:rPr>
                <w:rFonts w:ascii="Times New Roman" w:hAnsi="Times New Roman"/>
                <w:bCs/>
                <w:szCs w:val="21"/>
              </w:rPr>
            </w:pPr>
            <w:r>
              <w:rPr>
                <w:rFonts w:hint="eastAsia" w:ascii="Times New Roman" w:hAnsi="Times New Roman"/>
                <w:bCs/>
                <w:szCs w:val="21"/>
              </w:rPr>
              <w:t xml:space="preserve">募集期    </w:t>
            </w:r>
          </w:p>
          <w:p w14:paraId="168A327E">
            <w:pPr>
              <w:spacing w:line="276" w:lineRule="auto"/>
              <w:jc w:val="center"/>
              <w:rPr>
                <w:rFonts w:ascii="Times New Roman" w:hAnsi="Times New Roman"/>
                <w:bCs/>
                <w:szCs w:val="21"/>
              </w:rPr>
            </w:pPr>
            <w:r>
              <w:rPr>
                <w:rFonts w:hint="eastAsia" w:ascii="Times New Roman" w:hAnsi="Times New Roman"/>
                <w:bCs/>
                <w:szCs w:val="21"/>
              </w:rPr>
              <w:t>（认购期）</w:t>
            </w:r>
          </w:p>
        </w:tc>
        <w:tc>
          <w:tcPr>
            <w:tcW w:w="6213" w:type="dxa"/>
          </w:tcPr>
          <w:p w14:paraId="7B3108F6">
            <w:pPr>
              <w:spacing w:line="276" w:lineRule="auto"/>
              <w:rPr>
                <w:rFonts w:ascii="Times New Roman" w:hAnsi="Times New Roman"/>
                <w:bCs/>
                <w:szCs w:val="21"/>
              </w:rPr>
            </w:pPr>
            <w:r>
              <w:rPr>
                <w:rFonts w:hint="eastAsia" w:ascii="Times New Roman" w:hAnsi="Times New Roman"/>
                <w:bCs/>
                <w:szCs w:val="21"/>
              </w:rPr>
              <w:t>202</w:t>
            </w:r>
            <w:r>
              <w:rPr>
                <w:rFonts w:hint="eastAsia" w:ascii="Times New Roman" w:hAnsi="Times New Roman"/>
                <w:bCs/>
                <w:szCs w:val="21"/>
                <w:lang w:val="en-US" w:eastAsia="zh-CN"/>
              </w:rPr>
              <w:t>5</w:t>
            </w:r>
            <w:r>
              <w:rPr>
                <w:rFonts w:hint="eastAsia" w:ascii="Times New Roman" w:hAnsi="Times New Roman"/>
                <w:bCs/>
                <w:szCs w:val="21"/>
              </w:rPr>
              <w:t>年1月</w:t>
            </w:r>
            <w:r>
              <w:rPr>
                <w:rFonts w:hint="eastAsia" w:ascii="Times New Roman" w:hAnsi="Times New Roman"/>
                <w:bCs/>
                <w:szCs w:val="21"/>
                <w:lang w:val="en-US" w:eastAsia="zh-CN"/>
              </w:rPr>
              <w:t>2</w:t>
            </w:r>
            <w:r>
              <w:rPr>
                <w:rFonts w:hint="eastAsia" w:ascii="Times New Roman" w:hAnsi="Times New Roman"/>
                <w:bCs/>
                <w:szCs w:val="21"/>
              </w:rPr>
              <w:t>日至0</w:t>
            </w:r>
            <w:r>
              <w:rPr>
                <w:rFonts w:ascii="Times New Roman" w:hAnsi="Times New Roman"/>
                <w:bCs/>
                <w:szCs w:val="21"/>
              </w:rPr>
              <w:t>9:00至</w:t>
            </w:r>
            <w:r>
              <w:rPr>
                <w:rFonts w:hint="eastAsia" w:ascii="Times New Roman" w:hAnsi="Times New Roman"/>
                <w:bCs/>
                <w:szCs w:val="21"/>
              </w:rPr>
              <w:t>202</w:t>
            </w:r>
            <w:r>
              <w:rPr>
                <w:rFonts w:hint="eastAsia" w:ascii="Times New Roman" w:hAnsi="Times New Roman"/>
                <w:bCs/>
                <w:szCs w:val="21"/>
                <w:lang w:val="en-US" w:eastAsia="zh-CN"/>
              </w:rPr>
              <w:t>5</w:t>
            </w:r>
            <w:r>
              <w:rPr>
                <w:rFonts w:hint="eastAsia" w:ascii="Times New Roman" w:hAnsi="Times New Roman"/>
                <w:bCs/>
                <w:szCs w:val="21"/>
              </w:rPr>
              <w:t>年</w:t>
            </w:r>
            <w:r>
              <w:rPr>
                <w:rFonts w:ascii="Times New Roman" w:hAnsi="Times New Roman"/>
                <w:bCs/>
                <w:szCs w:val="21"/>
              </w:rPr>
              <w:t>1</w:t>
            </w:r>
            <w:r>
              <w:rPr>
                <w:rFonts w:hint="eastAsia" w:ascii="Times New Roman" w:hAnsi="Times New Roman"/>
                <w:bCs/>
                <w:szCs w:val="21"/>
              </w:rPr>
              <w:t>月</w:t>
            </w:r>
            <w:r>
              <w:rPr>
                <w:rFonts w:hint="eastAsia" w:ascii="Times New Roman" w:hAnsi="Times New Roman"/>
                <w:bCs/>
                <w:szCs w:val="21"/>
                <w:lang w:val="en-US" w:eastAsia="zh-CN"/>
              </w:rPr>
              <w:t>7</w:t>
            </w:r>
            <w:r>
              <w:rPr>
                <w:rFonts w:hint="eastAsia" w:ascii="Times New Roman" w:hAnsi="Times New Roman"/>
                <w:bCs/>
                <w:szCs w:val="21"/>
              </w:rPr>
              <w:t>日1</w:t>
            </w:r>
            <w:r>
              <w:rPr>
                <w:rFonts w:ascii="Times New Roman" w:hAnsi="Times New Roman"/>
                <w:bCs/>
                <w:szCs w:val="21"/>
              </w:rPr>
              <w:t>5:30</w:t>
            </w:r>
          </w:p>
          <w:p w14:paraId="0EA24EB0">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若本产品通过代理销售机构销售，代理销售机构实际受理时间可能与理财产品说明书不一致，具体以代理销售机构通知为准。（产品管理人有权根据市场变化情况缩短或延长募集期，并进行信息披露）。</w:t>
            </w:r>
          </w:p>
        </w:tc>
      </w:tr>
      <w:tr w14:paraId="2DE7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667C5AE">
            <w:pPr>
              <w:spacing w:line="276" w:lineRule="auto"/>
              <w:jc w:val="center"/>
              <w:rPr>
                <w:rFonts w:ascii="Times New Roman" w:hAnsi="Times New Roman"/>
                <w:bCs/>
                <w:szCs w:val="21"/>
              </w:rPr>
            </w:pPr>
            <w:r>
              <w:rPr>
                <w:rFonts w:hint="eastAsia" w:ascii="Times New Roman" w:hAnsi="Times New Roman"/>
                <w:bCs/>
                <w:szCs w:val="21"/>
              </w:rPr>
              <w:t>产品成立日</w:t>
            </w:r>
          </w:p>
          <w:p w14:paraId="5AC17E20">
            <w:pPr>
              <w:spacing w:line="276" w:lineRule="auto"/>
              <w:jc w:val="center"/>
              <w:rPr>
                <w:rFonts w:ascii="Times New Roman" w:hAnsi="Times New Roman"/>
                <w:bCs/>
                <w:szCs w:val="21"/>
              </w:rPr>
            </w:pPr>
            <w:r>
              <w:rPr>
                <w:rFonts w:hint="eastAsia" w:ascii="Times New Roman" w:hAnsi="Times New Roman"/>
                <w:bCs/>
                <w:szCs w:val="21"/>
              </w:rPr>
              <w:t>（认购确认日）</w:t>
            </w:r>
          </w:p>
        </w:tc>
        <w:tc>
          <w:tcPr>
            <w:tcW w:w="6213" w:type="dxa"/>
          </w:tcPr>
          <w:p w14:paraId="49D1EFB9">
            <w:pPr>
              <w:spacing w:line="276" w:lineRule="auto"/>
              <w:rPr>
                <w:rFonts w:ascii="Times New Roman" w:hAnsi="Times New Roman"/>
                <w:bCs/>
                <w:szCs w:val="21"/>
              </w:rPr>
            </w:pPr>
            <w:r>
              <w:rPr>
                <w:rFonts w:hint="eastAsia" w:ascii="Times New Roman" w:hAnsi="Times New Roman"/>
                <w:bCs/>
                <w:szCs w:val="21"/>
              </w:rPr>
              <w:t>2</w:t>
            </w:r>
            <w:r>
              <w:rPr>
                <w:rFonts w:ascii="Times New Roman" w:hAnsi="Times New Roman"/>
                <w:bCs/>
                <w:szCs w:val="21"/>
              </w:rPr>
              <w:t>02</w:t>
            </w:r>
            <w:r>
              <w:rPr>
                <w:rFonts w:hint="eastAsia" w:ascii="Times New Roman" w:hAnsi="Times New Roman"/>
                <w:bCs/>
                <w:szCs w:val="21"/>
                <w:lang w:val="en-US" w:eastAsia="zh-CN"/>
              </w:rPr>
              <w:t>5</w:t>
            </w:r>
            <w:r>
              <w:rPr>
                <w:rFonts w:ascii="Times New Roman" w:hAnsi="Times New Roman"/>
                <w:bCs/>
                <w:szCs w:val="21"/>
              </w:rPr>
              <w:t>年</w:t>
            </w:r>
            <w:r>
              <w:rPr>
                <w:rFonts w:hint="eastAsia" w:ascii="Times New Roman" w:hAnsi="Times New Roman"/>
                <w:bCs/>
                <w:szCs w:val="21"/>
              </w:rPr>
              <w:t>1</w:t>
            </w:r>
            <w:r>
              <w:rPr>
                <w:rFonts w:ascii="Times New Roman" w:hAnsi="Times New Roman"/>
                <w:bCs/>
                <w:szCs w:val="21"/>
              </w:rPr>
              <w:t>月</w:t>
            </w:r>
            <w:r>
              <w:rPr>
                <w:rFonts w:hint="eastAsia" w:ascii="Times New Roman" w:hAnsi="Times New Roman"/>
                <w:bCs/>
                <w:szCs w:val="21"/>
                <w:lang w:val="en-US" w:eastAsia="zh-CN"/>
              </w:rPr>
              <w:t>8</w:t>
            </w:r>
            <w:r>
              <w:rPr>
                <w:rFonts w:ascii="Times New Roman" w:hAnsi="Times New Roman"/>
                <w:bCs/>
                <w:szCs w:val="21"/>
              </w:rPr>
              <w:t>日</w:t>
            </w:r>
            <w:r>
              <w:rPr>
                <w:rFonts w:hint="eastAsia" w:ascii="Times New Roman" w:hAnsi="Times New Roman"/>
                <w:bCs/>
                <w:szCs w:val="21"/>
              </w:rPr>
              <w:t>（如遇非</w:t>
            </w:r>
            <w:r>
              <w:rPr>
                <w:rFonts w:hint="default" w:ascii="Times New Roman" w:hAnsi="Times New Roman"/>
                <w:bCs/>
                <w:szCs w:val="21"/>
                <w:lang w:val="en-US"/>
              </w:rPr>
              <w:t>交易</w:t>
            </w:r>
            <w:r>
              <w:rPr>
                <w:rFonts w:hint="eastAsia" w:ascii="Times New Roman" w:hAnsi="Times New Roman"/>
                <w:bCs/>
                <w:szCs w:val="21"/>
              </w:rPr>
              <w:t>日顺延至下一个</w:t>
            </w:r>
            <w:r>
              <w:rPr>
                <w:rFonts w:hint="default" w:ascii="Times New Roman" w:hAnsi="Times New Roman"/>
                <w:bCs/>
                <w:color w:val="auto"/>
                <w:szCs w:val="21"/>
              </w:rPr>
              <w:t>交易</w:t>
            </w:r>
            <w:r>
              <w:rPr>
                <w:rFonts w:hint="eastAsia" w:ascii="Times New Roman" w:hAnsi="Times New Roman"/>
                <w:bCs/>
                <w:color w:val="auto"/>
                <w:szCs w:val="21"/>
              </w:rPr>
              <w:t>日</w:t>
            </w:r>
            <w:r>
              <w:rPr>
                <w:rFonts w:hint="eastAsia" w:ascii="Times New Roman" w:hAnsi="Times New Roman"/>
                <w:bCs/>
                <w:szCs w:val="21"/>
              </w:rPr>
              <w:t>）。</w:t>
            </w:r>
          </w:p>
          <w:p w14:paraId="771ED024">
            <w:pPr>
              <w:spacing w:line="276" w:lineRule="auto"/>
              <w:rPr>
                <w:rFonts w:ascii="Times New Roman" w:hAnsi="Times New Roman"/>
                <w:bCs/>
                <w:szCs w:val="21"/>
              </w:rPr>
            </w:pPr>
            <w:r>
              <w:rPr>
                <w:rFonts w:hint="eastAsia" w:ascii="Times New Roman" w:hAnsi="Times New Roman"/>
                <w:bCs/>
                <w:szCs w:val="21"/>
              </w:rPr>
              <w:t>若产品募集期缩短或延长，产品成立日以公告为准。</w:t>
            </w:r>
          </w:p>
          <w:p w14:paraId="157FBA8E">
            <w:pPr>
              <w:spacing w:line="276" w:lineRule="auto"/>
              <w:rPr>
                <w:rFonts w:ascii="Times New Roman" w:hAnsi="Times New Roman"/>
                <w:bCs/>
                <w:szCs w:val="21"/>
              </w:rPr>
            </w:pPr>
            <w:r>
              <w:rPr>
                <w:rFonts w:hint="eastAsia" w:ascii="Times New Roman" w:hAnsi="Times New Roman"/>
                <w:bCs/>
                <w:szCs w:val="21"/>
              </w:rPr>
              <w:t>若在认购期届满之日未达到产品规模下限，</w:t>
            </w:r>
            <w:r>
              <w:rPr>
                <w:rFonts w:hint="eastAsia" w:ascii="Times New Roman" w:hAnsi="Times New Roman"/>
                <w:szCs w:val="21"/>
              </w:rPr>
              <w:t>渝农商理财有限责任公司</w:t>
            </w:r>
            <w:r>
              <w:rPr>
                <w:rFonts w:hint="eastAsia" w:ascii="Times New Roman" w:hAnsi="Times New Roman"/>
                <w:bCs/>
                <w:szCs w:val="21"/>
              </w:rPr>
              <w:t>有权宣布本产品不能成立，认购资金将在认购期结束后2个交易日内返还至投资者账户，若本产品通过代理销售机构渠道销售的，具体到账时间以投资者与代理销售机构的约定为准。</w:t>
            </w:r>
          </w:p>
        </w:tc>
      </w:tr>
      <w:tr w14:paraId="42D7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90" w:hRule="atLeast"/>
        </w:trPr>
        <w:tc>
          <w:tcPr>
            <w:tcW w:w="1739" w:type="dxa"/>
            <w:vAlign w:val="center"/>
          </w:tcPr>
          <w:p w14:paraId="55131B3F">
            <w:pPr>
              <w:spacing w:line="276" w:lineRule="auto"/>
              <w:jc w:val="center"/>
              <w:rPr>
                <w:rFonts w:ascii="Times New Roman" w:hAnsi="Times New Roman"/>
                <w:bCs/>
                <w:szCs w:val="21"/>
              </w:rPr>
            </w:pPr>
            <w:r>
              <w:rPr>
                <w:rFonts w:hint="eastAsia" w:ascii="Times New Roman" w:hAnsi="Times New Roman"/>
                <w:bCs/>
                <w:szCs w:val="21"/>
              </w:rPr>
              <w:t>产品封闭期</w:t>
            </w:r>
          </w:p>
        </w:tc>
        <w:tc>
          <w:tcPr>
            <w:tcW w:w="6213" w:type="dxa"/>
          </w:tcPr>
          <w:p w14:paraId="2B57DCFC">
            <w:pPr>
              <w:spacing w:line="276" w:lineRule="auto"/>
              <w:rPr>
                <w:rFonts w:ascii="Times New Roman" w:hAnsi="Times New Roman"/>
                <w:bCs/>
                <w:szCs w:val="21"/>
              </w:rPr>
            </w:pPr>
            <w:r>
              <w:rPr>
                <w:rFonts w:hint="eastAsia" w:ascii="Times New Roman" w:hAnsi="Times New Roman"/>
                <w:bCs/>
                <w:szCs w:val="21"/>
              </w:rPr>
              <w:t>2</w:t>
            </w:r>
            <w:r>
              <w:rPr>
                <w:rFonts w:ascii="Times New Roman" w:hAnsi="Times New Roman"/>
                <w:bCs/>
                <w:szCs w:val="21"/>
              </w:rPr>
              <w:t>02</w:t>
            </w:r>
            <w:r>
              <w:rPr>
                <w:rFonts w:hint="eastAsia" w:ascii="Times New Roman" w:hAnsi="Times New Roman"/>
                <w:bCs/>
                <w:szCs w:val="21"/>
                <w:lang w:val="en-US" w:eastAsia="zh-CN"/>
              </w:rPr>
              <w:t>5</w:t>
            </w:r>
            <w:r>
              <w:rPr>
                <w:rFonts w:ascii="Times New Roman" w:hAnsi="Times New Roman"/>
                <w:bCs/>
                <w:szCs w:val="21"/>
              </w:rPr>
              <w:t>年</w:t>
            </w:r>
            <w:r>
              <w:rPr>
                <w:rFonts w:hint="eastAsia" w:ascii="Times New Roman" w:hAnsi="Times New Roman"/>
                <w:bCs/>
                <w:szCs w:val="21"/>
              </w:rPr>
              <w:t>1</w:t>
            </w:r>
            <w:r>
              <w:rPr>
                <w:rFonts w:ascii="Times New Roman" w:hAnsi="Times New Roman"/>
                <w:bCs/>
                <w:szCs w:val="21"/>
              </w:rPr>
              <w:t>月</w:t>
            </w:r>
            <w:r>
              <w:rPr>
                <w:rFonts w:hint="eastAsia" w:ascii="Times New Roman" w:hAnsi="Times New Roman"/>
                <w:bCs/>
                <w:szCs w:val="21"/>
                <w:lang w:val="en-US" w:eastAsia="zh-CN"/>
              </w:rPr>
              <w:t>8</w:t>
            </w:r>
            <w:r>
              <w:rPr>
                <w:rFonts w:ascii="Times New Roman" w:hAnsi="Times New Roman"/>
                <w:bCs/>
                <w:szCs w:val="21"/>
              </w:rPr>
              <w:t>日至</w:t>
            </w:r>
            <w:r>
              <w:rPr>
                <w:rFonts w:hint="eastAsia" w:ascii="Times New Roman" w:hAnsi="Times New Roman"/>
                <w:bCs/>
                <w:szCs w:val="21"/>
              </w:rPr>
              <w:t>2</w:t>
            </w:r>
            <w:r>
              <w:rPr>
                <w:rFonts w:ascii="Times New Roman" w:hAnsi="Times New Roman"/>
                <w:bCs/>
                <w:szCs w:val="21"/>
              </w:rPr>
              <w:t>025年</w:t>
            </w:r>
            <w:r>
              <w:rPr>
                <w:rFonts w:hint="eastAsia" w:ascii="Times New Roman" w:hAnsi="Times New Roman"/>
                <w:bCs/>
                <w:szCs w:val="21"/>
                <w:lang w:val="en-US" w:eastAsia="zh-CN"/>
              </w:rPr>
              <w:t>2</w:t>
            </w:r>
            <w:r>
              <w:rPr>
                <w:rFonts w:hint="eastAsia" w:ascii="Times New Roman" w:hAnsi="Times New Roman"/>
                <w:bCs/>
                <w:szCs w:val="21"/>
              </w:rPr>
              <w:t>月</w:t>
            </w:r>
            <w:r>
              <w:rPr>
                <w:rFonts w:hint="eastAsia" w:ascii="Times New Roman" w:hAnsi="Times New Roman"/>
                <w:bCs/>
                <w:szCs w:val="21"/>
                <w:lang w:val="en-US" w:eastAsia="zh-CN"/>
              </w:rPr>
              <w:t>9</w:t>
            </w:r>
            <w:r>
              <w:rPr>
                <w:rFonts w:hint="eastAsia" w:ascii="Times New Roman" w:hAnsi="Times New Roman"/>
                <w:bCs/>
                <w:szCs w:val="21"/>
              </w:rPr>
              <w:t>日。产品封闭期间，产品进行封闭式运作，不开放申购和赎回。</w:t>
            </w:r>
          </w:p>
        </w:tc>
      </w:tr>
      <w:tr w14:paraId="7623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44" w:hRule="atLeast"/>
        </w:trPr>
        <w:tc>
          <w:tcPr>
            <w:tcW w:w="1739" w:type="dxa"/>
            <w:vAlign w:val="center"/>
          </w:tcPr>
          <w:p w14:paraId="38CB8C63">
            <w:pPr>
              <w:spacing w:line="276" w:lineRule="auto"/>
              <w:jc w:val="center"/>
              <w:rPr>
                <w:rFonts w:ascii="Times New Roman" w:hAnsi="Times New Roman"/>
                <w:b/>
                <w:szCs w:val="21"/>
              </w:rPr>
            </w:pPr>
            <w:r>
              <w:rPr>
                <w:rFonts w:hint="eastAsia" w:ascii="Times New Roman" w:hAnsi="Times New Roman"/>
                <w:b/>
                <w:szCs w:val="21"/>
              </w:rPr>
              <w:t>开放日</w:t>
            </w:r>
          </w:p>
        </w:tc>
        <w:tc>
          <w:tcPr>
            <w:tcW w:w="6213" w:type="dxa"/>
          </w:tcPr>
          <w:p w14:paraId="282E7B25">
            <w:pPr>
              <w:spacing w:line="276" w:lineRule="auto"/>
              <w:rPr>
                <w:rFonts w:ascii="Times New Roman" w:hAnsi="Times New Roman"/>
                <w:bCs/>
                <w:szCs w:val="21"/>
              </w:rPr>
            </w:pPr>
            <w:r>
              <w:rPr>
                <w:rFonts w:hint="eastAsia" w:ascii="Times New Roman" w:hAnsi="Times New Roman"/>
                <w:b/>
                <w:szCs w:val="21"/>
              </w:rPr>
              <w:t>开放日为产品封闭期过后的每个交易日</w:t>
            </w:r>
            <w:r>
              <w:rPr>
                <w:rFonts w:hint="eastAsia" w:ascii="Times New Roman" w:hAnsi="Times New Roman"/>
                <w:bCs/>
                <w:szCs w:val="21"/>
              </w:rPr>
              <w:t>，首个开放日为2</w:t>
            </w:r>
            <w:r>
              <w:rPr>
                <w:rFonts w:ascii="Times New Roman" w:hAnsi="Times New Roman"/>
                <w:bCs/>
                <w:szCs w:val="21"/>
              </w:rPr>
              <w:t>025年</w:t>
            </w:r>
            <w:r>
              <w:rPr>
                <w:rFonts w:hint="eastAsia" w:ascii="Times New Roman" w:hAnsi="Times New Roman"/>
                <w:bCs/>
                <w:szCs w:val="21"/>
                <w:lang w:val="en-US" w:eastAsia="zh-CN"/>
              </w:rPr>
              <w:t>2</w:t>
            </w:r>
            <w:r>
              <w:rPr>
                <w:rFonts w:hint="eastAsia" w:ascii="Times New Roman" w:hAnsi="Times New Roman"/>
                <w:bCs/>
                <w:szCs w:val="21"/>
              </w:rPr>
              <w:t>月</w:t>
            </w:r>
            <w:r>
              <w:rPr>
                <w:rFonts w:hint="eastAsia" w:ascii="Times New Roman" w:hAnsi="Times New Roman"/>
                <w:bCs/>
                <w:szCs w:val="21"/>
                <w:lang w:val="en-US" w:eastAsia="zh-CN"/>
              </w:rPr>
              <w:t>10</w:t>
            </w:r>
            <w:r>
              <w:rPr>
                <w:rFonts w:hint="eastAsia" w:ascii="Times New Roman" w:hAnsi="Times New Roman"/>
                <w:bCs/>
                <w:szCs w:val="21"/>
              </w:rPr>
              <w:t>日（如遇非交易日顺延至下一个</w:t>
            </w:r>
            <w:r>
              <w:rPr>
                <w:rFonts w:hint="default" w:ascii="Times New Roman" w:hAnsi="Times New Roman"/>
                <w:bCs/>
                <w:szCs w:val="21"/>
                <w:lang w:val="en-US"/>
              </w:rPr>
              <w:t>交易</w:t>
            </w:r>
            <w:r>
              <w:rPr>
                <w:rFonts w:hint="eastAsia" w:ascii="Times New Roman" w:hAnsi="Times New Roman"/>
                <w:bCs/>
                <w:szCs w:val="21"/>
              </w:rPr>
              <w:t>日），产品管理人可在开放日为投资者办理申购和赎回确认</w:t>
            </w:r>
            <w:r>
              <w:rPr>
                <w:rFonts w:ascii="Times New Roman" w:hAnsi="Times New Roman"/>
                <w:bCs/>
                <w:szCs w:val="21"/>
              </w:rPr>
              <w:t>(</w:t>
            </w:r>
            <w:r>
              <w:rPr>
                <w:rFonts w:hint="eastAsia" w:ascii="Times New Roman" w:hAnsi="Times New Roman"/>
                <w:bCs/>
                <w:szCs w:val="21"/>
              </w:rPr>
              <w:t>赎回份额需满足</w:t>
            </w:r>
            <w:r>
              <w:rPr>
                <w:rFonts w:hint="eastAsia" w:ascii="Times New Roman" w:hAnsi="Times New Roman"/>
                <w:b/>
                <w:szCs w:val="21"/>
              </w:rPr>
              <w:t>最短持有期限</w:t>
            </w:r>
            <w:r>
              <w:rPr>
                <w:rFonts w:hint="eastAsia" w:ascii="Times New Roman" w:hAnsi="Times New Roman"/>
                <w:bCs/>
                <w:szCs w:val="21"/>
              </w:rPr>
              <w:t>条件）。如遇其他情况，以管理人具体公告为准。</w:t>
            </w:r>
          </w:p>
        </w:tc>
      </w:tr>
      <w:tr w14:paraId="134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44" w:hRule="atLeast"/>
        </w:trPr>
        <w:tc>
          <w:tcPr>
            <w:tcW w:w="1739" w:type="dxa"/>
            <w:vAlign w:val="center"/>
          </w:tcPr>
          <w:p w14:paraId="54349176">
            <w:pPr>
              <w:spacing w:line="276" w:lineRule="auto"/>
              <w:jc w:val="center"/>
              <w:rPr>
                <w:rFonts w:ascii="Times New Roman" w:hAnsi="Times New Roman"/>
                <w:b/>
                <w:bCs/>
                <w:szCs w:val="21"/>
              </w:rPr>
            </w:pPr>
            <w:r>
              <w:rPr>
                <w:rFonts w:hint="eastAsia" w:ascii="Times New Roman" w:hAnsi="Times New Roman"/>
                <w:b/>
                <w:bCs/>
                <w:color w:val="auto"/>
                <w:szCs w:val="21"/>
              </w:rPr>
              <w:t>申赎确认日</w:t>
            </w:r>
          </w:p>
        </w:tc>
        <w:tc>
          <w:tcPr>
            <w:tcW w:w="6213" w:type="dxa"/>
            <w:vAlign w:val="center"/>
          </w:tcPr>
          <w:p w14:paraId="5FD3FB69">
            <w:pPr>
              <w:spacing w:line="276" w:lineRule="auto"/>
              <w:rPr>
                <w:rFonts w:ascii="Times New Roman" w:hAnsi="Times New Roman" w:cstheme="minorBidi"/>
                <w:b/>
                <w:bCs/>
                <w:szCs w:val="21"/>
              </w:rPr>
            </w:pPr>
            <w:r>
              <w:rPr>
                <w:rFonts w:hint="eastAsia" w:ascii="宋体" w:hAnsi="宋体" w:cstheme="minorBidi"/>
                <w:b/>
                <w:bCs/>
                <w:szCs w:val="21"/>
              </w:rPr>
              <w:t>投资者可在产品封闭期结束后的每个自然日</w:t>
            </w:r>
            <w:r>
              <w:rPr>
                <w:rFonts w:ascii="宋体" w:hAnsi="宋体" w:cstheme="minorBidi"/>
                <w:b/>
                <w:bCs/>
                <w:szCs w:val="21"/>
              </w:rPr>
              <w:t>0:00</w:t>
            </w:r>
            <w:r>
              <w:rPr>
                <w:rFonts w:hint="eastAsia" w:ascii="宋体" w:hAnsi="宋体" w:cstheme="minorBidi"/>
                <w:b/>
                <w:bCs/>
                <w:szCs w:val="21"/>
              </w:rPr>
              <w:t>至</w:t>
            </w:r>
            <w:r>
              <w:rPr>
                <w:rFonts w:ascii="宋体" w:hAnsi="宋体" w:cstheme="minorBidi"/>
                <w:b/>
                <w:bCs/>
                <w:szCs w:val="21"/>
              </w:rPr>
              <w:t>24:00</w:t>
            </w:r>
            <w:bookmarkStart w:id="10" w:name="_Hlk155340891"/>
            <w:r>
              <w:rPr>
                <w:rFonts w:hint="eastAsia" w:ascii="宋体" w:hAnsi="宋体" w:cstheme="minorBidi"/>
                <w:b/>
                <w:bCs/>
                <w:szCs w:val="21"/>
              </w:rPr>
              <w:t>提出申购和赎回申请</w:t>
            </w:r>
            <w:bookmarkEnd w:id="10"/>
            <w:r>
              <w:rPr>
                <w:rFonts w:hint="eastAsia" w:ascii="Times New Roman" w:hAnsi="Times New Roman"/>
                <w:bCs/>
                <w:szCs w:val="21"/>
              </w:rPr>
              <w:t>(赎回份额需满足</w:t>
            </w:r>
            <w:r>
              <w:rPr>
                <w:rFonts w:hint="eastAsia" w:ascii="Times New Roman" w:hAnsi="Times New Roman"/>
                <w:b/>
                <w:szCs w:val="21"/>
              </w:rPr>
              <w:t>最短持有期限</w:t>
            </w:r>
            <w:r>
              <w:rPr>
                <w:rFonts w:hint="eastAsia" w:ascii="Times New Roman" w:hAnsi="Times New Roman"/>
                <w:bCs/>
                <w:szCs w:val="21"/>
              </w:rPr>
              <w:t>条件)</w:t>
            </w:r>
            <w:r>
              <w:rPr>
                <w:rFonts w:hint="eastAsia" w:ascii="宋体" w:hAnsi="宋体" w:cstheme="minorBidi"/>
                <w:b/>
                <w:bCs/>
                <w:szCs w:val="21"/>
              </w:rPr>
              <w:t>（即</w:t>
            </w:r>
            <w:r>
              <w:rPr>
                <w:rFonts w:hint="eastAsia" w:ascii="宋体" w:hAnsi="宋体" w:cstheme="minorBidi"/>
                <w:b/>
                <w:bCs/>
                <w:szCs w:val="21"/>
                <w:lang w:val="en-US" w:eastAsia="zh-CN"/>
              </w:rPr>
              <w:t>7</w:t>
            </w:r>
            <w:r>
              <w:rPr>
                <w:rFonts w:hint="eastAsia" w:ascii="宋体" w:hAnsi="宋体" w:cstheme="minorBidi"/>
                <w:b/>
                <w:bCs/>
                <w:szCs w:val="21"/>
              </w:rPr>
              <w:t>×</w:t>
            </w:r>
            <w:r>
              <w:rPr>
                <w:rFonts w:ascii="宋体" w:hAnsi="宋体" w:cstheme="minorBidi"/>
                <w:b/>
                <w:bCs/>
                <w:szCs w:val="21"/>
              </w:rPr>
              <w:t>24</w:t>
            </w:r>
            <w:r>
              <w:rPr>
                <w:rFonts w:hint="eastAsia" w:ascii="宋体" w:hAnsi="宋体" w:cstheme="minorBidi"/>
                <w:b/>
                <w:bCs/>
                <w:szCs w:val="21"/>
              </w:rPr>
              <w:t>小时可提出申购和赎回申请）。</w:t>
            </w:r>
          </w:p>
          <w:p w14:paraId="48E8CE9A">
            <w:pPr>
              <w:spacing w:line="276" w:lineRule="auto"/>
              <w:rPr>
                <w:rFonts w:ascii="Times New Roman" w:hAnsi="Times New Roman" w:cstheme="minorBidi"/>
                <w:b/>
                <w:bCs/>
                <w:szCs w:val="21"/>
              </w:rPr>
            </w:pPr>
            <w:r>
              <w:rPr>
                <w:rFonts w:hint="eastAsia" w:ascii="Times New Roman" w:hAnsi="Times New Roman" w:cstheme="minorBidi"/>
                <w:b/>
                <w:bCs/>
                <w:szCs w:val="21"/>
              </w:rPr>
              <w:t>开放日申购</w:t>
            </w:r>
            <w:r>
              <w:rPr>
                <w:rFonts w:ascii="Times New Roman" w:hAnsi="Times New Roman" w:cstheme="minorBidi"/>
                <w:b/>
                <w:bCs/>
                <w:szCs w:val="21"/>
              </w:rPr>
              <w:t>/</w:t>
            </w:r>
            <w:r>
              <w:rPr>
                <w:rFonts w:hint="eastAsia" w:ascii="Times New Roman" w:hAnsi="Times New Roman" w:cstheme="minorBidi"/>
                <w:b/>
                <w:bCs/>
                <w:szCs w:val="21"/>
              </w:rPr>
              <w:t>赎回：开放日（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00:00-15:30</w:t>
            </w:r>
            <w:r>
              <w:rPr>
                <w:rFonts w:hint="eastAsia" w:ascii="Times New Roman" w:hAnsi="Times New Roman" w:cstheme="minorBidi"/>
                <w:b/>
                <w:bCs/>
                <w:szCs w:val="21"/>
              </w:rPr>
              <w:t>提出的申购</w:t>
            </w:r>
            <w:r>
              <w:rPr>
                <w:rFonts w:ascii="Times New Roman" w:hAnsi="Times New Roman" w:cstheme="minorBidi"/>
                <w:b/>
                <w:bCs/>
                <w:szCs w:val="21"/>
              </w:rPr>
              <w:t>/</w:t>
            </w:r>
            <w:r>
              <w:rPr>
                <w:rFonts w:hint="eastAsia" w:ascii="Times New Roman" w:hAnsi="Times New Roman" w:cstheme="minorBidi"/>
                <w:b/>
                <w:bCs/>
                <w:szCs w:val="21"/>
              </w:rPr>
              <w:t>赎回申请，在开放日后第</w:t>
            </w:r>
            <w:r>
              <w:rPr>
                <w:rFonts w:ascii="Times New Roman" w:hAnsi="Times New Roman" w:cstheme="minorBidi"/>
                <w:b/>
                <w:bCs/>
                <w:szCs w:val="21"/>
              </w:rPr>
              <w:t>1</w:t>
            </w:r>
            <w:r>
              <w:rPr>
                <w:rFonts w:hint="eastAsia" w:ascii="Times New Roman" w:hAnsi="Times New Roman" w:cstheme="minorBidi"/>
                <w:b/>
                <w:bCs/>
                <w:szCs w:val="21"/>
              </w:rPr>
              <w:t>个交易日（</w:t>
            </w:r>
            <w:r>
              <w:rPr>
                <w:rFonts w:ascii="Times New Roman" w:hAnsi="Times New Roman" w:cstheme="minorBidi"/>
                <w:b/>
                <w:bCs/>
                <w:szCs w:val="21"/>
              </w:rPr>
              <w:t>T+1</w:t>
            </w:r>
            <w:r>
              <w:rPr>
                <w:rFonts w:hint="eastAsia" w:ascii="Times New Roman" w:hAnsi="Times New Roman" w:cstheme="minorBidi"/>
                <w:b/>
                <w:bCs/>
                <w:szCs w:val="21"/>
              </w:rPr>
              <w:t>日）进行确认。</w:t>
            </w:r>
          </w:p>
          <w:p w14:paraId="7E340AF5">
            <w:pPr>
              <w:spacing w:line="276" w:lineRule="auto"/>
              <w:rPr>
                <w:rFonts w:ascii="Times New Roman" w:hAnsi="Times New Roman" w:cstheme="minorBidi"/>
                <w:b/>
                <w:bCs/>
                <w:szCs w:val="21"/>
              </w:rPr>
            </w:pPr>
            <w:r>
              <w:rPr>
                <w:rFonts w:hint="eastAsia" w:ascii="Times New Roman" w:hAnsi="Times New Roman" w:cstheme="minorBidi"/>
                <w:b/>
                <w:bCs/>
                <w:szCs w:val="21"/>
              </w:rPr>
              <w:t>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15:30-24:00</w:t>
            </w:r>
            <w:r>
              <w:rPr>
                <w:rFonts w:hint="eastAsia" w:ascii="Times New Roman" w:hAnsi="Times New Roman" w:cstheme="minorBidi"/>
                <w:b/>
                <w:bCs/>
                <w:szCs w:val="21"/>
              </w:rPr>
              <w:t>提出的申购</w:t>
            </w:r>
            <w:r>
              <w:rPr>
                <w:rFonts w:ascii="Times New Roman" w:hAnsi="Times New Roman" w:cstheme="minorBidi"/>
                <w:b/>
                <w:bCs/>
                <w:szCs w:val="21"/>
              </w:rPr>
              <w:t>/</w:t>
            </w:r>
            <w:r>
              <w:rPr>
                <w:rFonts w:hint="eastAsia" w:ascii="Times New Roman" w:hAnsi="Times New Roman" w:cstheme="minorBidi"/>
                <w:b/>
                <w:bCs/>
                <w:szCs w:val="21"/>
              </w:rPr>
              <w:t>赎回申请，在开放日后第</w:t>
            </w:r>
            <w:r>
              <w:rPr>
                <w:rFonts w:ascii="Times New Roman" w:hAnsi="Times New Roman" w:cstheme="minorBidi"/>
                <w:b/>
                <w:bCs/>
                <w:szCs w:val="21"/>
              </w:rPr>
              <w:t>2</w:t>
            </w:r>
            <w:r>
              <w:rPr>
                <w:rFonts w:hint="eastAsia" w:ascii="Times New Roman" w:hAnsi="Times New Roman" w:cstheme="minorBidi"/>
                <w:b/>
                <w:bCs/>
                <w:szCs w:val="21"/>
              </w:rPr>
              <w:t>个交易日（</w:t>
            </w:r>
            <w:r>
              <w:rPr>
                <w:rFonts w:ascii="Times New Roman" w:hAnsi="Times New Roman" w:cstheme="minorBidi"/>
                <w:b/>
                <w:bCs/>
                <w:szCs w:val="21"/>
              </w:rPr>
              <w:t>T+2</w:t>
            </w:r>
            <w:r>
              <w:rPr>
                <w:rFonts w:hint="eastAsia" w:ascii="Times New Roman" w:hAnsi="Times New Roman" w:cstheme="minorBidi"/>
                <w:b/>
                <w:bCs/>
                <w:szCs w:val="21"/>
              </w:rPr>
              <w:t>日）进行确认。</w:t>
            </w:r>
          </w:p>
          <w:p w14:paraId="72D81424">
            <w:pPr>
              <w:spacing w:line="276" w:lineRule="auto"/>
              <w:rPr>
                <w:rFonts w:ascii="Times New Roman" w:hAnsi="Times New Roman" w:cstheme="minorBidi"/>
                <w:b/>
                <w:bCs/>
                <w:szCs w:val="21"/>
              </w:rPr>
            </w:pPr>
            <w:r>
              <w:rPr>
                <w:rFonts w:hint="eastAsia" w:ascii="Times New Roman" w:hAnsi="Times New Roman" w:cstheme="minorBidi"/>
                <w:b/>
                <w:bCs/>
                <w:szCs w:val="21"/>
              </w:rPr>
              <w:t>非开放日申购/赎回：非开放日提出的申购</w:t>
            </w:r>
            <w:r>
              <w:rPr>
                <w:rFonts w:ascii="Times New Roman" w:hAnsi="Times New Roman" w:cstheme="minorBidi"/>
                <w:b/>
                <w:bCs/>
                <w:szCs w:val="21"/>
              </w:rPr>
              <w:t>/</w:t>
            </w:r>
            <w:r>
              <w:rPr>
                <w:rFonts w:hint="eastAsia" w:ascii="Times New Roman" w:hAnsi="Times New Roman" w:cstheme="minorBidi"/>
                <w:b/>
                <w:bCs/>
                <w:szCs w:val="21"/>
              </w:rPr>
              <w:t>赎回申请，等同在下一个开放日（</w:t>
            </w:r>
            <w:r>
              <w:rPr>
                <w:rFonts w:ascii="Times New Roman" w:hAnsi="Times New Roman" w:cstheme="minorBidi"/>
                <w:b/>
                <w:bCs/>
                <w:szCs w:val="21"/>
              </w:rPr>
              <w:t>T</w:t>
            </w:r>
            <w:r>
              <w:rPr>
                <w:rFonts w:hint="eastAsia" w:ascii="Times New Roman" w:hAnsi="Times New Roman" w:cstheme="minorBidi"/>
                <w:b/>
                <w:bCs/>
                <w:szCs w:val="21"/>
              </w:rPr>
              <w:t>日）</w:t>
            </w:r>
            <w:r>
              <w:rPr>
                <w:rFonts w:ascii="Times New Roman" w:hAnsi="Times New Roman"/>
                <w:b/>
                <w:bCs/>
                <w:szCs w:val="21"/>
              </w:rPr>
              <w:t>00:00-15:30</w:t>
            </w:r>
            <w:r>
              <w:rPr>
                <w:rFonts w:hint="eastAsia" w:ascii="Times New Roman" w:hAnsi="Times New Roman" w:cstheme="minorBidi"/>
                <w:b/>
                <w:bCs/>
                <w:szCs w:val="21"/>
              </w:rPr>
              <w:t>的申购</w:t>
            </w:r>
            <w:r>
              <w:rPr>
                <w:rFonts w:ascii="Times New Roman" w:hAnsi="Times New Roman" w:cstheme="minorBidi"/>
                <w:b/>
                <w:bCs/>
                <w:szCs w:val="21"/>
              </w:rPr>
              <w:t>/</w:t>
            </w:r>
            <w:r>
              <w:rPr>
                <w:rFonts w:hint="eastAsia" w:ascii="Times New Roman" w:hAnsi="Times New Roman" w:cstheme="minorBidi"/>
                <w:b/>
                <w:bCs/>
                <w:szCs w:val="21"/>
              </w:rPr>
              <w:t>赎回申请，在开放日（</w:t>
            </w:r>
            <w:r>
              <w:rPr>
                <w:rFonts w:ascii="Times New Roman" w:hAnsi="Times New Roman" w:cstheme="minorBidi"/>
                <w:b/>
                <w:bCs/>
                <w:szCs w:val="21"/>
              </w:rPr>
              <w:t>T</w:t>
            </w:r>
            <w:r>
              <w:rPr>
                <w:rFonts w:hint="eastAsia" w:ascii="Times New Roman" w:hAnsi="Times New Roman" w:cstheme="minorBidi"/>
                <w:b/>
                <w:bCs/>
                <w:szCs w:val="21"/>
              </w:rPr>
              <w:t>日）后第</w:t>
            </w:r>
            <w:r>
              <w:rPr>
                <w:rFonts w:ascii="Times New Roman" w:hAnsi="Times New Roman" w:cstheme="minorBidi"/>
                <w:b/>
                <w:bCs/>
                <w:szCs w:val="21"/>
              </w:rPr>
              <w:t xml:space="preserve"> 1 </w:t>
            </w:r>
            <w:r>
              <w:rPr>
                <w:rFonts w:hint="eastAsia" w:ascii="Times New Roman" w:hAnsi="Times New Roman" w:cstheme="minorBidi"/>
                <w:b/>
                <w:bCs/>
                <w:szCs w:val="21"/>
              </w:rPr>
              <w:t>个交易日（</w:t>
            </w:r>
            <w:r>
              <w:rPr>
                <w:rFonts w:ascii="Times New Roman" w:hAnsi="Times New Roman" w:cstheme="minorBidi"/>
                <w:b/>
                <w:bCs/>
                <w:szCs w:val="21"/>
              </w:rPr>
              <w:t>T+1</w:t>
            </w:r>
            <w:r>
              <w:rPr>
                <w:rFonts w:hint="eastAsia" w:ascii="Times New Roman" w:hAnsi="Times New Roman" w:cstheme="minorBidi"/>
                <w:b/>
                <w:bCs/>
                <w:szCs w:val="21"/>
              </w:rPr>
              <w:t>日）进行确认。</w:t>
            </w:r>
          </w:p>
          <w:p w14:paraId="1F2F5258">
            <w:pPr>
              <w:spacing w:line="276" w:lineRule="auto"/>
              <w:rPr>
                <w:rFonts w:ascii="Times New Roman" w:hAnsi="Times New Roman" w:cstheme="minorBidi"/>
                <w:szCs w:val="21"/>
              </w:rPr>
            </w:pPr>
            <w:r>
              <w:rPr>
                <w:rFonts w:hint="eastAsia" w:ascii="Times New Roman" w:hAnsi="Times New Roman"/>
                <w:bCs/>
                <w:szCs w:val="21"/>
              </w:rPr>
              <w:t>若本产品通过代理销售机构销售，代理销售机构实际受理时间可能与说明书不一致，具体以代理销售机构通知为准。</w:t>
            </w:r>
          </w:p>
          <w:p w14:paraId="6A617B3E">
            <w:pPr>
              <w:spacing w:line="276" w:lineRule="auto"/>
              <w:rPr>
                <w:rFonts w:ascii="Times New Roman" w:hAnsi="Times New Roman"/>
                <w:bCs/>
                <w:szCs w:val="21"/>
              </w:rPr>
            </w:pPr>
            <w:r>
              <w:rPr>
                <w:rFonts w:hint="eastAsia" w:ascii="Times New Roman" w:hAnsi="Times New Roman" w:cstheme="minorBidi"/>
                <w:szCs w:val="21"/>
              </w:rPr>
              <w:t>该产品按照“金额申购、份额赎回”的原则以申赎确认日上1个交易日的单位净值计算申购份额、赎回金额。</w:t>
            </w:r>
          </w:p>
        </w:tc>
      </w:tr>
      <w:tr w14:paraId="5039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73" w:hRule="atLeast"/>
        </w:trPr>
        <w:tc>
          <w:tcPr>
            <w:tcW w:w="1739" w:type="dxa"/>
            <w:vAlign w:val="center"/>
          </w:tcPr>
          <w:p w14:paraId="13DD3651">
            <w:pPr>
              <w:spacing w:line="276" w:lineRule="auto"/>
              <w:jc w:val="center"/>
              <w:rPr>
                <w:rFonts w:ascii="Times New Roman" w:hAnsi="Times New Roman"/>
                <w:szCs w:val="21"/>
              </w:rPr>
            </w:pPr>
            <w:r>
              <w:rPr>
                <w:rFonts w:hint="eastAsia" w:ascii="Times New Roman" w:hAnsi="Times New Roman" w:cs="宋体"/>
                <w:szCs w:val="21"/>
              </w:rPr>
              <w:t>资金到账日</w:t>
            </w:r>
          </w:p>
        </w:tc>
        <w:tc>
          <w:tcPr>
            <w:tcW w:w="6213" w:type="dxa"/>
          </w:tcPr>
          <w:p w14:paraId="548DDCD9">
            <w:pPr>
              <w:spacing w:line="276" w:lineRule="auto"/>
              <w:rPr>
                <w:rFonts w:ascii="Times New Roman" w:hAnsi="Times New Roman" w:cs="宋体"/>
                <w:szCs w:val="21"/>
              </w:rPr>
            </w:pPr>
            <w:r>
              <w:rPr>
                <w:rFonts w:hint="eastAsia" w:ascii="Times New Roman" w:hAnsi="Times New Roman" w:cs="宋体"/>
                <w:szCs w:val="21"/>
              </w:rPr>
              <w:t>申赎确认日或理财产品终止日（含提前终止日）后2个交易日内，若本产品通过代理销售机构渠道销售的，具体到账时间以投资者与代理销售机构的约定为准。</w:t>
            </w:r>
          </w:p>
        </w:tc>
      </w:tr>
      <w:tr w14:paraId="1F5F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0" w:hRule="atLeast"/>
        </w:trPr>
        <w:tc>
          <w:tcPr>
            <w:tcW w:w="1739" w:type="dxa"/>
            <w:vAlign w:val="center"/>
          </w:tcPr>
          <w:p w14:paraId="7B524632">
            <w:pPr>
              <w:spacing w:line="276" w:lineRule="auto"/>
              <w:jc w:val="center"/>
              <w:rPr>
                <w:rFonts w:ascii="Times New Roman" w:hAnsi="Times New Roman"/>
                <w:bCs/>
                <w:szCs w:val="21"/>
              </w:rPr>
            </w:pPr>
            <w:r>
              <w:rPr>
                <w:rFonts w:hint="eastAsia" w:ascii="Times New Roman" w:hAnsi="Times New Roman"/>
                <w:bCs/>
                <w:szCs w:val="21"/>
              </w:rPr>
              <w:t>认购</w:t>
            </w:r>
          </w:p>
        </w:tc>
        <w:tc>
          <w:tcPr>
            <w:tcW w:w="6213" w:type="dxa"/>
          </w:tcPr>
          <w:p w14:paraId="5AB43025">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66E57AD6">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27E17D7C">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7384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BEB1889">
            <w:pPr>
              <w:spacing w:line="276" w:lineRule="auto"/>
              <w:jc w:val="center"/>
              <w:rPr>
                <w:rFonts w:ascii="Times New Roman" w:hAnsi="Times New Roman"/>
                <w:bCs/>
                <w:szCs w:val="21"/>
              </w:rPr>
            </w:pPr>
            <w:r>
              <w:rPr>
                <w:rFonts w:hint="eastAsia" w:ascii="Times New Roman" w:hAnsi="Times New Roman"/>
                <w:bCs/>
                <w:szCs w:val="21"/>
              </w:rPr>
              <w:t>申购</w:t>
            </w:r>
          </w:p>
        </w:tc>
        <w:tc>
          <w:tcPr>
            <w:tcW w:w="6213" w:type="dxa"/>
          </w:tcPr>
          <w:p w14:paraId="0C40A99F">
            <w:pPr>
              <w:spacing w:line="276" w:lineRule="auto"/>
              <w:ind w:right="-107" w:rightChars="-51"/>
              <w:rPr>
                <w:rFonts w:ascii="Times New Roman" w:hAnsi="Times New Roman"/>
                <w:bCs/>
                <w:szCs w:val="21"/>
              </w:rPr>
            </w:pPr>
            <w:r>
              <w:rPr>
                <w:rFonts w:hint="eastAsia" w:ascii="Times New Roman" w:hAnsi="Times New Roman"/>
                <w:bCs/>
                <w:szCs w:val="21"/>
              </w:rPr>
              <w:t>申购资金将于申购申请当日实时冻结或通过相关支付渠道（如有）划转，具体以销售（代理销售）机构实际处理为准。</w:t>
            </w:r>
          </w:p>
          <w:p w14:paraId="3712C2AF">
            <w:pPr>
              <w:spacing w:line="276" w:lineRule="auto"/>
              <w:ind w:right="-107" w:rightChars="-51"/>
              <w:rPr>
                <w:rFonts w:ascii="Times New Roman" w:hAnsi="Times New Roman"/>
                <w:bCs/>
                <w:szCs w:val="21"/>
              </w:rPr>
            </w:pPr>
            <w:r>
              <w:rPr>
                <w:rFonts w:hint="eastAsia" w:ascii="Times New Roman" w:hAnsi="Times New Roman"/>
                <w:bCs/>
                <w:szCs w:val="21"/>
              </w:rPr>
              <w:t>暂停申购：</w:t>
            </w:r>
            <w:r>
              <w:rPr>
                <w:rFonts w:hint="eastAsia" w:ascii="Times New Roman" w:hAnsi="Times New Roman"/>
                <w:szCs w:val="21"/>
              </w:rPr>
              <w:t>渝农商理财有限责任公司</w:t>
            </w:r>
            <w:r>
              <w:rPr>
                <w:rFonts w:ascii="Times New Roman" w:hAnsi="Times New Roman"/>
                <w:szCs w:val="21"/>
              </w:rPr>
              <w:t>有权根据理财产品运作情况暂停本产品申购请求</w:t>
            </w:r>
            <w:r>
              <w:rPr>
                <w:rFonts w:hint="eastAsia" w:ascii="Times New Roman" w:hAnsi="Times New Roman"/>
                <w:bCs/>
                <w:szCs w:val="21"/>
              </w:rPr>
              <w:t>（详细内容见以下“</w:t>
            </w:r>
            <w:r>
              <w:rPr>
                <w:rFonts w:hint="eastAsia" w:ascii="Times New Roman" w:hAnsi="Times New Roman"/>
                <w:b/>
                <w:szCs w:val="21"/>
              </w:rPr>
              <w:t>拒绝或暂停申购的情形、处理方式和程序</w:t>
            </w:r>
            <w:r>
              <w:rPr>
                <w:rFonts w:hint="eastAsia" w:ascii="Times New Roman" w:hAnsi="Times New Roman"/>
                <w:bCs/>
                <w:szCs w:val="21"/>
              </w:rPr>
              <w:t>”）。</w:t>
            </w:r>
          </w:p>
          <w:p w14:paraId="0DB544B3">
            <w:pPr>
              <w:spacing w:line="276" w:lineRule="auto"/>
              <w:rPr>
                <w:rFonts w:ascii="Times New Roman" w:hAnsi="Times New Roman"/>
                <w:bCs/>
                <w:szCs w:val="21"/>
              </w:rPr>
            </w:pPr>
            <w:r>
              <w:rPr>
                <w:rFonts w:hint="eastAsia" w:ascii="Times New Roman" w:hAnsi="Times New Roman"/>
                <w:bCs/>
                <w:szCs w:val="21"/>
              </w:rPr>
              <w:t>理财产品开放期内任一开放日，若本理财产品总规模达到理财产品上限，</w:t>
            </w:r>
            <w:r>
              <w:rPr>
                <w:rFonts w:hint="eastAsia" w:ascii="Times New Roman" w:hAnsi="Times New Roman"/>
                <w:szCs w:val="21"/>
              </w:rPr>
              <w:t>渝农商理财有限责任公司</w:t>
            </w:r>
            <w:r>
              <w:rPr>
                <w:rFonts w:hint="eastAsia" w:ascii="Times New Roman" w:hAnsi="Times New Roman"/>
                <w:bCs/>
                <w:szCs w:val="21"/>
              </w:rPr>
              <w:t>有权拒绝超过本理财产品规模上限部分的申购申请。</w:t>
            </w:r>
          </w:p>
          <w:p w14:paraId="785B3F4F">
            <w:pPr>
              <w:spacing w:line="276" w:lineRule="auto"/>
              <w:rPr>
                <w:rFonts w:ascii="Times New Roman" w:hAnsi="Times New Roman"/>
                <w:bCs/>
                <w:szCs w:val="21"/>
              </w:rPr>
            </w:pPr>
            <w:r>
              <w:rPr>
                <w:rFonts w:hint="eastAsia" w:ascii="Times New Roman" w:hAnsi="Times New Roman"/>
                <w:b/>
                <w:szCs w:val="21"/>
              </w:rPr>
              <w:t>如新增申购使得单一投资者持有份额比例超过5</w:t>
            </w:r>
            <w:r>
              <w:rPr>
                <w:rFonts w:ascii="Times New Roman" w:hAnsi="Times New Roman"/>
                <w:b/>
                <w:szCs w:val="21"/>
              </w:rPr>
              <w:t>0</w:t>
            </w:r>
            <w:r>
              <w:rPr>
                <w:rFonts w:hint="eastAsia" w:ascii="Times New Roman" w:hAnsi="Times New Roman"/>
                <w:b/>
                <w:szCs w:val="21"/>
              </w:rPr>
              <w:t>％，产品管理人将不再接受该投资者超出部分的申购申请。</w:t>
            </w:r>
            <w:r>
              <w:rPr>
                <w:rFonts w:hint="eastAsia" w:ascii="Times New Roman" w:hAnsi="Times New Roman"/>
                <w:bCs/>
                <w:szCs w:val="21"/>
              </w:rPr>
              <w:t>非因产品管理人主观因素导致突破前款规定比例限制的，在单一投资者持有比例降至5</w:t>
            </w:r>
            <w:r>
              <w:rPr>
                <w:rFonts w:ascii="Times New Roman" w:hAnsi="Times New Roman"/>
                <w:bCs/>
                <w:szCs w:val="21"/>
              </w:rPr>
              <w:t>0</w:t>
            </w:r>
            <w:r>
              <w:rPr>
                <w:rFonts w:hint="eastAsia" w:ascii="Times New Roman" w:hAnsi="Times New Roman"/>
                <w:bCs/>
                <w:szCs w:val="21"/>
              </w:rPr>
              <w:t>％以下之前，产品管理人将不再接受该投资者对该理财产品的申购申请。</w:t>
            </w:r>
          </w:p>
        </w:tc>
      </w:tr>
      <w:tr w14:paraId="581D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1739" w:type="dxa"/>
            <w:vAlign w:val="center"/>
          </w:tcPr>
          <w:p w14:paraId="720C806B">
            <w:pPr>
              <w:spacing w:line="276" w:lineRule="auto"/>
              <w:jc w:val="center"/>
              <w:rPr>
                <w:rFonts w:ascii="Times New Roman" w:hAnsi="Times New Roman"/>
                <w:bCs/>
                <w:szCs w:val="21"/>
              </w:rPr>
            </w:pPr>
            <w:r>
              <w:rPr>
                <w:rFonts w:hint="eastAsia" w:ascii="Times New Roman" w:hAnsi="Times New Roman"/>
                <w:bCs/>
                <w:szCs w:val="21"/>
              </w:rPr>
              <w:t>赎回</w:t>
            </w:r>
          </w:p>
        </w:tc>
        <w:tc>
          <w:tcPr>
            <w:tcW w:w="6213" w:type="dxa"/>
          </w:tcPr>
          <w:p w14:paraId="517145D6">
            <w:pPr>
              <w:pStyle w:val="25"/>
              <w:spacing w:line="276" w:lineRule="auto"/>
              <w:ind w:right="-107" w:rightChars="-51" w:firstLine="0" w:firstLineChars="0"/>
              <w:rPr>
                <w:rFonts w:ascii="Times New Roman" w:hAnsi="Times New Roman"/>
                <w:bCs/>
                <w:szCs w:val="21"/>
              </w:rPr>
            </w:pPr>
            <w:r>
              <w:rPr>
                <w:rFonts w:hint="eastAsia" w:ascii="Times New Roman" w:hAnsi="Times New Roman"/>
                <w:bCs/>
                <w:szCs w:val="21"/>
              </w:rPr>
              <w:t>暂停赎回：</w:t>
            </w:r>
            <w:r>
              <w:rPr>
                <w:rFonts w:hint="eastAsia" w:ascii="Times New Roman" w:hAnsi="Times New Roman"/>
                <w:szCs w:val="21"/>
              </w:rPr>
              <w:t>渝农商理财有限责任公司</w:t>
            </w:r>
            <w:r>
              <w:rPr>
                <w:rFonts w:ascii="Times New Roman" w:hAnsi="Times New Roman"/>
                <w:szCs w:val="21"/>
              </w:rPr>
              <w:t>有权根据理财产品运作情况暂停本产品</w:t>
            </w:r>
            <w:r>
              <w:rPr>
                <w:rFonts w:hint="eastAsia" w:ascii="Times New Roman" w:hAnsi="Times New Roman"/>
                <w:szCs w:val="21"/>
              </w:rPr>
              <w:t>赎回申请</w:t>
            </w:r>
            <w:r>
              <w:rPr>
                <w:rFonts w:hint="eastAsia" w:ascii="Times New Roman" w:hAnsi="Times New Roman"/>
                <w:bCs/>
                <w:szCs w:val="21"/>
              </w:rPr>
              <w:t>（详细内容见以下“</w:t>
            </w:r>
            <w:r>
              <w:rPr>
                <w:rFonts w:hint="eastAsia" w:ascii="Times New Roman" w:hAnsi="Times New Roman"/>
                <w:b/>
                <w:szCs w:val="21"/>
              </w:rPr>
              <w:t>暂停赎回或延缓支付赎回款项的情形、处理方式和程序”</w:t>
            </w:r>
            <w:r>
              <w:rPr>
                <w:rFonts w:hint="eastAsia" w:ascii="Times New Roman" w:hAnsi="Times New Roman"/>
                <w:bCs/>
                <w:szCs w:val="21"/>
              </w:rPr>
              <w:t>）。</w:t>
            </w:r>
          </w:p>
        </w:tc>
      </w:tr>
      <w:tr w14:paraId="7B5D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34" w:hRule="atLeast"/>
        </w:trPr>
        <w:tc>
          <w:tcPr>
            <w:tcW w:w="1739" w:type="dxa"/>
            <w:vAlign w:val="center"/>
          </w:tcPr>
          <w:p w14:paraId="2024F2FA">
            <w:pPr>
              <w:spacing w:line="276" w:lineRule="auto"/>
              <w:jc w:val="center"/>
              <w:rPr>
                <w:rFonts w:ascii="Times New Roman" w:hAnsi="Times New Roman"/>
                <w:b/>
                <w:szCs w:val="21"/>
              </w:rPr>
            </w:pPr>
            <w:r>
              <w:rPr>
                <w:rFonts w:hint="eastAsia" w:ascii="Times New Roman" w:hAnsi="Times New Roman"/>
                <w:b/>
                <w:szCs w:val="21"/>
              </w:rPr>
              <w:t>巨额赎回</w:t>
            </w:r>
          </w:p>
          <w:p w14:paraId="64EA2F76">
            <w:pPr>
              <w:spacing w:line="276" w:lineRule="auto"/>
              <w:jc w:val="center"/>
              <w:rPr>
                <w:rFonts w:ascii="Times New Roman" w:hAnsi="Times New Roman"/>
                <w:bCs/>
                <w:szCs w:val="21"/>
              </w:rPr>
            </w:pPr>
          </w:p>
        </w:tc>
        <w:tc>
          <w:tcPr>
            <w:tcW w:w="6213" w:type="dxa"/>
          </w:tcPr>
          <w:p w14:paraId="18B3A942">
            <w:pPr>
              <w:spacing w:line="276" w:lineRule="auto"/>
              <w:ind w:right="-107" w:rightChars="-51"/>
              <w:rPr>
                <w:rFonts w:ascii="Times New Roman" w:hAnsi="Times New Roman"/>
                <w:b/>
                <w:szCs w:val="21"/>
              </w:rPr>
            </w:pPr>
            <w:r>
              <w:rPr>
                <w:rFonts w:hint="eastAsia" w:ascii="Times New Roman" w:hAnsi="Times New Roman"/>
                <w:b/>
                <w:szCs w:val="21"/>
              </w:rPr>
              <w:t>出现巨额赎回时，渝农商理财有限责任公司可拒绝超出前一日终理财产品总份额1</w:t>
            </w:r>
            <w:r>
              <w:rPr>
                <w:rFonts w:ascii="Times New Roman" w:hAnsi="Times New Roman"/>
                <w:b/>
                <w:szCs w:val="21"/>
              </w:rPr>
              <w:t>0%</w:t>
            </w:r>
            <w:r>
              <w:rPr>
                <w:rFonts w:hint="eastAsia" w:ascii="Times New Roman" w:hAnsi="Times New Roman"/>
                <w:b/>
                <w:szCs w:val="21"/>
              </w:rPr>
              <w:t>以外的赎回申请，并于申赎确认日后2个工作日内进行公告。对于接受赎回部分，按照正常赎回流程办理。</w:t>
            </w:r>
          </w:p>
          <w:p w14:paraId="23AA0446">
            <w:pPr>
              <w:spacing w:line="276" w:lineRule="auto"/>
              <w:ind w:right="-107" w:rightChars="-51"/>
              <w:rPr>
                <w:rFonts w:ascii="Times New Roman" w:hAnsi="Times New Roman"/>
                <w:bCs/>
                <w:szCs w:val="21"/>
              </w:rPr>
            </w:pPr>
            <w:r>
              <w:rPr>
                <w:rFonts w:hint="eastAsia" w:ascii="Times New Roman" w:hAnsi="Times New Roman"/>
                <w:bCs/>
                <w:szCs w:val="21"/>
              </w:rPr>
              <w:t>如理财产品连续两个开放日出现巨额赎回情况，产品管理人有权在下一开放日暂停该理财产品的赎回申请。对于已经接受的赎回申请，产品管理人可以延缓支付赎回款项，但延缓期限不得超过20个工作日。</w:t>
            </w:r>
          </w:p>
        </w:tc>
      </w:tr>
      <w:tr w14:paraId="09A8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E9E4928">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6213" w:type="dxa"/>
          </w:tcPr>
          <w:p w14:paraId="0D22B95D">
            <w:pPr>
              <w:autoSpaceDE w:val="0"/>
              <w:autoSpaceDN w:val="0"/>
              <w:adjustRightInd w:val="0"/>
              <w:spacing w:line="276" w:lineRule="auto"/>
              <w:jc w:val="left"/>
              <w:rPr>
                <w:rFonts w:hint="eastAsia" w:ascii="Times New Roman" w:hAnsi="Times New Roman"/>
                <w:bCs/>
                <w:szCs w:val="21"/>
              </w:rPr>
            </w:pPr>
            <w:r>
              <w:rPr>
                <w:rFonts w:hint="eastAsia" w:ascii="Times New Roman" w:hAnsi="Times New Roman"/>
                <w:bCs/>
                <w:szCs w:val="21"/>
              </w:rPr>
              <w:t>本理财产品业绩比较基准为中债-新综合全价(1年以下)指数收益率*50%+7天通知存款利率*50%。</w:t>
            </w:r>
          </w:p>
          <w:p w14:paraId="0E82BB16">
            <w:pPr>
              <w:autoSpaceDE w:val="0"/>
              <w:autoSpaceDN w:val="0"/>
              <w:adjustRightInd w:val="0"/>
              <w:spacing w:line="276" w:lineRule="auto"/>
              <w:jc w:val="left"/>
              <w:rPr>
                <w:rFonts w:hint="eastAsia" w:ascii="Times New Roman" w:hAnsi="Times New Roman" w:eastAsia="宋体"/>
                <w:bCs/>
                <w:sz w:val="21"/>
                <w:szCs w:val="21"/>
              </w:rPr>
            </w:pPr>
            <w:r>
              <w:rPr>
                <w:rFonts w:hint="eastAsia" w:ascii="Times New Roman" w:hAnsi="Times New Roman"/>
                <w:bCs/>
                <w:szCs w:val="21"/>
              </w:rPr>
              <w:t>本理财产品业绩比较基准是产品管理人根据本产品的投资范围、投资策略及配置比例，综合当前市场环境及策略过往历史表现等因素所设定的投资目标。7天通知存款利率是指中国人民银行发布的7天通知存款利率。</w:t>
            </w:r>
            <w:bookmarkStart w:id="36" w:name="_GoBack"/>
            <w:bookmarkEnd w:id="36"/>
          </w:p>
          <w:p w14:paraId="32E02D15">
            <w:pPr>
              <w:autoSpaceDE w:val="0"/>
              <w:autoSpaceDN w:val="0"/>
              <w:adjustRightInd w:val="0"/>
              <w:spacing w:line="276" w:lineRule="auto"/>
              <w:jc w:val="left"/>
              <w:rPr>
                <w:rFonts w:hint="eastAsia" w:ascii="Times New Roman" w:hAnsi="Times New Roman" w:eastAsia="宋体"/>
                <w:b w:val="0"/>
                <w:bCs/>
                <w:sz w:val="21"/>
                <w:szCs w:val="21"/>
              </w:rPr>
            </w:pPr>
            <w:r>
              <w:rPr>
                <w:rFonts w:hint="eastAsia" w:ascii="Times New Roman" w:hAnsi="Times New Roman" w:eastAsia="宋体"/>
                <w:bCs/>
                <w:sz w:val="21"/>
                <w:szCs w:val="21"/>
              </w:rPr>
              <w:t>本产品为净值型产品，其业绩表现将随市场波动，具有不确定性。</w:t>
            </w:r>
            <w:r>
              <w:rPr>
                <w:rFonts w:hint="eastAsia" w:ascii="Times New Roman" w:hAnsi="Times New Roman" w:eastAsia="宋体"/>
                <w:b/>
                <w:bCs w:val="0"/>
                <w:sz w:val="21"/>
                <w:szCs w:val="21"/>
              </w:rPr>
              <w:t>本业绩比较基准仅作为参考，不具有法律约束力，不是预期收益率，不代表本产品的未来表现和实际收益，不构成对本产品的任何收益承诺。</w:t>
            </w:r>
          </w:p>
          <w:p w14:paraId="74104805">
            <w:pPr>
              <w:autoSpaceDE w:val="0"/>
              <w:autoSpaceDN w:val="0"/>
              <w:adjustRightInd w:val="0"/>
              <w:spacing w:line="276" w:lineRule="auto"/>
              <w:jc w:val="left"/>
              <w:rPr>
                <w:rFonts w:ascii="Times New Roman" w:hAnsi="Times New Roman"/>
                <w:bCs/>
                <w:szCs w:val="21"/>
              </w:rPr>
            </w:pPr>
            <w:r>
              <w:rPr>
                <w:rFonts w:hint="eastAsia" w:ascii="Times New Roman" w:hAnsi="Times New Roman" w:eastAsia="宋体"/>
                <w:bCs/>
                <w:sz w:val="21"/>
                <w:szCs w:val="21"/>
              </w:rPr>
              <w:t>在法律法规允许的情况下，产品管理人有权根据市场变动及产品运作情况调整业绩比较基准并进行信息披露。</w:t>
            </w:r>
          </w:p>
        </w:tc>
      </w:tr>
      <w:tr w14:paraId="614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CBFAE99">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6213" w:type="dxa"/>
          </w:tcPr>
          <w:p w14:paraId="7E25C890">
            <w:pPr>
              <w:spacing w:line="276" w:lineRule="auto"/>
              <w:rPr>
                <w:rFonts w:ascii="Times New Roman" w:hAnsi="Times New Roman"/>
                <w:bCs/>
                <w:szCs w:val="21"/>
              </w:rPr>
            </w:pPr>
            <w:r>
              <w:rPr>
                <w:rFonts w:hint="eastAsia" w:ascii="Times New Roman" w:hAnsi="Times New Roman"/>
                <w:bCs/>
                <w:szCs w:val="21"/>
              </w:rPr>
              <w:t>1.0000</w:t>
            </w:r>
            <w:r>
              <w:rPr>
                <w:rFonts w:hint="eastAsia" w:ascii="Times New Roman" w:hAnsi="Times New Roman"/>
                <w:bCs/>
                <w:szCs w:val="21"/>
                <w:lang w:val="en-US" w:eastAsia="zh-CN"/>
              </w:rPr>
              <w:t>00</w:t>
            </w:r>
            <w:r>
              <w:rPr>
                <w:rFonts w:hint="eastAsia" w:ascii="Times New Roman" w:hAnsi="Times New Roman"/>
                <w:bCs/>
                <w:szCs w:val="21"/>
              </w:rPr>
              <w:t>元/份</w:t>
            </w:r>
          </w:p>
        </w:tc>
      </w:tr>
      <w:tr w14:paraId="685D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7141E2A">
            <w:pPr>
              <w:widowControl/>
              <w:spacing w:line="276" w:lineRule="auto"/>
              <w:jc w:val="center"/>
              <w:rPr>
                <w:rFonts w:ascii="Times New Roman" w:hAnsi="Times New Roman"/>
                <w:b/>
                <w:szCs w:val="21"/>
              </w:rPr>
            </w:pPr>
            <w:r>
              <w:rPr>
                <w:rFonts w:hint="eastAsia" w:ascii="Times New Roman" w:hAnsi="Times New Roman"/>
                <w:b/>
                <w:szCs w:val="21"/>
              </w:rPr>
              <w:t>理财产品费用</w:t>
            </w:r>
          </w:p>
        </w:tc>
        <w:tc>
          <w:tcPr>
            <w:tcW w:w="6213" w:type="dxa"/>
            <w:vAlign w:val="center"/>
          </w:tcPr>
          <w:p w14:paraId="4E75CD49">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w:t>
            </w:r>
            <w:r>
              <w:rPr>
                <w:rFonts w:ascii="Times New Roman" w:hAnsi="Times New Roman"/>
                <w:b/>
                <w:szCs w:val="21"/>
              </w:rPr>
              <w:t>销售服务费、</w:t>
            </w:r>
            <w:r>
              <w:rPr>
                <w:rFonts w:hint="eastAsia" w:ascii="Times New Roman" w:hAnsi="Times New Roman"/>
                <w:b/>
                <w:szCs w:val="21"/>
              </w:rPr>
              <w:t>固定管理费、托管费等相关费用，</w:t>
            </w:r>
            <w:r>
              <w:rPr>
                <w:rFonts w:ascii="Times New Roman" w:hAnsi="Times New Roman"/>
                <w:b/>
                <w:szCs w:val="21"/>
              </w:rPr>
              <w:t>各费用率均为年化数值</w:t>
            </w:r>
            <w:r>
              <w:rPr>
                <w:rFonts w:hint="eastAsia" w:ascii="Times New Roman" w:hAnsi="Times New Roman"/>
                <w:b/>
                <w:szCs w:val="21"/>
              </w:rPr>
              <w:t>。</w:t>
            </w:r>
          </w:p>
          <w:p w14:paraId="5DAE9A6F">
            <w:pPr>
              <w:numPr>
                <w:ilvl w:val="0"/>
                <w:numId w:val="1"/>
              </w:numPr>
              <w:autoSpaceDE w:val="0"/>
              <w:autoSpaceDN w:val="0"/>
              <w:adjustRightInd w:val="0"/>
              <w:spacing w:line="276" w:lineRule="auto"/>
              <w:jc w:val="left"/>
              <w:rPr>
                <w:rFonts w:ascii="Times New Roman" w:hAnsi="Times New Roman"/>
                <w:b/>
                <w:szCs w:val="21"/>
              </w:rPr>
            </w:pPr>
            <w:r>
              <w:rPr>
                <w:rFonts w:ascii="Times New Roman" w:hAnsi="Times New Roman"/>
                <w:b/>
                <w:szCs w:val="21"/>
              </w:rPr>
              <w:t>销</w:t>
            </w:r>
            <w:r>
              <w:rPr>
                <w:rFonts w:hint="eastAsia" w:ascii="Times New Roman" w:hAnsi="Times New Roman"/>
                <w:b/>
                <w:szCs w:val="21"/>
              </w:rPr>
              <w:t>售服务费率：A份额为0.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B</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C</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D</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p>
          <w:p w14:paraId="721B0E0F">
            <w:pPr>
              <w:numPr>
                <w:ilvl w:val="0"/>
                <w:numId w:val="1"/>
              </w:num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固定管理费率：A份额为0.30%；</w:t>
            </w:r>
            <w:r>
              <w:rPr>
                <w:rFonts w:hint="eastAsia" w:ascii="Times New Roman" w:hAnsi="Times New Roman"/>
                <w:b/>
                <w:szCs w:val="21"/>
                <w:lang w:val="en-US" w:eastAsia="zh-CN"/>
              </w:rPr>
              <w:t>B</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C</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D</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3</w:t>
            </w:r>
            <w:r>
              <w:rPr>
                <w:rFonts w:hint="eastAsia" w:ascii="Times New Roman" w:hAnsi="Times New Roman"/>
                <w:b/>
                <w:szCs w:val="21"/>
              </w:rPr>
              <w:t>0%；</w:t>
            </w:r>
          </w:p>
          <w:p w14:paraId="15DDC442">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w:t>
            </w:r>
            <w:r>
              <w:rPr>
                <w:rFonts w:ascii="Times New Roman" w:hAnsi="Times New Roman"/>
                <w:b/>
                <w:szCs w:val="21"/>
              </w:rPr>
              <w:t>.007</w:t>
            </w:r>
            <w:r>
              <w:rPr>
                <w:rFonts w:hint="eastAsia" w:ascii="Times New Roman" w:hAnsi="Times New Roman"/>
                <w:b/>
                <w:szCs w:val="21"/>
              </w:rPr>
              <w:t>%；</w:t>
            </w:r>
          </w:p>
          <w:p w14:paraId="70ED1036">
            <w:pPr>
              <w:autoSpaceDE w:val="0"/>
              <w:autoSpaceDN w:val="0"/>
              <w:adjustRightInd w:val="0"/>
              <w:spacing w:line="276" w:lineRule="auto"/>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、其他费用</w:t>
            </w:r>
            <w:r>
              <w:rPr>
                <w:rFonts w:ascii="Times New Roman" w:hAnsi="Times New Roman"/>
                <w:b/>
                <w:szCs w:val="21"/>
              </w:rPr>
              <w:t>。</w:t>
            </w:r>
          </w:p>
          <w:p w14:paraId="63EC5752">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详细内容见以下“产品费用”条款。</w:t>
            </w:r>
          </w:p>
        </w:tc>
      </w:tr>
      <w:tr w14:paraId="08E6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0126BE9">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6213" w:type="dxa"/>
            <w:vAlign w:val="center"/>
          </w:tcPr>
          <w:p w14:paraId="6A33850A">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5670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7D2E3BC">
            <w:pPr>
              <w:widowControl/>
              <w:spacing w:line="276" w:lineRule="auto"/>
              <w:jc w:val="center"/>
              <w:rPr>
                <w:rFonts w:ascii="Times New Roman" w:hAnsi="Times New Roman"/>
                <w:b/>
                <w:szCs w:val="21"/>
              </w:rPr>
            </w:pPr>
            <w:r>
              <w:rPr>
                <w:rFonts w:hint="eastAsia" w:ascii="Times New Roman" w:hAnsi="Times New Roman"/>
                <w:b/>
                <w:szCs w:val="21"/>
              </w:rPr>
              <w:t>申购费率</w:t>
            </w:r>
          </w:p>
        </w:tc>
        <w:tc>
          <w:tcPr>
            <w:tcW w:w="6213" w:type="dxa"/>
            <w:vAlign w:val="center"/>
          </w:tcPr>
          <w:p w14:paraId="0CE93E36">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73D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CB26B63">
            <w:pPr>
              <w:widowControl/>
              <w:spacing w:line="276" w:lineRule="auto"/>
              <w:jc w:val="center"/>
              <w:rPr>
                <w:rFonts w:ascii="Times New Roman" w:hAnsi="Times New Roman"/>
                <w:b/>
                <w:szCs w:val="21"/>
              </w:rPr>
            </w:pPr>
            <w:r>
              <w:rPr>
                <w:rFonts w:hint="eastAsia" w:ascii="Times New Roman" w:hAnsi="Times New Roman"/>
                <w:b/>
                <w:szCs w:val="21"/>
              </w:rPr>
              <w:t>赎回费率</w:t>
            </w:r>
          </w:p>
        </w:tc>
        <w:tc>
          <w:tcPr>
            <w:tcW w:w="6213" w:type="dxa"/>
            <w:vAlign w:val="center"/>
          </w:tcPr>
          <w:p w14:paraId="21F4D724">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1575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00BA5B6">
            <w:pPr>
              <w:widowControl/>
              <w:spacing w:line="276" w:lineRule="auto"/>
              <w:jc w:val="center"/>
            </w:pPr>
            <w:r>
              <w:rPr>
                <w:rFonts w:hint="eastAsia" w:ascii="Times New Roman" w:hAnsi="Times New Roman"/>
                <w:bCs/>
                <w:szCs w:val="21"/>
                <w:highlight w:val="none"/>
                <w:shd w:val="clear" w:color="auto" w:fill="auto"/>
              </w:rPr>
              <w:t>单个投资者持有上限</w:t>
            </w:r>
          </w:p>
        </w:tc>
        <w:tc>
          <w:tcPr>
            <w:tcW w:w="6213" w:type="dxa"/>
            <w:vAlign w:val="center"/>
          </w:tcPr>
          <w:p w14:paraId="6F44F5A5">
            <w:pPr>
              <w:spacing w:line="276" w:lineRule="auto"/>
              <w:ind w:right="-107" w:rightChars="-51"/>
              <w:jc w:val="left"/>
            </w:pPr>
            <w:r>
              <w:rPr>
                <w:rFonts w:hint="eastAsia" w:ascii="Times New Roman" w:hAnsi="Times New Roman"/>
                <w:bCs/>
                <w:szCs w:val="21"/>
                <w:highlight w:val="none"/>
                <w:shd w:val="clear" w:color="auto" w:fill="auto"/>
              </w:rPr>
              <w:t>单个投资者持有上限</w:t>
            </w:r>
            <w:r>
              <w:rPr>
                <w:rFonts w:hint="eastAsia" w:ascii="Times New Roman" w:hAnsi="Times New Roman"/>
                <w:bCs/>
                <w:color w:val="auto"/>
                <w:szCs w:val="21"/>
                <w:highlight w:val="none"/>
                <w:shd w:val="clear" w:color="auto" w:fill="auto"/>
                <w:lang w:val="en-US" w:eastAsia="zh-CN"/>
              </w:rPr>
              <w:t>2000</w:t>
            </w:r>
            <w:r>
              <w:rPr>
                <w:rFonts w:hint="eastAsia" w:ascii="Times New Roman" w:hAnsi="Times New Roman"/>
                <w:bCs/>
                <w:szCs w:val="21"/>
                <w:highlight w:val="none"/>
                <w:shd w:val="clear" w:color="auto" w:fill="auto"/>
              </w:rPr>
              <w:t>万元。如需超过单个投资者持有上限限制须向渝农商理财有限责任公司提交申请，渝农商理财有限责任公司可视流动性情况接受或拒绝该申请。</w:t>
            </w:r>
          </w:p>
        </w:tc>
      </w:tr>
      <w:tr w14:paraId="0CDE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4999D3BA">
            <w:pPr>
              <w:widowControl/>
              <w:spacing w:line="276" w:lineRule="auto"/>
              <w:jc w:val="center"/>
              <w:rPr>
                <w:rFonts w:ascii="Times New Roman" w:hAnsi="Times New Roman"/>
                <w:bCs/>
                <w:szCs w:val="21"/>
              </w:rPr>
            </w:pPr>
            <w:r>
              <w:t>同一日单个投资者累计赎回上限</w:t>
            </w:r>
          </w:p>
        </w:tc>
        <w:tc>
          <w:tcPr>
            <w:tcW w:w="6213" w:type="dxa"/>
          </w:tcPr>
          <w:p w14:paraId="525C7A14">
            <w:pPr>
              <w:spacing w:line="276" w:lineRule="auto"/>
              <w:rPr>
                <w:rFonts w:ascii="Times New Roman" w:hAnsi="Times New Roman"/>
                <w:bCs/>
                <w:szCs w:val="21"/>
              </w:rPr>
            </w:pPr>
            <w:r>
              <w:t>同一日单个投资者累计赎回上限为</w:t>
            </w:r>
            <w:r>
              <w:rPr>
                <w:rFonts w:hint="eastAsia"/>
                <w:lang w:val="en-US" w:eastAsia="zh-CN"/>
              </w:rPr>
              <w:t>500万</w:t>
            </w:r>
            <w:r>
              <w:t>元。如需超过同一日单个投资者累计赎回上限限制须向渝农商理财有限责任公司提交申请，渝农商理财有限责任公司可视流动性情况接受或拒绝该申请。</w:t>
            </w:r>
          </w:p>
        </w:tc>
      </w:tr>
      <w:tr w14:paraId="2665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30A9AF8">
            <w:pPr>
              <w:widowControl/>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w:t>
            </w:r>
            <w:r>
              <w:rPr>
                <w:rFonts w:ascii="Times New Roman" w:hAnsi="Times New Roman"/>
                <w:bCs/>
                <w:szCs w:val="21"/>
              </w:rPr>
              <w:t>申购</w:t>
            </w:r>
            <w:r>
              <w:rPr>
                <w:rFonts w:hint="eastAsia" w:ascii="Times New Roman" w:hAnsi="Times New Roman"/>
                <w:bCs/>
                <w:szCs w:val="21"/>
              </w:rPr>
              <w:t>起点金额</w:t>
            </w:r>
          </w:p>
        </w:tc>
        <w:tc>
          <w:tcPr>
            <w:tcW w:w="6213" w:type="dxa"/>
          </w:tcPr>
          <w:p w14:paraId="79C4233E">
            <w:pPr>
              <w:rPr>
                <w:rFonts w:hint="eastAsia"/>
              </w:rPr>
            </w:pPr>
            <w:r>
              <w:t>A</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t>A</w:t>
            </w:r>
            <w:r>
              <w:rPr>
                <w:rFonts w:hint="eastAsia"/>
              </w:rPr>
              <w:t>份额的投资者，申购金额以</w:t>
            </w:r>
            <w:r>
              <w:rPr>
                <w:rFonts w:hint="eastAsia"/>
                <w:lang w:val="en-US" w:eastAsia="zh-CN"/>
              </w:rPr>
              <w:t>1</w:t>
            </w:r>
            <w:r>
              <w:rPr>
                <w:rFonts w:hint="eastAsia"/>
              </w:rPr>
              <w:t>元的整数倍递增。</w:t>
            </w:r>
          </w:p>
          <w:p w14:paraId="192B00D9">
            <w:r>
              <w:rPr>
                <w:rFonts w:hint="eastAsia"/>
                <w:lang w:val="en-US" w:eastAsia="zh-CN"/>
              </w:rPr>
              <w:t>B</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B</w:t>
            </w:r>
            <w:r>
              <w:rPr>
                <w:rFonts w:hint="eastAsia"/>
              </w:rPr>
              <w:t>份额的投资者，申购金额以</w:t>
            </w:r>
            <w:r>
              <w:rPr>
                <w:rFonts w:hint="eastAsia"/>
                <w:lang w:val="en-US" w:eastAsia="zh-CN"/>
              </w:rPr>
              <w:t>1</w:t>
            </w:r>
            <w:r>
              <w:rPr>
                <w:rFonts w:hint="eastAsia"/>
              </w:rPr>
              <w:t>元的整数倍递增。</w:t>
            </w:r>
          </w:p>
          <w:p w14:paraId="561A29A6">
            <w:r>
              <w:rPr>
                <w:rFonts w:hint="eastAsia"/>
                <w:lang w:val="en-US" w:eastAsia="zh-CN"/>
              </w:rPr>
              <w:t>C</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C</w:t>
            </w:r>
            <w:r>
              <w:rPr>
                <w:rFonts w:hint="eastAsia"/>
              </w:rPr>
              <w:t>份额的投资者，申购金额以</w:t>
            </w:r>
            <w:r>
              <w:rPr>
                <w:rFonts w:hint="eastAsia"/>
                <w:lang w:val="en-US" w:eastAsia="zh-CN"/>
              </w:rPr>
              <w:t>1</w:t>
            </w:r>
            <w:r>
              <w:rPr>
                <w:rFonts w:hint="eastAsia"/>
              </w:rPr>
              <w:t>元的整数倍递增。</w:t>
            </w:r>
          </w:p>
          <w:p w14:paraId="520C296F">
            <w:pPr>
              <w:rPr>
                <w:rFonts w:hint="eastAsia"/>
              </w:rPr>
            </w:pPr>
            <w:r>
              <w:rPr>
                <w:rFonts w:hint="eastAsia"/>
                <w:lang w:val="en-US" w:eastAsia="zh-CN"/>
              </w:rPr>
              <w:t>D</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D</w:t>
            </w:r>
            <w:r>
              <w:rPr>
                <w:rFonts w:hint="eastAsia"/>
              </w:rPr>
              <w:t>份额的投资者，申购金额以</w:t>
            </w:r>
            <w:r>
              <w:rPr>
                <w:rFonts w:hint="eastAsia"/>
                <w:lang w:val="en-US" w:eastAsia="zh-CN"/>
              </w:rPr>
              <w:t>1</w:t>
            </w:r>
            <w:r>
              <w:rPr>
                <w:rFonts w:hint="eastAsia"/>
              </w:rPr>
              <w:t>元的整数倍递增。</w:t>
            </w:r>
          </w:p>
          <w:p w14:paraId="7FDCDF16">
            <w:pPr>
              <w:rPr>
                <w:rFonts w:hint="eastAsia"/>
              </w:rPr>
            </w:pPr>
            <w:r>
              <w:rPr>
                <w:rFonts w:hint="eastAsia"/>
                <w:lang w:val="en-US" w:eastAsia="zh-CN"/>
              </w:rPr>
              <w:t>E</w:t>
            </w:r>
            <w:r>
              <w:rPr>
                <w:rFonts w:hint="eastAsia"/>
              </w:rPr>
              <w:t>份额认购及申购起点金额为</w:t>
            </w:r>
            <w:r>
              <w:rPr>
                <w:rFonts w:hint="eastAsia"/>
                <w:lang w:val="en-US" w:eastAsia="zh-CN"/>
              </w:rPr>
              <w:t>1</w:t>
            </w:r>
            <w:r>
              <w:rPr>
                <w:rFonts w:hint="eastAsia"/>
              </w:rPr>
              <w:t>元，高于起点金额部分以</w:t>
            </w:r>
            <w:r>
              <w:rPr>
                <w:rFonts w:hint="eastAsia"/>
                <w:lang w:val="en-US" w:eastAsia="zh-CN"/>
              </w:rPr>
              <w:t>1</w:t>
            </w:r>
            <w:r>
              <w:rPr>
                <w:rFonts w:hint="eastAsia"/>
              </w:rPr>
              <w:t>元的整数倍递增。对于已持有</w:t>
            </w:r>
            <w:r>
              <w:rPr>
                <w:rFonts w:hint="eastAsia"/>
                <w:lang w:val="en-US" w:eastAsia="zh-CN"/>
              </w:rPr>
              <w:t>E</w:t>
            </w:r>
            <w:r>
              <w:rPr>
                <w:rFonts w:hint="eastAsia"/>
              </w:rPr>
              <w:t>份额的投资者，申购金额以</w:t>
            </w:r>
            <w:r>
              <w:rPr>
                <w:rFonts w:hint="eastAsia"/>
                <w:lang w:val="en-US" w:eastAsia="zh-CN"/>
              </w:rPr>
              <w:t>1</w:t>
            </w:r>
            <w:r>
              <w:rPr>
                <w:rFonts w:hint="eastAsia"/>
              </w:rPr>
              <w:t>元的整数倍递增。</w:t>
            </w:r>
          </w:p>
          <w:p w14:paraId="7023714F">
            <w:pPr>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71B8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B8F8E3F">
            <w:pPr>
              <w:widowControl/>
              <w:spacing w:line="276" w:lineRule="auto"/>
              <w:jc w:val="center"/>
              <w:rPr>
                <w:rFonts w:ascii="Times New Roman" w:hAnsi="Times New Roman"/>
                <w:bCs/>
                <w:szCs w:val="21"/>
              </w:rPr>
            </w:pPr>
            <w:r>
              <w:rPr>
                <w:rFonts w:ascii="Times New Roman" w:hAnsi="Times New Roman"/>
                <w:bCs/>
                <w:szCs w:val="21"/>
              </w:rPr>
              <w:t>单笔赎回最低份额</w:t>
            </w:r>
          </w:p>
        </w:tc>
        <w:tc>
          <w:tcPr>
            <w:tcW w:w="6213" w:type="dxa"/>
            <w:vAlign w:val="center"/>
          </w:tcPr>
          <w:p w14:paraId="6C88575C">
            <w:pPr>
              <w:spacing w:line="276" w:lineRule="auto"/>
              <w:rPr>
                <w:rFonts w:ascii="Times New Roman" w:hAnsi="Times New Roman"/>
                <w:bCs/>
                <w:szCs w:val="21"/>
              </w:rPr>
            </w:pPr>
            <w:r>
              <w:rPr>
                <w:rFonts w:ascii="Times New Roman" w:hAnsi="Times New Roman"/>
                <w:bCs/>
                <w:szCs w:val="21"/>
              </w:rPr>
              <w:t>单笔赎回最低份额</w:t>
            </w:r>
            <w:r>
              <w:rPr>
                <w:rFonts w:hint="eastAsia" w:ascii="Times New Roman" w:hAnsi="Times New Roman"/>
                <w:bCs/>
                <w:szCs w:val="21"/>
              </w:rPr>
              <w:t>为</w:t>
            </w:r>
            <w:r>
              <w:rPr>
                <w:rFonts w:ascii="Times New Roman" w:hAnsi="Times New Roman"/>
                <w:bCs/>
                <w:szCs w:val="21"/>
              </w:rPr>
              <w:t>0.01</w:t>
            </w:r>
            <w:r>
              <w:rPr>
                <w:rFonts w:hint="eastAsia" w:ascii="Times New Roman" w:hAnsi="Times New Roman"/>
                <w:bCs/>
                <w:szCs w:val="21"/>
              </w:rPr>
              <w:t>份，并以0.01份整数倍追加。</w:t>
            </w:r>
          </w:p>
        </w:tc>
      </w:tr>
      <w:tr w14:paraId="11C3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tcPr>
          <w:p w14:paraId="3C5B9769">
            <w:pPr>
              <w:widowControl/>
              <w:spacing w:line="276" w:lineRule="auto"/>
              <w:jc w:val="center"/>
              <w:rPr>
                <w:rFonts w:ascii="Times New Roman" w:hAnsi="Times New Roman"/>
                <w:bCs/>
                <w:szCs w:val="21"/>
              </w:rPr>
            </w:pPr>
            <w:r>
              <w:rPr>
                <w:rFonts w:hint="eastAsia" w:ascii="Times New Roman" w:hAnsi="Times New Roman"/>
                <w:szCs w:val="21"/>
              </w:rPr>
              <w:t>最低保留份额</w:t>
            </w:r>
          </w:p>
        </w:tc>
        <w:tc>
          <w:tcPr>
            <w:tcW w:w="6213" w:type="dxa"/>
          </w:tcPr>
          <w:p w14:paraId="6F3DDEA0">
            <w:pPr>
              <w:spacing w:line="276" w:lineRule="auto"/>
            </w:pPr>
            <w:r>
              <w:t>A</w:t>
            </w:r>
            <w:r>
              <w:rPr>
                <w:rFonts w:hint="eastAsia"/>
              </w:rPr>
              <w:t>份额为</w:t>
            </w:r>
            <w:r>
              <w:t>0.01</w:t>
            </w:r>
            <w:r>
              <w:rPr>
                <w:rFonts w:hint="eastAsia"/>
              </w:rPr>
              <w:t>份，当</w:t>
            </w:r>
            <w:r>
              <w:t>A</w:t>
            </w:r>
            <w:r>
              <w:rPr>
                <w:rFonts w:hint="eastAsia"/>
              </w:rPr>
              <w:t>份额投资者持有的剩余</w:t>
            </w:r>
            <w:r>
              <w:t>A</w:t>
            </w:r>
            <w:r>
              <w:rPr>
                <w:rFonts w:hint="eastAsia"/>
              </w:rPr>
              <w:t>份额低于</w:t>
            </w:r>
            <w:r>
              <w:t>0.01</w:t>
            </w:r>
            <w:r>
              <w:rPr>
                <w:rFonts w:hint="eastAsia"/>
              </w:rPr>
              <w:t>份时，应一次性申请赎回其持有的全部</w:t>
            </w:r>
            <w:r>
              <w:t>A</w:t>
            </w:r>
            <w:r>
              <w:rPr>
                <w:rFonts w:hint="eastAsia"/>
              </w:rPr>
              <w:t>份额理财产品</w:t>
            </w:r>
            <w:r>
              <w:t>。</w:t>
            </w:r>
          </w:p>
          <w:p w14:paraId="47F03D60">
            <w:pPr>
              <w:spacing w:line="276" w:lineRule="auto"/>
            </w:pPr>
            <w:r>
              <w:rPr>
                <w:rFonts w:hint="eastAsia"/>
                <w:lang w:val="en-US" w:eastAsia="zh-CN"/>
              </w:rPr>
              <w:t>B</w:t>
            </w:r>
            <w:r>
              <w:rPr>
                <w:rFonts w:hint="eastAsia"/>
              </w:rPr>
              <w:t>份额为</w:t>
            </w:r>
            <w:r>
              <w:t>0.01</w:t>
            </w:r>
            <w:r>
              <w:rPr>
                <w:rFonts w:hint="eastAsia"/>
              </w:rPr>
              <w:t>份，当</w:t>
            </w:r>
            <w:r>
              <w:rPr>
                <w:rFonts w:hint="eastAsia"/>
                <w:lang w:val="en-US" w:eastAsia="zh-CN"/>
              </w:rPr>
              <w:t>B</w:t>
            </w:r>
            <w:r>
              <w:rPr>
                <w:rFonts w:hint="eastAsia"/>
              </w:rPr>
              <w:t>份额投资者持有的剩余</w:t>
            </w:r>
            <w:r>
              <w:rPr>
                <w:rFonts w:hint="eastAsia"/>
                <w:lang w:val="en-US" w:eastAsia="zh-CN"/>
              </w:rPr>
              <w:t>B</w:t>
            </w:r>
            <w:r>
              <w:rPr>
                <w:rFonts w:hint="eastAsia"/>
              </w:rPr>
              <w:t>份额低于</w:t>
            </w:r>
            <w:r>
              <w:t>0.01</w:t>
            </w:r>
            <w:r>
              <w:rPr>
                <w:rFonts w:hint="eastAsia"/>
              </w:rPr>
              <w:t>份时，应一次性申请赎回其持有的全部</w:t>
            </w:r>
            <w:r>
              <w:rPr>
                <w:rFonts w:hint="eastAsia"/>
                <w:lang w:val="en-US" w:eastAsia="zh-CN"/>
              </w:rPr>
              <w:t>B</w:t>
            </w:r>
            <w:r>
              <w:rPr>
                <w:rFonts w:hint="eastAsia"/>
              </w:rPr>
              <w:t>份额理财产品</w:t>
            </w:r>
            <w:r>
              <w:t>。</w:t>
            </w:r>
          </w:p>
          <w:p w14:paraId="06982F95">
            <w:pPr>
              <w:spacing w:line="276" w:lineRule="auto"/>
            </w:pPr>
            <w:r>
              <w:rPr>
                <w:rFonts w:hint="eastAsia"/>
                <w:lang w:val="en-US" w:eastAsia="zh-CN"/>
              </w:rPr>
              <w:t>C</w:t>
            </w:r>
            <w:r>
              <w:rPr>
                <w:rFonts w:hint="eastAsia"/>
              </w:rPr>
              <w:t>份额为</w:t>
            </w:r>
            <w:r>
              <w:t>0.01</w:t>
            </w:r>
            <w:r>
              <w:rPr>
                <w:rFonts w:hint="eastAsia"/>
              </w:rPr>
              <w:t>份，当</w:t>
            </w:r>
            <w:r>
              <w:rPr>
                <w:rFonts w:hint="eastAsia"/>
                <w:lang w:val="en-US" w:eastAsia="zh-CN"/>
              </w:rPr>
              <w:t>C</w:t>
            </w:r>
            <w:r>
              <w:rPr>
                <w:rFonts w:hint="eastAsia"/>
              </w:rPr>
              <w:t>份额投资者持有的剩余</w:t>
            </w:r>
            <w:r>
              <w:rPr>
                <w:rFonts w:hint="eastAsia"/>
                <w:lang w:val="en-US" w:eastAsia="zh-CN"/>
              </w:rPr>
              <w:t>C</w:t>
            </w:r>
            <w:r>
              <w:rPr>
                <w:rFonts w:hint="eastAsia"/>
              </w:rPr>
              <w:t>份额低于</w:t>
            </w:r>
            <w:r>
              <w:t>0.01</w:t>
            </w:r>
            <w:r>
              <w:rPr>
                <w:rFonts w:hint="eastAsia"/>
              </w:rPr>
              <w:t>份时，应一次性申请赎回其持有的全部</w:t>
            </w:r>
            <w:r>
              <w:rPr>
                <w:rFonts w:hint="eastAsia"/>
                <w:lang w:val="en-US" w:eastAsia="zh-CN"/>
              </w:rPr>
              <w:t>C</w:t>
            </w:r>
            <w:r>
              <w:rPr>
                <w:rFonts w:hint="eastAsia"/>
              </w:rPr>
              <w:t>份额理财产品</w:t>
            </w:r>
            <w:r>
              <w:t>。</w:t>
            </w:r>
          </w:p>
          <w:p w14:paraId="43637EBC">
            <w:pPr>
              <w:spacing w:line="276" w:lineRule="auto"/>
            </w:pPr>
            <w:r>
              <w:rPr>
                <w:rFonts w:hint="eastAsia"/>
                <w:lang w:val="en-US" w:eastAsia="zh-CN"/>
              </w:rPr>
              <w:t>D</w:t>
            </w:r>
            <w:r>
              <w:rPr>
                <w:rFonts w:hint="eastAsia"/>
              </w:rPr>
              <w:t>份额为</w:t>
            </w:r>
            <w:r>
              <w:t>0.01</w:t>
            </w:r>
            <w:r>
              <w:rPr>
                <w:rFonts w:hint="eastAsia"/>
              </w:rPr>
              <w:t>份，当</w:t>
            </w:r>
            <w:r>
              <w:rPr>
                <w:rFonts w:hint="eastAsia"/>
                <w:lang w:val="en-US" w:eastAsia="zh-CN"/>
              </w:rPr>
              <w:t>D</w:t>
            </w:r>
            <w:r>
              <w:rPr>
                <w:rFonts w:hint="eastAsia"/>
              </w:rPr>
              <w:t>份额投资者持有的剩余</w:t>
            </w:r>
            <w:r>
              <w:rPr>
                <w:rFonts w:hint="eastAsia"/>
                <w:lang w:val="en-US" w:eastAsia="zh-CN"/>
              </w:rPr>
              <w:t>D</w:t>
            </w:r>
            <w:r>
              <w:rPr>
                <w:rFonts w:hint="eastAsia"/>
              </w:rPr>
              <w:t>份额低于</w:t>
            </w:r>
            <w:r>
              <w:t>0.01</w:t>
            </w:r>
            <w:r>
              <w:rPr>
                <w:rFonts w:hint="eastAsia"/>
              </w:rPr>
              <w:t>份时，应一次性申请赎回其持有的全部</w:t>
            </w:r>
            <w:r>
              <w:rPr>
                <w:rFonts w:hint="eastAsia"/>
                <w:lang w:val="en-US" w:eastAsia="zh-CN"/>
              </w:rPr>
              <w:t>D</w:t>
            </w:r>
            <w:r>
              <w:rPr>
                <w:rFonts w:hint="eastAsia"/>
              </w:rPr>
              <w:t>份额理财产品</w:t>
            </w:r>
            <w:r>
              <w:t>。</w:t>
            </w:r>
          </w:p>
          <w:p w14:paraId="70CE6437">
            <w:pPr>
              <w:spacing w:line="276" w:lineRule="auto"/>
            </w:pPr>
            <w:r>
              <w:rPr>
                <w:rFonts w:hint="eastAsia"/>
                <w:lang w:val="en-US" w:eastAsia="zh-CN"/>
              </w:rPr>
              <w:t>E</w:t>
            </w:r>
            <w:r>
              <w:rPr>
                <w:rFonts w:hint="eastAsia"/>
              </w:rPr>
              <w:t>份额为</w:t>
            </w:r>
            <w:r>
              <w:t>0.01</w:t>
            </w:r>
            <w:r>
              <w:rPr>
                <w:rFonts w:hint="eastAsia"/>
              </w:rPr>
              <w:t>份，当</w:t>
            </w:r>
            <w:r>
              <w:rPr>
                <w:rFonts w:hint="eastAsia"/>
                <w:lang w:val="en-US" w:eastAsia="zh-CN"/>
              </w:rPr>
              <w:t>E</w:t>
            </w:r>
            <w:r>
              <w:rPr>
                <w:rFonts w:hint="eastAsia"/>
              </w:rPr>
              <w:t>份额投资者持有的剩余</w:t>
            </w:r>
            <w:r>
              <w:rPr>
                <w:rFonts w:hint="eastAsia"/>
                <w:lang w:val="en-US" w:eastAsia="zh-CN"/>
              </w:rPr>
              <w:t>E</w:t>
            </w:r>
            <w:r>
              <w:rPr>
                <w:rFonts w:hint="eastAsia"/>
              </w:rPr>
              <w:t>份额低于</w:t>
            </w:r>
            <w:r>
              <w:t>0.01</w:t>
            </w:r>
            <w:r>
              <w:rPr>
                <w:rFonts w:hint="eastAsia"/>
              </w:rPr>
              <w:t>份时，应一次性申请赎回其持有的全部</w:t>
            </w:r>
            <w:r>
              <w:rPr>
                <w:rFonts w:hint="eastAsia"/>
                <w:lang w:val="en-US" w:eastAsia="zh-CN"/>
              </w:rPr>
              <w:t>E</w:t>
            </w:r>
            <w:r>
              <w:rPr>
                <w:rFonts w:hint="eastAsia"/>
              </w:rPr>
              <w:t>份额理财产品</w:t>
            </w:r>
            <w:r>
              <w:t>。</w:t>
            </w:r>
          </w:p>
        </w:tc>
      </w:tr>
      <w:tr w14:paraId="0821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82201A3">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6213" w:type="dxa"/>
          </w:tcPr>
          <w:p w14:paraId="6E212169">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78BD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244E4824">
            <w:pPr>
              <w:widowControl/>
              <w:spacing w:line="276" w:lineRule="auto"/>
              <w:jc w:val="center"/>
              <w:rPr>
                <w:rFonts w:ascii="Times New Roman" w:hAnsi="Times New Roman"/>
                <w:bCs/>
                <w:szCs w:val="21"/>
              </w:rPr>
            </w:pPr>
            <w:r>
              <w:rPr>
                <w:rFonts w:hint="eastAsia" w:ascii="Times New Roman" w:hAnsi="Times New Roman" w:cs="宋体"/>
                <w:bCs/>
                <w:szCs w:val="21"/>
              </w:rPr>
              <w:t>销售（代理销售）机构</w:t>
            </w:r>
          </w:p>
        </w:tc>
        <w:tc>
          <w:tcPr>
            <w:tcW w:w="6213" w:type="dxa"/>
          </w:tcPr>
          <w:p w14:paraId="4DE51990">
            <w:r>
              <w:rPr>
                <w:rFonts w:hint="eastAsia"/>
              </w:rPr>
              <w:t>A份额的销售机构为浙江青田农村商业银行股份有限公司</w:t>
            </w:r>
            <w:r>
              <w:rPr>
                <w:rFonts w:hint="eastAsia"/>
                <w:lang w:eastAsia="zh-CN"/>
              </w:rPr>
              <w:t>、</w:t>
            </w:r>
            <w:r>
              <w:rPr>
                <w:rFonts w:hint="eastAsia" w:ascii="Calibri" w:hAnsi="Calibri" w:eastAsia="宋体" w:cs="Times New Roman"/>
                <w:bCs w:val="0"/>
                <w:sz w:val="21"/>
                <w:szCs w:val="22"/>
                <w:lang w:val="en-US" w:eastAsia="zh-CN"/>
              </w:rPr>
              <w:t>湖州吴兴农村商业银行股份有限公司</w:t>
            </w:r>
            <w:r>
              <w:rPr>
                <w:rFonts w:hint="eastAsia" w:cs="Times New Roman"/>
                <w:bCs w:val="0"/>
                <w:sz w:val="21"/>
                <w:szCs w:val="22"/>
                <w:lang w:val="en-US" w:eastAsia="zh-CN"/>
              </w:rPr>
              <w:t>、</w:t>
            </w:r>
            <w:r>
              <w:rPr>
                <w:rFonts w:hint="eastAsia"/>
              </w:rPr>
              <w:t>浙江松阳农村商业银行股份有限公司、浙江龙泉农村商业银行股份有限公司</w:t>
            </w:r>
            <w:r>
              <w:t>。</w:t>
            </w:r>
          </w:p>
          <w:p w14:paraId="20B3AE07">
            <w:pPr>
              <w:rPr>
                <w:rFonts w:hint="eastAsia" w:eastAsia="宋体"/>
                <w:lang w:eastAsia="zh-CN"/>
              </w:rPr>
            </w:pPr>
            <w:r>
              <w:rPr>
                <w:rFonts w:hint="eastAsia"/>
                <w:lang w:val="en-US" w:eastAsia="zh-CN"/>
              </w:rPr>
              <w:t>B</w:t>
            </w:r>
            <w:r>
              <w:rPr>
                <w:rFonts w:hint="eastAsia"/>
              </w:rPr>
              <w:t>份额的销售机构为浙江德清农村商业银行股份有限公司</w:t>
            </w:r>
            <w:r>
              <w:rPr>
                <w:rFonts w:hint="eastAsia"/>
                <w:lang w:eastAsia="zh-CN"/>
              </w:rPr>
              <w:t>、</w:t>
            </w:r>
            <w:r>
              <w:rPr>
                <w:rFonts w:hint="eastAsia" w:ascii="Calibri" w:hAnsi="Calibri" w:eastAsia="宋体" w:cs="Times New Roman"/>
                <w:bCs w:val="0"/>
                <w:sz w:val="21"/>
                <w:szCs w:val="22"/>
                <w:lang w:val="en-US" w:eastAsia="zh-CN"/>
              </w:rPr>
              <w:t>浙江长兴农村商业银行股份有限公司</w:t>
            </w:r>
            <w:r>
              <w:rPr>
                <w:rFonts w:hint="eastAsia"/>
                <w:lang w:eastAsia="zh-CN"/>
              </w:rPr>
              <w:t>。</w:t>
            </w:r>
          </w:p>
          <w:p w14:paraId="713DEE91">
            <w:pPr>
              <w:rPr>
                <w:rFonts w:hint="eastAsia" w:eastAsia="宋体"/>
                <w:lang w:eastAsia="zh-CN"/>
              </w:rPr>
            </w:pPr>
            <w:r>
              <w:rPr>
                <w:rFonts w:hint="eastAsia"/>
                <w:lang w:val="en-US" w:eastAsia="zh-CN"/>
              </w:rPr>
              <w:t>C</w:t>
            </w:r>
            <w:r>
              <w:rPr>
                <w:rFonts w:hint="eastAsia"/>
              </w:rPr>
              <w:t>份额的销售机构为浙江兰溪农村商业银行股份有限公司</w:t>
            </w:r>
            <w:r>
              <w:rPr>
                <w:rFonts w:hint="eastAsia"/>
                <w:lang w:eastAsia="zh-CN"/>
              </w:rPr>
              <w:t>、</w:t>
            </w:r>
            <w:r>
              <w:rPr>
                <w:rFonts w:hint="eastAsia" w:ascii="Calibri" w:hAnsi="Calibri" w:eastAsia="宋体" w:cs="Times New Roman"/>
                <w:bCs w:val="0"/>
                <w:sz w:val="21"/>
                <w:szCs w:val="22"/>
                <w:lang w:val="en-US" w:eastAsia="zh-CN"/>
              </w:rPr>
              <w:t>浙江安吉农村商业银行股份有限公司、浙江南浔农村商业银行股份有限公司</w:t>
            </w:r>
            <w:r>
              <w:rPr>
                <w:rFonts w:hint="eastAsia" w:cs="Times New Roman"/>
                <w:bCs w:val="0"/>
                <w:sz w:val="21"/>
                <w:szCs w:val="22"/>
                <w:lang w:val="en-US" w:eastAsia="zh-CN"/>
              </w:rPr>
              <w:t>、浙江新昌农村商业银行股份有限公司、</w:t>
            </w:r>
            <w:r>
              <w:rPr>
                <w:rFonts w:hint="eastAsia"/>
              </w:rPr>
              <w:t>浙江台州路桥农村商业银行股份有限公司、浙江上虞农村商业银行股份有限公司</w:t>
            </w:r>
            <w:r>
              <w:rPr>
                <w:rFonts w:hint="eastAsia"/>
                <w:lang w:eastAsia="zh-CN"/>
              </w:rPr>
              <w:t>、</w:t>
            </w:r>
            <w:r>
              <w:rPr>
                <w:rFonts w:hint="eastAsia" w:ascii="Calibri" w:hAnsi="Calibri" w:eastAsia="宋体" w:cs="Times New Roman"/>
                <w:bCs w:val="0"/>
                <w:sz w:val="21"/>
                <w:szCs w:val="22"/>
                <w:lang w:val="en-US" w:eastAsia="zh-CN"/>
              </w:rPr>
              <w:t>浙江舟山定海海洋农村商业银行股份有限公司、浙江舟山普陀农村商业银行股份有限公司、浙江龙游农村商业银行股份有限公司、浙江桐乡农村商业银行股份有限公司、</w:t>
            </w:r>
            <w:r>
              <w:rPr>
                <w:rFonts w:hint="eastAsia" w:cs="Times New Roman"/>
                <w:bCs w:val="0"/>
                <w:sz w:val="21"/>
                <w:szCs w:val="22"/>
                <w:lang w:val="en-US" w:eastAsia="zh-CN"/>
              </w:rPr>
              <w:t>浙江富阳农村商业银行股份有限公司</w:t>
            </w:r>
            <w:r>
              <w:rPr>
                <w:rFonts w:hint="eastAsia"/>
                <w:lang w:eastAsia="zh-CN"/>
              </w:rPr>
              <w:t>。</w:t>
            </w:r>
          </w:p>
          <w:p w14:paraId="5F996513">
            <w:pPr>
              <w:rPr>
                <w:rFonts w:hint="eastAsia"/>
                <w:lang w:eastAsia="zh-CN"/>
              </w:rPr>
            </w:pPr>
            <w:r>
              <w:rPr>
                <w:rFonts w:hint="eastAsia"/>
                <w:lang w:val="en-US" w:eastAsia="zh-CN"/>
              </w:rPr>
              <w:t>D</w:t>
            </w:r>
            <w:r>
              <w:rPr>
                <w:rFonts w:hint="eastAsia"/>
              </w:rPr>
              <w:t>份额的销售机构为浙江衢州衢江农村商业银行股份有限公司、浙江温州龙湾农村商业银行股份有限公司、浙江瑞安农村商业银行股份有限公司</w:t>
            </w:r>
            <w:r>
              <w:rPr>
                <w:rFonts w:hint="eastAsia"/>
                <w:lang w:eastAsia="zh-CN"/>
              </w:rPr>
              <w:t>、</w:t>
            </w:r>
            <w:r>
              <w:rPr>
                <w:rFonts w:hint="eastAsia" w:ascii="Calibri" w:hAnsi="Calibri" w:eastAsia="宋体" w:cs="Times New Roman"/>
                <w:bCs w:val="0"/>
                <w:sz w:val="21"/>
                <w:szCs w:val="22"/>
                <w:lang w:val="en-US" w:eastAsia="zh-CN"/>
              </w:rPr>
              <w:t>宁波北仑农村商业银行股份有限公司、浙江江山农村商业银行股份有限公司</w:t>
            </w:r>
            <w:r>
              <w:rPr>
                <w:rFonts w:hint="eastAsia" w:cs="Times New Roman"/>
                <w:bCs w:val="0"/>
                <w:sz w:val="21"/>
                <w:szCs w:val="22"/>
                <w:lang w:val="en-US" w:eastAsia="zh-CN"/>
              </w:rPr>
              <w:t>、浙江永康农村商业银行股份有限公司、浙江诸暨农村商业银行股份有限公司、浙江泰顺农村商业银行股份有限公司、</w:t>
            </w:r>
            <w:r>
              <w:rPr>
                <w:rFonts w:hint="eastAsia" w:ascii="Calibri" w:hAnsi="Calibri" w:eastAsia="宋体" w:cs="Times New Roman"/>
                <w:bCs w:val="0"/>
                <w:color w:val="auto"/>
                <w:sz w:val="21"/>
                <w:szCs w:val="22"/>
                <w:lang w:val="en-US" w:eastAsia="zh-CN"/>
              </w:rPr>
              <w:t>宁波余姚农村商业银行股份有限公司</w:t>
            </w:r>
            <w:r>
              <w:rPr>
                <w:rFonts w:hint="eastAsia" w:cs="Times New Roman"/>
                <w:bCs w:val="0"/>
                <w:color w:val="auto"/>
                <w:sz w:val="21"/>
                <w:szCs w:val="22"/>
                <w:lang w:val="en-US" w:eastAsia="zh-CN"/>
              </w:rPr>
              <w:t>、</w:t>
            </w:r>
            <w:r>
              <w:rPr>
                <w:rFonts w:hint="eastAsia" w:ascii="Calibri" w:hAnsi="Calibri" w:eastAsia="宋体" w:cs="Times New Roman"/>
                <w:bCs w:val="0"/>
                <w:color w:val="auto"/>
                <w:sz w:val="21"/>
                <w:szCs w:val="22"/>
                <w:lang w:val="en-US" w:eastAsia="zh-CN"/>
              </w:rPr>
              <w:t>浙江温岭农村商业银行股份有限公司</w:t>
            </w:r>
            <w:r>
              <w:rPr>
                <w:rFonts w:hint="eastAsia"/>
                <w:lang w:eastAsia="zh-CN"/>
              </w:rPr>
              <w:t>。</w:t>
            </w:r>
          </w:p>
          <w:p w14:paraId="6F3DCF1B">
            <w:pPr>
              <w:rPr>
                <w:rFonts w:hint="eastAsia"/>
                <w:lang w:eastAsia="zh-CN"/>
              </w:rPr>
            </w:pPr>
            <w:r>
              <w:rPr>
                <w:rFonts w:hint="eastAsia" w:ascii="Calibri" w:hAnsi="Calibri" w:eastAsia="宋体" w:cs="Times New Roman"/>
                <w:bCs w:val="0"/>
                <w:color w:val="auto"/>
                <w:sz w:val="21"/>
                <w:szCs w:val="22"/>
              </w:rPr>
              <w:t>E份额的销售机构为浙江杭州余杭农村商业银行股份有限公司</w:t>
            </w:r>
            <w:r>
              <w:rPr>
                <w:rFonts w:hint="eastAsia" w:cs="Times New Roman"/>
                <w:bCs w:val="0"/>
                <w:color w:val="auto"/>
                <w:sz w:val="21"/>
                <w:szCs w:val="22"/>
                <w:lang w:eastAsia="zh-CN"/>
              </w:rPr>
              <w:t>、</w:t>
            </w:r>
            <w:r>
              <w:rPr>
                <w:rFonts w:hint="eastAsia" w:ascii="Calibri" w:hAnsi="Calibri" w:eastAsia="宋体" w:cs="Times New Roman"/>
                <w:bCs w:val="0"/>
                <w:sz w:val="21"/>
                <w:szCs w:val="22"/>
                <w:lang w:val="en-US" w:eastAsia="zh-CN"/>
              </w:rPr>
              <w:t>浙江衢州柯城农村商业银行股份有限公司、浙江萧山农村商业银行股份有限公司</w:t>
            </w:r>
            <w:r>
              <w:rPr>
                <w:rFonts w:hint="eastAsia" w:cs="Times New Roman"/>
                <w:bCs w:val="0"/>
                <w:sz w:val="21"/>
                <w:szCs w:val="22"/>
                <w:lang w:val="en-US" w:eastAsia="zh-CN"/>
              </w:rPr>
              <w:t>、</w:t>
            </w:r>
            <w:r>
              <w:rPr>
                <w:rFonts w:hint="eastAsia"/>
              </w:rPr>
              <w:t>浙江金华成泰农村商业银行股份有限公司</w:t>
            </w:r>
            <w:r>
              <w:rPr>
                <w:rFonts w:hint="eastAsia"/>
                <w:lang w:eastAsia="zh-CN"/>
              </w:rPr>
              <w:t>、</w:t>
            </w:r>
            <w:r>
              <w:rPr>
                <w:rFonts w:hint="eastAsia"/>
              </w:rPr>
              <w:t>浙江建德农村商业银行股份有限公司</w:t>
            </w:r>
            <w:r>
              <w:rPr>
                <w:rFonts w:hint="eastAsia"/>
                <w:lang w:eastAsia="zh-CN"/>
              </w:rPr>
              <w:t>、浙江平湖农村商业银行股份有限公司、</w:t>
            </w:r>
            <w:r>
              <w:rPr>
                <w:rFonts w:hint="eastAsia" w:ascii="Calibri" w:hAnsi="Calibri" w:eastAsia="宋体" w:cs="Times New Roman"/>
                <w:bCs w:val="0"/>
                <w:color w:val="auto"/>
                <w:sz w:val="21"/>
                <w:szCs w:val="22"/>
                <w:lang w:val="en-US" w:eastAsia="zh-CN"/>
              </w:rPr>
              <w:t>宁波慈溪农村商业银行股份有限公司</w:t>
            </w:r>
            <w:r>
              <w:rPr>
                <w:rFonts w:hint="eastAsia" w:ascii="Calibri" w:hAnsi="Calibri" w:eastAsia="宋体" w:cs="Times New Roman"/>
                <w:bCs w:val="0"/>
                <w:sz w:val="21"/>
                <w:szCs w:val="22"/>
              </w:rPr>
              <w:t>。</w:t>
            </w:r>
          </w:p>
          <w:p w14:paraId="3F7C7353">
            <w:pPr>
              <w:spacing w:line="276" w:lineRule="auto"/>
              <w:rPr>
                <w:rFonts w:ascii="Times New Roman" w:hAnsi="Times New Roman"/>
                <w:bCs/>
                <w:szCs w:val="21"/>
              </w:rPr>
            </w:pPr>
            <w:r>
              <w:rPr>
                <w:rFonts w:hint="eastAsia"/>
                <w:szCs w:val="21"/>
              </w:rPr>
              <w:t>销售（代理销售）机构负责产品销售渠道维护、投资者适当性管理和风险承受能力评估、提供产品申购赎回（如有）等服务，并协助开展合同签署、信息披露、客户咨询等销售服务。</w:t>
            </w:r>
          </w:p>
        </w:tc>
      </w:tr>
      <w:tr w14:paraId="5CE4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12854731">
            <w:pPr>
              <w:widowControl/>
              <w:spacing w:line="276" w:lineRule="auto"/>
              <w:jc w:val="center"/>
              <w:rPr>
                <w:rFonts w:ascii="Times New Roman" w:hAnsi="Times New Roman"/>
                <w:bCs/>
                <w:szCs w:val="21"/>
              </w:rPr>
            </w:pPr>
            <w:r>
              <w:rPr>
                <w:rFonts w:hint="eastAsia" w:ascii="Times New Roman" w:hAnsi="Times New Roman" w:cs="宋体"/>
                <w:szCs w:val="21"/>
              </w:rPr>
              <w:t>理财产品托管人</w:t>
            </w:r>
          </w:p>
        </w:tc>
        <w:tc>
          <w:tcPr>
            <w:tcW w:w="6213" w:type="dxa"/>
          </w:tcPr>
          <w:p w14:paraId="326D63D5">
            <w:pPr>
              <w:spacing w:line="276" w:lineRule="auto"/>
              <w:rPr>
                <w:rFonts w:ascii="Times New Roman" w:hAnsi="Times New Roman"/>
                <w:bCs/>
                <w:szCs w:val="21"/>
              </w:rPr>
            </w:pPr>
            <w:r>
              <w:rPr>
                <w:rFonts w:hint="eastAsia"/>
                <w:lang w:val="en-US" w:eastAsia="zh-CN"/>
              </w:rPr>
              <w:t>兴业</w:t>
            </w:r>
            <w:r>
              <w:t>银行股份有限公司。</w:t>
            </w:r>
            <w:r>
              <w:rPr>
                <w:rFonts w:ascii="Times New Roman" w:hAnsi="Times New Roman" w:cs="宋体"/>
                <w:szCs w:val="21"/>
              </w:rPr>
              <w:t>托管人负责指令处理、资金清算、证券结算、会计核算、资产估值等职责。</w:t>
            </w:r>
          </w:p>
        </w:tc>
      </w:tr>
      <w:tr w14:paraId="6E0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57988E6D">
            <w:pPr>
              <w:widowControl/>
              <w:spacing w:line="276" w:lineRule="auto"/>
              <w:jc w:val="center"/>
              <w:rPr>
                <w:rFonts w:ascii="Times New Roman" w:hAnsi="Times New Roman" w:cs="宋体"/>
                <w:szCs w:val="21"/>
              </w:rPr>
            </w:pPr>
            <w:r>
              <w:rPr>
                <w:rFonts w:hint="eastAsia" w:ascii="Times New Roman" w:hAnsi="Times New Roman" w:cs="宋体"/>
                <w:szCs w:val="21"/>
              </w:rPr>
              <w:t>投资合作机构</w:t>
            </w:r>
          </w:p>
        </w:tc>
        <w:tc>
          <w:tcPr>
            <w:tcW w:w="6213" w:type="dxa"/>
          </w:tcPr>
          <w:p w14:paraId="068275BD">
            <w:pPr>
              <w:spacing w:line="276" w:lineRule="auto"/>
              <w:rPr>
                <w:rFonts w:ascii="Times New Roman" w:hAnsi="Times New Roman" w:cs="宋体"/>
                <w:szCs w:val="21"/>
              </w:rPr>
            </w:pPr>
            <w: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w:t>
            </w:r>
            <w:r>
              <w:rPr>
                <w:rFonts w:hint="eastAsia"/>
              </w:rPr>
              <w:t>华润深国投信托有限公司、中国对外经济贸易信托有限公司、五矿国际信托有限公司、中铁信托有限责任公司、国投泰康信托有限公司、平安资产管理有限责任公司、中国人保资产管理有限公司、华西证券股份有限公司。</w:t>
            </w:r>
            <w:r>
              <w:t>具体以后续信息披露为准。</w:t>
            </w:r>
          </w:p>
        </w:tc>
      </w:tr>
      <w:tr w14:paraId="23FE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6CB92242">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6213" w:type="dxa"/>
          </w:tcPr>
          <w:p w14:paraId="5C9EF487">
            <w:pPr>
              <w:spacing w:line="276" w:lineRule="auto"/>
              <w:rPr>
                <w:rFonts w:ascii="Times New Roman" w:hAnsi="Times New Roman"/>
                <w:bCs/>
                <w:szCs w:val="21"/>
              </w:rPr>
            </w:pPr>
            <w:r>
              <w:rPr>
                <w:rFonts w:hint="eastAsia" w:ascii="Times New Roman" w:hAnsi="Times New Roman"/>
                <w:bCs/>
                <w:szCs w:val="21"/>
              </w:rPr>
              <w:t>除正常</w:t>
            </w:r>
            <w:r>
              <w:rPr>
                <w:rFonts w:ascii="Times New Roman" w:hAnsi="Times New Roman" w:cs="宋体"/>
                <w:szCs w:val="21"/>
              </w:rPr>
              <w:t>赎回</w:t>
            </w:r>
            <w:r>
              <w:rPr>
                <w:rFonts w:hint="eastAsia" w:ascii="Times New Roman" w:hAnsi="Times New Roman" w:cs="宋体"/>
                <w:szCs w:val="21"/>
              </w:rPr>
              <w:t>外，</w:t>
            </w: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提前终止</w:t>
            </w:r>
            <w:r>
              <w:rPr>
                <w:rFonts w:hint="eastAsia" w:ascii="Times New Roman" w:hAnsi="Times New Roman"/>
                <w:bCs/>
                <w:szCs w:val="21"/>
              </w:rPr>
              <w:t>”条款。</w:t>
            </w:r>
          </w:p>
        </w:tc>
      </w:tr>
      <w:tr w14:paraId="48A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0F3B7738">
            <w:pPr>
              <w:spacing w:line="276" w:lineRule="auto"/>
              <w:jc w:val="center"/>
              <w:rPr>
                <w:rFonts w:ascii="Times New Roman" w:hAnsi="Times New Roman"/>
                <w:bCs/>
                <w:szCs w:val="21"/>
              </w:rPr>
            </w:pPr>
            <w:r>
              <w:rPr>
                <w:rFonts w:hint="eastAsia" w:ascii="Times New Roman" w:hAnsi="Times New Roman"/>
                <w:bCs/>
                <w:szCs w:val="21"/>
              </w:rPr>
              <w:t>税款</w:t>
            </w:r>
          </w:p>
        </w:tc>
        <w:tc>
          <w:tcPr>
            <w:tcW w:w="6213" w:type="dxa"/>
          </w:tcPr>
          <w:p w14:paraId="4E4FFE4B">
            <w:pPr>
              <w:spacing w:line="276" w:lineRule="auto"/>
              <w:rPr>
                <w:rFonts w:ascii="Times New Roman" w:hAnsi="Times New Roman"/>
                <w:bCs/>
                <w:szCs w:val="21"/>
              </w:rPr>
            </w:pPr>
            <w:r>
              <w:rPr>
                <w:rFonts w:hint="eastAsia"/>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2B3D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3ABCAF59">
            <w:pPr>
              <w:spacing w:line="276" w:lineRule="auto"/>
              <w:jc w:val="center"/>
              <w:rPr>
                <w:rFonts w:ascii="Times New Roman" w:hAnsi="Times New Roman"/>
                <w:bCs/>
                <w:szCs w:val="21"/>
              </w:rPr>
            </w:pPr>
            <w:r>
              <w:rPr>
                <w:rFonts w:ascii="Times New Roman" w:hAnsi="Times New Roman" w:cstheme="minorBidi"/>
                <w:szCs w:val="21"/>
              </w:rPr>
              <w:t>分红规则</w:t>
            </w:r>
          </w:p>
        </w:tc>
        <w:tc>
          <w:tcPr>
            <w:tcW w:w="6213" w:type="dxa"/>
            <w:vAlign w:val="center"/>
          </w:tcPr>
          <w:p w14:paraId="586592BC">
            <w:pPr>
              <w:spacing w:line="276" w:lineRule="auto"/>
              <w:rPr>
                <w:rFonts w:ascii="Times New Roman" w:hAnsi="Times New Roman"/>
                <w:bCs/>
                <w:szCs w:val="21"/>
              </w:rPr>
            </w:pPr>
            <w:r>
              <w:rPr>
                <w:rFonts w:ascii="Times New Roman" w:hAnsi="Times New Roman" w:cstheme="minorBidi"/>
                <w:szCs w:val="21"/>
              </w:rPr>
              <w:t>当产品单位净值达到一定金额时，管理人有权对产品进行分红。</w:t>
            </w:r>
          </w:p>
        </w:tc>
      </w:tr>
      <w:tr w14:paraId="7851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739" w:type="dxa"/>
            <w:vAlign w:val="center"/>
          </w:tcPr>
          <w:p w14:paraId="714F1E59">
            <w:pPr>
              <w:spacing w:line="276" w:lineRule="auto"/>
              <w:jc w:val="center"/>
              <w:rPr>
                <w:rFonts w:ascii="Times New Roman" w:hAnsi="Times New Roman"/>
                <w:bCs/>
                <w:szCs w:val="21"/>
              </w:rPr>
            </w:pPr>
            <w:r>
              <w:rPr>
                <w:rFonts w:hint="eastAsia" w:ascii="Times New Roman" w:hAnsi="Times New Roman"/>
                <w:bCs/>
                <w:szCs w:val="21"/>
              </w:rPr>
              <w:t>其他规定</w:t>
            </w:r>
          </w:p>
        </w:tc>
        <w:tc>
          <w:tcPr>
            <w:tcW w:w="6213" w:type="dxa"/>
          </w:tcPr>
          <w:p w14:paraId="7552E4A9">
            <w:pPr>
              <w:spacing w:line="276" w:lineRule="auto"/>
              <w:rPr>
                <w:rFonts w:ascii="Times New Roman" w:hAnsi="Times New Roman"/>
                <w:b/>
                <w:szCs w:val="21"/>
              </w:rPr>
            </w:pPr>
            <w:r>
              <w:rPr>
                <w:rFonts w:hint="eastAsia" w:ascii="Times New Roman" w:hAnsi="Times New Roman"/>
                <w:b/>
                <w:szCs w:val="21"/>
              </w:rPr>
              <w:t>产品到期日或提前终止日或申赎确认日至资金到账日期间投资者资金不计息。</w:t>
            </w:r>
          </w:p>
        </w:tc>
      </w:tr>
    </w:tbl>
    <w:p w14:paraId="455FD22F">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052B2929">
      <w:pPr>
        <w:pStyle w:val="35"/>
        <w:spacing w:line="276" w:lineRule="auto"/>
        <w:ind w:firstLineChars="0"/>
        <w:jc w:val="left"/>
        <w:rPr>
          <w:rFonts w:ascii="Times New Roman" w:hAnsi="Times New Roman"/>
          <w:bCs/>
          <w:szCs w:val="21"/>
        </w:rPr>
      </w:pPr>
      <w:bookmarkStart w:id="11" w:name="_Hlk38475931"/>
      <w:bookmarkStart w:id="12" w:name="_Hlk38478568"/>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以及其他符合要求的债权类资产等固定收益类资产。各类资产投资比例范围如下：</w:t>
      </w:r>
    </w:p>
    <w:bookmarkEnd w:id="11"/>
    <w:bookmarkEnd w:id="12"/>
    <w:tbl>
      <w:tblPr>
        <w:tblStyle w:val="30"/>
        <w:tblW w:w="8280" w:type="dxa"/>
        <w:tblInd w:w="5" w:type="dxa"/>
        <w:tblLayout w:type="fixed"/>
        <w:tblCellMar>
          <w:top w:w="0" w:type="dxa"/>
          <w:left w:w="0" w:type="dxa"/>
          <w:bottom w:w="0" w:type="dxa"/>
          <w:right w:w="0" w:type="dxa"/>
        </w:tblCellMar>
      </w:tblPr>
      <w:tblGrid>
        <w:gridCol w:w="5310"/>
        <w:gridCol w:w="2970"/>
      </w:tblGrid>
      <w:tr w14:paraId="5C85E1F6">
        <w:tblPrEx>
          <w:tblCellMar>
            <w:top w:w="0" w:type="dxa"/>
            <w:left w:w="0" w:type="dxa"/>
            <w:bottom w:w="0" w:type="dxa"/>
            <w:right w:w="0" w:type="dxa"/>
          </w:tblCellMar>
        </w:tblPrEx>
        <w:trPr>
          <w:trHeight w:val="365" w:hRule="exact"/>
        </w:trPr>
        <w:tc>
          <w:tcPr>
            <w:tcW w:w="5310" w:type="dxa"/>
            <w:tcBorders>
              <w:top w:val="single" w:color="auto" w:sz="4" w:space="0"/>
              <w:left w:val="single" w:color="auto" w:sz="4" w:space="0"/>
              <w:bottom w:val="single" w:color="auto" w:sz="4" w:space="0"/>
              <w:right w:val="single" w:color="auto" w:sz="4" w:space="0"/>
            </w:tcBorders>
          </w:tcPr>
          <w:p w14:paraId="27B47F44">
            <w:pPr>
              <w:pStyle w:val="28"/>
              <w:spacing w:line="276" w:lineRule="auto"/>
              <w:ind w:left="105"/>
              <w:jc w:val="center"/>
              <w:rPr>
                <w:rFonts w:ascii="Times New Roman" w:hAnsi="Times New Roman" w:eastAsia="宋体" w:cs="宋体"/>
                <w:sz w:val="21"/>
                <w:szCs w:val="21"/>
              </w:rPr>
            </w:pPr>
            <w:r>
              <w:rPr>
                <w:rFonts w:ascii="Times New Roman" w:hAnsi="Times New Roman" w:eastAsia="宋体" w:cs="宋体"/>
                <w:sz w:val="21"/>
                <w:szCs w:val="21"/>
              </w:rPr>
              <w:t>投资品种</w:t>
            </w:r>
          </w:p>
        </w:tc>
        <w:tc>
          <w:tcPr>
            <w:tcW w:w="2970" w:type="dxa"/>
            <w:tcBorders>
              <w:top w:val="single" w:color="auto" w:sz="4" w:space="0"/>
              <w:left w:val="single" w:color="auto" w:sz="4" w:space="0"/>
              <w:bottom w:val="single" w:color="auto" w:sz="4" w:space="0"/>
              <w:right w:val="single" w:color="auto" w:sz="4" w:space="0"/>
            </w:tcBorders>
          </w:tcPr>
          <w:p w14:paraId="665ADFE5">
            <w:pPr>
              <w:pStyle w:val="28"/>
              <w:spacing w:line="276" w:lineRule="auto"/>
              <w:ind w:left="105" w:right="-5"/>
              <w:jc w:val="center"/>
              <w:rPr>
                <w:rFonts w:ascii="Times New Roman" w:hAnsi="Times New Roman" w:eastAsia="宋体" w:cs="宋体"/>
                <w:sz w:val="21"/>
                <w:szCs w:val="21"/>
                <w:lang w:eastAsia="zh-CN"/>
              </w:rPr>
            </w:pPr>
            <w:r>
              <w:rPr>
                <w:rFonts w:hint="eastAsia" w:ascii="Times New Roman" w:hAnsi="Times New Roman" w:eastAsia="宋体" w:cs="宋体"/>
                <w:spacing w:val="-9"/>
                <w:sz w:val="21"/>
                <w:szCs w:val="21"/>
                <w:lang w:eastAsia="zh-CN"/>
              </w:rPr>
              <w:t>投资比例</w:t>
            </w:r>
          </w:p>
        </w:tc>
      </w:tr>
      <w:tr w14:paraId="08D2C8A6">
        <w:tblPrEx>
          <w:tblCellMar>
            <w:top w:w="0" w:type="dxa"/>
            <w:left w:w="0" w:type="dxa"/>
            <w:bottom w:w="0" w:type="dxa"/>
            <w:right w:w="0" w:type="dxa"/>
          </w:tblCellMar>
        </w:tblPrEx>
        <w:trPr>
          <w:trHeight w:val="535" w:hRule="exact"/>
        </w:trPr>
        <w:tc>
          <w:tcPr>
            <w:tcW w:w="5310" w:type="dxa"/>
            <w:tcBorders>
              <w:top w:val="single" w:color="auto" w:sz="4" w:space="0"/>
              <w:left w:val="single" w:color="auto" w:sz="4" w:space="0"/>
              <w:bottom w:val="single" w:color="auto" w:sz="4" w:space="0"/>
              <w:right w:val="single" w:color="auto" w:sz="4" w:space="0"/>
            </w:tcBorders>
          </w:tcPr>
          <w:p w14:paraId="68BF8956">
            <w:pPr>
              <w:pStyle w:val="28"/>
              <w:spacing w:line="276" w:lineRule="auto"/>
              <w:ind w:left="105"/>
              <w:jc w:val="center"/>
              <w:rPr>
                <w:rFonts w:ascii="Times New Roman" w:hAnsi="Times New Roman" w:eastAsia="宋体" w:cs="宋体"/>
                <w:sz w:val="21"/>
                <w:szCs w:val="21"/>
              </w:rPr>
            </w:pPr>
            <w:r>
              <w:t>固定收益类资产</w:t>
            </w:r>
          </w:p>
        </w:tc>
        <w:tc>
          <w:tcPr>
            <w:tcW w:w="2970" w:type="dxa"/>
            <w:tcBorders>
              <w:top w:val="single" w:color="auto" w:sz="4" w:space="0"/>
              <w:left w:val="single" w:color="auto" w:sz="4" w:space="0"/>
              <w:bottom w:val="single" w:color="auto" w:sz="4" w:space="0"/>
              <w:right w:val="single" w:color="auto" w:sz="4" w:space="0"/>
            </w:tcBorders>
          </w:tcPr>
          <w:p w14:paraId="4F069D1A">
            <w:pPr>
              <w:pStyle w:val="28"/>
              <w:spacing w:line="276" w:lineRule="auto"/>
              <w:ind w:left="105"/>
              <w:jc w:val="center"/>
              <w:rPr>
                <w:rFonts w:ascii="Times New Roman" w:hAnsi="Times New Roman" w:eastAsia="宋体" w:cs="宋体"/>
                <w:sz w:val="21"/>
                <w:szCs w:val="21"/>
              </w:rPr>
            </w:pPr>
            <w:r>
              <w:t>100%</w:t>
            </w:r>
          </w:p>
        </w:tc>
      </w:tr>
    </w:tbl>
    <w:p w14:paraId="42C15099">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6"/>
          <w:rFonts w:hint="eastAsia"/>
        </w:rPr>
        <w:t>高风险资产类型超出以上投资比例范围的，将先取得投资者同意。</w:t>
      </w:r>
      <w:r>
        <w:rPr>
          <w:rFonts w:ascii="Times New Roman" w:hAnsi="Times New Roman"/>
          <w:bCs/>
          <w:szCs w:val="21"/>
        </w:rPr>
        <w:t>非因</w:t>
      </w:r>
      <w:r>
        <w:rPr>
          <w:rFonts w:hint="eastAsia" w:ascii="Times New Roman" w:hAnsi="Times New Roman"/>
          <w:bCs/>
          <w:szCs w:val="21"/>
        </w:rPr>
        <w:t>渝农商理财有限责任公司</w:t>
      </w:r>
      <w:r>
        <w:rPr>
          <w:rFonts w:ascii="Times New Roman" w:hAnsi="Times New Roman"/>
          <w:bCs/>
          <w:szCs w:val="21"/>
        </w:rPr>
        <w:t>主观因素导致突破前述比例限制的，</w:t>
      </w:r>
      <w:r>
        <w:rPr>
          <w:rFonts w:hint="eastAsia" w:ascii="Times New Roman" w:hAnsi="Times New Roman"/>
          <w:bCs/>
          <w:szCs w:val="21"/>
        </w:rPr>
        <w:t>渝农商理财有限责任公司</w:t>
      </w:r>
      <w:r>
        <w:rPr>
          <w:rFonts w:ascii="Times New Roman" w:hAnsi="Times New Roman"/>
          <w:bCs/>
          <w:szCs w:val="21"/>
        </w:rPr>
        <w:t>将在流动性受限资产可出售、可转让或者恢复交易的15个交易日内调整至符合相关要求</w:t>
      </w:r>
      <w:r>
        <w:rPr>
          <w:rFonts w:hint="eastAsia" w:ascii="Times New Roman" w:hAnsi="Times New Roman"/>
          <w:bCs/>
          <w:szCs w:val="21"/>
        </w:rPr>
        <w:t>，法律法规或监管部门另有规定的以其规定为准</w:t>
      </w:r>
      <w:r>
        <w:rPr>
          <w:rFonts w:ascii="Times New Roman" w:hAnsi="Times New Roman"/>
          <w:bCs/>
          <w:szCs w:val="21"/>
        </w:rPr>
        <w:t>。</w:t>
      </w:r>
    </w:p>
    <w:p w14:paraId="7F7132B8">
      <w:pPr>
        <w:spacing w:line="276" w:lineRule="auto"/>
        <w:ind w:right="210" w:firstLine="420" w:firstLineChars="200"/>
        <w:rPr>
          <w:rFonts w:ascii="Times New Roman" w:hAnsi="Times New Roman"/>
          <w:bCs/>
          <w:szCs w:val="21"/>
        </w:rPr>
      </w:pPr>
      <w:r>
        <w:rPr>
          <w:rFonts w:hint="eastAsia" w:ascii="Times New Roman" w:hAnsi="Times New Roman"/>
          <w:bCs/>
          <w:szCs w:val="21"/>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hint="eastAsia" w:ascii="Times New Roman" w:hAnsi="Times New Roman"/>
          <w:b/>
          <w:szCs w:val="21"/>
        </w:rPr>
        <w:t>综合评估在正常市场环境下本产品的流动性风险适中。极端情况下，存在部分债券、股票等投资品种交投不活跃、成交量不足的情形，特定标的难以以合理价格变现，可能会影响本产品的流动性。</w:t>
      </w:r>
      <w:r>
        <w:rPr>
          <w:rFonts w:hint="eastAsia" w:ascii="Times New Roman" w:hAnsi="Times New Roman"/>
          <w:bCs/>
          <w:szCs w:val="21"/>
        </w:rPr>
        <w:t>产品管理人基于分散投资的原则避免在行业、个券方面具有过高集中度，并结合各类投资标的的预期流动性合理进行资产配置，最大程度防范流动性风险。</w:t>
      </w:r>
      <w:bookmarkStart w:id="13" w:name="_Hlk155865530"/>
    </w:p>
    <w:bookmarkEnd w:id="13"/>
    <w:p w14:paraId="55FE8532">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3FC91180">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7548598F">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三、理财产品认购、申购</w:t>
      </w:r>
    </w:p>
    <w:p w14:paraId="555B08FA">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（一）认购</w:t>
      </w:r>
      <w:r>
        <w:rPr>
          <w:rFonts w:ascii="Times New Roman" w:hAnsi="Times New Roman"/>
          <w:b/>
          <w:szCs w:val="21"/>
        </w:rPr>
        <w:tab/>
      </w:r>
    </w:p>
    <w:p w14:paraId="64D4AE9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096E53E1">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2、认购份额＝[认购金额÷（</w:t>
      </w:r>
      <w:r>
        <w:rPr>
          <w:rFonts w:ascii="Times New Roman" w:hAnsi="Times New Roman"/>
          <w:bCs/>
          <w:szCs w:val="21"/>
        </w:rPr>
        <w:t>1+认购费率）</w:t>
      </w:r>
      <w:r>
        <w:rPr>
          <w:rFonts w:hint="eastAsia" w:ascii="Times New Roman" w:hAnsi="Times New Roman"/>
          <w:bCs/>
          <w:szCs w:val="21"/>
        </w:rPr>
        <w:t>]÷初始单位净值。认购份额保留至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526E8A3F">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、认购申请日至产品成立日前一自然日，产品管理人不向投资者计付利息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w:t>
      </w:r>
      <w:r>
        <w:rPr>
          <w:rFonts w:hint="eastAsia" w:ascii="Times New Roman" w:hAnsi="Times New Roman"/>
          <w:bCs/>
          <w:szCs w:val="21"/>
        </w:rPr>
        <w:t>如产品不成立，产品认购期结束日至资金到账日之间，投资者资金不计息。</w:t>
      </w:r>
    </w:p>
    <w:p w14:paraId="7B9133CA">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62E7B0B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假定某投资者在募集期投资50,000.00元认购本产品</w:t>
      </w:r>
      <w:bookmarkStart w:id="14" w:name="_Hlk128659724"/>
      <w:r>
        <w:rPr>
          <w:rFonts w:hint="eastAsia" w:ascii="Times New Roman" w:hAnsi="Times New Roman"/>
          <w:bCs/>
          <w:szCs w:val="21"/>
        </w:rPr>
        <w:t>A份额</w:t>
      </w:r>
      <w:bookmarkEnd w:id="14"/>
      <w:r>
        <w:rPr>
          <w:rFonts w:hint="eastAsia" w:ascii="Times New Roman" w:hAnsi="Times New Roman"/>
          <w:bCs/>
          <w:szCs w:val="21"/>
        </w:rPr>
        <w:t>，则其可得到的认购份额计算如下：</w:t>
      </w:r>
    </w:p>
    <w:p w14:paraId="69E05CA6">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认购份额＝[50,000.00÷（1+0%）]÷1.00</w:t>
      </w:r>
      <w:r>
        <w:rPr>
          <w:rFonts w:ascii="Times New Roman" w:hAnsi="Times New Roman"/>
          <w:bCs/>
          <w:szCs w:val="21"/>
        </w:rPr>
        <w:t>00</w:t>
      </w:r>
      <w:r>
        <w:rPr>
          <w:rFonts w:hint="eastAsia" w:ascii="Times New Roman" w:hAnsi="Times New Roman"/>
          <w:bCs/>
          <w:szCs w:val="21"/>
          <w:lang w:val="en-US" w:eastAsia="zh-CN"/>
        </w:rPr>
        <w:t>00</w:t>
      </w:r>
      <w:r>
        <w:rPr>
          <w:rFonts w:hint="eastAsia" w:ascii="Times New Roman" w:hAnsi="Times New Roman"/>
          <w:bCs/>
          <w:szCs w:val="21"/>
        </w:rPr>
        <w:t>＝50,000.00份。</w:t>
      </w:r>
    </w:p>
    <w:p w14:paraId="55F42852">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（二）申购</w:t>
      </w:r>
    </w:p>
    <w:p w14:paraId="5ACCA0F8">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、申购费率为</w:t>
      </w:r>
      <w:r>
        <w:rPr>
          <w:rFonts w:ascii="Times New Roman" w:hAnsi="Times New Roman"/>
          <w:b/>
          <w:szCs w:val="21"/>
        </w:rPr>
        <w:t>0</w:t>
      </w:r>
      <w:r>
        <w:rPr>
          <w:rFonts w:hint="eastAsia" w:ascii="Times New Roman" w:hAnsi="Times New Roman"/>
          <w:b/>
          <w:szCs w:val="21"/>
        </w:rPr>
        <w:t>％。</w:t>
      </w:r>
    </w:p>
    <w:p w14:paraId="3A76996C">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w:t>
      </w:r>
      <w:r>
        <w:rPr>
          <w:rFonts w:ascii="Times New Roman" w:hAnsi="Times New Roman"/>
          <w:bCs/>
          <w:szCs w:val="21"/>
        </w:rPr>
        <w:t>申购份额=[申购金额</w:t>
      </w:r>
      <w:r>
        <w:rPr>
          <w:rFonts w:hint="eastAsia" w:ascii="Times New Roman" w:hAnsi="Times New Roman"/>
          <w:bCs/>
          <w:szCs w:val="21"/>
        </w:rPr>
        <w:t>÷（1+申购费率）]÷开放日</w:t>
      </w:r>
      <w:r>
        <w:rPr>
          <w:rFonts w:ascii="Times New Roman" w:hAnsi="Times New Roman"/>
          <w:bCs/>
          <w:szCs w:val="21"/>
        </w:rPr>
        <w:t>单位净值。</w:t>
      </w:r>
      <w:r>
        <w:rPr>
          <w:rFonts w:hint="eastAsia" w:ascii="Times New Roman" w:hAnsi="Times New Roman"/>
          <w:bCs/>
          <w:szCs w:val="21"/>
        </w:rPr>
        <w:t>申购份额保留至</w:t>
      </w:r>
      <w:r>
        <w:rPr>
          <w:rFonts w:ascii="Times New Roman" w:hAnsi="Times New Roman"/>
          <w:bCs/>
          <w:szCs w:val="21"/>
        </w:rPr>
        <w:t xml:space="preserve">0.01 </w:t>
      </w:r>
      <w:r>
        <w:rPr>
          <w:rFonts w:hint="eastAsia" w:ascii="Times New Roman" w:hAnsi="Times New Roman"/>
          <w:bCs/>
          <w:szCs w:val="21"/>
        </w:rPr>
        <w:t>份，小数点后两位以下四舍五入。</w:t>
      </w:r>
    </w:p>
    <w:p w14:paraId="2FE7B8A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3、本产品采用金额申购的方式，即申购以金额申请。</w:t>
      </w:r>
    </w:p>
    <w:p w14:paraId="56A4A904">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4</w:t>
      </w:r>
      <w:r>
        <w:rPr>
          <w:rFonts w:hint="eastAsia" w:ascii="Times New Roman" w:hAnsi="Times New Roman"/>
          <w:b/>
          <w:szCs w:val="21"/>
        </w:rPr>
        <w:t>、申购申请日至申赎确认日前一自然日，产品管理人不向投资者计付利息。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申赎确认日当天资金不计活期利息。</w:t>
      </w:r>
    </w:p>
    <w:p w14:paraId="4056B0B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5、申购情况举例：</w:t>
      </w:r>
    </w:p>
    <w:p w14:paraId="2394189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假定某投资者在T日</w:t>
      </w:r>
      <w:bookmarkStart w:id="15" w:name="_Hlk154652413"/>
      <w:r>
        <w:rPr>
          <w:rFonts w:ascii="Times New Roman" w:hAnsi="Times New Roman"/>
          <w:bCs/>
          <w:szCs w:val="21"/>
        </w:rPr>
        <w:t>00:00-15:30</w:t>
      </w:r>
      <w:bookmarkEnd w:id="15"/>
      <w:r>
        <w:rPr>
          <w:rFonts w:hint="eastAsia" w:ascii="Times New Roman" w:hAnsi="Times New Roman"/>
          <w:bCs/>
          <w:szCs w:val="21"/>
        </w:rPr>
        <w:t>投资50,000.00元申购本产品A份额，当日本产品</w:t>
      </w:r>
      <w:r>
        <w:rPr>
          <w:rFonts w:ascii="Times New Roman" w:hAnsi="Times New Roman"/>
          <w:bCs/>
          <w:szCs w:val="21"/>
        </w:rPr>
        <w:t>A</w:t>
      </w:r>
      <w:r>
        <w:rPr>
          <w:rFonts w:hint="eastAsia" w:ascii="Times New Roman" w:hAnsi="Times New Roman"/>
          <w:bCs/>
          <w:szCs w:val="21"/>
        </w:rPr>
        <w:t>份额单位净值为1.0100</w:t>
      </w:r>
      <w:r>
        <w:rPr>
          <w:rFonts w:hint="eastAsia" w:ascii="Times New Roman" w:hAnsi="Times New Roman"/>
          <w:bCs/>
          <w:szCs w:val="21"/>
          <w:lang w:val="en-US" w:eastAsia="zh-CN"/>
        </w:rPr>
        <w:t>00</w:t>
      </w:r>
      <w:r>
        <w:rPr>
          <w:rFonts w:hint="eastAsia" w:ascii="Times New Roman" w:hAnsi="Times New Roman"/>
          <w:bCs/>
          <w:szCs w:val="21"/>
        </w:rPr>
        <w:t>，则其可得到的申购份额计算如下：</w:t>
      </w:r>
    </w:p>
    <w:p w14:paraId="634AE58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申购份额＝[50,000.00÷（1+0%）]÷1.0100</w:t>
      </w:r>
      <w:r>
        <w:rPr>
          <w:rFonts w:hint="eastAsia" w:ascii="Times New Roman" w:hAnsi="Times New Roman"/>
          <w:bCs/>
          <w:szCs w:val="21"/>
          <w:lang w:val="en-US" w:eastAsia="zh-CN"/>
        </w:rPr>
        <w:t>00</w:t>
      </w:r>
      <w:r>
        <w:rPr>
          <w:rFonts w:hint="eastAsia" w:ascii="Times New Roman" w:hAnsi="Times New Roman"/>
          <w:bCs/>
          <w:szCs w:val="21"/>
        </w:rPr>
        <w:t>＝49,504.95份。</w:t>
      </w:r>
    </w:p>
    <w:p w14:paraId="10952F2D">
      <w:pPr>
        <w:spacing w:line="276" w:lineRule="auto"/>
        <w:ind w:firstLine="211" w:firstLineChars="100"/>
        <w:outlineLvl w:val="0"/>
        <w:rPr>
          <w:rFonts w:ascii="Times New Roman" w:hAnsi="Times New Roman"/>
          <w:b/>
          <w:szCs w:val="21"/>
        </w:rPr>
      </w:pPr>
      <w:r>
        <w:rPr>
          <w:rFonts w:hint="eastAsia" w:ascii="Times New Roman" w:hAnsi="Times New Roman"/>
          <w:b/>
          <w:szCs w:val="21"/>
        </w:rPr>
        <w:t>（三）拒绝或暂停申购的情形、处理方式和程序</w:t>
      </w:r>
    </w:p>
    <w:p w14:paraId="3826CA0F">
      <w:pPr>
        <w:numPr>
          <w:ilvl w:val="255"/>
          <w:numId w:val="0"/>
        </w:numPr>
        <w:spacing w:line="276" w:lineRule="auto"/>
        <w:ind w:firstLine="315" w:firstLineChars="150"/>
        <w:rPr>
          <w:rFonts w:ascii="Times New Roman" w:hAnsi="Times New Roman"/>
          <w:b/>
          <w:szCs w:val="21"/>
        </w:rPr>
      </w:pPr>
      <w:r>
        <w:rPr>
          <w:rFonts w:hint="eastAsia" w:ascii="Times New Roman" w:hAnsi="Times New Roman"/>
          <w:bCs/>
          <w:szCs w:val="21"/>
        </w:rPr>
        <w:t>当接受申购申请可能对理财产品存量投资者利益构成潜在重大不利影响时，或者基于投资运作与风险控制需要，产品管理人将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hint="eastAsia" w:ascii="Times New Roman" w:hAnsi="Times New Roman"/>
          <w:bCs/>
          <w:szCs w:val="21"/>
        </w:rPr>
        <w:t>，有权采取拒绝或暂停申购等措施，以及监管机构规定的其他措施，切实保护存量产品份额持有人的合法权益。</w:t>
      </w:r>
      <w:r>
        <w:rPr>
          <w:rFonts w:hint="eastAsia" w:ascii="Times New Roman" w:hAnsi="Times New Roman"/>
          <w:b/>
          <w:szCs w:val="21"/>
        </w:rPr>
        <w:t>发生下列情况时，产品管理人可拒绝或暂停接受投资者的申购申请：</w:t>
      </w:r>
    </w:p>
    <w:p w14:paraId="50B58001">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、因不可抗力导致理财产品无法正常运作；</w:t>
      </w:r>
    </w:p>
    <w:p w14:paraId="1F09EE3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4C8F9164">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3、发生暂停理财资产估值情况时，产品管理人可暂停接受投资者的申购申请；</w:t>
      </w:r>
    </w:p>
    <w:p w14:paraId="51137963">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219EF538">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5、其他可能对本产品运作或流动性产生负面影响，产品管理人认为可能损害现有产品份额持有人利益的情况；</w:t>
      </w:r>
    </w:p>
    <w:p w14:paraId="71A0CDA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6、法律法规规定或监管机构认定的其他情形。</w:t>
      </w:r>
    </w:p>
    <w:p w14:paraId="234308A8">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 xml:space="preserve">四、理财产品赎回、产品终止 </w:t>
      </w:r>
    </w:p>
    <w:p w14:paraId="28E6C3A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（一）赎回</w:t>
      </w:r>
    </w:p>
    <w:p w14:paraId="445733EF">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、赎回费率为</w:t>
      </w:r>
      <w:r>
        <w:rPr>
          <w:rFonts w:ascii="Times New Roman" w:hAnsi="Times New Roman"/>
          <w:b/>
          <w:szCs w:val="21"/>
        </w:rPr>
        <w:t>0%</w:t>
      </w:r>
      <w:r>
        <w:rPr>
          <w:rFonts w:hint="eastAsia" w:ascii="Times New Roman" w:hAnsi="Times New Roman"/>
          <w:b/>
          <w:szCs w:val="21"/>
        </w:rPr>
        <w:t>。</w:t>
      </w:r>
    </w:p>
    <w:p w14:paraId="662F1156">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2、本产品采用份额赎回的方式，即赎回以份额申请。</w:t>
      </w:r>
      <w:r>
        <w:rPr>
          <w:rFonts w:ascii="Times New Roman" w:hAnsi="Times New Roman"/>
          <w:bCs/>
          <w:szCs w:val="21"/>
        </w:rPr>
        <w:t>如果份额持有人某笔赎回将导致其持有的本产品</w:t>
      </w:r>
      <w:bookmarkStart w:id="16" w:name="_Hlk128678857"/>
      <w:r>
        <w:rPr>
          <w:rFonts w:hint="eastAsia" w:ascii="Times New Roman" w:hAnsi="Times New Roman"/>
          <w:bCs/>
          <w:szCs w:val="21"/>
        </w:rPr>
        <w:t>某一份额类别</w:t>
      </w:r>
      <w:bookmarkEnd w:id="16"/>
      <w:r>
        <w:rPr>
          <w:rFonts w:ascii="Times New Roman" w:hAnsi="Times New Roman"/>
          <w:bCs/>
          <w:szCs w:val="21"/>
        </w:rPr>
        <w:t>份额不足</w:t>
      </w:r>
      <w:bookmarkStart w:id="17" w:name="_Hlk128678867"/>
      <w:bookmarkStart w:id="18" w:name="_Hlk38478815"/>
      <w:r>
        <w:rPr>
          <w:rFonts w:hint="eastAsia" w:ascii="Times New Roman" w:hAnsi="Times New Roman"/>
          <w:bCs/>
          <w:szCs w:val="21"/>
        </w:rPr>
        <w:t>该份额类别</w:t>
      </w:r>
      <w:bookmarkEnd w:id="17"/>
      <w:r>
        <w:rPr>
          <w:rFonts w:hint="eastAsia" w:ascii="Times New Roman" w:hAnsi="Times New Roman"/>
          <w:bCs/>
          <w:szCs w:val="21"/>
        </w:rPr>
        <w:t>最低保留份额</w:t>
      </w:r>
      <w:r>
        <w:rPr>
          <w:rFonts w:ascii="Times New Roman" w:hAnsi="Times New Roman"/>
          <w:bCs/>
          <w:szCs w:val="21"/>
        </w:rPr>
        <w:t>的</w:t>
      </w:r>
      <w:bookmarkEnd w:id="18"/>
      <w:r>
        <w:rPr>
          <w:rFonts w:ascii="Times New Roman" w:hAnsi="Times New Roman"/>
          <w:bCs/>
          <w:szCs w:val="21"/>
        </w:rPr>
        <w:t>，在赎回时需一次全部赎回</w:t>
      </w:r>
      <w:r>
        <w:rPr>
          <w:rFonts w:hint="eastAsia" w:ascii="Times New Roman" w:hAnsi="Times New Roman"/>
          <w:bCs/>
          <w:szCs w:val="21"/>
        </w:rPr>
        <w:t>该份额类别</w:t>
      </w:r>
      <w:r>
        <w:rPr>
          <w:rFonts w:ascii="Times New Roman" w:hAnsi="Times New Roman"/>
          <w:bCs/>
          <w:szCs w:val="21"/>
        </w:rPr>
        <w:t>。</w:t>
      </w:r>
    </w:p>
    <w:p w14:paraId="483F458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3、赎回金额＝赎回份额×开放日单位净值×（1-赎回费率）。赎回金额保留至</w:t>
      </w:r>
      <w:r>
        <w:rPr>
          <w:rFonts w:ascii="Times New Roman" w:hAnsi="Times New Roman"/>
          <w:bCs/>
          <w:szCs w:val="21"/>
        </w:rPr>
        <w:t>0.01元</w:t>
      </w:r>
      <w:r>
        <w:rPr>
          <w:rFonts w:hint="eastAsia" w:ascii="Times New Roman" w:hAnsi="Times New Roman"/>
          <w:bCs/>
          <w:szCs w:val="21"/>
        </w:rPr>
        <w:t>，小数点后两位以下四舍五入。</w:t>
      </w:r>
    </w:p>
    <w:p w14:paraId="38C54850">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、赎回确认日至资金到账日，投资者赎回金额不计息。</w:t>
      </w:r>
    </w:p>
    <w:p w14:paraId="5167910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、赎回情况举例：</w:t>
      </w:r>
    </w:p>
    <w:p w14:paraId="182970A3">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假定某投资者持有</w:t>
      </w:r>
      <w:r>
        <w:rPr>
          <w:rFonts w:ascii="Times New Roman" w:hAnsi="Times New Roman"/>
          <w:bCs/>
          <w:szCs w:val="21"/>
        </w:rPr>
        <w:t>10</w:t>
      </w:r>
      <w:r>
        <w:rPr>
          <w:rFonts w:hint="eastAsia" w:ascii="Times New Roman" w:hAnsi="Times New Roman"/>
          <w:bCs/>
          <w:szCs w:val="21"/>
        </w:rPr>
        <w:t>0,000.00份本产品</w:t>
      </w:r>
      <w:bookmarkStart w:id="19" w:name="_Hlk128678891"/>
      <w:r>
        <w:rPr>
          <w:rFonts w:ascii="Times New Roman" w:hAnsi="Times New Roman"/>
          <w:bCs/>
          <w:szCs w:val="21"/>
        </w:rPr>
        <w:t>A</w:t>
      </w:r>
      <w:r>
        <w:rPr>
          <w:rFonts w:hint="eastAsia" w:ascii="Times New Roman" w:hAnsi="Times New Roman"/>
          <w:bCs/>
          <w:szCs w:val="21"/>
        </w:rPr>
        <w:t>份额</w:t>
      </w:r>
      <w:bookmarkEnd w:id="19"/>
      <w:r>
        <w:rPr>
          <w:rFonts w:hint="eastAsia" w:ascii="Times New Roman" w:hAnsi="Times New Roman"/>
          <w:bCs/>
          <w:szCs w:val="21"/>
        </w:rPr>
        <w:t>，于开放日</w:t>
      </w:r>
      <w:bookmarkStart w:id="20" w:name="_Hlk154651921"/>
      <w:r>
        <w:rPr>
          <w:rFonts w:ascii="Times New Roman" w:hAnsi="Times New Roman"/>
          <w:bCs/>
          <w:szCs w:val="21"/>
        </w:rPr>
        <w:t>00:00-15:30</w:t>
      </w:r>
      <w:bookmarkEnd w:id="20"/>
      <w:r>
        <w:rPr>
          <w:rFonts w:hint="eastAsia" w:ascii="Times New Roman" w:hAnsi="Times New Roman"/>
          <w:bCs/>
          <w:szCs w:val="21"/>
        </w:rPr>
        <w:t>全额赎回，当日本产品</w:t>
      </w:r>
      <w:bookmarkStart w:id="21" w:name="_Hlk128681141"/>
      <w:r>
        <w:rPr>
          <w:rFonts w:ascii="Times New Roman" w:hAnsi="Times New Roman"/>
          <w:bCs/>
          <w:szCs w:val="21"/>
        </w:rPr>
        <w:t>A</w:t>
      </w:r>
      <w:r>
        <w:rPr>
          <w:rFonts w:hint="eastAsia" w:ascii="Times New Roman" w:hAnsi="Times New Roman"/>
          <w:bCs/>
          <w:szCs w:val="21"/>
        </w:rPr>
        <w:t>份额</w:t>
      </w:r>
      <w:bookmarkEnd w:id="21"/>
      <w:r>
        <w:rPr>
          <w:rFonts w:hint="eastAsia" w:ascii="Times New Roman" w:hAnsi="Times New Roman"/>
          <w:bCs/>
          <w:szCs w:val="21"/>
        </w:rPr>
        <w:t>单位净值为1.0100</w:t>
      </w:r>
      <w:r>
        <w:rPr>
          <w:rFonts w:hint="eastAsia" w:ascii="Times New Roman" w:hAnsi="Times New Roman"/>
          <w:bCs/>
          <w:szCs w:val="21"/>
          <w:lang w:val="en-US" w:eastAsia="zh-CN"/>
        </w:rPr>
        <w:t>00</w:t>
      </w:r>
      <w:r>
        <w:rPr>
          <w:rFonts w:hint="eastAsia" w:ascii="Times New Roman" w:hAnsi="Times New Roman"/>
          <w:bCs/>
          <w:szCs w:val="21"/>
        </w:rPr>
        <w:t>，则申赎确认日确认的赎回金额计算如下：</w:t>
      </w:r>
    </w:p>
    <w:p w14:paraId="27610498">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赎回金额=</w:t>
      </w:r>
      <w:r>
        <w:rPr>
          <w:rFonts w:ascii="Times New Roman" w:hAnsi="Times New Roman"/>
          <w:bCs/>
          <w:szCs w:val="21"/>
        </w:rPr>
        <w:t>10</w:t>
      </w:r>
      <w:r>
        <w:rPr>
          <w:rFonts w:hint="eastAsia" w:ascii="Times New Roman" w:hAnsi="Times New Roman"/>
          <w:bCs/>
          <w:szCs w:val="21"/>
        </w:rPr>
        <w:t>0,000.00×1.0100</w:t>
      </w:r>
      <w:r>
        <w:rPr>
          <w:rFonts w:hint="eastAsia" w:ascii="Times New Roman" w:hAnsi="Times New Roman"/>
          <w:bCs/>
          <w:szCs w:val="21"/>
          <w:lang w:val="en-US" w:eastAsia="zh-CN"/>
        </w:rPr>
        <w:t>00</w:t>
      </w:r>
      <w:r>
        <w:rPr>
          <w:rFonts w:hint="eastAsia" w:ascii="Times New Roman" w:hAnsi="Times New Roman"/>
          <w:bCs/>
          <w:szCs w:val="21"/>
        </w:rPr>
        <w:t>×（1-0%）=</w:t>
      </w:r>
      <w:r>
        <w:rPr>
          <w:rFonts w:ascii="Times New Roman" w:hAnsi="Times New Roman"/>
          <w:bCs/>
          <w:szCs w:val="21"/>
        </w:rPr>
        <w:t>101</w:t>
      </w:r>
      <w:r>
        <w:rPr>
          <w:rFonts w:hint="eastAsia" w:ascii="Times New Roman" w:hAnsi="Times New Roman"/>
          <w:bCs/>
          <w:szCs w:val="21"/>
        </w:rPr>
        <w:t>,000.00元</w:t>
      </w:r>
    </w:p>
    <w:p w14:paraId="44DB7CE6">
      <w:pPr>
        <w:spacing w:line="276" w:lineRule="auto"/>
        <w:ind w:firstLine="422" w:firstLineChars="200"/>
        <w:outlineLvl w:val="0"/>
        <w:rPr>
          <w:rFonts w:ascii="Times New Roman" w:hAnsi="Times New Roman"/>
          <w:b/>
          <w:szCs w:val="21"/>
        </w:rPr>
      </w:pPr>
      <w:r>
        <w:rPr>
          <w:rFonts w:hint="eastAsia" w:ascii="Times New Roman" w:hAnsi="Times New Roman"/>
          <w:b/>
          <w:szCs w:val="21"/>
        </w:rPr>
        <w:t>（二）暂停赎回或延缓支付赎回款项的情形、处理方式和程序</w:t>
      </w:r>
    </w:p>
    <w:p w14:paraId="22D8BE93">
      <w:pPr>
        <w:spacing w:line="276" w:lineRule="auto"/>
        <w:ind w:firstLine="420" w:firstLineChars="200"/>
        <w:outlineLvl w:val="0"/>
        <w:rPr>
          <w:rFonts w:ascii="Times New Roman" w:hAnsi="Times New Roman"/>
          <w:b/>
          <w:szCs w:val="21"/>
        </w:rPr>
      </w:pPr>
      <w:r>
        <w:rPr>
          <w:rFonts w:hint="eastAsia" w:ascii="Times New Roman" w:hAnsi="Times New Roman"/>
          <w:bCs/>
          <w:szCs w:val="21"/>
        </w:rPr>
        <w:t>当接受赎回申请可能对理财产品存量投资者利益构成潜在重大不利影响时，或者基于投资运作与风险控制需要，产品管理人将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hint="eastAsia" w:ascii="Times New Roman" w:hAnsi="Times New Roman"/>
          <w:bCs/>
          <w:szCs w:val="21"/>
        </w:rPr>
        <w:t>，有权采取暂停接受赎回申请、对已经接受的赎回申请延缓支付赎回款项等措施，以及监管机构规定的其他措施，切实保护存量产品份额持有人的合法权益。</w:t>
      </w:r>
    </w:p>
    <w:p w14:paraId="0749B391">
      <w:pPr>
        <w:numPr>
          <w:ilvl w:val="255"/>
          <w:numId w:val="0"/>
        </w:numPr>
        <w:spacing w:line="276" w:lineRule="auto"/>
        <w:ind w:firstLine="422" w:firstLineChars="200"/>
        <w:rPr>
          <w:rFonts w:ascii="Times New Roman" w:hAnsi="Times New Roman"/>
          <w:b/>
          <w:szCs w:val="21"/>
        </w:rPr>
      </w:pPr>
      <w:r>
        <w:rPr>
          <w:rFonts w:hint="eastAsia" w:ascii="Times New Roman" w:hAnsi="Times New Roman"/>
          <w:b/>
          <w:szCs w:val="21"/>
        </w:rPr>
        <w:t>发生下列情形时，产品管理人可暂停接受投资者的赎回申请或延缓支付赎回款项：</w:t>
      </w:r>
    </w:p>
    <w:p w14:paraId="50293B18">
      <w:pPr>
        <w:numPr>
          <w:ilvl w:val="255"/>
          <w:numId w:val="0"/>
        </w:numPr>
        <w:spacing w:line="276" w:lineRule="auto"/>
        <w:ind w:firstLine="422" w:firstLineChars="200"/>
        <w:rPr>
          <w:rFonts w:ascii="Times New Roman" w:hAnsi="Times New Roman"/>
          <w:b/>
          <w:szCs w:val="21"/>
        </w:rPr>
      </w:pPr>
      <w:r>
        <w:rPr>
          <w:rFonts w:ascii="Times New Roman" w:hAnsi="Times New Roman"/>
          <w:b/>
          <w:szCs w:val="21"/>
        </w:rPr>
        <w:t>1</w:t>
      </w:r>
      <w:r>
        <w:rPr>
          <w:rFonts w:hint="eastAsia" w:ascii="Times New Roman" w:hAnsi="Times New Roman"/>
          <w:b/>
          <w:szCs w:val="21"/>
        </w:rPr>
        <w:t>、因不可抗力导致产品管理人不能支付赎回款项；</w:t>
      </w:r>
    </w:p>
    <w:p w14:paraId="6031C25F">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2、产品管理人和产品托管人的技术保障等异常情况导致理财销售系统或会计系统无法正常运行；</w:t>
      </w:r>
    </w:p>
    <w:p w14:paraId="2A62B2E7">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3、发生暂停理财资产估值情况时，产品管理人可暂停接受投资人的赎回申请或延缓支付赎回款项；</w:t>
      </w:r>
    </w:p>
    <w:p w14:paraId="4279E0D5">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4、证券交易所或银行间市场在交易时间非正常停市，导致产品管理人无法计算当日理财资产净值；</w:t>
      </w:r>
    </w:p>
    <w:p w14:paraId="63019D0A">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5、证券交易所或银行间市场出现异常市场情况，管理人无法开展产品的流动性管理；</w:t>
      </w:r>
    </w:p>
    <w:p w14:paraId="0721C498">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6、连续两个或两个以上开放日发生巨额赎回，产品管理人有权在下一开放日暂停该理财计划的赎回申请。对于已经接受的赎回申请，产品管理人可以延缓支付赎回款项，但延缓期限不得超过20个工作日；</w:t>
      </w:r>
    </w:p>
    <w:p w14:paraId="1E0F0BFF">
      <w:pPr>
        <w:numPr>
          <w:ilvl w:val="255"/>
          <w:numId w:val="0"/>
        </w:numPr>
        <w:spacing w:line="276" w:lineRule="auto"/>
        <w:ind w:firstLine="420" w:firstLineChars="200"/>
        <w:rPr>
          <w:rFonts w:ascii="Times New Roman" w:hAnsi="Times New Roman"/>
          <w:bCs/>
          <w:szCs w:val="21"/>
        </w:rPr>
      </w:pPr>
      <w:r>
        <w:rPr>
          <w:rFonts w:ascii="Times New Roman" w:hAnsi="Times New Roman"/>
          <w:bCs/>
          <w:szCs w:val="21"/>
        </w:rPr>
        <w:t>7</w:t>
      </w:r>
      <w:r>
        <w:rPr>
          <w:rFonts w:hint="eastAsia" w:ascii="Times New Roman" w:hAnsi="Times New Roman"/>
          <w:bCs/>
          <w:szCs w:val="21"/>
        </w:rPr>
        <w:t>、</w:t>
      </w:r>
      <w:r>
        <w:rPr>
          <w:rFonts w:hint="eastAsia"/>
        </w:rPr>
        <w:t>当</w:t>
      </w:r>
      <w:r>
        <w:rPr>
          <w:rFonts w:hint="eastAsia" w:ascii="Times New Roman" w:hAnsi="Times New Roman"/>
          <w:bCs/>
          <w:szCs w:val="21"/>
        </w:rPr>
        <w:t>前一估值日产品资产净值</w:t>
      </w:r>
      <w:r>
        <w:rPr>
          <w:rFonts w:ascii="Times New Roman" w:hAnsi="Times New Roman"/>
          <w:bCs/>
          <w:szCs w:val="21"/>
        </w:rPr>
        <w:t>50%</w:t>
      </w:r>
      <w:r>
        <w:rPr>
          <w:rFonts w:hint="eastAsia" w:ascii="Times New Roman" w:hAnsi="Times New Roman"/>
          <w:bCs/>
          <w:szCs w:val="21"/>
        </w:rPr>
        <w:t>以上的资产不具备活跃交易市场或者在活跃市场中无报价，且不能采用估值技术可靠计量公允价值时；</w:t>
      </w:r>
    </w:p>
    <w:p w14:paraId="35868ED1">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8、其他可能对本产品运作或流动性产生负面影响，产品管理人认为可能损害现有产品份额持有人利益的情况；</w:t>
      </w:r>
    </w:p>
    <w:p w14:paraId="21E569E1">
      <w:pPr>
        <w:numPr>
          <w:ilvl w:val="255"/>
          <w:numId w:val="0"/>
        </w:numPr>
        <w:spacing w:line="276" w:lineRule="auto"/>
        <w:ind w:firstLine="420" w:firstLineChars="200"/>
        <w:rPr>
          <w:rFonts w:ascii="Times New Roman" w:hAnsi="Times New Roman"/>
          <w:bCs/>
          <w:szCs w:val="21"/>
        </w:rPr>
      </w:pPr>
      <w:r>
        <w:rPr>
          <w:rFonts w:hint="eastAsia" w:ascii="Times New Roman" w:hAnsi="Times New Roman"/>
          <w:bCs/>
          <w:szCs w:val="21"/>
        </w:rPr>
        <w:t>9、法律法规规定或监管机构认定的其他情形。</w:t>
      </w:r>
    </w:p>
    <w:p w14:paraId="13051F0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（三）终止、提前终止</w:t>
      </w:r>
    </w:p>
    <w:p w14:paraId="393F8B84">
      <w:pPr>
        <w:widowControl/>
        <w:spacing w:line="276" w:lineRule="auto"/>
        <w:ind w:firstLine="420"/>
        <w:jc w:val="left"/>
        <w:rPr>
          <w:rFonts w:ascii="Times New Roman" w:hAnsi="Times New Roman" w:cs="宋体"/>
          <w:szCs w:val="21"/>
        </w:rPr>
      </w:pPr>
      <w:r>
        <w:rPr>
          <w:rFonts w:ascii="Times New Roman" w:hAnsi="Times New Roman"/>
          <w:bCs/>
          <w:szCs w:val="21"/>
        </w:rPr>
        <w:t>1</w:t>
      </w:r>
      <w:r>
        <w:rPr>
          <w:rFonts w:hint="eastAsia" w:ascii="Times New Roman" w:hAnsi="Times New Roman"/>
          <w:bCs/>
          <w:szCs w:val="21"/>
        </w:rPr>
        <w:t>、</w:t>
      </w:r>
      <w:r>
        <w:rPr>
          <w:rFonts w:hint="eastAsia" w:ascii="Times New Roman" w:hAnsi="Times New Roman" w:cs="宋体"/>
          <w:szCs w:val="21"/>
        </w:rPr>
        <w:t>本理财产品期限无固定期限，</w:t>
      </w:r>
      <w:r>
        <w:rPr>
          <w:rFonts w:ascii="Times New Roman" w:hAnsi="Times New Roman" w:cs="宋体"/>
          <w:szCs w:val="21"/>
        </w:rPr>
        <w:t>当理财产品</w:t>
      </w:r>
      <w:r>
        <w:rPr>
          <w:rFonts w:hint="eastAsia" w:ascii="Times New Roman" w:hAnsi="Times New Roman" w:cs="宋体"/>
          <w:szCs w:val="21"/>
        </w:rPr>
        <w:t>规模</w:t>
      </w:r>
      <w:r>
        <w:rPr>
          <w:rFonts w:ascii="Times New Roman" w:hAnsi="Times New Roman" w:cs="宋体"/>
          <w:szCs w:val="21"/>
        </w:rPr>
        <w:t>低于</w:t>
      </w:r>
      <w:r>
        <w:rPr>
          <w:rFonts w:hint="eastAsia" w:ascii="Times New Roman" w:hAnsi="Times New Roman" w:cs="宋体"/>
          <w:szCs w:val="21"/>
        </w:rPr>
        <w:t>规模下限</w:t>
      </w:r>
      <w:r>
        <w:rPr>
          <w:rFonts w:ascii="Times New Roman" w:hAnsi="Times New Roman" w:cs="宋体"/>
          <w:szCs w:val="21"/>
        </w:rPr>
        <w:t>时</w:t>
      </w:r>
      <w:r>
        <w:rPr>
          <w:rFonts w:hint="eastAsia" w:ascii="Times New Roman" w:hAnsi="Times New Roman" w:cs="宋体"/>
          <w:szCs w:val="21"/>
        </w:rPr>
        <w:t>或法律法规规定的其他情形导致产品终止时</w:t>
      </w:r>
      <w:r>
        <w:rPr>
          <w:rFonts w:ascii="Times New Roman" w:hAnsi="Times New Roman" w:cs="宋体"/>
          <w:szCs w:val="21"/>
        </w:rPr>
        <w:t>，理财产品管理人有权终止理财产品。</w:t>
      </w:r>
    </w:p>
    <w:p w14:paraId="2EB192CB">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cs="宋体"/>
          <w:szCs w:val="21"/>
        </w:rPr>
        <w:t>2</w:t>
      </w:r>
      <w:r>
        <w:rPr>
          <w:rFonts w:hint="eastAsia" w:ascii="Times New Roman" w:hAnsi="Times New Roman" w:cs="宋体"/>
          <w:szCs w:val="21"/>
        </w:rPr>
        <w:t>、</w:t>
      </w:r>
      <w:r>
        <w:rPr>
          <w:rFonts w:hint="eastAsia" w:ascii="Times New Roman" w:hAnsi="Times New Roman"/>
          <w:bCs/>
          <w:szCs w:val="21"/>
        </w:rPr>
        <w:t>在理财产品投资运作期间内，除正常</w:t>
      </w:r>
      <w:r>
        <w:rPr>
          <w:rFonts w:ascii="Times New Roman" w:hAnsi="Times New Roman" w:cs="宋体"/>
          <w:szCs w:val="21"/>
        </w:rPr>
        <w:t>赎回</w:t>
      </w:r>
      <w:r>
        <w:rPr>
          <w:rFonts w:hint="eastAsia" w:ascii="Times New Roman" w:hAnsi="Times New Roman" w:cs="宋体"/>
          <w:szCs w:val="21"/>
        </w:rPr>
        <w:t>外，投资者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22" w:name="_Hlk128659748"/>
      <w:r>
        <w:rPr>
          <w:rFonts w:hint="eastAsia" w:ascii="Times New Roman" w:hAnsi="Times New Roman"/>
          <w:bCs/>
          <w:szCs w:val="21"/>
        </w:rPr>
        <w:t>或本理财产品某一份额类别</w:t>
      </w:r>
      <w:bookmarkEnd w:id="22"/>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有权部分或全部提前终止本理财产品或本理财产品某一份额类别。如本产品</w:t>
      </w:r>
      <w:bookmarkStart w:id="23" w:name="_Hlk128659772"/>
      <w:r>
        <w:rPr>
          <w:rFonts w:hint="eastAsia" w:ascii="Times New Roman" w:hAnsi="Times New Roman"/>
          <w:bCs/>
          <w:szCs w:val="21"/>
        </w:rPr>
        <w:t>或某一份额类别</w:t>
      </w:r>
      <w:bookmarkEnd w:id="23"/>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fldChar w:fldCharType="begin"/>
      </w:r>
      <w:r>
        <w:instrText xml:space="preserve"> HYPERLINK </w:instrText>
      </w:r>
      <w:r>
        <w:fldChar w:fldCharType="separate"/>
      </w:r>
      <w:r>
        <w:fldChar w:fldCharType="end"/>
      </w:r>
      <w:r>
        <w:rPr>
          <w:rFonts w:hint="eastAsia" w:ascii="Times New Roman" w:hAnsi="Times New Roman"/>
          <w:bCs/>
          <w:szCs w:val="21"/>
        </w:rPr>
        <w:t>约定的信息披露渠道发布相关信息，并于提前终止日后2个交易日内将</w:t>
      </w:r>
      <w:r>
        <w:rPr>
          <w:rFonts w:hint="eastAsia" w:ascii="Times New Roman" w:hAnsi="Times New Roman" w:cs="宋体"/>
          <w:szCs w:val="21"/>
        </w:rPr>
        <w:t>投资者资金划转至投资者账</w:t>
      </w:r>
      <w:r>
        <w:rPr>
          <w:rFonts w:hint="eastAsia" w:ascii="Times New Roman" w:hAnsi="Times New Roman"/>
          <w:bCs/>
          <w:szCs w:val="21"/>
        </w:rPr>
        <w:t>户。</w:t>
      </w:r>
      <w:r>
        <w:rPr>
          <w:rFonts w:hint="eastAsia" w:ascii="Times New Roman" w:hAnsi="Times New Roman"/>
          <w:b/>
          <w:szCs w:val="21"/>
        </w:rPr>
        <w:t>提前终止日至资金到账日之间，投资者资金不计息。</w:t>
      </w:r>
    </w:p>
    <w:p w14:paraId="1B70BD5F">
      <w:pPr>
        <w:autoSpaceDE w:val="0"/>
        <w:autoSpaceDN w:val="0"/>
        <w:adjustRightInd w:val="0"/>
        <w:spacing w:line="276" w:lineRule="auto"/>
        <w:ind w:firstLine="422" w:firstLineChars="200"/>
        <w:jc w:val="left"/>
        <w:outlineLvl w:val="0"/>
        <w:rPr>
          <w:rFonts w:ascii="Times New Roman" w:hAnsi="Times New Roman"/>
          <w:b/>
          <w:bCs/>
          <w:szCs w:val="21"/>
        </w:rPr>
      </w:pPr>
      <w:r>
        <w:rPr>
          <w:rFonts w:hint="eastAsia" w:ascii="Times New Roman" w:hAnsi="Times New Roman"/>
          <w:b/>
          <w:bCs/>
          <w:szCs w:val="21"/>
        </w:rPr>
        <w:t>五、</w:t>
      </w:r>
      <w:bookmarkStart w:id="24" w:name="_Hlk116985601"/>
      <w:r>
        <w:rPr>
          <w:rFonts w:hint="eastAsia" w:ascii="Times New Roman" w:hAnsi="Times New Roman"/>
          <w:b/>
          <w:bCs/>
          <w:szCs w:val="21"/>
        </w:rPr>
        <w:t>理财产品收益计算</w:t>
      </w:r>
      <w:bookmarkEnd w:id="24"/>
    </w:p>
    <w:p w14:paraId="1974474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4F8E1DAA">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１、理财产品</w:t>
      </w:r>
      <w:r>
        <w:rPr>
          <w:rFonts w:hint="eastAsia" w:asciiTheme="minorEastAsia" w:hAnsiTheme="minorEastAsia" w:eastAsiaTheme="minorEastAsia"/>
          <w:bCs/>
          <w:szCs w:val="21"/>
        </w:rPr>
        <w:t>资产净值/</w:t>
      </w:r>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理财产品认购、申购总金额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理财产品累计终止、赎回和分红总金额。</w:t>
      </w:r>
    </w:p>
    <w:p w14:paraId="2CE7DC09">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理财产品某份额类别</w:t>
      </w:r>
      <w:r>
        <w:rPr>
          <w:rFonts w:hint="eastAsia" w:asciiTheme="minorEastAsia" w:hAnsiTheme="minorEastAsia" w:eastAsiaTheme="minorEastAsia"/>
          <w:bCs/>
          <w:szCs w:val="21"/>
        </w:rPr>
        <w:t>资产净值/</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理财产品某份额类别认购、申购总金额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理财产品某份额类别累计终止、赎回和分红总金额。</w:t>
      </w:r>
    </w:p>
    <w:p w14:paraId="2B953FD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２、理财产品单位净值</w:t>
      </w:r>
      <w:r>
        <w:rPr>
          <w:rFonts w:hint="eastAsia" w:ascii="Times New Roman" w:hAnsi="Times New Roman" w:eastAsiaTheme="minorEastAsia"/>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p>
    <w:p w14:paraId="7712C1D2">
      <w:pPr>
        <w:autoSpaceDE w:val="0"/>
        <w:autoSpaceDN w:val="0"/>
        <w:adjustRightInd w:val="0"/>
        <w:spacing w:line="276" w:lineRule="auto"/>
        <w:ind w:firstLine="420" w:firstLineChars="200"/>
        <w:jc w:val="left"/>
        <w:rPr>
          <w:rFonts w:ascii="Times New Roman" w:hAnsi="Times New Roman"/>
          <w:bCs/>
          <w:szCs w:val="21"/>
        </w:rPr>
      </w:pPr>
      <w:bookmarkStart w:id="25" w:name="_Hlk153281962"/>
      <w:r>
        <w:rPr>
          <w:rFonts w:hint="eastAsia" w:ascii="Times New Roman" w:hAnsi="Times New Roman"/>
          <w:bCs/>
          <w:szCs w:val="21"/>
        </w:rPr>
        <w:t>理财产品某份额类别单位净值</w:t>
      </w:r>
      <w:r>
        <w:rPr>
          <w:rFonts w:hint="eastAsia" w:ascii="Times New Roman" w:hAnsi="Times New Roman" w:eastAsiaTheme="minorEastAsia"/>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bookmarkEnd w:id="25"/>
    </w:p>
    <w:p w14:paraId="66126C5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3</w:t>
      </w:r>
      <w:r>
        <w:rPr>
          <w:rFonts w:hint="eastAsia" w:ascii="Times New Roman" w:hAnsi="Times New Roman"/>
          <w:bCs/>
          <w:szCs w:val="21"/>
        </w:rPr>
        <w:t>、理财产品累计单位净值</w:t>
      </w:r>
      <w:r>
        <w:rPr>
          <w:rFonts w:hint="eastAsia" w:ascii="Times New Roman" w:hAnsi="Times New Roman" w:eastAsiaTheme="minorEastAsia"/>
          <w:bCs/>
          <w:szCs w:val="21"/>
        </w:rPr>
        <w:t>/份额累计净值</w:t>
      </w:r>
      <w:r>
        <w:rPr>
          <w:rFonts w:hint="eastAsia" w:ascii="Times New Roman" w:hAnsi="Times New Roman"/>
          <w:bCs/>
          <w:szCs w:val="21"/>
        </w:rPr>
        <w:t>=理财产品单位净值+历次累计单位分红。累计单位净值保留至小数点后</w:t>
      </w:r>
      <w:r>
        <w:rPr>
          <w:rFonts w:hint="eastAsia" w:ascii="Times New Roman" w:hAnsi="Times New Roman"/>
          <w:bCs/>
          <w:szCs w:val="21"/>
          <w:lang w:val="en-US" w:eastAsia="zh-CN"/>
        </w:rPr>
        <w:t>六</w:t>
      </w:r>
      <w:r>
        <w:rPr>
          <w:rFonts w:hint="eastAsia" w:ascii="Times New Roman" w:hAnsi="Times New Roman"/>
          <w:bCs/>
          <w:szCs w:val="21"/>
        </w:rPr>
        <w:t>位（小数点</w:t>
      </w:r>
      <w:r>
        <w:rPr>
          <w:rFonts w:hint="eastAsia" w:ascii="Times New Roman" w:hAnsi="Times New Roman"/>
          <w:bCs/>
          <w:szCs w:val="21"/>
          <w:lang w:val="en-US" w:eastAsia="zh-CN"/>
        </w:rPr>
        <w:t>六</w:t>
      </w:r>
      <w:r>
        <w:rPr>
          <w:rFonts w:hint="eastAsia" w:ascii="Times New Roman" w:hAnsi="Times New Roman"/>
          <w:bCs/>
          <w:szCs w:val="21"/>
        </w:rPr>
        <w:t>位以下舍位）。</w:t>
      </w:r>
    </w:p>
    <w:p w14:paraId="5901C05F">
      <w:pPr>
        <w:autoSpaceDE w:val="0"/>
        <w:autoSpaceDN w:val="0"/>
        <w:adjustRightInd w:val="0"/>
        <w:spacing w:line="276" w:lineRule="auto"/>
        <w:ind w:left="210" w:right="210" w:firstLine="420" w:firstLineChars="200"/>
        <w:jc w:val="left"/>
        <w:outlineLvl w:val="0"/>
        <w:rPr>
          <w:rFonts w:ascii="Times New Roman" w:hAnsi="Times New Roman" w:eastAsiaTheme="minorEastAsia"/>
          <w:bCs/>
          <w:szCs w:val="21"/>
        </w:rPr>
      </w:pPr>
      <w:bookmarkStart w:id="26" w:name="_Hlk153281969"/>
      <w:r>
        <w:rPr>
          <w:rFonts w:hint="eastAsia" w:ascii="Times New Roman" w:hAnsi="Times New Roman"/>
          <w:bCs/>
          <w:szCs w:val="21"/>
        </w:rPr>
        <w:t>理财产品某份额类别</w:t>
      </w:r>
      <w:r>
        <w:rPr>
          <w:rFonts w:ascii="Times New Roman" w:hAnsi="Times New Roman" w:eastAsiaTheme="minorEastAsia"/>
          <w:bCs/>
          <w:szCs w:val="21"/>
        </w:rPr>
        <w:t>累计</w:t>
      </w:r>
      <w:r>
        <w:rPr>
          <w:rFonts w:hint="eastAsia" w:ascii="Times New Roman" w:hAnsi="Times New Roman" w:eastAsiaTheme="minorEastAsia"/>
          <w:bCs/>
          <w:szCs w:val="21"/>
        </w:rPr>
        <w:t>单位</w:t>
      </w:r>
      <w:r>
        <w:rPr>
          <w:rFonts w:ascii="Times New Roman" w:hAnsi="Times New Roman" w:eastAsiaTheme="minorEastAsia"/>
          <w:bCs/>
          <w:szCs w:val="21"/>
        </w:rPr>
        <w:t>净值</w:t>
      </w:r>
      <w:r>
        <w:rPr>
          <w:rFonts w:hint="eastAsia" w:ascii="Times New Roman" w:hAnsi="Times New Roman" w:eastAsiaTheme="minorEastAsia"/>
          <w:bCs/>
          <w:szCs w:val="21"/>
        </w:rPr>
        <w:t>/份额累计净值</w:t>
      </w:r>
      <w:r>
        <w:rPr>
          <w:rFonts w:hint="eastAsia" w:ascii="Times New Roman" w:hAnsi="Times New Roman"/>
          <w:bCs/>
          <w:szCs w:val="21"/>
        </w:rPr>
        <w:t>=理财产品该份额类别</w:t>
      </w:r>
      <w:r>
        <w:rPr>
          <w:rFonts w:ascii="Times New Roman" w:hAnsi="Times New Roman" w:eastAsiaTheme="minorEastAsia"/>
          <w:bCs/>
          <w:szCs w:val="21"/>
        </w:rPr>
        <w:t>单位净值</w:t>
      </w:r>
      <w:r>
        <w:rPr>
          <w:rFonts w:hint="eastAsia" w:ascii="Times New Roman" w:hAnsi="Times New Roman" w:eastAsiaTheme="minorEastAsia"/>
          <w:bCs/>
          <w:szCs w:val="21"/>
        </w:rPr>
        <w:t>+</w:t>
      </w:r>
      <w:r>
        <w:rPr>
          <w:rFonts w:hint="eastAsia" w:ascii="Times New Roman" w:hAnsi="Times New Roman"/>
          <w:bCs/>
          <w:szCs w:val="21"/>
        </w:rPr>
        <w:t>该份额类别</w:t>
      </w:r>
      <w:r>
        <w:rPr>
          <w:rFonts w:ascii="Times New Roman" w:hAnsi="Times New Roman" w:eastAsiaTheme="minorEastAsia"/>
          <w:bCs/>
          <w:szCs w:val="21"/>
        </w:rPr>
        <w:t>历次累计单位分红</w:t>
      </w:r>
      <w:r>
        <w:rPr>
          <w:rFonts w:hint="eastAsia" w:ascii="Times New Roman" w:hAnsi="Times New Roman" w:eastAsiaTheme="minorEastAsia"/>
          <w:bCs/>
          <w:szCs w:val="21"/>
        </w:rPr>
        <w:t>。</w:t>
      </w:r>
      <w:r>
        <w:rPr>
          <w:rFonts w:ascii="Times New Roman" w:hAnsi="Times New Roman" w:eastAsiaTheme="minorEastAsia"/>
          <w:bCs/>
          <w:szCs w:val="21"/>
        </w:rPr>
        <w:t>累计</w:t>
      </w:r>
      <w:r>
        <w:rPr>
          <w:rFonts w:hint="eastAsia" w:ascii="Times New Roman" w:hAnsi="Times New Roman" w:eastAsiaTheme="minorEastAsia"/>
          <w:bCs/>
          <w:szCs w:val="21"/>
        </w:rPr>
        <w:t>单位</w:t>
      </w:r>
      <w:r>
        <w:rPr>
          <w:rFonts w:ascii="Times New Roman" w:hAnsi="Times New Roman" w:eastAsiaTheme="minorEastAsia"/>
          <w:bCs/>
          <w:szCs w:val="21"/>
        </w:rPr>
        <w:t>净值保留至小数点后</w:t>
      </w:r>
      <w:r>
        <w:rPr>
          <w:rFonts w:hint="eastAsia" w:ascii="Times New Roman" w:hAnsi="Times New Roman" w:eastAsiaTheme="minorEastAsia"/>
          <w:bCs/>
          <w:szCs w:val="21"/>
          <w:lang w:val="en-US" w:eastAsia="zh-CN"/>
        </w:rPr>
        <w:t>六</w:t>
      </w:r>
      <w:r>
        <w:rPr>
          <w:rFonts w:ascii="Times New Roman" w:hAnsi="Times New Roman" w:eastAsiaTheme="minorEastAsia"/>
          <w:bCs/>
          <w:szCs w:val="21"/>
        </w:rPr>
        <w:t>位（小数点</w:t>
      </w:r>
      <w:r>
        <w:rPr>
          <w:rFonts w:hint="eastAsia" w:ascii="Times New Roman" w:hAnsi="Times New Roman" w:eastAsiaTheme="minorEastAsia"/>
          <w:bCs/>
          <w:szCs w:val="21"/>
          <w:lang w:val="en-US" w:eastAsia="zh-CN"/>
        </w:rPr>
        <w:t>六</w:t>
      </w:r>
      <w:r>
        <w:rPr>
          <w:rFonts w:ascii="Times New Roman" w:hAnsi="Times New Roman" w:eastAsiaTheme="minorEastAsia"/>
          <w:bCs/>
          <w:szCs w:val="21"/>
        </w:rPr>
        <w:t>位以下舍位）。</w:t>
      </w:r>
      <w:bookmarkEnd w:id="26"/>
    </w:p>
    <w:p w14:paraId="0431C6F1">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09BE0462">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7" w:name="_Hlk128659839"/>
      <w:bookmarkStart w:id="28" w:name="_Hlk128678987"/>
      <w:r>
        <w:rPr>
          <w:rFonts w:hint="eastAsia" w:ascii="Times New Roman" w:hAnsi="Times New Roman"/>
          <w:b/>
          <w:szCs w:val="21"/>
        </w:rPr>
        <w:t>本产品收取销售服务费、固定管理费和托管费，各费用自产品成立日起每日计提。具体计提方式如下：</w:t>
      </w:r>
    </w:p>
    <w:p w14:paraId="5BD1D7EC">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w:t>
      </w:r>
      <w:r>
        <w:rPr>
          <w:rFonts w:hint="eastAsia" w:ascii="Times New Roman" w:hAnsi="Times New Roman"/>
          <w:b/>
          <w:szCs w:val="21"/>
          <w:lang w:val="en-US" w:eastAsia="zh-CN"/>
        </w:rPr>
        <w:t>B</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C</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D</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E</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w:t>
      </w:r>
      <w:r>
        <w:rPr>
          <w:rFonts w:ascii="Times New Roman" w:hAnsi="Times New Roman"/>
          <w:b/>
          <w:szCs w:val="21"/>
        </w:rPr>
        <w:t>.</w:t>
      </w:r>
      <w:r>
        <w:rPr>
          <w:rFonts w:hint="eastAsia" w:ascii="Times New Roman" w:hAnsi="Times New Roman"/>
          <w:b/>
          <w:szCs w:val="21"/>
          <w:lang w:val="en-US" w:eastAsia="zh-CN"/>
        </w:rPr>
        <w:t>3</w:t>
      </w:r>
      <w:r>
        <w:rPr>
          <w:rFonts w:ascii="Times New Roman" w:hAnsi="Times New Roman"/>
          <w:b/>
          <w:szCs w:val="21"/>
        </w:rPr>
        <w:t>0%</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691604B6">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）固定管理费：A份额为0.30%，</w:t>
      </w:r>
      <w:r>
        <w:rPr>
          <w:rFonts w:hint="eastAsia" w:ascii="Times New Roman" w:hAnsi="Times New Roman"/>
          <w:b/>
          <w:szCs w:val="21"/>
          <w:lang w:val="en-US" w:eastAsia="zh-CN"/>
        </w:rPr>
        <w:t>B</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C</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D</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lang w:val="en-US" w:eastAsia="zh-CN"/>
        </w:rPr>
        <w:t>E</w:t>
      </w:r>
      <w:r>
        <w:rPr>
          <w:rFonts w:hint="eastAsia" w:ascii="Times New Roman" w:hAnsi="Times New Roman"/>
          <w:b/>
          <w:szCs w:val="21"/>
        </w:rPr>
        <w:t>份额为0.30%</w:t>
      </w:r>
      <w:r>
        <w:rPr>
          <w:rFonts w:hint="eastAsia" w:ascii="Times New Roman" w:hAnsi="Times New Roman"/>
          <w:b/>
          <w:szCs w:val="21"/>
          <w:lang w:eastAsia="zh-CN"/>
        </w:rPr>
        <w:t>，</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365</w:t>
      </w:r>
      <w:r>
        <w:rPr>
          <w:rFonts w:hint="eastAsia" w:ascii="Times New Roman" w:hAnsi="Times New Roman"/>
          <w:b/>
          <w:szCs w:val="21"/>
        </w:rPr>
        <w:t>。</w:t>
      </w:r>
    </w:p>
    <w:p w14:paraId="1DD503FA">
      <w:pPr>
        <w:autoSpaceDE w:val="0"/>
        <w:autoSpaceDN w:val="0"/>
        <w:adjustRightInd w:val="0"/>
        <w:spacing w:line="276" w:lineRule="auto"/>
        <w:ind w:firstLine="42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w:t>
      </w:r>
      <w:r>
        <w:rPr>
          <w:rFonts w:ascii="Times New Roman" w:hAnsi="Times New Roman"/>
          <w:b/>
          <w:szCs w:val="21"/>
        </w:rPr>
        <w:t>.007%</w:t>
      </w:r>
      <w:r>
        <w:rPr>
          <w:rFonts w:hint="eastAsia" w:ascii="Times New Roman" w:hAnsi="Times New Roman"/>
          <w:b/>
          <w:szCs w:val="21"/>
        </w:rPr>
        <w:t>，该费用率为年化数值。每日应计提的托管费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w:t>
      </w:r>
      <w:r>
        <w:rPr>
          <w:rFonts w:ascii="Times New Roman" w:hAnsi="Times New Roman"/>
          <w:b/>
          <w:szCs w:val="21"/>
        </w:rPr>
        <w:t>0.007%</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bookmarkEnd w:id="27"/>
      <w:bookmarkEnd w:id="28"/>
    </w:p>
    <w:p w14:paraId="1F400CA5">
      <w:pPr>
        <w:pStyle w:val="3"/>
        <w:ind w:firstLine="422" w:firstLineChars="200"/>
        <w:rPr>
          <w:b/>
        </w:rPr>
      </w:pPr>
      <w:r>
        <w:rPr>
          <w:rFonts w:ascii="Times New Roman" w:hAnsi="Times New Roman"/>
          <w:b/>
          <w:szCs w:val="21"/>
        </w:rPr>
        <w:t>2</w:t>
      </w:r>
      <w:r>
        <w:rPr>
          <w:rFonts w:hint="eastAsia" w:ascii="Times New Roman" w:hAnsi="Times New Roman"/>
          <w:b/>
          <w:szCs w:val="21"/>
        </w:rPr>
        <w:t>、其他费用，包括但不限于交易手续费、账户服务费、审计费、律师费、诉讼费、信息披露费、清算费、执行费用等应由产品承担的费用，</w:t>
      </w:r>
      <w:r>
        <w:rPr>
          <w:rFonts w:hint="eastAsia"/>
          <w:b/>
        </w:rPr>
        <w:t>具体按照实际发生列支。</w:t>
      </w:r>
    </w:p>
    <w:p w14:paraId="0EFAA69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、产品管理人有权根据相关法律和国家政策规定，对</w:t>
      </w:r>
      <w:bookmarkStart w:id="29" w:name="_Hlk154758104"/>
      <w:r>
        <w:rPr>
          <w:rFonts w:hint="eastAsia" w:ascii="Times New Roman" w:hAnsi="Times New Roman"/>
          <w:b/>
          <w:szCs w:val="21"/>
        </w:rPr>
        <w:t>理财产品费用的收费项目</w:t>
      </w:r>
      <w:bookmarkEnd w:id="29"/>
      <w:r>
        <w:rPr>
          <w:rFonts w:hint="eastAsia" w:ascii="Times New Roman" w:hAnsi="Times New Roman"/>
          <w:b/>
          <w:szCs w:val="21"/>
        </w:rPr>
        <w:t>、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14:paraId="22AC5BB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w:t>
      </w:r>
      <w:bookmarkStart w:id="30" w:name="_Hlk116985575"/>
      <w:r>
        <w:rPr>
          <w:rFonts w:hint="eastAsia" w:ascii="Times New Roman" w:hAnsi="Times New Roman"/>
          <w:bCs/>
          <w:szCs w:val="21"/>
        </w:rPr>
        <w:t>投资者收益计算示例</w:t>
      </w:r>
      <w:bookmarkEnd w:id="30"/>
    </w:p>
    <w:p w14:paraId="74C28100">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情景1：以某投资者投资10万元</w:t>
      </w:r>
      <w:bookmarkStart w:id="31" w:name="_Hlk128679037"/>
      <w:r>
        <w:rPr>
          <w:rFonts w:hint="eastAsia" w:ascii="Times New Roman" w:hAnsi="Times New Roman" w:cs="仿宋_GB2312"/>
          <w:szCs w:val="21"/>
        </w:rPr>
        <w:t>A份额</w:t>
      </w:r>
      <w:bookmarkEnd w:id="31"/>
      <w:r>
        <w:rPr>
          <w:rFonts w:hint="eastAsia" w:ascii="Times New Roman" w:hAnsi="Times New Roman"/>
          <w:bCs/>
          <w:szCs w:val="21"/>
        </w:rPr>
        <w:t>为例，购买时单位净值为1.0000</w:t>
      </w:r>
      <w:r>
        <w:rPr>
          <w:rFonts w:hint="eastAsia" w:ascii="Times New Roman" w:hAnsi="Times New Roman"/>
          <w:bCs/>
          <w:szCs w:val="21"/>
          <w:lang w:val="en-US" w:eastAsia="zh-CN"/>
        </w:rPr>
        <w:t>00</w:t>
      </w:r>
      <w:r>
        <w:rPr>
          <w:rFonts w:hint="eastAsia" w:ascii="Times New Roman" w:hAnsi="Times New Roman"/>
          <w:bCs/>
          <w:szCs w:val="21"/>
        </w:rPr>
        <w:t>，折算份额为100,000.00份。持有365天后赎回，开放日（T日）扣除销售服务费、固定管理费、托管费等相关税费后，单位净值为1.0410</w:t>
      </w:r>
      <w:r>
        <w:rPr>
          <w:rFonts w:hint="eastAsia" w:ascii="Times New Roman" w:hAnsi="Times New Roman"/>
          <w:bCs/>
          <w:szCs w:val="21"/>
          <w:lang w:val="en-US" w:eastAsia="zh-CN"/>
        </w:rPr>
        <w:t>00</w:t>
      </w:r>
      <w:r>
        <w:rPr>
          <w:rFonts w:hint="eastAsia" w:ascii="Times New Roman" w:hAnsi="Times New Roman"/>
          <w:bCs/>
          <w:szCs w:val="21"/>
        </w:rPr>
        <w:t>，投资者持有期内无分红，此时，投资者赎回金额为：100,000.00×1.0410</w:t>
      </w:r>
      <w:r>
        <w:rPr>
          <w:rFonts w:hint="eastAsia" w:ascii="Times New Roman" w:hAnsi="Times New Roman"/>
          <w:bCs/>
          <w:szCs w:val="21"/>
          <w:lang w:val="en-US" w:eastAsia="zh-CN"/>
        </w:rPr>
        <w:t>00</w:t>
      </w:r>
      <w:r>
        <w:rPr>
          <w:rFonts w:hint="eastAsia" w:ascii="Times New Roman" w:hAnsi="Times New Roman"/>
          <w:bCs/>
          <w:szCs w:val="21"/>
        </w:rPr>
        <w:t>=104,100.00元，投资者收益为：104,100.00-100,000.00=4,100.00元。</w:t>
      </w:r>
    </w:p>
    <w:p w14:paraId="3025238E">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情景2：以某投资者投资10万元</w:t>
      </w:r>
      <w:r>
        <w:rPr>
          <w:rFonts w:hint="eastAsia" w:ascii="Times New Roman" w:hAnsi="Times New Roman" w:cs="仿宋_GB2312"/>
          <w:szCs w:val="21"/>
        </w:rPr>
        <w:t>A份额</w:t>
      </w:r>
      <w:r>
        <w:rPr>
          <w:rFonts w:hint="eastAsia" w:ascii="Times New Roman" w:hAnsi="Times New Roman"/>
          <w:bCs/>
          <w:szCs w:val="21"/>
        </w:rPr>
        <w:t>为例，购买时单位净值为1.0000</w:t>
      </w:r>
      <w:r>
        <w:rPr>
          <w:rFonts w:hint="eastAsia" w:ascii="Times New Roman" w:hAnsi="Times New Roman"/>
          <w:bCs/>
          <w:szCs w:val="21"/>
          <w:lang w:val="en-US" w:eastAsia="zh-CN"/>
        </w:rPr>
        <w:t>00</w:t>
      </w:r>
      <w:r>
        <w:rPr>
          <w:rFonts w:hint="eastAsia" w:ascii="Times New Roman" w:hAnsi="Times New Roman"/>
          <w:bCs/>
          <w:szCs w:val="21"/>
        </w:rPr>
        <w:t>，折算份额为100,000.00份。持有365天赎回，开放日（T日）扣除销售服务费、固定管理费、托管费等相关税费后，单位净值为0.9950</w:t>
      </w:r>
      <w:r>
        <w:rPr>
          <w:rFonts w:hint="eastAsia" w:ascii="Times New Roman" w:hAnsi="Times New Roman"/>
          <w:bCs/>
          <w:szCs w:val="21"/>
          <w:lang w:val="en-US" w:eastAsia="zh-CN"/>
        </w:rPr>
        <w:t>00</w:t>
      </w:r>
      <w:r>
        <w:rPr>
          <w:rFonts w:hint="eastAsia" w:ascii="Times New Roman" w:hAnsi="Times New Roman"/>
          <w:bCs/>
          <w:szCs w:val="21"/>
        </w:rPr>
        <w:t>，投资者持有期内无分红，此时，投资者赎回金额为：100,000.00×0.9950</w:t>
      </w:r>
      <w:r>
        <w:rPr>
          <w:rFonts w:hint="eastAsia" w:ascii="Times New Roman" w:hAnsi="Times New Roman"/>
          <w:bCs/>
          <w:szCs w:val="21"/>
          <w:lang w:val="en-US" w:eastAsia="zh-CN"/>
        </w:rPr>
        <w:t>00</w:t>
      </w:r>
      <w:r>
        <w:rPr>
          <w:rFonts w:hint="eastAsia" w:ascii="Times New Roman" w:hAnsi="Times New Roman"/>
          <w:bCs/>
          <w:szCs w:val="21"/>
        </w:rPr>
        <w:t>=99,500.00元，投资者收益为：99,500.00-100,000.00=-500.00元。</w:t>
      </w:r>
    </w:p>
    <w:p w14:paraId="68EF3473">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 xml:space="preserve">（上述示例采用假设数据计算，测算收益不等于实际收益，不代表以上的所有情形或某一情形一定会发生，投资者所能获得的收益以渝农商理财有限责任公司的实际支付为准。）  </w:t>
      </w:r>
    </w:p>
    <w:p w14:paraId="63240E3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w:t>
      </w:r>
      <w:bookmarkStart w:id="32" w:name="_Hlk116985701"/>
      <w:r>
        <w:rPr>
          <w:rFonts w:hint="eastAsia" w:ascii="Times New Roman" w:hAnsi="Times New Roman"/>
          <w:bCs/>
          <w:szCs w:val="21"/>
        </w:rPr>
        <w:t>产品到期日或提前终止日或申赎确认日至资金到账日期间投资者资金不计息</w:t>
      </w:r>
      <w:bookmarkEnd w:id="32"/>
      <w:r>
        <w:rPr>
          <w:rFonts w:hint="eastAsia" w:ascii="Times New Roman" w:hAnsi="Times New Roman"/>
          <w:bCs/>
          <w:szCs w:val="21"/>
        </w:rPr>
        <w:t>。</w:t>
      </w:r>
    </w:p>
    <w:p w14:paraId="2FF0EB5C">
      <w:pPr>
        <w:spacing w:line="276" w:lineRule="auto"/>
        <w:ind w:firstLine="422" w:firstLineChars="200"/>
        <w:outlineLvl w:val="0"/>
        <w:rPr>
          <w:rFonts w:ascii="Times New Roman" w:hAnsi="Times New Roman" w:cs="宋体"/>
          <w:b/>
          <w:szCs w:val="21"/>
        </w:rPr>
      </w:pPr>
      <w:r>
        <w:rPr>
          <w:rFonts w:hint="eastAsia" w:ascii="Times New Roman" w:hAnsi="Times New Roman" w:cs="宋体"/>
          <w:b/>
          <w:szCs w:val="21"/>
        </w:rPr>
        <w:t>六</w:t>
      </w:r>
      <w:r>
        <w:rPr>
          <w:rFonts w:ascii="Times New Roman" w:hAnsi="Times New Roman" w:cs="宋体"/>
          <w:b/>
          <w:szCs w:val="21"/>
        </w:rPr>
        <w:t>、</w:t>
      </w:r>
      <w:r>
        <w:rPr>
          <w:rFonts w:hint="eastAsia" w:ascii="Times New Roman" w:hAnsi="Times New Roman" w:cs="宋体"/>
          <w:b/>
          <w:szCs w:val="21"/>
        </w:rPr>
        <w:t>理财产品</w:t>
      </w:r>
      <w:r>
        <w:rPr>
          <w:rFonts w:ascii="Times New Roman" w:hAnsi="Times New Roman" w:cs="宋体"/>
          <w:b/>
          <w:szCs w:val="21"/>
        </w:rPr>
        <w:t>估值</w:t>
      </w:r>
    </w:p>
    <w:p w14:paraId="3159B44B">
      <w:pPr>
        <w:autoSpaceDE w:val="0"/>
        <w:autoSpaceDN w:val="0"/>
        <w:adjustRightInd w:val="0"/>
        <w:spacing w:line="276" w:lineRule="auto"/>
        <w:ind w:firstLine="420" w:firstLineChars="200"/>
        <w:jc w:val="left"/>
        <w:outlineLvl w:val="0"/>
        <w:rPr>
          <w:rFonts w:ascii="Times New Roman" w:hAnsi="Times New Roman"/>
          <w:bCs/>
          <w:szCs w:val="21"/>
        </w:rPr>
      </w:pPr>
      <w:bookmarkStart w:id="33" w:name="_Hlk38476814"/>
      <w:r>
        <w:rPr>
          <w:rFonts w:hint="eastAsia" w:ascii="Times New Roman" w:hAnsi="Times New Roman"/>
          <w:bCs/>
          <w:szCs w:val="21"/>
        </w:rPr>
        <w:t>（一）估值原则</w:t>
      </w:r>
    </w:p>
    <w:p w14:paraId="034665B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34AD915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6BE22C1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估值日为自产品成立日起每个开放日及理财产品终止日（包含提前终止日）。</w:t>
      </w:r>
    </w:p>
    <w:p w14:paraId="7BC4467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5A75642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1A63BC9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40CEA6B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1、债券类资产</w:t>
      </w:r>
    </w:p>
    <w:p w14:paraId="22E2AD2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76A01F3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75C3DEDD">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（1）对在交易所市场实行净价交易的债券，采用第三方估值机构（中证指数有限公司）提供的估值价格。</w:t>
      </w:r>
    </w:p>
    <w:p w14:paraId="449BA59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7564B38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（3）对银行间市场交易的债券，选取第三方估值机构（中央国债登记结算有限责任公司）提供的相应品种当日的估值净价估值。</w:t>
      </w:r>
    </w:p>
    <w:p w14:paraId="4F07655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2、银行存款（含证券交易保证金）及回购（包含正、逆回购）以买入成本列示，按商定利率在实际持有期间内逐日计提利息。</w:t>
      </w:r>
    </w:p>
    <w:p w14:paraId="6D92364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3、股票类资产</w:t>
      </w:r>
    </w:p>
    <w:p w14:paraId="343EE8C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15802BA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4、投资于信托计划、资产管理计划等的资产</w:t>
      </w:r>
    </w:p>
    <w:p w14:paraId="696F79E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1BCA31A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5、证券投资基金</w:t>
      </w:r>
    </w:p>
    <w:p w14:paraId="3B81616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（1）非上市基金估值</w:t>
      </w:r>
    </w:p>
    <w:p w14:paraId="7145CE19">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5375FB8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（2）上市基金估值</w:t>
      </w:r>
    </w:p>
    <w:p w14:paraId="232B2EB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546870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（3）特殊情况处理</w:t>
      </w:r>
    </w:p>
    <w:p w14:paraId="44A6C8A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15921C1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（a）以所投资基金的基金份额净值估值的，若所投资基金与理财产品估值频率一致但未公布估值日基金份额净值，按其最近公布的基金份额净值为基础估值。</w:t>
      </w:r>
    </w:p>
    <w:p w14:paraId="0151052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9968B8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（c）如果所投资基金前一估值日至估值日期间发生分红除权、折算或拆分，理财产品管理人应根据基金份额净值或收盘价、单位基金份额分红金额、折算拆分比例、持仓份额等因素合理确定公允价值。</w:t>
      </w:r>
    </w:p>
    <w:p w14:paraId="339D932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（d）当理财产品管理人认为所投资基金按上述（a）（b）（c）进行估值存在不公允时，在法律法规允许的范围内，应与托管人协商一致采用合理的估值技术或估值标准确定其公允价值。</w:t>
      </w:r>
    </w:p>
    <w:p w14:paraId="17A2B9D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6、若理财产品存续期间持有其他投资品种，以理财产品管理人和理财产品托管人共同认可的方法计算其价值。</w:t>
      </w:r>
    </w:p>
    <w:p w14:paraId="67DF2AB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7、国家有最新规定的，按其规定进行估值。</w:t>
      </w:r>
    </w:p>
    <w:p w14:paraId="39AA7E8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68CDCD0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12DDA9E1">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hint="eastAsia" w:ascii="Times New Roman" w:hAnsi="Times New Roman" w:cs="Times New Roman"/>
          <w:bCs/>
          <w:kern w:val="2"/>
          <w:sz w:val="21"/>
          <w:szCs w:val="21"/>
          <w:lang w:val="en-US" w:eastAsia="zh-CN"/>
        </w:rPr>
        <w:t>4</w:t>
      </w:r>
      <w:r>
        <w:rPr>
          <w:rFonts w:hint="eastAsia" w:ascii="Times New Roman" w:hAnsi="Times New Roman" w:cs="Times New Roman"/>
          <w:bCs/>
          <w:kern w:val="2"/>
          <w:sz w:val="21"/>
          <w:szCs w:val="21"/>
        </w:rPr>
        <w:t>位以内（含第</w:t>
      </w:r>
      <w:r>
        <w:rPr>
          <w:rFonts w:hint="eastAsia" w:ascii="Times New Roman" w:hAnsi="Times New Roman" w:cs="Times New Roman"/>
          <w:bCs/>
          <w:kern w:val="2"/>
          <w:sz w:val="21"/>
          <w:szCs w:val="21"/>
          <w:lang w:val="en-US" w:eastAsia="zh-CN"/>
        </w:rPr>
        <w:t>4</w:t>
      </w:r>
      <w:r>
        <w:rPr>
          <w:rFonts w:hint="eastAsia" w:ascii="Times New Roman" w:hAnsi="Times New Roman" w:cs="Times New Roman"/>
          <w:bCs/>
          <w:kern w:val="2"/>
          <w:sz w:val="21"/>
          <w:szCs w:val="21"/>
        </w:rPr>
        <w:t>位）发生估值错误时，视为理财产品单位净值错误。</w:t>
      </w:r>
    </w:p>
    <w:p w14:paraId="3ACD6313">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6F3257D4">
      <w:pPr>
        <w:pStyle w:val="9"/>
        <w:spacing w:before="0" w:beforeAutospacing="0" w:after="0" w:afterAutospacing="0" w:line="276" w:lineRule="auto"/>
        <w:ind w:firstLine="424"/>
        <w:rPr>
          <w:rFonts w:ascii="Times New Roman" w:hAnsi="Times New Roman" w:cs="Times New Roman"/>
          <w:bCs/>
          <w:kern w:val="2"/>
          <w:sz w:val="21"/>
          <w:szCs w:val="21"/>
        </w:rPr>
      </w:pPr>
      <w:r>
        <w:rPr>
          <w:rFonts w:ascii="Times New Roman" w:hAnsi="Times New Roman" w:cs="Times New Roman"/>
          <w:bCs/>
          <w:kern w:val="2"/>
          <w:sz w:val="21"/>
          <w:szCs w:val="21"/>
        </w:rPr>
        <w:t>（1）由于理财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管理人或理财</w:t>
      </w:r>
      <w:r>
        <w:rPr>
          <w:rFonts w:hint="eastAsia" w:ascii="Times New Roman" w:hAnsi="Times New Roman" w:cs="Times New Roman"/>
          <w:bCs/>
          <w:kern w:val="2"/>
          <w:sz w:val="21"/>
          <w:szCs w:val="21"/>
        </w:rPr>
        <w:t>产品</w:t>
      </w:r>
      <w:r>
        <w:rPr>
          <w:rFonts w:ascii="Times New Roman" w:hAnsi="Times New Roman" w:cs="Times New Roman"/>
          <w:bCs/>
          <w:kern w:val="2"/>
          <w:sz w:val="21"/>
          <w:szCs w:val="21"/>
        </w:rPr>
        <w:t>托管人自身的过错造成估值错误，导致投资者遭受损失的，由估值错误责任方按照各自过错程度对该估值错误导致投资者遭受的直接损失给予赔偿，承担赔偿责任。</w:t>
      </w:r>
    </w:p>
    <w:p w14:paraId="1490FA74">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20EC4527">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40AFD7FF">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（4）当估值出现错误时，因估值错误而获得不当得利的投资者负有及时返还不当得利的义务。</w:t>
      </w:r>
    </w:p>
    <w:p w14:paraId="4A04340C">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（5）按法律法规规定的其他原则处理估值错误。</w:t>
      </w:r>
    </w:p>
    <w:p w14:paraId="5B0A90D9">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、估值错误处理程序</w:t>
      </w:r>
    </w:p>
    <w:p w14:paraId="46F1B893">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0CF1A3FB">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（1）查明估值错误发生的原因，列明所有的管理人和托管人并根据估值错误发生的原因确定估值错误的责任方；</w:t>
      </w:r>
    </w:p>
    <w:p w14:paraId="1B64FC5A">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（2）根据估值错误处理原则对因估值错误造成的损失进行评估；</w:t>
      </w:r>
    </w:p>
    <w:p w14:paraId="262D8A65">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（3）根据理财产品管理人和理财产品托管人协商的方法，由理财产品管理人和理财产品托管人共同进行更正，由估值错误的责任方进行赔偿损失。</w:t>
      </w:r>
    </w:p>
    <w:p w14:paraId="26A3791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38F8BA84">
      <w:pPr>
        <w:pStyle w:val="9"/>
        <w:spacing w:before="0" w:beforeAutospacing="0" w:after="0" w:afterAutospacing="0" w:line="276" w:lineRule="auto"/>
        <w:ind w:firstLine="422" w:firstLineChars="200"/>
        <w:rPr>
          <w:rFonts w:ascii="Times New Roman" w:hAnsi="Times New Roman" w:cs="Times New Roman"/>
          <w:b/>
          <w:kern w:val="2"/>
          <w:sz w:val="21"/>
          <w:szCs w:val="21"/>
        </w:rPr>
      </w:pPr>
      <w:r>
        <w:rPr>
          <w:rFonts w:ascii="Times New Roman" w:hAnsi="Times New Roman" w:cs="Times New Roman"/>
          <w:b/>
          <w:kern w:val="2"/>
          <w:sz w:val="21"/>
          <w:szCs w:val="21"/>
        </w:rPr>
        <w:t>1</w:t>
      </w: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5A4AF9CD">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2</w:t>
      </w:r>
      <w:r>
        <w:rPr>
          <w:rFonts w:hint="eastAsia" w:ascii="Times New Roman" w:hAnsi="Times New Roman" w:cs="Times New Roman"/>
          <w:bCs/>
          <w:kern w:val="2"/>
          <w:sz w:val="21"/>
          <w:szCs w:val="21"/>
        </w:rPr>
        <w:t>、当前一估值日产品资产净值</w:t>
      </w:r>
      <w:r>
        <w:rPr>
          <w:rFonts w:ascii="Times New Roman" w:hAnsi="Times New Roman" w:cs="Times New Roman"/>
          <w:bCs/>
          <w:kern w:val="2"/>
          <w:sz w:val="21"/>
          <w:szCs w:val="21"/>
        </w:rPr>
        <w:t>50%</w:t>
      </w:r>
      <w:r>
        <w:rPr>
          <w:rFonts w:hint="eastAsia" w:ascii="Times New Roman" w:hAnsi="Times New Roman" w:cs="Times New Roman"/>
          <w:bCs/>
          <w:kern w:val="2"/>
          <w:sz w:val="21"/>
          <w:szCs w:val="21"/>
        </w:rPr>
        <w:t>以上的资产不具备活跃交易市场或者在活跃市场中无报价，且不能采用估值技术可靠计量公允价值时，产品管理人将暂停该产品的估值，并按照监管规定采取相应措施。</w:t>
      </w:r>
    </w:p>
    <w:bookmarkEnd w:id="33"/>
    <w:p w14:paraId="0B23BEF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6EF293AC">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79702504">
      <w:pPr>
        <w:spacing w:line="276" w:lineRule="auto"/>
        <w:ind w:firstLine="316" w:firstLineChars="150"/>
        <w:jc w:val="left"/>
        <w:rPr>
          <w:rFonts w:ascii="Times New Roman" w:hAnsi="Times New Roman"/>
          <w:b/>
          <w:bCs/>
          <w:szCs w:val="21"/>
        </w:rPr>
      </w:pPr>
      <w:r>
        <w:rPr>
          <w:rFonts w:hint="eastAsia" w:ascii="Times New Roman" w:hAnsi="Times New Roman"/>
          <w:b/>
          <w:bCs/>
          <w:szCs w:val="21"/>
        </w:rPr>
        <w:t>本理财产品的公开信息披露将通过</w:t>
      </w:r>
      <w:r>
        <w:fldChar w:fldCharType="begin"/>
      </w:r>
      <w:r>
        <w:instrText xml:space="preserve"> HYPERLINK </w:instrText>
      </w:r>
      <w:r>
        <w:fldChar w:fldCharType="separate"/>
      </w:r>
      <w: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70A7AB43">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2A807488">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、发行公告：渝农商理财有限责任公司在本产品成立后5个工作日内公布本产品发行公告。</w:t>
      </w:r>
    </w:p>
    <w:p w14:paraId="48DA8678">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本产品到期后5个工作日内公布本产品到期公告。</w:t>
      </w:r>
    </w:p>
    <w:p w14:paraId="65A82B9D">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、净值公告：渝农商理财有限责任公司将在每个开放日后的2个工作日内披露本理财产品在开放日的份额净值、份额累计净值、申购价格和赎回价格等。      </w:t>
      </w:r>
    </w:p>
    <w:p w14:paraId="2E47369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在每季度结束之日起15个工作日内公布上季度末产品的季度报告，在</w:t>
      </w:r>
      <w:r>
        <w:rPr>
          <w:rFonts w:ascii="Times New Roman" w:hAnsi="Times New Roman"/>
          <w:bCs/>
          <w:szCs w:val="21"/>
        </w:rPr>
        <w:t>上半年结束之日起60个工作日内</w:t>
      </w:r>
      <w:r>
        <w:rPr>
          <w:rFonts w:hint="eastAsia" w:ascii="Times New Roman" w:hAnsi="Times New Roman"/>
          <w:bCs/>
          <w:szCs w:val="21"/>
        </w:rPr>
        <w:t>公布产品半年度报告，在每年</w:t>
      </w:r>
      <w:r>
        <w:rPr>
          <w:rFonts w:ascii="Times New Roman" w:hAnsi="Times New Roman"/>
          <w:bCs/>
          <w:szCs w:val="21"/>
        </w:rPr>
        <w:t>结束之日起90个工作日内</w:t>
      </w:r>
      <w:r>
        <w:rPr>
          <w:rFonts w:hint="eastAsia" w:ascii="Times New Roman" w:hAnsi="Times New Roman"/>
          <w:bCs/>
          <w:szCs w:val="21"/>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0C6323CD">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、重大事项公告：在发生可能对本理财产品投资者或者理财产品收益产生重大影响的事件后2个工作日内发布重大事项公告。</w:t>
      </w:r>
    </w:p>
    <w:p w14:paraId="7967C4A7">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、临时性信息披露：若发生理财产品不成立、变更募集期、提前终止、规模调整、认购、申购、赎回事项调整或潜在影响投资者赎回</w:t>
      </w:r>
      <w:r>
        <w:rPr>
          <w:rFonts w:ascii="Times New Roman" w:hAnsi="Times New Roman"/>
          <w:bCs/>
          <w:szCs w:val="21"/>
        </w:rPr>
        <w:t>等经</w:t>
      </w:r>
      <w:r>
        <w:rPr>
          <w:rFonts w:hint="eastAsia" w:ascii="Times New Roman" w:hAnsi="Times New Roman"/>
          <w:szCs w:val="21"/>
        </w:rPr>
        <w:t>渝农商理财有限责任公司</w:t>
      </w:r>
      <w:r>
        <w:rPr>
          <w:rFonts w:ascii="Times New Roman" w:hAnsi="Times New Roman"/>
          <w:bCs/>
          <w:szCs w:val="21"/>
        </w:rPr>
        <w:t>判断可能对</w:t>
      </w:r>
      <w:r>
        <w:rPr>
          <w:rFonts w:hint="eastAsia" w:ascii="Times New Roman" w:hAnsi="Times New Roman"/>
          <w:bCs/>
          <w:szCs w:val="21"/>
        </w:rPr>
        <w:t>投资者</w:t>
      </w:r>
      <w:r>
        <w:rPr>
          <w:rFonts w:ascii="Times New Roman" w:hAnsi="Times New Roman"/>
          <w:bCs/>
          <w:szCs w:val="21"/>
        </w:rPr>
        <w:t>产生影响的事项时，或按法律法规</w:t>
      </w:r>
      <w:r>
        <w:rPr>
          <w:rFonts w:hint="eastAsia" w:ascii="Times New Roman" w:hAnsi="Times New Roman"/>
          <w:bCs/>
          <w:szCs w:val="21"/>
        </w:rPr>
        <w:t>、</w:t>
      </w:r>
      <w:r>
        <w:rPr>
          <w:rFonts w:ascii="Times New Roman" w:hAnsi="Times New Roman"/>
          <w:bCs/>
          <w:szCs w:val="21"/>
        </w:rPr>
        <w:t>监管政策规定必须披露的</w:t>
      </w:r>
      <w:r>
        <w:rPr>
          <w:rFonts w:hint="eastAsia" w:ascii="Times New Roman" w:hAnsi="Times New Roman"/>
          <w:bCs/>
          <w:szCs w:val="21"/>
        </w:rPr>
        <w:t>，</w:t>
      </w:r>
      <w:r>
        <w:rPr>
          <w:rFonts w:hint="eastAsia" w:ascii="Times New Roman" w:hAnsi="Times New Roman"/>
          <w:szCs w:val="21"/>
        </w:rPr>
        <w:t>渝农商理财有限责任公司</w:t>
      </w:r>
      <w:r>
        <w:rPr>
          <w:rFonts w:ascii="Times New Roman" w:hAnsi="Times New Roman"/>
          <w:bCs/>
          <w:szCs w:val="21"/>
        </w:rPr>
        <w:t>将及时进行临时信息披露。</w:t>
      </w:r>
    </w:p>
    <w:p w14:paraId="1DA3316D">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3D9968BE">
      <w:pPr>
        <w:spacing w:line="276" w:lineRule="auto"/>
        <w:ind w:firstLine="420"/>
        <w:rPr>
          <w:rFonts w:ascii="Times New Roman" w:hAnsi="Times New Roman"/>
          <w:bCs/>
          <w:szCs w:val="21"/>
        </w:rPr>
      </w:pPr>
      <w:bookmarkStart w:id="34" w:name="_Hlk38477057"/>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18F51D93">
      <w:pPr>
        <w:spacing w:line="276" w:lineRule="auto"/>
        <w:ind w:firstLine="420" w:firstLineChars="20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发出相关信息资料后的30日内提出；如投资者在前述期限内未提出的，视为投资者无疑义。但除非存在明显的计算错误，本产品的款项以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2528A7EE">
      <w:pPr>
        <w:spacing w:line="276" w:lineRule="auto"/>
        <w:ind w:firstLine="420"/>
        <w:rPr>
          <w:rFonts w:ascii="Times New Roman" w:hAnsi="Times New Roman" w:cs="宋体"/>
          <w:szCs w:val="21"/>
        </w:rPr>
      </w:pPr>
      <w:r>
        <w:rPr>
          <w:rFonts w:hint="eastAsia" w:ascii="Times New Roman" w:hAnsi="Times New Roman" w:cs="宋体"/>
          <w:szCs w:val="21"/>
        </w:rPr>
        <w:t>（三）</w:t>
      </w:r>
      <w:r>
        <w:rPr>
          <w:rFonts w:hint="eastAsia" w:ascii="Times New Roman" w:hAnsi="Times New Roman"/>
          <w:szCs w:val="21"/>
        </w:rPr>
        <w:t>渝农商理财有限责任公司</w:t>
      </w:r>
      <w:r>
        <w:rPr>
          <w:rFonts w:ascii="Times New Roman" w:hAnsi="Times New Roman" w:cs="宋体"/>
          <w:szCs w:val="21"/>
        </w:rPr>
        <w:t>应当依法履行投资者信息保密义务</w:t>
      </w:r>
      <w:r>
        <w:rPr>
          <w:rFonts w:hint="eastAsia" w:ascii="Times New Roman" w:hAnsi="Times New Roman" w:cs="宋体"/>
          <w:szCs w:val="21"/>
        </w:rPr>
        <w:t>。非经投资者事先许可，不得向第三方披露，</w:t>
      </w:r>
      <w:r>
        <w:rPr>
          <w:rFonts w:ascii="Times New Roman" w:hAnsi="Times New Roman" w:cs="宋体"/>
          <w:szCs w:val="21"/>
        </w:rPr>
        <w:t>除法律法规另有规定或有权机关另有要求外</w:t>
      </w:r>
      <w:r>
        <w:rPr>
          <w:rFonts w:hint="eastAsia" w:ascii="Times New Roman" w:hAnsi="Times New Roman" w:cs="宋体"/>
          <w:szCs w:val="21"/>
        </w:rPr>
        <w:t>。投资者在此同意并授权，渝农商理财有限责任公司可根据监管要求，为理财产品登记需要，向登记部门或监管机构提供投资者相关信息。</w:t>
      </w:r>
    </w:p>
    <w:p w14:paraId="57EC827C">
      <w:pPr>
        <w:spacing w:line="276" w:lineRule="auto"/>
        <w:ind w:firstLine="420"/>
        <w:rPr>
          <w:rFonts w:ascii="Times New Roman" w:hAnsi="Times New Roman" w:cs="宋体"/>
          <w:szCs w:val="21"/>
        </w:rPr>
      </w:pPr>
      <w:r>
        <w:rPr>
          <w:rFonts w:hint="eastAsia" w:ascii="Times New Roman" w:hAnsi="Times New Roman" w:cs="宋体"/>
          <w:szCs w:val="21"/>
        </w:rPr>
        <w:t>（四）</w:t>
      </w:r>
      <w:r>
        <w:rPr>
          <w:rFonts w:hint="eastAsia" w:ascii="Times New Roman" w:hAnsi="Times New Roman"/>
          <w:szCs w:val="21"/>
        </w:rPr>
        <w:t>渝农商理财有限责任公司</w:t>
      </w:r>
      <w:r>
        <w:rPr>
          <w:rFonts w:hint="eastAsia" w:ascii="Times New Roman" w:hAnsi="Times New Roman" w:cs="宋体"/>
          <w:szCs w:val="21"/>
        </w:rPr>
        <w:t>统一社会信用代码</w:t>
      </w:r>
      <w:bookmarkStart w:id="35" w:name="_Hlk43732020"/>
      <w:r>
        <w:rPr>
          <w:rFonts w:hint="eastAsia" w:ascii="Times New Roman" w:hAnsi="Times New Roman" w:cs="宋体"/>
          <w:szCs w:val="21"/>
        </w:rPr>
        <w:t>【91500105MA610TKW7P</w:t>
      </w:r>
      <w:bookmarkEnd w:id="35"/>
      <w:r>
        <w:rPr>
          <w:rFonts w:hint="eastAsia" w:ascii="Times New Roman" w:hAnsi="Times New Roman" w:cs="宋体"/>
          <w:szCs w:val="21"/>
        </w:rPr>
        <w:t>】</w:t>
      </w:r>
      <w:r>
        <w:rPr>
          <w:rFonts w:hint="eastAsia" w:ascii="Times New Roman" w:hAnsi="Times New Roman" w:cs="仿宋_GB2312"/>
          <w:color w:val="000000"/>
          <w:kern w:val="0"/>
          <w:szCs w:val="21"/>
        </w:rPr>
        <w:t>；</w:t>
      </w:r>
      <w:r>
        <w:rPr>
          <w:rFonts w:hint="eastAsia" w:ascii="Times New Roman" w:hAnsi="Times New Roman"/>
          <w:szCs w:val="21"/>
        </w:rPr>
        <w:t>渝农商理财有限责任公司</w:t>
      </w:r>
      <w:r>
        <w:rPr>
          <w:rFonts w:hint="eastAsia" w:ascii="Times New Roman" w:hAnsi="Times New Roman" w:cs="宋体"/>
          <w:szCs w:val="21"/>
        </w:rPr>
        <w:t>金融机构代码【Z0028H250000001】。</w:t>
      </w:r>
    </w:p>
    <w:p w14:paraId="482337C8">
      <w:pPr>
        <w:spacing w:line="276" w:lineRule="auto"/>
        <w:ind w:firstLine="420"/>
        <w:rPr>
          <w:rFonts w:ascii="Times New Roman" w:hAnsi="Times New Roman" w:cs="宋体"/>
          <w:b/>
          <w:bCs/>
          <w:szCs w:val="21"/>
        </w:rPr>
      </w:pPr>
      <w:r>
        <w:rPr>
          <w:rFonts w:hint="eastAsia" w:ascii="Times New Roman" w:hAnsi="Times New Roman" w:cs="宋体"/>
          <w:b/>
          <w:bCs/>
          <w:szCs w:val="21"/>
        </w:rPr>
        <w:t>（五）如需咨询或投诉请通过投资者权益须知上载明的渠道反馈。</w:t>
      </w:r>
    </w:p>
    <w:bookmarkEnd w:id="34"/>
    <w:p w14:paraId="53346E32">
      <w:pPr>
        <w:spacing w:line="276" w:lineRule="auto"/>
        <w:ind w:firstLine="420"/>
        <w:rPr>
          <w:rFonts w:ascii="Times New Roman" w:hAnsi="Times New Roman" w:cs="宋体"/>
          <w:szCs w:val="21"/>
        </w:rPr>
      </w:pPr>
    </w:p>
    <w:p w14:paraId="12D72BE4">
      <w:pPr>
        <w:spacing w:line="276" w:lineRule="auto"/>
        <w:ind w:firstLine="5565" w:firstLineChars="2650"/>
        <w:rPr>
          <w:rFonts w:ascii="Times New Roman" w:hAnsi="Times New Roman"/>
          <w:kern w:val="0"/>
          <w:szCs w:val="21"/>
        </w:rPr>
      </w:pPr>
    </w:p>
    <w:p w14:paraId="6717ABEA">
      <w:pPr>
        <w:spacing w:line="276" w:lineRule="auto"/>
        <w:rPr>
          <w:rFonts w:ascii="Times New Roman" w:hAnsi="Times New Roman" w:cs="Arial"/>
          <w:szCs w:val="21"/>
        </w:rPr>
      </w:pPr>
      <w:r>
        <w:rPr>
          <w:rFonts w:hint="eastAsia" w:ascii="Times New Roman" w:hAnsi="Times New Roman" w:cs="Arial"/>
          <w:szCs w:val="21"/>
        </w:rPr>
        <w:t>个人投资者签字：</w:t>
      </w:r>
    </w:p>
    <w:p w14:paraId="454C0129">
      <w:pPr>
        <w:spacing w:line="276" w:lineRule="auto"/>
        <w:rPr>
          <w:rFonts w:ascii="Times New Roman" w:hAnsi="Times New Roman" w:cs="Arial"/>
          <w:szCs w:val="21"/>
        </w:rPr>
      </w:pPr>
    </w:p>
    <w:p w14:paraId="195C88D7">
      <w:pPr>
        <w:spacing w:line="276" w:lineRule="auto"/>
        <w:rPr>
          <w:rFonts w:ascii="Times New Roman" w:hAnsi="Times New Roman" w:cs="Arial"/>
          <w:szCs w:val="21"/>
        </w:rPr>
      </w:pPr>
      <w:r>
        <w:rPr>
          <w:rFonts w:hint="eastAsia" w:ascii="Times New Roman" w:hAnsi="Times New Roman" w:cs="Arial"/>
          <w:szCs w:val="21"/>
        </w:rPr>
        <w:t>机构投资者（盖章）：</w:t>
      </w:r>
    </w:p>
    <w:p w14:paraId="785E4748">
      <w:pPr>
        <w:spacing w:line="276" w:lineRule="auto"/>
        <w:rPr>
          <w:rFonts w:ascii="Times New Roman" w:hAnsi="Times New Roman" w:cs="Arial"/>
          <w:szCs w:val="21"/>
        </w:rPr>
      </w:pPr>
    </w:p>
    <w:p w14:paraId="208B6211">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7D655E25">
      <w:pPr>
        <w:spacing w:line="276" w:lineRule="auto"/>
        <w:rPr>
          <w:rFonts w:ascii="Times New Roman" w:hAnsi="Times New Roman" w:cs="Arial"/>
          <w:szCs w:val="21"/>
        </w:rPr>
      </w:pPr>
    </w:p>
    <w:p w14:paraId="79283010">
      <w:pPr>
        <w:spacing w:line="276" w:lineRule="auto"/>
        <w:rPr>
          <w:rFonts w:ascii="Times New Roman" w:hAnsi="Times New Roman"/>
          <w:szCs w:val="21"/>
          <w:highlight w:val="none"/>
          <w:shd w:val="clear" w:color="auto" w:fill="auto"/>
        </w:rPr>
      </w:pPr>
      <w:r>
        <w:rPr>
          <w:rFonts w:hint="eastAsia" w:ascii="Times New Roman" w:hAnsi="Times New Roman" w:cs="Arial"/>
          <w:szCs w:val="21"/>
          <w:highlight w:val="none"/>
          <w:shd w:val="clear" w:color="auto" w:fill="auto"/>
        </w:rPr>
        <w:t>日期：</w:t>
      </w:r>
    </w:p>
    <w:p w14:paraId="22C753D1">
      <w:pPr>
        <w:rPr>
          <w:highlight w:val="none"/>
          <w:shd w:val="clear" w:color="auto" w:fill="auto"/>
        </w:rPr>
      </w:pPr>
    </w:p>
    <w:p w14:paraId="7D78AD00">
      <w:pPr>
        <w:rPr>
          <w:highlight w:val="none"/>
          <w:shd w:val="clear" w:color="auto" w:fill="auto"/>
        </w:rPr>
      </w:pPr>
    </w:p>
    <w:p w14:paraId="37C4AFB3">
      <w:pPr>
        <w:spacing w:line="380" w:lineRule="exact"/>
        <w:jc w:val="right"/>
        <w:rPr>
          <w:rFonts w:hint="eastAsia" w:ascii="Times New Roman" w:hAnsi="Times New Roman" w:eastAsia="宋体"/>
          <w:szCs w:val="21"/>
          <w:lang w:eastAsia="zh-CN"/>
        </w:rPr>
      </w:pPr>
      <w:r>
        <w:rPr>
          <w:rFonts w:hint="eastAsia" w:ascii="Times New Roman" w:hAnsi="Times New Roman"/>
          <w:szCs w:val="21"/>
          <w:lang w:eastAsia="zh-CN"/>
        </w:rPr>
        <w:t>（</w:t>
      </w:r>
      <w:r>
        <w:rPr>
          <w:rFonts w:hint="eastAsia" w:ascii="宋体" w:hAnsi="宋体" w:eastAsia="宋体" w:cs="宋体"/>
          <w:bCs/>
          <w:color w:val="000000"/>
          <w:szCs w:val="21"/>
        </w:rPr>
        <w:t>2025年</w:t>
      </w:r>
      <w:r>
        <w:rPr>
          <w:rFonts w:hint="eastAsia" w:ascii="宋体" w:hAnsi="宋体" w:cs="宋体"/>
          <w:bCs/>
          <w:color w:val="000000"/>
          <w:szCs w:val="21"/>
          <w:lang w:val="en-US" w:eastAsia="zh-CN"/>
        </w:rPr>
        <w:t>6</w:t>
      </w:r>
      <w:r>
        <w:rPr>
          <w:rFonts w:hint="eastAsia" w:ascii="宋体" w:hAnsi="宋体" w:eastAsia="宋体" w:cs="宋体"/>
          <w:bCs/>
          <w:color w:val="000000"/>
          <w:szCs w:val="21"/>
        </w:rPr>
        <w:t>月</w:t>
      </w:r>
      <w:r>
        <w:rPr>
          <w:rFonts w:hint="eastAsia" w:ascii="宋体" w:hAnsi="宋体" w:cs="宋体"/>
          <w:bCs/>
          <w:color w:val="000000"/>
          <w:szCs w:val="21"/>
          <w:lang w:val="en-US" w:eastAsia="zh-CN"/>
        </w:rPr>
        <w:t>6</w:t>
      </w:r>
      <w:r>
        <w:rPr>
          <w:rFonts w:hint="eastAsia" w:ascii="宋体" w:hAnsi="宋体" w:eastAsia="宋体" w:cs="宋体"/>
          <w:bCs/>
          <w:color w:val="000000"/>
          <w:szCs w:val="21"/>
        </w:rPr>
        <w:t>日生效</w:t>
      </w:r>
      <w:r>
        <w:rPr>
          <w:rFonts w:hint="eastAsia" w:ascii="Times New Roman" w:hAnsi="Times New Roman"/>
          <w:szCs w:val="21"/>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06108"/>
    </w:sdtPr>
    <w:sdtContent>
      <w:p w14:paraId="481A6926">
        <w:pPr>
          <w:pStyle w:val="6"/>
          <w:jc w:val="right"/>
        </w:pPr>
        <w:r>
          <w:fldChar w:fldCharType="begin"/>
        </w:r>
        <w:r>
          <w:instrText xml:space="preserve">PAGE   \* MERGEFORMAT</w:instrText>
        </w:r>
        <w:r>
          <w:fldChar w:fldCharType="separate"/>
        </w:r>
        <w:r>
          <w:rPr>
            <w:lang w:val="zh-CN"/>
          </w:rPr>
          <w:t>7</w:t>
        </w:r>
        <w:r>
          <w:fldChar w:fldCharType="end"/>
        </w:r>
      </w:p>
    </w:sdtContent>
  </w:sdt>
  <w:p w14:paraId="5086FF47"/>
  <w:p w14:paraId="44AC489C"/>
  <w:p w14:paraId="64445F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CB9A">
    <w:pPr>
      <w:pStyle w:val="7"/>
      <w:ind w:right="720" w:firstLine="2340" w:firstLineChars="1300"/>
      <w:jc w:val="both"/>
    </w:pP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t>2024</w:t>
    </w:r>
    <w:r>
      <w:rPr>
        <w:rFonts w:hint="eastAsia"/>
      </w:rPr>
      <w:t>年第2版</w:t>
    </w:r>
  </w:p>
  <w:p w14:paraId="36833DA8"/>
  <w:p w14:paraId="3B564C9A"/>
  <w:p w14:paraId="33A4D6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DD6D87C6"/>
    <w:multiLevelType w:val="singleLevel"/>
    <w:tmpl w:val="DD6D87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C16A1A"/>
    <w:rsid w:val="00000AF6"/>
    <w:rsid w:val="00000CCD"/>
    <w:rsid w:val="000017F7"/>
    <w:rsid w:val="00001CA4"/>
    <w:rsid w:val="00001D59"/>
    <w:rsid w:val="0000269F"/>
    <w:rsid w:val="00003407"/>
    <w:rsid w:val="00003C23"/>
    <w:rsid w:val="0000549E"/>
    <w:rsid w:val="000057CA"/>
    <w:rsid w:val="0000594D"/>
    <w:rsid w:val="00006218"/>
    <w:rsid w:val="0001039F"/>
    <w:rsid w:val="0001051F"/>
    <w:rsid w:val="00010CB9"/>
    <w:rsid w:val="00012EA6"/>
    <w:rsid w:val="000130E1"/>
    <w:rsid w:val="00014D87"/>
    <w:rsid w:val="00015D7D"/>
    <w:rsid w:val="0001612D"/>
    <w:rsid w:val="00017BA6"/>
    <w:rsid w:val="000230FA"/>
    <w:rsid w:val="000235D2"/>
    <w:rsid w:val="000235EC"/>
    <w:rsid w:val="00023660"/>
    <w:rsid w:val="00024207"/>
    <w:rsid w:val="00024AB7"/>
    <w:rsid w:val="00025BBA"/>
    <w:rsid w:val="00027971"/>
    <w:rsid w:val="0003025E"/>
    <w:rsid w:val="00031851"/>
    <w:rsid w:val="000323D7"/>
    <w:rsid w:val="00032694"/>
    <w:rsid w:val="000336A1"/>
    <w:rsid w:val="00033F7D"/>
    <w:rsid w:val="00034FB1"/>
    <w:rsid w:val="0003570A"/>
    <w:rsid w:val="0004004B"/>
    <w:rsid w:val="0004131A"/>
    <w:rsid w:val="0004178C"/>
    <w:rsid w:val="00041A57"/>
    <w:rsid w:val="00042C46"/>
    <w:rsid w:val="00042DE6"/>
    <w:rsid w:val="000453CF"/>
    <w:rsid w:val="00046D8A"/>
    <w:rsid w:val="00050068"/>
    <w:rsid w:val="000504E6"/>
    <w:rsid w:val="00050665"/>
    <w:rsid w:val="00051714"/>
    <w:rsid w:val="00052988"/>
    <w:rsid w:val="00052C88"/>
    <w:rsid w:val="000538BC"/>
    <w:rsid w:val="00054C94"/>
    <w:rsid w:val="0005519E"/>
    <w:rsid w:val="000555B2"/>
    <w:rsid w:val="0005572C"/>
    <w:rsid w:val="0005637A"/>
    <w:rsid w:val="0006173B"/>
    <w:rsid w:val="000629D8"/>
    <w:rsid w:val="0006439A"/>
    <w:rsid w:val="00064867"/>
    <w:rsid w:val="00064CC1"/>
    <w:rsid w:val="00066081"/>
    <w:rsid w:val="000662F5"/>
    <w:rsid w:val="00066343"/>
    <w:rsid w:val="00066EDE"/>
    <w:rsid w:val="0006729A"/>
    <w:rsid w:val="0007133F"/>
    <w:rsid w:val="00071565"/>
    <w:rsid w:val="000715C0"/>
    <w:rsid w:val="00071805"/>
    <w:rsid w:val="00071A7A"/>
    <w:rsid w:val="00073941"/>
    <w:rsid w:val="0007429B"/>
    <w:rsid w:val="000745D0"/>
    <w:rsid w:val="000772F2"/>
    <w:rsid w:val="00077F83"/>
    <w:rsid w:val="000801B5"/>
    <w:rsid w:val="0008310A"/>
    <w:rsid w:val="00084924"/>
    <w:rsid w:val="0008597C"/>
    <w:rsid w:val="00090B43"/>
    <w:rsid w:val="000924B1"/>
    <w:rsid w:val="00092BD9"/>
    <w:rsid w:val="000A1C61"/>
    <w:rsid w:val="000A2166"/>
    <w:rsid w:val="000A2CC7"/>
    <w:rsid w:val="000A3034"/>
    <w:rsid w:val="000A4DE4"/>
    <w:rsid w:val="000A7C5A"/>
    <w:rsid w:val="000B067C"/>
    <w:rsid w:val="000B2E36"/>
    <w:rsid w:val="000B2EC9"/>
    <w:rsid w:val="000B37C0"/>
    <w:rsid w:val="000B6408"/>
    <w:rsid w:val="000B7C05"/>
    <w:rsid w:val="000C00FF"/>
    <w:rsid w:val="000C135F"/>
    <w:rsid w:val="000C14F9"/>
    <w:rsid w:val="000C218F"/>
    <w:rsid w:val="000C3A03"/>
    <w:rsid w:val="000C716A"/>
    <w:rsid w:val="000C747B"/>
    <w:rsid w:val="000D0B5D"/>
    <w:rsid w:val="000D1555"/>
    <w:rsid w:val="000D2589"/>
    <w:rsid w:val="000D2EF1"/>
    <w:rsid w:val="000D2EFA"/>
    <w:rsid w:val="000D36F4"/>
    <w:rsid w:val="000D3FC9"/>
    <w:rsid w:val="000D40A9"/>
    <w:rsid w:val="000D4328"/>
    <w:rsid w:val="000D48F2"/>
    <w:rsid w:val="000D4CEC"/>
    <w:rsid w:val="000D645D"/>
    <w:rsid w:val="000D6832"/>
    <w:rsid w:val="000D6E0C"/>
    <w:rsid w:val="000D78D1"/>
    <w:rsid w:val="000D7A22"/>
    <w:rsid w:val="000D7B6B"/>
    <w:rsid w:val="000D7CCE"/>
    <w:rsid w:val="000E0BB5"/>
    <w:rsid w:val="000E12A4"/>
    <w:rsid w:val="000E15AD"/>
    <w:rsid w:val="000E333F"/>
    <w:rsid w:val="000E380F"/>
    <w:rsid w:val="000E59DF"/>
    <w:rsid w:val="000E60A6"/>
    <w:rsid w:val="000F0028"/>
    <w:rsid w:val="000F0AF5"/>
    <w:rsid w:val="000F0DC3"/>
    <w:rsid w:val="000F17AD"/>
    <w:rsid w:val="000F1FC5"/>
    <w:rsid w:val="000F3D82"/>
    <w:rsid w:val="000F5F7B"/>
    <w:rsid w:val="000F6831"/>
    <w:rsid w:val="000F73CB"/>
    <w:rsid w:val="00100415"/>
    <w:rsid w:val="00100926"/>
    <w:rsid w:val="00101598"/>
    <w:rsid w:val="001019A8"/>
    <w:rsid w:val="001022C1"/>
    <w:rsid w:val="00103073"/>
    <w:rsid w:val="00104488"/>
    <w:rsid w:val="00106851"/>
    <w:rsid w:val="00107A7F"/>
    <w:rsid w:val="00107BCB"/>
    <w:rsid w:val="00111438"/>
    <w:rsid w:val="00111561"/>
    <w:rsid w:val="001145BF"/>
    <w:rsid w:val="00114947"/>
    <w:rsid w:val="00115D73"/>
    <w:rsid w:val="00116D9F"/>
    <w:rsid w:val="001213D7"/>
    <w:rsid w:val="0012364C"/>
    <w:rsid w:val="0012721C"/>
    <w:rsid w:val="00127B8E"/>
    <w:rsid w:val="0013026B"/>
    <w:rsid w:val="00132A80"/>
    <w:rsid w:val="00133B9C"/>
    <w:rsid w:val="001353EA"/>
    <w:rsid w:val="00135E49"/>
    <w:rsid w:val="00136457"/>
    <w:rsid w:val="00137EAE"/>
    <w:rsid w:val="00137EE2"/>
    <w:rsid w:val="001408D3"/>
    <w:rsid w:val="00141650"/>
    <w:rsid w:val="001419DA"/>
    <w:rsid w:val="001425BC"/>
    <w:rsid w:val="00144F58"/>
    <w:rsid w:val="001459EF"/>
    <w:rsid w:val="00146989"/>
    <w:rsid w:val="00147696"/>
    <w:rsid w:val="00152297"/>
    <w:rsid w:val="00152322"/>
    <w:rsid w:val="001532D6"/>
    <w:rsid w:val="00153B8C"/>
    <w:rsid w:val="00153D8F"/>
    <w:rsid w:val="00154203"/>
    <w:rsid w:val="00154A2D"/>
    <w:rsid w:val="00154D65"/>
    <w:rsid w:val="00155665"/>
    <w:rsid w:val="00156498"/>
    <w:rsid w:val="00156583"/>
    <w:rsid w:val="00157AB1"/>
    <w:rsid w:val="00160880"/>
    <w:rsid w:val="001611D6"/>
    <w:rsid w:val="0016250A"/>
    <w:rsid w:val="0016338E"/>
    <w:rsid w:val="0016497C"/>
    <w:rsid w:val="0016542F"/>
    <w:rsid w:val="0016556A"/>
    <w:rsid w:val="00165E3F"/>
    <w:rsid w:val="001661F8"/>
    <w:rsid w:val="001715CC"/>
    <w:rsid w:val="00171DD6"/>
    <w:rsid w:val="00174627"/>
    <w:rsid w:val="00176550"/>
    <w:rsid w:val="00180220"/>
    <w:rsid w:val="00181E9E"/>
    <w:rsid w:val="00182A8E"/>
    <w:rsid w:val="00182ED2"/>
    <w:rsid w:val="00183403"/>
    <w:rsid w:val="00183D71"/>
    <w:rsid w:val="001857B1"/>
    <w:rsid w:val="0018661E"/>
    <w:rsid w:val="00186E3C"/>
    <w:rsid w:val="001875BA"/>
    <w:rsid w:val="00187B86"/>
    <w:rsid w:val="00187DE2"/>
    <w:rsid w:val="001907C9"/>
    <w:rsid w:val="00190F0B"/>
    <w:rsid w:val="001925BE"/>
    <w:rsid w:val="0019279D"/>
    <w:rsid w:val="00192E6B"/>
    <w:rsid w:val="0019502D"/>
    <w:rsid w:val="001969E6"/>
    <w:rsid w:val="00197A22"/>
    <w:rsid w:val="001A0A2F"/>
    <w:rsid w:val="001A0E08"/>
    <w:rsid w:val="001A1362"/>
    <w:rsid w:val="001A1695"/>
    <w:rsid w:val="001A170D"/>
    <w:rsid w:val="001A1751"/>
    <w:rsid w:val="001A1A6C"/>
    <w:rsid w:val="001A1AFC"/>
    <w:rsid w:val="001A2069"/>
    <w:rsid w:val="001A2C29"/>
    <w:rsid w:val="001A309F"/>
    <w:rsid w:val="001A4928"/>
    <w:rsid w:val="001A50CE"/>
    <w:rsid w:val="001A54EA"/>
    <w:rsid w:val="001A6B01"/>
    <w:rsid w:val="001A6F7A"/>
    <w:rsid w:val="001A7329"/>
    <w:rsid w:val="001A7C62"/>
    <w:rsid w:val="001B07F6"/>
    <w:rsid w:val="001B1D81"/>
    <w:rsid w:val="001B24EB"/>
    <w:rsid w:val="001B31CA"/>
    <w:rsid w:val="001B3775"/>
    <w:rsid w:val="001B4D4B"/>
    <w:rsid w:val="001B5D97"/>
    <w:rsid w:val="001B71F5"/>
    <w:rsid w:val="001B7EBE"/>
    <w:rsid w:val="001C0CE7"/>
    <w:rsid w:val="001C19BF"/>
    <w:rsid w:val="001C3311"/>
    <w:rsid w:val="001C4170"/>
    <w:rsid w:val="001C50A9"/>
    <w:rsid w:val="001C6519"/>
    <w:rsid w:val="001C6860"/>
    <w:rsid w:val="001C73EE"/>
    <w:rsid w:val="001D0F0B"/>
    <w:rsid w:val="001D31E2"/>
    <w:rsid w:val="001D4A00"/>
    <w:rsid w:val="001D4D48"/>
    <w:rsid w:val="001D6509"/>
    <w:rsid w:val="001D66E0"/>
    <w:rsid w:val="001D787E"/>
    <w:rsid w:val="001D7BFF"/>
    <w:rsid w:val="001E0BDE"/>
    <w:rsid w:val="001E10DB"/>
    <w:rsid w:val="001E1121"/>
    <w:rsid w:val="001E1B1A"/>
    <w:rsid w:val="001E1C64"/>
    <w:rsid w:val="001E4137"/>
    <w:rsid w:val="001E556F"/>
    <w:rsid w:val="001E6A30"/>
    <w:rsid w:val="001F0FFB"/>
    <w:rsid w:val="001F12FE"/>
    <w:rsid w:val="001F2055"/>
    <w:rsid w:val="001F27D3"/>
    <w:rsid w:val="001F4DDF"/>
    <w:rsid w:val="001F6BCA"/>
    <w:rsid w:val="001F6C27"/>
    <w:rsid w:val="002000C1"/>
    <w:rsid w:val="002006A0"/>
    <w:rsid w:val="0020269A"/>
    <w:rsid w:val="00202AFE"/>
    <w:rsid w:val="0020320E"/>
    <w:rsid w:val="0020322B"/>
    <w:rsid w:val="002035B5"/>
    <w:rsid w:val="00203F75"/>
    <w:rsid w:val="0020426A"/>
    <w:rsid w:val="00205BDB"/>
    <w:rsid w:val="00206237"/>
    <w:rsid w:val="00206C18"/>
    <w:rsid w:val="0021176C"/>
    <w:rsid w:val="00213782"/>
    <w:rsid w:val="0021474C"/>
    <w:rsid w:val="00216074"/>
    <w:rsid w:val="00216243"/>
    <w:rsid w:val="002176BE"/>
    <w:rsid w:val="002177CC"/>
    <w:rsid w:val="00220B78"/>
    <w:rsid w:val="00220C11"/>
    <w:rsid w:val="002221AE"/>
    <w:rsid w:val="00222367"/>
    <w:rsid w:val="00224A5F"/>
    <w:rsid w:val="002266DE"/>
    <w:rsid w:val="00226E59"/>
    <w:rsid w:val="0023033D"/>
    <w:rsid w:val="002306D6"/>
    <w:rsid w:val="00232264"/>
    <w:rsid w:val="002328A5"/>
    <w:rsid w:val="00232BAF"/>
    <w:rsid w:val="00233484"/>
    <w:rsid w:val="00233A92"/>
    <w:rsid w:val="00234887"/>
    <w:rsid w:val="0023561C"/>
    <w:rsid w:val="0023799A"/>
    <w:rsid w:val="0024167A"/>
    <w:rsid w:val="00241CC8"/>
    <w:rsid w:val="00242C5E"/>
    <w:rsid w:val="002454A6"/>
    <w:rsid w:val="0024703F"/>
    <w:rsid w:val="00247EDF"/>
    <w:rsid w:val="00247F02"/>
    <w:rsid w:val="0025564A"/>
    <w:rsid w:val="002569FE"/>
    <w:rsid w:val="00256F7C"/>
    <w:rsid w:val="00261B48"/>
    <w:rsid w:val="00263E2D"/>
    <w:rsid w:val="0027025E"/>
    <w:rsid w:val="00271007"/>
    <w:rsid w:val="002729C4"/>
    <w:rsid w:val="00272B4A"/>
    <w:rsid w:val="00273D4C"/>
    <w:rsid w:val="002769FE"/>
    <w:rsid w:val="0027724F"/>
    <w:rsid w:val="002808E7"/>
    <w:rsid w:val="00280F99"/>
    <w:rsid w:val="0028197F"/>
    <w:rsid w:val="00281A23"/>
    <w:rsid w:val="00281BA9"/>
    <w:rsid w:val="00284121"/>
    <w:rsid w:val="00284625"/>
    <w:rsid w:val="00285660"/>
    <w:rsid w:val="00285ADD"/>
    <w:rsid w:val="0028668F"/>
    <w:rsid w:val="00286CB4"/>
    <w:rsid w:val="00286D80"/>
    <w:rsid w:val="00290FFF"/>
    <w:rsid w:val="002914C0"/>
    <w:rsid w:val="00291785"/>
    <w:rsid w:val="00291BDA"/>
    <w:rsid w:val="00293783"/>
    <w:rsid w:val="00294350"/>
    <w:rsid w:val="0029713C"/>
    <w:rsid w:val="002A1091"/>
    <w:rsid w:val="002A1585"/>
    <w:rsid w:val="002A1798"/>
    <w:rsid w:val="002A2749"/>
    <w:rsid w:val="002A3F8E"/>
    <w:rsid w:val="002A48EF"/>
    <w:rsid w:val="002B04C4"/>
    <w:rsid w:val="002B170A"/>
    <w:rsid w:val="002B1E8C"/>
    <w:rsid w:val="002B20CD"/>
    <w:rsid w:val="002B2856"/>
    <w:rsid w:val="002B2E55"/>
    <w:rsid w:val="002B3042"/>
    <w:rsid w:val="002B3487"/>
    <w:rsid w:val="002B428A"/>
    <w:rsid w:val="002B5483"/>
    <w:rsid w:val="002B6A6F"/>
    <w:rsid w:val="002B745F"/>
    <w:rsid w:val="002C233C"/>
    <w:rsid w:val="002C270B"/>
    <w:rsid w:val="002C3403"/>
    <w:rsid w:val="002C400A"/>
    <w:rsid w:val="002C424A"/>
    <w:rsid w:val="002C4F75"/>
    <w:rsid w:val="002C58A2"/>
    <w:rsid w:val="002C79A9"/>
    <w:rsid w:val="002D0CE5"/>
    <w:rsid w:val="002D23C3"/>
    <w:rsid w:val="002D26E4"/>
    <w:rsid w:val="002D4628"/>
    <w:rsid w:val="002D5C0C"/>
    <w:rsid w:val="002E0E8F"/>
    <w:rsid w:val="002E559D"/>
    <w:rsid w:val="002E580B"/>
    <w:rsid w:val="002E67E6"/>
    <w:rsid w:val="002E6FE3"/>
    <w:rsid w:val="002F0F75"/>
    <w:rsid w:val="002F1090"/>
    <w:rsid w:val="002F3F0C"/>
    <w:rsid w:val="002F65B9"/>
    <w:rsid w:val="003013ED"/>
    <w:rsid w:val="0030161D"/>
    <w:rsid w:val="00303317"/>
    <w:rsid w:val="003035EF"/>
    <w:rsid w:val="00303A41"/>
    <w:rsid w:val="00303D5B"/>
    <w:rsid w:val="003041F2"/>
    <w:rsid w:val="0030554A"/>
    <w:rsid w:val="00305798"/>
    <w:rsid w:val="00306044"/>
    <w:rsid w:val="00310033"/>
    <w:rsid w:val="00311C45"/>
    <w:rsid w:val="00311FE2"/>
    <w:rsid w:val="003127A0"/>
    <w:rsid w:val="003131A8"/>
    <w:rsid w:val="0031351D"/>
    <w:rsid w:val="00315BA1"/>
    <w:rsid w:val="00315D4E"/>
    <w:rsid w:val="003200BC"/>
    <w:rsid w:val="0032255D"/>
    <w:rsid w:val="00325D6E"/>
    <w:rsid w:val="00327CCD"/>
    <w:rsid w:val="003306D3"/>
    <w:rsid w:val="00331391"/>
    <w:rsid w:val="003314CB"/>
    <w:rsid w:val="0033182B"/>
    <w:rsid w:val="00332664"/>
    <w:rsid w:val="003326EC"/>
    <w:rsid w:val="00333238"/>
    <w:rsid w:val="00333D6E"/>
    <w:rsid w:val="00333DCC"/>
    <w:rsid w:val="00335CAC"/>
    <w:rsid w:val="003379FB"/>
    <w:rsid w:val="00337AB7"/>
    <w:rsid w:val="003401C9"/>
    <w:rsid w:val="00341383"/>
    <w:rsid w:val="00343796"/>
    <w:rsid w:val="00343AAA"/>
    <w:rsid w:val="00344114"/>
    <w:rsid w:val="0034453D"/>
    <w:rsid w:val="00345148"/>
    <w:rsid w:val="00345560"/>
    <w:rsid w:val="00346953"/>
    <w:rsid w:val="00350534"/>
    <w:rsid w:val="003542FA"/>
    <w:rsid w:val="003553BB"/>
    <w:rsid w:val="003554F4"/>
    <w:rsid w:val="00356D8E"/>
    <w:rsid w:val="00357677"/>
    <w:rsid w:val="003606CB"/>
    <w:rsid w:val="00361891"/>
    <w:rsid w:val="00362BC6"/>
    <w:rsid w:val="003632DB"/>
    <w:rsid w:val="00363E2E"/>
    <w:rsid w:val="003645B6"/>
    <w:rsid w:val="003649C9"/>
    <w:rsid w:val="00365B06"/>
    <w:rsid w:val="00365C8A"/>
    <w:rsid w:val="0036677D"/>
    <w:rsid w:val="00367639"/>
    <w:rsid w:val="003708BF"/>
    <w:rsid w:val="00370F1E"/>
    <w:rsid w:val="00371147"/>
    <w:rsid w:val="00371382"/>
    <w:rsid w:val="0037309C"/>
    <w:rsid w:val="00373766"/>
    <w:rsid w:val="00373E75"/>
    <w:rsid w:val="00374F85"/>
    <w:rsid w:val="0037697C"/>
    <w:rsid w:val="00377003"/>
    <w:rsid w:val="00377C65"/>
    <w:rsid w:val="00380B1C"/>
    <w:rsid w:val="00380C5A"/>
    <w:rsid w:val="0038116F"/>
    <w:rsid w:val="00382C19"/>
    <w:rsid w:val="003833AF"/>
    <w:rsid w:val="00384426"/>
    <w:rsid w:val="0038469B"/>
    <w:rsid w:val="00384817"/>
    <w:rsid w:val="00384C34"/>
    <w:rsid w:val="00385741"/>
    <w:rsid w:val="00386667"/>
    <w:rsid w:val="00386C24"/>
    <w:rsid w:val="00387212"/>
    <w:rsid w:val="00390480"/>
    <w:rsid w:val="003909A9"/>
    <w:rsid w:val="0039112D"/>
    <w:rsid w:val="00391EAD"/>
    <w:rsid w:val="00392249"/>
    <w:rsid w:val="003923D7"/>
    <w:rsid w:val="00393101"/>
    <w:rsid w:val="0039310C"/>
    <w:rsid w:val="00393A77"/>
    <w:rsid w:val="0039444F"/>
    <w:rsid w:val="00394456"/>
    <w:rsid w:val="00395955"/>
    <w:rsid w:val="00396F39"/>
    <w:rsid w:val="00397370"/>
    <w:rsid w:val="00397B42"/>
    <w:rsid w:val="00397E7E"/>
    <w:rsid w:val="003A26B3"/>
    <w:rsid w:val="003A319B"/>
    <w:rsid w:val="003A3CB0"/>
    <w:rsid w:val="003A3D4C"/>
    <w:rsid w:val="003A4DF5"/>
    <w:rsid w:val="003A5E08"/>
    <w:rsid w:val="003A6313"/>
    <w:rsid w:val="003A6799"/>
    <w:rsid w:val="003B01FD"/>
    <w:rsid w:val="003B0733"/>
    <w:rsid w:val="003B25E2"/>
    <w:rsid w:val="003B260C"/>
    <w:rsid w:val="003B2E17"/>
    <w:rsid w:val="003B2F98"/>
    <w:rsid w:val="003B3F55"/>
    <w:rsid w:val="003B6048"/>
    <w:rsid w:val="003B62FF"/>
    <w:rsid w:val="003B6C38"/>
    <w:rsid w:val="003B7E8C"/>
    <w:rsid w:val="003C19F0"/>
    <w:rsid w:val="003C1E57"/>
    <w:rsid w:val="003C276C"/>
    <w:rsid w:val="003C33F2"/>
    <w:rsid w:val="003C3B9D"/>
    <w:rsid w:val="003C3E81"/>
    <w:rsid w:val="003C521A"/>
    <w:rsid w:val="003C56C9"/>
    <w:rsid w:val="003C5969"/>
    <w:rsid w:val="003C652F"/>
    <w:rsid w:val="003C657A"/>
    <w:rsid w:val="003C6DBD"/>
    <w:rsid w:val="003C7231"/>
    <w:rsid w:val="003C7AF3"/>
    <w:rsid w:val="003C7B0E"/>
    <w:rsid w:val="003D0053"/>
    <w:rsid w:val="003D0EC8"/>
    <w:rsid w:val="003D1060"/>
    <w:rsid w:val="003D1127"/>
    <w:rsid w:val="003D35A6"/>
    <w:rsid w:val="003D43E4"/>
    <w:rsid w:val="003D4F31"/>
    <w:rsid w:val="003D5533"/>
    <w:rsid w:val="003D5741"/>
    <w:rsid w:val="003D6244"/>
    <w:rsid w:val="003D6762"/>
    <w:rsid w:val="003D6E5B"/>
    <w:rsid w:val="003D7063"/>
    <w:rsid w:val="003E18A8"/>
    <w:rsid w:val="003E26E5"/>
    <w:rsid w:val="003E272B"/>
    <w:rsid w:val="003E2984"/>
    <w:rsid w:val="003E40B0"/>
    <w:rsid w:val="003E73F5"/>
    <w:rsid w:val="003F3DC4"/>
    <w:rsid w:val="003F3E96"/>
    <w:rsid w:val="003F5255"/>
    <w:rsid w:val="003F52BB"/>
    <w:rsid w:val="003F5540"/>
    <w:rsid w:val="003F5C03"/>
    <w:rsid w:val="003F6AA0"/>
    <w:rsid w:val="003F7903"/>
    <w:rsid w:val="0040050B"/>
    <w:rsid w:val="00400E09"/>
    <w:rsid w:val="00401AD0"/>
    <w:rsid w:val="00402027"/>
    <w:rsid w:val="0040240B"/>
    <w:rsid w:val="004029BB"/>
    <w:rsid w:val="00403717"/>
    <w:rsid w:val="00404B10"/>
    <w:rsid w:val="004060FC"/>
    <w:rsid w:val="00406A29"/>
    <w:rsid w:val="00407004"/>
    <w:rsid w:val="00407A9B"/>
    <w:rsid w:val="004113AC"/>
    <w:rsid w:val="004120AD"/>
    <w:rsid w:val="0041216B"/>
    <w:rsid w:val="004141DC"/>
    <w:rsid w:val="004149A2"/>
    <w:rsid w:val="00415043"/>
    <w:rsid w:val="00415C8A"/>
    <w:rsid w:val="00415E05"/>
    <w:rsid w:val="0042109F"/>
    <w:rsid w:val="004213F0"/>
    <w:rsid w:val="00422FE9"/>
    <w:rsid w:val="0042375C"/>
    <w:rsid w:val="004243CE"/>
    <w:rsid w:val="00424797"/>
    <w:rsid w:val="00425BB1"/>
    <w:rsid w:val="00425D51"/>
    <w:rsid w:val="00426005"/>
    <w:rsid w:val="00426299"/>
    <w:rsid w:val="00426FA0"/>
    <w:rsid w:val="0043008D"/>
    <w:rsid w:val="00430D36"/>
    <w:rsid w:val="00432657"/>
    <w:rsid w:val="0043304B"/>
    <w:rsid w:val="00433326"/>
    <w:rsid w:val="00434548"/>
    <w:rsid w:val="00435092"/>
    <w:rsid w:val="0043515E"/>
    <w:rsid w:val="004361B0"/>
    <w:rsid w:val="00436AE6"/>
    <w:rsid w:val="004379CA"/>
    <w:rsid w:val="004400B7"/>
    <w:rsid w:val="00441147"/>
    <w:rsid w:val="004432AF"/>
    <w:rsid w:val="00445AEC"/>
    <w:rsid w:val="00445E07"/>
    <w:rsid w:val="00445E47"/>
    <w:rsid w:val="0044610F"/>
    <w:rsid w:val="00454F80"/>
    <w:rsid w:val="004550AC"/>
    <w:rsid w:val="004551DE"/>
    <w:rsid w:val="00455A4E"/>
    <w:rsid w:val="00455E3A"/>
    <w:rsid w:val="004578D1"/>
    <w:rsid w:val="00460061"/>
    <w:rsid w:val="004608DF"/>
    <w:rsid w:val="0046367D"/>
    <w:rsid w:val="004651ED"/>
    <w:rsid w:val="004654F0"/>
    <w:rsid w:val="0046739F"/>
    <w:rsid w:val="004676B8"/>
    <w:rsid w:val="004703BC"/>
    <w:rsid w:val="004715C8"/>
    <w:rsid w:val="00472570"/>
    <w:rsid w:val="00473F79"/>
    <w:rsid w:val="004746D0"/>
    <w:rsid w:val="00475020"/>
    <w:rsid w:val="00475408"/>
    <w:rsid w:val="004769FB"/>
    <w:rsid w:val="00476D94"/>
    <w:rsid w:val="00477EF0"/>
    <w:rsid w:val="00480089"/>
    <w:rsid w:val="00480784"/>
    <w:rsid w:val="00480E93"/>
    <w:rsid w:val="004817B4"/>
    <w:rsid w:val="00481E8F"/>
    <w:rsid w:val="0048223D"/>
    <w:rsid w:val="00482B93"/>
    <w:rsid w:val="0048374C"/>
    <w:rsid w:val="00486F7C"/>
    <w:rsid w:val="0048755C"/>
    <w:rsid w:val="0048758D"/>
    <w:rsid w:val="0048766E"/>
    <w:rsid w:val="004878FF"/>
    <w:rsid w:val="00487A2D"/>
    <w:rsid w:val="00487B0C"/>
    <w:rsid w:val="0049133F"/>
    <w:rsid w:val="00491F64"/>
    <w:rsid w:val="0049235F"/>
    <w:rsid w:val="004946E3"/>
    <w:rsid w:val="00494873"/>
    <w:rsid w:val="00497159"/>
    <w:rsid w:val="00497B98"/>
    <w:rsid w:val="00497C0B"/>
    <w:rsid w:val="004A02C8"/>
    <w:rsid w:val="004A0619"/>
    <w:rsid w:val="004A1A14"/>
    <w:rsid w:val="004A2443"/>
    <w:rsid w:val="004A2CEF"/>
    <w:rsid w:val="004A3C92"/>
    <w:rsid w:val="004A40BB"/>
    <w:rsid w:val="004A51BF"/>
    <w:rsid w:val="004A544E"/>
    <w:rsid w:val="004A60E9"/>
    <w:rsid w:val="004A69FB"/>
    <w:rsid w:val="004A732E"/>
    <w:rsid w:val="004B071E"/>
    <w:rsid w:val="004B2401"/>
    <w:rsid w:val="004B2703"/>
    <w:rsid w:val="004B291B"/>
    <w:rsid w:val="004B34E3"/>
    <w:rsid w:val="004B3A40"/>
    <w:rsid w:val="004B49D7"/>
    <w:rsid w:val="004B5040"/>
    <w:rsid w:val="004B63A8"/>
    <w:rsid w:val="004B6633"/>
    <w:rsid w:val="004B6BCF"/>
    <w:rsid w:val="004B7293"/>
    <w:rsid w:val="004B7433"/>
    <w:rsid w:val="004C0B52"/>
    <w:rsid w:val="004C2658"/>
    <w:rsid w:val="004C294B"/>
    <w:rsid w:val="004C5F8F"/>
    <w:rsid w:val="004C6FF9"/>
    <w:rsid w:val="004D0659"/>
    <w:rsid w:val="004D0676"/>
    <w:rsid w:val="004D15CA"/>
    <w:rsid w:val="004D2700"/>
    <w:rsid w:val="004D3E19"/>
    <w:rsid w:val="004D47F8"/>
    <w:rsid w:val="004D5847"/>
    <w:rsid w:val="004D64E0"/>
    <w:rsid w:val="004D7ADF"/>
    <w:rsid w:val="004E1347"/>
    <w:rsid w:val="004E1B4F"/>
    <w:rsid w:val="004E1BF7"/>
    <w:rsid w:val="004E21A3"/>
    <w:rsid w:val="004E220E"/>
    <w:rsid w:val="004E2257"/>
    <w:rsid w:val="004E281D"/>
    <w:rsid w:val="004E3110"/>
    <w:rsid w:val="004E366D"/>
    <w:rsid w:val="004E5142"/>
    <w:rsid w:val="004E58CA"/>
    <w:rsid w:val="004F0721"/>
    <w:rsid w:val="004F07FF"/>
    <w:rsid w:val="004F0F8A"/>
    <w:rsid w:val="004F21B4"/>
    <w:rsid w:val="004F2579"/>
    <w:rsid w:val="004F54D7"/>
    <w:rsid w:val="004F601F"/>
    <w:rsid w:val="004F6639"/>
    <w:rsid w:val="004F6A1A"/>
    <w:rsid w:val="004F70B1"/>
    <w:rsid w:val="00501FE1"/>
    <w:rsid w:val="0050246F"/>
    <w:rsid w:val="0050464A"/>
    <w:rsid w:val="00504BFA"/>
    <w:rsid w:val="00505ED2"/>
    <w:rsid w:val="00507B56"/>
    <w:rsid w:val="00507C3A"/>
    <w:rsid w:val="00510786"/>
    <w:rsid w:val="0051078E"/>
    <w:rsid w:val="00510B24"/>
    <w:rsid w:val="005131B1"/>
    <w:rsid w:val="005141F0"/>
    <w:rsid w:val="005166CA"/>
    <w:rsid w:val="0051700D"/>
    <w:rsid w:val="005177D3"/>
    <w:rsid w:val="005213E1"/>
    <w:rsid w:val="00521DCF"/>
    <w:rsid w:val="00521E54"/>
    <w:rsid w:val="005247CC"/>
    <w:rsid w:val="0052696C"/>
    <w:rsid w:val="00527C41"/>
    <w:rsid w:val="00532011"/>
    <w:rsid w:val="00532693"/>
    <w:rsid w:val="00532A8B"/>
    <w:rsid w:val="0053321D"/>
    <w:rsid w:val="005352AA"/>
    <w:rsid w:val="00535820"/>
    <w:rsid w:val="005361BE"/>
    <w:rsid w:val="005373BB"/>
    <w:rsid w:val="00540E14"/>
    <w:rsid w:val="0054172E"/>
    <w:rsid w:val="0054217E"/>
    <w:rsid w:val="005430C8"/>
    <w:rsid w:val="00543225"/>
    <w:rsid w:val="0054477C"/>
    <w:rsid w:val="00546DDA"/>
    <w:rsid w:val="0054778D"/>
    <w:rsid w:val="005515F3"/>
    <w:rsid w:val="0055251A"/>
    <w:rsid w:val="005532DD"/>
    <w:rsid w:val="00553B49"/>
    <w:rsid w:val="005551A9"/>
    <w:rsid w:val="0055702E"/>
    <w:rsid w:val="00557F7F"/>
    <w:rsid w:val="00560C63"/>
    <w:rsid w:val="00562601"/>
    <w:rsid w:val="005632EA"/>
    <w:rsid w:val="00563949"/>
    <w:rsid w:val="00563D01"/>
    <w:rsid w:val="00565C22"/>
    <w:rsid w:val="00565CF5"/>
    <w:rsid w:val="00566FE2"/>
    <w:rsid w:val="00571965"/>
    <w:rsid w:val="005728F4"/>
    <w:rsid w:val="00573AC4"/>
    <w:rsid w:val="005746C3"/>
    <w:rsid w:val="00574F8A"/>
    <w:rsid w:val="005759C5"/>
    <w:rsid w:val="00576630"/>
    <w:rsid w:val="005811DF"/>
    <w:rsid w:val="00581C0E"/>
    <w:rsid w:val="00583024"/>
    <w:rsid w:val="0058352D"/>
    <w:rsid w:val="00584648"/>
    <w:rsid w:val="00584D8B"/>
    <w:rsid w:val="00585CC4"/>
    <w:rsid w:val="00587151"/>
    <w:rsid w:val="00590D8A"/>
    <w:rsid w:val="005915AD"/>
    <w:rsid w:val="00592B0C"/>
    <w:rsid w:val="00592CAC"/>
    <w:rsid w:val="0059453D"/>
    <w:rsid w:val="00594D7A"/>
    <w:rsid w:val="00594DC9"/>
    <w:rsid w:val="0059662A"/>
    <w:rsid w:val="00596ECD"/>
    <w:rsid w:val="00597C70"/>
    <w:rsid w:val="005A0280"/>
    <w:rsid w:val="005A0985"/>
    <w:rsid w:val="005A0B80"/>
    <w:rsid w:val="005A13C3"/>
    <w:rsid w:val="005A255C"/>
    <w:rsid w:val="005A28F0"/>
    <w:rsid w:val="005A3036"/>
    <w:rsid w:val="005A3574"/>
    <w:rsid w:val="005A4614"/>
    <w:rsid w:val="005A4A30"/>
    <w:rsid w:val="005A6255"/>
    <w:rsid w:val="005A636C"/>
    <w:rsid w:val="005A66E7"/>
    <w:rsid w:val="005A6E75"/>
    <w:rsid w:val="005B07B3"/>
    <w:rsid w:val="005B1A60"/>
    <w:rsid w:val="005B22DA"/>
    <w:rsid w:val="005B2ED1"/>
    <w:rsid w:val="005B3591"/>
    <w:rsid w:val="005B479D"/>
    <w:rsid w:val="005B5299"/>
    <w:rsid w:val="005B7C31"/>
    <w:rsid w:val="005B7FC0"/>
    <w:rsid w:val="005C0478"/>
    <w:rsid w:val="005C12E2"/>
    <w:rsid w:val="005C2570"/>
    <w:rsid w:val="005C3ECD"/>
    <w:rsid w:val="005C476E"/>
    <w:rsid w:val="005C480A"/>
    <w:rsid w:val="005C5BAC"/>
    <w:rsid w:val="005C7095"/>
    <w:rsid w:val="005C7A12"/>
    <w:rsid w:val="005D06A0"/>
    <w:rsid w:val="005D06D1"/>
    <w:rsid w:val="005D1112"/>
    <w:rsid w:val="005D1C70"/>
    <w:rsid w:val="005D29F2"/>
    <w:rsid w:val="005D2AFC"/>
    <w:rsid w:val="005D2D63"/>
    <w:rsid w:val="005D3133"/>
    <w:rsid w:val="005D4A9B"/>
    <w:rsid w:val="005D5C42"/>
    <w:rsid w:val="005D7466"/>
    <w:rsid w:val="005D763B"/>
    <w:rsid w:val="005E1BBC"/>
    <w:rsid w:val="005E1D7D"/>
    <w:rsid w:val="005E2F9C"/>
    <w:rsid w:val="005E561D"/>
    <w:rsid w:val="005E5F06"/>
    <w:rsid w:val="005E7959"/>
    <w:rsid w:val="005E796A"/>
    <w:rsid w:val="005E7ACD"/>
    <w:rsid w:val="005E7E27"/>
    <w:rsid w:val="005F14F6"/>
    <w:rsid w:val="005F2AFE"/>
    <w:rsid w:val="005F4179"/>
    <w:rsid w:val="005F47A0"/>
    <w:rsid w:val="005F5186"/>
    <w:rsid w:val="005F6A05"/>
    <w:rsid w:val="005F7530"/>
    <w:rsid w:val="00600C10"/>
    <w:rsid w:val="00601CC5"/>
    <w:rsid w:val="0060269B"/>
    <w:rsid w:val="00603007"/>
    <w:rsid w:val="006030B1"/>
    <w:rsid w:val="00603450"/>
    <w:rsid w:val="00603CE6"/>
    <w:rsid w:val="00604EA8"/>
    <w:rsid w:val="0060596A"/>
    <w:rsid w:val="00605F20"/>
    <w:rsid w:val="00606087"/>
    <w:rsid w:val="00606D89"/>
    <w:rsid w:val="006072C8"/>
    <w:rsid w:val="006103A0"/>
    <w:rsid w:val="00611295"/>
    <w:rsid w:val="006114C5"/>
    <w:rsid w:val="00612D0B"/>
    <w:rsid w:val="0061301A"/>
    <w:rsid w:val="00614155"/>
    <w:rsid w:val="00614710"/>
    <w:rsid w:val="00615AD6"/>
    <w:rsid w:val="00615B8A"/>
    <w:rsid w:val="00617048"/>
    <w:rsid w:val="0061721A"/>
    <w:rsid w:val="00617545"/>
    <w:rsid w:val="00620251"/>
    <w:rsid w:val="006203FA"/>
    <w:rsid w:val="00622881"/>
    <w:rsid w:val="006232B5"/>
    <w:rsid w:val="0062374D"/>
    <w:rsid w:val="006251CA"/>
    <w:rsid w:val="00626D30"/>
    <w:rsid w:val="0062727B"/>
    <w:rsid w:val="0063147B"/>
    <w:rsid w:val="00631D45"/>
    <w:rsid w:val="00632620"/>
    <w:rsid w:val="00632693"/>
    <w:rsid w:val="00632B79"/>
    <w:rsid w:val="006330DA"/>
    <w:rsid w:val="00635F83"/>
    <w:rsid w:val="006366A6"/>
    <w:rsid w:val="00636DB8"/>
    <w:rsid w:val="00636F0E"/>
    <w:rsid w:val="00637A81"/>
    <w:rsid w:val="0064021E"/>
    <w:rsid w:val="00641794"/>
    <w:rsid w:val="00642976"/>
    <w:rsid w:val="00642D37"/>
    <w:rsid w:val="00643C30"/>
    <w:rsid w:val="00646D94"/>
    <w:rsid w:val="00647E6D"/>
    <w:rsid w:val="0065097A"/>
    <w:rsid w:val="006520E8"/>
    <w:rsid w:val="00652651"/>
    <w:rsid w:val="0065287C"/>
    <w:rsid w:val="00652D5C"/>
    <w:rsid w:val="006539DF"/>
    <w:rsid w:val="00655C9A"/>
    <w:rsid w:val="00655DA7"/>
    <w:rsid w:val="00655DEF"/>
    <w:rsid w:val="00656635"/>
    <w:rsid w:val="00657515"/>
    <w:rsid w:val="00660080"/>
    <w:rsid w:val="0066089C"/>
    <w:rsid w:val="0066098D"/>
    <w:rsid w:val="00663108"/>
    <w:rsid w:val="00667C03"/>
    <w:rsid w:val="00670228"/>
    <w:rsid w:val="00671091"/>
    <w:rsid w:val="00671375"/>
    <w:rsid w:val="00672CFB"/>
    <w:rsid w:val="00674671"/>
    <w:rsid w:val="00675055"/>
    <w:rsid w:val="006761B1"/>
    <w:rsid w:val="00676268"/>
    <w:rsid w:val="00677028"/>
    <w:rsid w:val="00680C07"/>
    <w:rsid w:val="0068118E"/>
    <w:rsid w:val="00681C4A"/>
    <w:rsid w:val="00682790"/>
    <w:rsid w:val="006838D6"/>
    <w:rsid w:val="006841EB"/>
    <w:rsid w:val="006848AA"/>
    <w:rsid w:val="006852E8"/>
    <w:rsid w:val="006866B5"/>
    <w:rsid w:val="006879C1"/>
    <w:rsid w:val="00687E43"/>
    <w:rsid w:val="00691447"/>
    <w:rsid w:val="00693483"/>
    <w:rsid w:val="00693E64"/>
    <w:rsid w:val="006942E7"/>
    <w:rsid w:val="0069616D"/>
    <w:rsid w:val="00696650"/>
    <w:rsid w:val="006966BE"/>
    <w:rsid w:val="006966CB"/>
    <w:rsid w:val="0069798F"/>
    <w:rsid w:val="006A1361"/>
    <w:rsid w:val="006A37DD"/>
    <w:rsid w:val="006A43D3"/>
    <w:rsid w:val="006A542B"/>
    <w:rsid w:val="006A557B"/>
    <w:rsid w:val="006A557E"/>
    <w:rsid w:val="006A5B3F"/>
    <w:rsid w:val="006A5D38"/>
    <w:rsid w:val="006A5D7F"/>
    <w:rsid w:val="006A64E4"/>
    <w:rsid w:val="006A78A7"/>
    <w:rsid w:val="006A78D5"/>
    <w:rsid w:val="006A79C4"/>
    <w:rsid w:val="006B0001"/>
    <w:rsid w:val="006B0285"/>
    <w:rsid w:val="006B2147"/>
    <w:rsid w:val="006B22BC"/>
    <w:rsid w:val="006B25AD"/>
    <w:rsid w:val="006B3473"/>
    <w:rsid w:val="006B34D9"/>
    <w:rsid w:val="006B3E68"/>
    <w:rsid w:val="006B42D5"/>
    <w:rsid w:val="006B5F15"/>
    <w:rsid w:val="006B713D"/>
    <w:rsid w:val="006B73D2"/>
    <w:rsid w:val="006B75A3"/>
    <w:rsid w:val="006C09D3"/>
    <w:rsid w:val="006C2851"/>
    <w:rsid w:val="006C3FD3"/>
    <w:rsid w:val="006C4A8C"/>
    <w:rsid w:val="006C4CC7"/>
    <w:rsid w:val="006C5C34"/>
    <w:rsid w:val="006C6133"/>
    <w:rsid w:val="006C6A1E"/>
    <w:rsid w:val="006C79DC"/>
    <w:rsid w:val="006D1D25"/>
    <w:rsid w:val="006D2053"/>
    <w:rsid w:val="006D35DB"/>
    <w:rsid w:val="006D36F9"/>
    <w:rsid w:val="006D3D9C"/>
    <w:rsid w:val="006D461F"/>
    <w:rsid w:val="006D4BE4"/>
    <w:rsid w:val="006D7361"/>
    <w:rsid w:val="006D75BF"/>
    <w:rsid w:val="006D7625"/>
    <w:rsid w:val="006E137E"/>
    <w:rsid w:val="006E28E5"/>
    <w:rsid w:val="006E2FB0"/>
    <w:rsid w:val="006E3951"/>
    <w:rsid w:val="006E7145"/>
    <w:rsid w:val="006E7AB2"/>
    <w:rsid w:val="006F1877"/>
    <w:rsid w:val="006F3F13"/>
    <w:rsid w:val="006F4188"/>
    <w:rsid w:val="006F5B23"/>
    <w:rsid w:val="006F5BF0"/>
    <w:rsid w:val="006F690D"/>
    <w:rsid w:val="006F71CD"/>
    <w:rsid w:val="006F76CE"/>
    <w:rsid w:val="006F7C01"/>
    <w:rsid w:val="006F7C5D"/>
    <w:rsid w:val="00701474"/>
    <w:rsid w:val="00701712"/>
    <w:rsid w:val="0070228E"/>
    <w:rsid w:val="0070261E"/>
    <w:rsid w:val="00702752"/>
    <w:rsid w:val="0070287E"/>
    <w:rsid w:val="00705A54"/>
    <w:rsid w:val="0070602C"/>
    <w:rsid w:val="0071242B"/>
    <w:rsid w:val="00712C26"/>
    <w:rsid w:val="00713011"/>
    <w:rsid w:val="007130F1"/>
    <w:rsid w:val="00713B46"/>
    <w:rsid w:val="007148CC"/>
    <w:rsid w:val="00715EF2"/>
    <w:rsid w:val="00717769"/>
    <w:rsid w:val="00717A47"/>
    <w:rsid w:val="00717CE1"/>
    <w:rsid w:val="00717D16"/>
    <w:rsid w:val="00717F19"/>
    <w:rsid w:val="00720411"/>
    <w:rsid w:val="0072093E"/>
    <w:rsid w:val="00720ED0"/>
    <w:rsid w:val="00722B22"/>
    <w:rsid w:val="00722E09"/>
    <w:rsid w:val="00723E25"/>
    <w:rsid w:val="007250A4"/>
    <w:rsid w:val="00726F7A"/>
    <w:rsid w:val="00730675"/>
    <w:rsid w:val="00730FB8"/>
    <w:rsid w:val="00732058"/>
    <w:rsid w:val="00732CFC"/>
    <w:rsid w:val="00733D02"/>
    <w:rsid w:val="00733E16"/>
    <w:rsid w:val="00733E6F"/>
    <w:rsid w:val="00736F10"/>
    <w:rsid w:val="00737819"/>
    <w:rsid w:val="007401E7"/>
    <w:rsid w:val="00741A23"/>
    <w:rsid w:val="007429C7"/>
    <w:rsid w:val="00744001"/>
    <w:rsid w:val="00745A8F"/>
    <w:rsid w:val="007469FF"/>
    <w:rsid w:val="00746C00"/>
    <w:rsid w:val="007471D2"/>
    <w:rsid w:val="00747684"/>
    <w:rsid w:val="00752090"/>
    <w:rsid w:val="00752B47"/>
    <w:rsid w:val="007555E4"/>
    <w:rsid w:val="00756892"/>
    <w:rsid w:val="00756F7B"/>
    <w:rsid w:val="00757388"/>
    <w:rsid w:val="0076074D"/>
    <w:rsid w:val="00760A3B"/>
    <w:rsid w:val="00760A58"/>
    <w:rsid w:val="007619B2"/>
    <w:rsid w:val="007627AD"/>
    <w:rsid w:val="00762B76"/>
    <w:rsid w:val="0076338A"/>
    <w:rsid w:val="00765650"/>
    <w:rsid w:val="007663E4"/>
    <w:rsid w:val="007668D6"/>
    <w:rsid w:val="00766D31"/>
    <w:rsid w:val="00770FE5"/>
    <w:rsid w:val="00771172"/>
    <w:rsid w:val="00773C35"/>
    <w:rsid w:val="0077413E"/>
    <w:rsid w:val="0077417F"/>
    <w:rsid w:val="0077541E"/>
    <w:rsid w:val="0077699A"/>
    <w:rsid w:val="00776FC7"/>
    <w:rsid w:val="0078375B"/>
    <w:rsid w:val="007839DA"/>
    <w:rsid w:val="00784AA9"/>
    <w:rsid w:val="0078652B"/>
    <w:rsid w:val="00790941"/>
    <w:rsid w:val="00791DC8"/>
    <w:rsid w:val="007922D0"/>
    <w:rsid w:val="00792C63"/>
    <w:rsid w:val="00792DC9"/>
    <w:rsid w:val="007939C0"/>
    <w:rsid w:val="00794286"/>
    <w:rsid w:val="00794FFD"/>
    <w:rsid w:val="00795640"/>
    <w:rsid w:val="00797253"/>
    <w:rsid w:val="00797D0A"/>
    <w:rsid w:val="007A1675"/>
    <w:rsid w:val="007A1BF7"/>
    <w:rsid w:val="007A43DF"/>
    <w:rsid w:val="007A4700"/>
    <w:rsid w:val="007A4950"/>
    <w:rsid w:val="007A4A23"/>
    <w:rsid w:val="007A540A"/>
    <w:rsid w:val="007A54BE"/>
    <w:rsid w:val="007A690E"/>
    <w:rsid w:val="007B0B21"/>
    <w:rsid w:val="007B0DCE"/>
    <w:rsid w:val="007B0F0C"/>
    <w:rsid w:val="007B2835"/>
    <w:rsid w:val="007B2CF3"/>
    <w:rsid w:val="007B2F23"/>
    <w:rsid w:val="007B2F4B"/>
    <w:rsid w:val="007B5EC7"/>
    <w:rsid w:val="007B602D"/>
    <w:rsid w:val="007B6102"/>
    <w:rsid w:val="007B62FB"/>
    <w:rsid w:val="007B6651"/>
    <w:rsid w:val="007B7D85"/>
    <w:rsid w:val="007C1478"/>
    <w:rsid w:val="007C2F91"/>
    <w:rsid w:val="007C721E"/>
    <w:rsid w:val="007D3F4A"/>
    <w:rsid w:val="007D5AB9"/>
    <w:rsid w:val="007D6F98"/>
    <w:rsid w:val="007D7084"/>
    <w:rsid w:val="007D78C8"/>
    <w:rsid w:val="007E0474"/>
    <w:rsid w:val="007E06CE"/>
    <w:rsid w:val="007E109D"/>
    <w:rsid w:val="007E352C"/>
    <w:rsid w:val="007E65B9"/>
    <w:rsid w:val="007E780B"/>
    <w:rsid w:val="007E7852"/>
    <w:rsid w:val="007E7E25"/>
    <w:rsid w:val="007E7F21"/>
    <w:rsid w:val="007F014F"/>
    <w:rsid w:val="007F0576"/>
    <w:rsid w:val="007F068F"/>
    <w:rsid w:val="007F0E47"/>
    <w:rsid w:val="007F293F"/>
    <w:rsid w:val="007F302A"/>
    <w:rsid w:val="007F3AA3"/>
    <w:rsid w:val="007F41DD"/>
    <w:rsid w:val="007F45DD"/>
    <w:rsid w:val="007F56AE"/>
    <w:rsid w:val="007F5857"/>
    <w:rsid w:val="007F5F33"/>
    <w:rsid w:val="007F6697"/>
    <w:rsid w:val="007F67B3"/>
    <w:rsid w:val="007F6AA7"/>
    <w:rsid w:val="007F6CE4"/>
    <w:rsid w:val="007F7784"/>
    <w:rsid w:val="007F7B03"/>
    <w:rsid w:val="007F7FA5"/>
    <w:rsid w:val="008001AE"/>
    <w:rsid w:val="00800FD2"/>
    <w:rsid w:val="00801277"/>
    <w:rsid w:val="008015A9"/>
    <w:rsid w:val="00802BA0"/>
    <w:rsid w:val="0080460B"/>
    <w:rsid w:val="00806497"/>
    <w:rsid w:val="00807CEA"/>
    <w:rsid w:val="00807F23"/>
    <w:rsid w:val="00814BB9"/>
    <w:rsid w:val="00814DC3"/>
    <w:rsid w:val="008151D3"/>
    <w:rsid w:val="008152D8"/>
    <w:rsid w:val="008157BA"/>
    <w:rsid w:val="00815856"/>
    <w:rsid w:val="0082121A"/>
    <w:rsid w:val="00821366"/>
    <w:rsid w:val="008220CF"/>
    <w:rsid w:val="008239C5"/>
    <w:rsid w:val="00824AD2"/>
    <w:rsid w:val="00830247"/>
    <w:rsid w:val="00830B24"/>
    <w:rsid w:val="008313EB"/>
    <w:rsid w:val="00831DD9"/>
    <w:rsid w:val="008344CD"/>
    <w:rsid w:val="008345F9"/>
    <w:rsid w:val="00834664"/>
    <w:rsid w:val="008352C8"/>
    <w:rsid w:val="008373B2"/>
    <w:rsid w:val="0083742B"/>
    <w:rsid w:val="00837FF1"/>
    <w:rsid w:val="00840A36"/>
    <w:rsid w:val="008412F5"/>
    <w:rsid w:val="0084136A"/>
    <w:rsid w:val="0084152D"/>
    <w:rsid w:val="0084607E"/>
    <w:rsid w:val="00846590"/>
    <w:rsid w:val="00846A16"/>
    <w:rsid w:val="00847003"/>
    <w:rsid w:val="00847590"/>
    <w:rsid w:val="00851216"/>
    <w:rsid w:val="00851AEF"/>
    <w:rsid w:val="00852575"/>
    <w:rsid w:val="0085265E"/>
    <w:rsid w:val="008528D5"/>
    <w:rsid w:val="00852C06"/>
    <w:rsid w:val="00853EE2"/>
    <w:rsid w:val="0086081D"/>
    <w:rsid w:val="00860CE4"/>
    <w:rsid w:val="00860D00"/>
    <w:rsid w:val="00861899"/>
    <w:rsid w:val="00861CFC"/>
    <w:rsid w:val="00863CDB"/>
    <w:rsid w:val="008640CF"/>
    <w:rsid w:val="00865394"/>
    <w:rsid w:val="00865983"/>
    <w:rsid w:val="008668FA"/>
    <w:rsid w:val="00866A56"/>
    <w:rsid w:val="0086768D"/>
    <w:rsid w:val="00867ADF"/>
    <w:rsid w:val="0087092E"/>
    <w:rsid w:val="00871EAA"/>
    <w:rsid w:val="00873DBE"/>
    <w:rsid w:val="00873EA2"/>
    <w:rsid w:val="00875F74"/>
    <w:rsid w:val="00881634"/>
    <w:rsid w:val="00881C3C"/>
    <w:rsid w:val="00881D10"/>
    <w:rsid w:val="00882496"/>
    <w:rsid w:val="0088251C"/>
    <w:rsid w:val="0088253A"/>
    <w:rsid w:val="0088312A"/>
    <w:rsid w:val="00884263"/>
    <w:rsid w:val="0088509D"/>
    <w:rsid w:val="00885D0A"/>
    <w:rsid w:val="00885E15"/>
    <w:rsid w:val="008865F8"/>
    <w:rsid w:val="0088685D"/>
    <w:rsid w:val="00887898"/>
    <w:rsid w:val="00887DE6"/>
    <w:rsid w:val="00887EA2"/>
    <w:rsid w:val="0089085A"/>
    <w:rsid w:val="00891089"/>
    <w:rsid w:val="00891F2A"/>
    <w:rsid w:val="00892726"/>
    <w:rsid w:val="008933F2"/>
    <w:rsid w:val="008942E0"/>
    <w:rsid w:val="00894952"/>
    <w:rsid w:val="00894AA9"/>
    <w:rsid w:val="00894AEE"/>
    <w:rsid w:val="00895124"/>
    <w:rsid w:val="00895858"/>
    <w:rsid w:val="00895F2C"/>
    <w:rsid w:val="008960DD"/>
    <w:rsid w:val="00896C16"/>
    <w:rsid w:val="00897211"/>
    <w:rsid w:val="0089758D"/>
    <w:rsid w:val="00897C90"/>
    <w:rsid w:val="008A0E08"/>
    <w:rsid w:val="008A1439"/>
    <w:rsid w:val="008A14F1"/>
    <w:rsid w:val="008A153A"/>
    <w:rsid w:val="008A1646"/>
    <w:rsid w:val="008A1F1B"/>
    <w:rsid w:val="008A23AF"/>
    <w:rsid w:val="008A29CA"/>
    <w:rsid w:val="008A3692"/>
    <w:rsid w:val="008A3B2B"/>
    <w:rsid w:val="008A5C9E"/>
    <w:rsid w:val="008A5FFB"/>
    <w:rsid w:val="008A641B"/>
    <w:rsid w:val="008A6E0D"/>
    <w:rsid w:val="008B04D2"/>
    <w:rsid w:val="008B0B04"/>
    <w:rsid w:val="008B14EF"/>
    <w:rsid w:val="008B2B4D"/>
    <w:rsid w:val="008B3A30"/>
    <w:rsid w:val="008B3DE8"/>
    <w:rsid w:val="008B59CB"/>
    <w:rsid w:val="008B638B"/>
    <w:rsid w:val="008B6522"/>
    <w:rsid w:val="008B6761"/>
    <w:rsid w:val="008B7E3F"/>
    <w:rsid w:val="008C14F5"/>
    <w:rsid w:val="008C3671"/>
    <w:rsid w:val="008C4D1C"/>
    <w:rsid w:val="008C5A2F"/>
    <w:rsid w:val="008C6B26"/>
    <w:rsid w:val="008C7460"/>
    <w:rsid w:val="008C7C5A"/>
    <w:rsid w:val="008D2449"/>
    <w:rsid w:val="008D2BE3"/>
    <w:rsid w:val="008D5128"/>
    <w:rsid w:val="008D56B9"/>
    <w:rsid w:val="008D57C7"/>
    <w:rsid w:val="008D6826"/>
    <w:rsid w:val="008E0AEC"/>
    <w:rsid w:val="008E1098"/>
    <w:rsid w:val="008E1A8E"/>
    <w:rsid w:val="008E2A3B"/>
    <w:rsid w:val="008E32B8"/>
    <w:rsid w:val="008E58BA"/>
    <w:rsid w:val="008E5E1F"/>
    <w:rsid w:val="008E6779"/>
    <w:rsid w:val="008F179C"/>
    <w:rsid w:val="008F1E07"/>
    <w:rsid w:val="008F4DD5"/>
    <w:rsid w:val="008F6B65"/>
    <w:rsid w:val="008F7514"/>
    <w:rsid w:val="00900F11"/>
    <w:rsid w:val="009024CD"/>
    <w:rsid w:val="009057D1"/>
    <w:rsid w:val="00905C6B"/>
    <w:rsid w:val="00905D76"/>
    <w:rsid w:val="00905D93"/>
    <w:rsid w:val="00906198"/>
    <w:rsid w:val="00910400"/>
    <w:rsid w:val="009143F8"/>
    <w:rsid w:val="0091499C"/>
    <w:rsid w:val="009204E2"/>
    <w:rsid w:val="00920C00"/>
    <w:rsid w:val="00923068"/>
    <w:rsid w:val="00923734"/>
    <w:rsid w:val="00923929"/>
    <w:rsid w:val="00923B99"/>
    <w:rsid w:val="00923BBC"/>
    <w:rsid w:val="00924664"/>
    <w:rsid w:val="00924C2B"/>
    <w:rsid w:val="00925412"/>
    <w:rsid w:val="0092553F"/>
    <w:rsid w:val="00925FA1"/>
    <w:rsid w:val="00926864"/>
    <w:rsid w:val="00927C26"/>
    <w:rsid w:val="00932A2E"/>
    <w:rsid w:val="00933345"/>
    <w:rsid w:val="009334A8"/>
    <w:rsid w:val="009351D9"/>
    <w:rsid w:val="00935E7C"/>
    <w:rsid w:val="00935EAC"/>
    <w:rsid w:val="009363DA"/>
    <w:rsid w:val="009371A0"/>
    <w:rsid w:val="00940663"/>
    <w:rsid w:val="0094144A"/>
    <w:rsid w:val="009425D6"/>
    <w:rsid w:val="00942E08"/>
    <w:rsid w:val="00942F51"/>
    <w:rsid w:val="00943878"/>
    <w:rsid w:val="00944455"/>
    <w:rsid w:val="009445A5"/>
    <w:rsid w:val="00944A5E"/>
    <w:rsid w:val="009458A6"/>
    <w:rsid w:val="00945EDC"/>
    <w:rsid w:val="009510C5"/>
    <w:rsid w:val="00951CA5"/>
    <w:rsid w:val="00951F90"/>
    <w:rsid w:val="009537DA"/>
    <w:rsid w:val="009537EA"/>
    <w:rsid w:val="00955295"/>
    <w:rsid w:val="00955DDF"/>
    <w:rsid w:val="00957B55"/>
    <w:rsid w:val="0096159C"/>
    <w:rsid w:val="0096201A"/>
    <w:rsid w:val="009621AC"/>
    <w:rsid w:val="00963ABD"/>
    <w:rsid w:val="00963E65"/>
    <w:rsid w:val="00964F3A"/>
    <w:rsid w:val="00965620"/>
    <w:rsid w:val="00967443"/>
    <w:rsid w:val="00967646"/>
    <w:rsid w:val="00967AFD"/>
    <w:rsid w:val="00972B4A"/>
    <w:rsid w:val="00973040"/>
    <w:rsid w:val="0097543B"/>
    <w:rsid w:val="00975B02"/>
    <w:rsid w:val="00976313"/>
    <w:rsid w:val="00980A7C"/>
    <w:rsid w:val="00981B12"/>
    <w:rsid w:val="0098297E"/>
    <w:rsid w:val="0098373B"/>
    <w:rsid w:val="00986A9E"/>
    <w:rsid w:val="00986FEE"/>
    <w:rsid w:val="0098771C"/>
    <w:rsid w:val="00990A1A"/>
    <w:rsid w:val="00990AE6"/>
    <w:rsid w:val="00993211"/>
    <w:rsid w:val="00994D7C"/>
    <w:rsid w:val="00996207"/>
    <w:rsid w:val="009971D3"/>
    <w:rsid w:val="009A1FFD"/>
    <w:rsid w:val="009A2447"/>
    <w:rsid w:val="009A2469"/>
    <w:rsid w:val="009A55F4"/>
    <w:rsid w:val="009B1C9B"/>
    <w:rsid w:val="009B22C7"/>
    <w:rsid w:val="009B4B25"/>
    <w:rsid w:val="009B5204"/>
    <w:rsid w:val="009B57AD"/>
    <w:rsid w:val="009B6CED"/>
    <w:rsid w:val="009C00C2"/>
    <w:rsid w:val="009C4841"/>
    <w:rsid w:val="009C48A8"/>
    <w:rsid w:val="009C4BAC"/>
    <w:rsid w:val="009C6F31"/>
    <w:rsid w:val="009C7065"/>
    <w:rsid w:val="009D0F59"/>
    <w:rsid w:val="009D2474"/>
    <w:rsid w:val="009D2A0D"/>
    <w:rsid w:val="009D3833"/>
    <w:rsid w:val="009D44A7"/>
    <w:rsid w:val="009D54B0"/>
    <w:rsid w:val="009D6109"/>
    <w:rsid w:val="009D651F"/>
    <w:rsid w:val="009D6948"/>
    <w:rsid w:val="009D7079"/>
    <w:rsid w:val="009E0E6D"/>
    <w:rsid w:val="009E1697"/>
    <w:rsid w:val="009E1763"/>
    <w:rsid w:val="009E1DB7"/>
    <w:rsid w:val="009E1E03"/>
    <w:rsid w:val="009E2D29"/>
    <w:rsid w:val="009E383B"/>
    <w:rsid w:val="009E3A3C"/>
    <w:rsid w:val="009E66F9"/>
    <w:rsid w:val="009F4778"/>
    <w:rsid w:val="009F5283"/>
    <w:rsid w:val="009F7576"/>
    <w:rsid w:val="00A001D9"/>
    <w:rsid w:val="00A0300F"/>
    <w:rsid w:val="00A0452E"/>
    <w:rsid w:val="00A055FC"/>
    <w:rsid w:val="00A06428"/>
    <w:rsid w:val="00A0732B"/>
    <w:rsid w:val="00A10217"/>
    <w:rsid w:val="00A1051C"/>
    <w:rsid w:val="00A1520F"/>
    <w:rsid w:val="00A154B7"/>
    <w:rsid w:val="00A15B3D"/>
    <w:rsid w:val="00A16236"/>
    <w:rsid w:val="00A16928"/>
    <w:rsid w:val="00A1709C"/>
    <w:rsid w:val="00A17A7A"/>
    <w:rsid w:val="00A219EB"/>
    <w:rsid w:val="00A238C7"/>
    <w:rsid w:val="00A252C7"/>
    <w:rsid w:val="00A25C69"/>
    <w:rsid w:val="00A27DC6"/>
    <w:rsid w:val="00A308B0"/>
    <w:rsid w:val="00A30B78"/>
    <w:rsid w:val="00A30F87"/>
    <w:rsid w:val="00A31186"/>
    <w:rsid w:val="00A31486"/>
    <w:rsid w:val="00A32503"/>
    <w:rsid w:val="00A331E4"/>
    <w:rsid w:val="00A33987"/>
    <w:rsid w:val="00A3562F"/>
    <w:rsid w:val="00A357E4"/>
    <w:rsid w:val="00A36488"/>
    <w:rsid w:val="00A36C48"/>
    <w:rsid w:val="00A40AF7"/>
    <w:rsid w:val="00A416B5"/>
    <w:rsid w:val="00A4252A"/>
    <w:rsid w:val="00A43FE6"/>
    <w:rsid w:val="00A43FFA"/>
    <w:rsid w:val="00A447B3"/>
    <w:rsid w:val="00A506CE"/>
    <w:rsid w:val="00A51583"/>
    <w:rsid w:val="00A51839"/>
    <w:rsid w:val="00A52130"/>
    <w:rsid w:val="00A53D20"/>
    <w:rsid w:val="00A54FD5"/>
    <w:rsid w:val="00A557EB"/>
    <w:rsid w:val="00A56555"/>
    <w:rsid w:val="00A5657D"/>
    <w:rsid w:val="00A5750B"/>
    <w:rsid w:val="00A60D23"/>
    <w:rsid w:val="00A60D2F"/>
    <w:rsid w:val="00A6308D"/>
    <w:rsid w:val="00A65ABD"/>
    <w:rsid w:val="00A66A3E"/>
    <w:rsid w:val="00A7086E"/>
    <w:rsid w:val="00A7160C"/>
    <w:rsid w:val="00A72A37"/>
    <w:rsid w:val="00A72B6D"/>
    <w:rsid w:val="00A746D8"/>
    <w:rsid w:val="00A74897"/>
    <w:rsid w:val="00A776EC"/>
    <w:rsid w:val="00A80FA7"/>
    <w:rsid w:val="00A827D0"/>
    <w:rsid w:val="00A834EB"/>
    <w:rsid w:val="00A8422E"/>
    <w:rsid w:val="00A843DC"/>
    <w:rsid w:val="00A84621"/>
    <w:rsid w:val="00A84750"/>
    <w:rsid w:val="00A86138"/>
    <w:rsid w:val="00A86537"/>
    <w:rsid w:val="00A86D01"/>
    <w:rsid w:val="00A90583"/>
    <w:rsid w:val="00A91644"/>
    <w:rsid w:val="00A91E88"/>
    <w:rsid w:val="00A927D6"/>
    <w:rsid w:val="00A92DF0"/>
    <w:rsid w:val="00A9353C"/>
    <w:rsid w:val="00A9562A"/>
    <w:rsid w:val="00A95F5E"/>
    <w:rsid w:val="00A97277"/>
    <w:rsid w:val="00A9797F"/>
    <w:rsid w:val="00AA0F5F"/>
    <w:rsid w:val="00AA335E"/>
    <w:rsid w:val="00AA3938"/>
    <w:rsid w:val="00AA583E"/>
    <w:rsid w:val="00AA6A2A"/>
    <w:rsid w:val="00AB0229"/>
    <w:rsid w:val="00AB10B2"/>
    <w:rsid w:val="00AB11CA"/>
    <w:rsid w:val="00AB1B99"/>
    <w:rsid w:val="00AB237F"/>
    <w:rsid w:val="00AB29CD"/>
    <w:rsid w:val="00AB2CF5"/>
    <w:rsid w:val="00AB6171"/>
    <w:rsid w:val="00AB7E10"/>
    <w:rsid w:val="00AC1190"/>
    <w:rsid w:val="00AC21AF"/>
    <w:rsid w:val="00AC239E"/>
    <w:rsid w:val="00AC2638"/>
    <w:rsid w:val="00AC2B6C"/>
    <w:rsid w:val="00AC3254"/>
    <w:rsid w:val="00AC3883"/>
    <w:rsid w:val="00AC4453"/>
    <w:rsid w:val="00AC48B3"/>
    <w:rsid w:val="00AC617F"/>
    <w:rsid w:val="00AC6636"/>
    <w:rsid w:val="00AC67AE"/>
    <w:rsid w:val="00AC7040"/>
    <w:rsid w:val="00AD017B"/>
    <w:rsid w:val="00AD10BB"/>
    <w:rsid w:val="00AD350D"/>
    <w:rsid w:val="00AD36A5"/>
    <w:rsid w:val="00AD4BC0"/>
    <w:rsid w:val="00AD4EC4"/>
    <w:rsid w:val="00AD5525"/>
    <w:rsid w:val="00AD5B55"/>
    <w:rsid w:val="00AD5DC8"/>
    <w:rsid w:val="00AD60FE"/>
    <w:rsid w:val="00AD75C8"/>
    <w:rsid w:val="00AE13B4"/>
    <w:rsid w:val="00AE4203"/>
    <w:rsid w:val="00AE444C"/>
    <w:rsid w:val="00AE48DB"/>
    <w:rsid w:val="00AE4D6E"/>
    <w:rsid w:val="00AE6455"/>
    <w:rsid w:val="00AF0033"/>
    <w:rsid w:val="00AF0401"/>
    <w:rsid w:val="00AF05A2"/>
    <w:rsid w:val="00AF1A36"/>
    <w:rsid w:val="00AF276B"/>
    <w:rsid w:val="00AF340D"/>
    <w:rsid w:val="00AF4462"/>
    <w:rsid w:val="00AF6147"/>
    <w:rsid w:val="00AF63C4"/>
    <w:rsid w:val="00B00B38"/>
    <w:rsid w:val="00B0109C"/>
    <w:rsid w:val="00B022C2"/>
    <w:rsid w:val="00B032BC"/>
    <w:rsid w:val="00B0337A"/>
    <w:rsid w:val="00B03B9A"/>
    <w:rsid w:val="00B049EB"/>
    <w:rsid w:val="00B055B7"/>
    <w:rsid w:val="00B07B12"/>
    <w:rsid w:val="00B07C63"/>
    <w:rsid w:val="00B10FEC"/>
    <w:rsid w:val="00B11783"/>
    <w:rsid w:val="00B119AA"/>
    <w:rsid w:val="00B12279"/>
    <w:rsid w:val="00B1255D"/>
    <w:rsid w:val="00B12AC3"/>
    <w:rsid w:val="00B138D1"/>
    <w:rsid w:val="00B13D1B"/>
    <w:rsid w:val="00B2008D"/>
    <w:rsid w:val="00B22D5B"/>
    <w:rsid w:val="00B26DB2"/>
    <w:rsid w:val="00B27186"/>
    <w:rsid w:val="00B27885"/>
    <w:rsid w:val="00B3162D"/>
    <w:rsid w:val="00B323BE"/>
    <w:rsid w:val="00B32BA6"/>
    <w:rsid w:val="00B32DC9"/>
    <w:rsid w:val="00B35E81"/>
    <w:rsid w:val="00B40A4C"/>
    <w:rsid w:val="00B41288"/>
    <w:rsid w:val="00B42B8E"/>
    <w:rsid w:val="00B43163"/>
    <w:rsid w:val="00B43E38"/>
    <w:rsid w:val="00B457E5"/>
    <w:rsid w:val="00B45F9A"/>
    <w:rsid w:val="00B469EB"/>
    <w:rsid w:val="00B52BB8"/>
    <w:rsid w:val="00B52BD9"/>
    <w:rsid w:val="00B5340E"/>
    <w:rsid w:val="00B55B48"/>
    <w:rsid w:val="00B57E08"/>
    <w:rsid w:val="00B601DD"/>
    <w:rsid w:val="00B60F1A"/>
    <w:rsid w:val="00B617C1"/>
    <w:rsid w:val="00B625AE"/>
    <w:rsid w:val="00B632AF"/>
    <w:rsid w:val="00B63F14"/>
    <w:rsid w:val="00B6633C"/>
    <w:rsid w:val="00B6642F"/>
    <w:rsid w:val="00B669D2"/>
    <w:rsid w:val="00B7039D"/>
    <w:rsid w:val="00B72F27"/>
    <w:rsid w:val="00B73EFF"/>
    <w:rsid w:val="00B7583D"/>
    <w:rsid w:val="00B75BFE"/>
    <w:rsid w:val="00B75C79"/>
    <w:rsid w:val="00B76032"/>
    <w:rsid w:val="00B76308"/>
    <w:rsid w:val="00B765D5"/>
    <w:rsid w:val="00B76E28"/>
    <w:rsid w:val="00B80030"/>
    <w:rsid w:val="00B80A69"/>
    <w:rsid w:val="00B83957"/>
    <w:rsid w:val="00B86983"/>
    <w:rsid w:val="00B90013"/>
    <w:rsid w:val="00B91194"/>
    <w:rsid w:val="00B96B20"/>
    <w:rsid w:val="00B96CD7"/>
    <w:rsid w:val="00BA027E"/>
    <w:rsid w:val="00BA1914"/>
    <w:rsid w:val="00BA340D"/>
    <w:rsid w:val="00BA3909"/>
    <w:rsid w:val="00BA4E6D"/>
    <w:rsid w:val="00BA4ECA"/>
    <w:rsid w:val="00BA6751"/>
    <w:rsid w:val="00BA7E36"/>
    <w:rsid w:val="00BB1073"/>
    <w:rsid w:val="00BB1133"/>
    <w:rsid w:val="00BB221D"/>
    <w:rsid w:val="00BB2DFD"/>
    <w:rsid w:val="00BB33EC"/>
    <w:rsid w:val="00BB5575"/>
    <w:rsid w:val="00BB5C2B"/>
    <w:rsid w:val="00BB6651"/>
    <w:rsid w:val="00BC0EC8"/>
    <w:rsid w:val="00BC1394"/>
    <w:rsid w:val="00BC1BE0"/>
    <w:rsid w:val="00BC1DEF"/>
    <w:rsid w:val="00BC2664"/>
    <w:rsid w:val="00BC312F"/>
    <w:rsid w:val="00BC3A4A"/>
    <w:rsid w:val="00BC5FDA"/>
    <w:rsid w:val="00BC652F"/>
    <w:rsid w:val="00BC7273"/>
    <w:rsid w:val="00BD0110"/>
    <w:rsid w:val="00BD013B"/>
    <w:rsid w:val="00BD052F"/>
    <w:rsid w:val="00BD328D"/>
    <w:rsid w:val="00BD362D"/>
    <w:rsid w:val="00BD3846"/>
    <w:rsid w:val="00BD3ABC"/>
    <w:rsid w:val="00BD3F65"/>
    <w:rsid w:val="00BD5CF8"/>
    <w:rsid w:val="00BD6AFE"/>
    <w:rsid w:val="00BD6CB1"/>
    <w:rsid w:val="00BD6D81"/>
    <w:rsid w:val="00BD6D85"/>
    <w:rsid w:val="00BE09DB"/>
    <w:rsid w:val="00BE0E23"/>
    <w:rsid w:val="00BE1CBC"/>
    <w:rsid w:val="00BE223D"/>
    <w:rsid w:val="00BE434F"/>
    <w:rsid w:val="00BE6754"/>
    <w:rsid w:val="00BE7218"/>
    <w:rsid w:val="00BF00E3"/>
    <w:rsid w:val="00BF0E10"/>
    <w:rsid w:val="00BF1FFD"/>
    <w:rsid w:val="00BF28D8"/>
    <w:rsid w:val="00BF2BBD"/>
    <w:rsid w:val="00BF3A4F"/>
    <w:rsid w:val="00BF3E7D"/>
    <w:rsid w:val="00BF4ECB"/>
    <w:rsid w:val="00BF5BCF"/>
    <w:rsid w:val="00BF60F3"/>
    <w:rsid w:val="00BF74CD"/>
    <w:rsid w:val="00BF7841"/>
    <w:rsid w:val="00BF794A"/>
    <w:rsid w:val="00BF7BB2"/>
    <w:rsid w:val="00C00BB6"/>
    <w:rsid w:val="00C00EAD"/>
    <w:rsid w:val="00C01979"/>
    <w:rsid w:val="00C01CFF"/>
    <w:rsid w:val="00C027C9"/>
    <w:rsid w:val="00C02B1A"/>
    <w:rsid w:val="00C02DD5"/>
    <w:rsid w:val="00C0399C"/>
    <w:rsid w:val="00C03FC1"/>
    <w:rsid w:val="00C05680"/>
    <w:rsid w:val="00C056E7"/>
    <w:rsid w:val="00C05CE7"/>
    <w:rsid w:val="00C06C34"/>
    <w:rsid w:val="00C06E67"/>
    <w:rsid w:val="00C07949"/>
    <w:rsid w:val="00C11276"/>
    <w:rsid w:val="00C141B7"/>
    <w:rsid w:val="00C141CC"/>
    <w:rsid w:val="00C16057"/>
    <w:rsid w:val="00C1605D"/>
    <w:rsid w:val="00C160CB"/>
    <w:rsid w:val="00C16A1A"/>
    <w:rsid w:val="00C17E7E"/>
    <w:rsid w:val="00C2309A"/>
    <w:rsid w:val="00C24624"/>
    <w:rsid w:val="00C24CD8"/>
    <w:rsid w:val="00C26FE8"/>
    <w:rsid w:val="00C303BD"/>
    <w:rsid w:val="00C30B60"/>
    <w:rsid w:val="00C318AF"/>
    <w:rsid w:val="00C318B0"/>
    <w:rsid w:val="00C34103"/>
    <w:rsid w:val="00C34704"/>
    <w:rsid w:val="00C3584E"/>
    <w:rsid w:val="00C36B29"/>
    <w:rsid w:val="00C3735B"/>
    <w:rsid w:val="00C4234D"/>
    <w:rsid w:val="00C42CB4"/>
    <w:rsid w:val="00C43276"/>
    <w:rsid w:val="00C43521"/>
    <w:rsid w:val="00C435E7"/>
    <w:rsid w:val="00C43872"/>
    <w:rsid w:val="00C44CAC"/>
    <w:rsid w:val="00C4570C"/>
    <w:rsid w:val="00C472C9"/>
    <w:rsid w:val="00C47549"/>
    <w:rsid w:val="00C52A25"/>
    <w:rsid w:val="00C52A8D"/>
    <w:rsid w:val="00C546D3"/>
    <w:rsid w:val="00C549BE"/>
    <w:rsid w:val="00C609D6"/>
    <w:rsid w:val="00C62724"/>
    <w:rsid w:val="00C63470"/>
    <w:rsid w:val="00C63715"/>
    <w:rsid w:val="00C6621D"/>
    <w:rsid w:val="00C66F23"/>
    <w:rsid w:val="00C71DD7"/>
    <w:rsid w:val="00C73D24"/>
    <w:rsid w:val="00C74AE2"/>
    <w:rsid w:val="00C75B4F"/>
    <w:rsid w:val="00C75D1F"/>
    <w:rsid w:val="00C7644F"/>
    <w:rsid w:val="00C77A1E"/>
    <w:rsid w:val="00C8017E"/>
    <w:rsid w:val="00C8152F"/>
    <w:rsid w:val="00C81FBC"/>
    <w:rsid w:val="00C837B4"/>
    <w:rsid w:val="00C83C25"/>
    <w:rsid w:val="00C83E14"/>
    <w:rsid w:val="00C83E5D"/>
    <w:rsid w:val="00C83ED9"/>
    <w:rsid w:val="00C91CE9"/>
    <w:rsid w:val="00C9498C"/>
    <w:rsid w:val="00C94A8C"/>
    <w:rsid w:val="00C953BC"/>
    <w:rsid w:val="00CA1339"/>
    <w:rsid w:val="00CA13BD"/>
    <w:rsid w:val="00CA359D"/>
    <w:rsid w:val="00CB0BE2"/>
    <w:rsid w:val="00CB1320"/>
    <w:rsid w:val="00CB17B4"/>
    <w:rsid w:val="00CB504C"/>
    <w:rsid w:val="00CB545E"/>
    <w:rsid w:val="00CC17B4"/>
    <w:rsid w:val="00CC227A"/>
    <w:rsid w:val="00CC3244"/>
    <w:rsid w:val="00CC51B4"/>
    <w:rsid w:val="00CC6B76"/>
    <w:rsid w:val="00CC7F52"/>
    <w:rsid w:val="00CD0401"/>
    <w:rsid w:val="00CD0835"/>
    <w:rsid w:val="00CD1826"/>
    <w:rsid w:val="00CD2E2E"/>
    <w:rsid w:val="00CD2F6B"/>
    <w:rsid w:val="00CD34A8"/>
    <w:rsid w:val="00CD36FF"/>
    <w:rsid w:val="00CD4EF9"/>
    <w:rsid w:val="00CD6231"/>
    <w:rsid w:val="00CD6A1B"/>
    <w:rsid w:val="00CD6BB0"/>
    <w:rsid w:val="00CD7342"/>
    <w:rsid w:val="00CD7863"/>
    <w:rsid w:val="00CE12E2"/>
    <w:rsid w:val="00CE1B1E"/>
    <w:rsid w:val="00CE247C"/>
    <w:rsid w:val="00CE37BB"/>
    <w:rsid w:val="00CE4395"/>
    <w:rsid w:val="00CE617C"/>
    <w:rsid w:val="00CE6509"/>
    <w:rsid w:val="00CE6C9F"/>
    <w:rsid w:val="00CE7622"/>
    <w:rsid w:val="00CF0403"/>
    <w:rsid w:val="00CF2850"/>
    <w:rsid w:val="00CF2EC5"/>
    <w:rsid w:val="00CF4982"/>
    <w:rsid w:val="00CF4B49"/>
    <w:rsid w:val="00CF7D31"/>
    <w:rsid w:val="00CF7E78"/>
    <w:rsid w:val="00D0188F"/>
    <w:rsid w:val="00D018FC"/>
    <w:rsid w:val="00D03100"/>
    <w:rsid w:val="00D04A0D"/>
    <w:rsid w:val="00D0512E"/>
    <w:rsid w:val="00D0583A"/>
    <w:rsid w:val="00D100EE"/>
    <w:rsid w:val="00D1077A"/>
    <w:rsid w:val="00D110CE"/>
    <w:rsid w:val="00D143BC"/>
    <w:rsid w:val="00D168F1"/>
    <w:rsid w:val="00D16E7F"/>
    <w:rsid w:val="00D16F43"/>
    <w:rsid w:val="00D17B37"/>
    <w:rsid w:val="00D2240C"/>
    <w:rsid w:val="00D22755"/>
    <w:rsid w:val="00D23296"/>
    <w:rsid w:val="00D2352F"/>
    <w:rsid w:val="00D24259"/>
    <w:rsid w:val="00D24292"/>
    <w:rsid w:val="00D24EBF"/>
    <w:rsid w:val="00D2539B"/>
    <w:rsid w:val="00D25FC5"/>
    <w:rsid w:val="00D300A8"/>
    <w:rsid w:val="00D30CFD"/>
    <w:rsid w:val="00D31EE6"/>
    <w:rsid w:val="00D32E2F"/>
    <w:rsid w:val="00D33D1E"/>
    <w:rsid w:val="00D375AD"/>
    <w:rsid w:val="00D40278"/>
    <w:rsid w:val="00D41B9F"/>
    <w:rsid w:val="00D422F4"/>
    <w:rsid w:val="00D42412"/>
    <w:rsid w:val="00D4376B"/>
    <w:rsid w:val="00D43B41"/>
    <w:rsid w:val="00D4457F"/>
    <w:rsid w:val="00D4472A"/>
    <w:rsid w:val="00D4483A"/>
    <w:rsid w:val="00D44CDE"/>
    <w:rsid w:val="00D45861"/>
    <w:rsid w:val="00D4604B"/>
    <w:rsid w:val="00D46F24"/>
    <w:rsid w:val="00D47D2A"/>
    <w:rsid w:val="00D507DE"/>
    <w:rsid w:val="00D51038"/>
    <w:rsid w:val="00D5108A"/>
    <w:rsid w:val="00D514CF"/>
    <w:rsid w:val="00D51724"/>
    <w:rsid w:val="00D5228B"/>
    <w:rsid w:val="00D522E3"/>
    <w:rsid w:val="00D53AE3"/>
    <w:rsid w:val="00D53D40"/>
    <w:rsid w:val="00D5541E"/>
    <w:rsid w:val="00D5646C"/>
    <w:rsid w:val="00D56580"/>
    <w:rsid w:val="00D56973"/>
    <w:rsid w:val="00D577EE"/>
    <w:rsid w:val="00D5795C"/>
    <w:rsid w:val="00D60B2B"/>
    <w:rsid w:val="00D61D94"/>
    <w:rsid w:val="00D61E70"/>
    <w:rsid w:val="00D624B4"/>
    <w:rsid w:val="00D6497A"/>
    <w:rsid w:val="00D65743"/>
    <w:rsid w:val="00D661D6"/>
    <w:rsid w:val="00D6623A"/>
    <w:rsid w:val="00D6645F"/>
    <w:rsid w:val="00D67A48"/>
    <w:rsid w:val="00D7079B"/>
    <w:rsid w:val="00D71676"/>
    <w:rsid w:val="00D72D75"/>
    <w:rsid w:val="00D731C0"/>
    <w:rsid w:val="00D73221"/>
    <w:rsid w:val="00D7385C"/>
    <w:rsid w:val="00D73CB1"/>
    <w:rsid w:val="00D73CEB"/>
    <w:rsid w:val="00D7409B"/>
    <w:rsid w:val="00D75969"/>
    <w:rsid w:val="00D76645"/>
    <w:rsid w:val="00D769A8"/>
    <w:rsid w:val="00D76E17"/>
    <w:rsid w:val="00D77F63"/>
    <w:rsid w:val="00D80093"/>
    <w:rsid w:val="00D80218"/>
    <w:rsid w:val="00D80AA1"/>
    <w:rsid w:val="00D8111F"/>
    <w:rsid w:val="00D81848"/>
    <w:rsid w:val="00D839A7"/>
    <w:rsid w:val="00D843A8"/>
    <w:rsid w:val="00D8490E"/>
    <w:rsid w:val="00D85307"/>
    <w:rsid w:val="00D8561E"/>
    <w:rsid w:val="00D85946"/>
    <w:rsid w:val="00D86F0C"/>
    <w:rsid w:val="00D9074E"/>
    <w:rsid w:val="00D907FC"/>
    <w:rsid w:val="00D91506"/>
    <w:rsid w:val="00D92153"/>
    <w:rsid w:val="00D93EE2"/>
    <w:rsid w:val="00D95614"/>
    <w:rsid w:val="00D95C0E"/>
    <w:rsid w:val="00D95EA0"/>
    <w:rsid w:val="00D96807"/>
    <w:rsid w:val="00D96A3E"/>
    <w:rsid w:val="00D97479"/>
    <w:rsid w:val="00D97526"/>
    <w:rsid w:val="00D97F2C"/>
    <w:rsid w:val="00DA00C6"/>
    <w:rsid w:val="00DA13EC"/>
    <w:rsid w:val="00DA22E5"/>
    <w:rsid w:val="00DA4A52"/>
    <w:rsid w:val="00DA4FC3"/>
    <w:rsid w:val="00DA59A4"/>
    <w:rsid w:val="00DA5ACC"/>
    <w:rsid w:val="00DA5FEC"/>
    <w:rsid w:val="00DA6243"/>
    <w:rsid w:val="00DA65B1"/>
    <w:rsid w:val="00DA6951"/>
    <w:rsid w:val="00DA6A1F"/>
    <w:rsid w:val="00DA7373"/>
    <w:rsid w:val="00DB284F"/>
    <w:rsid w:val="00DB3BD1"/>
    <w:rsid w:val="00DB49B0"/>
    <w:rsid w:val="00DB5082"/>
    <w:rsid w:val="00DB6D01"/>
    <w:rsid w:val="00DB70F0"/>
    <w:rsid w:val="00DC0715"/>
    <w:rsid w:val="00DC0F65"/>
    <w:rsid w:val="00DC11BF"/>
    <w:rsid w:val="00DC1256"/>
    <w:rsid w:val="00DC1794"/>
    <w:rsid w:val="00DC28E2"/>
    <w:rsid w:val="00DC446B"/>
    <w:rsid w:val="00DC4E52"/>
    <w:rsid w:val="00DC7984"/>
    <w:rsid w:val="00DD0524"/>
    <w:rsid w:val="00DD0FC0"/>
    <w:rsid w:val="00DD1402"/>
    <w:rsid w:val="00DD1C88"/>
    <w:rsid w:val="00DD295A"/>
    <w:rsid w:val="00DD4F9B"/>
    <w:rsid w:val="00DD507F"/>
    <w:rsid w:val="00DD7B46"/>
    <w:rsid w:val="00DE0517"/>
    <w:rsid w:val="00DE1CE4"/>
    <w:rsid w:val="00DE2EF5"/>
    <w:rsid w:val="00DE31B4"/>
    <w:rsid w:val="00DE39D7"/>
    <w:rsid w:val="00DE406F"/>
    <w:rsid w:val="00DE4C52"/>
    <w:rsid w:val="00DE51A6"/>
    <w:rsid w:val="00DE51B6"/>
    <w:rsid w:val="00DE570E"/>
    <w:rsid w:val="00DE65D5"/>
    <w:rsid w:val="00DE6E34"/>
    <w:rsid w:val="00DF0ACE"/>
    <w:rsid w:val="00DF0D20"/>
    <w:rsid w:val="00DF20FA"/>
    <w:rsid w:val="00DF2406"/>
    <w:rsid w:val="00DF3263"/>
    <w:rsid w:val="00DF32CC"/>
    <w:rsid w:val="00DF38A7"/>
    <w:rsid w:val="00DF3BC3"/>
    <w:rsid w:val="00DF3D8B"/>
    <w:rsid w:val="00DF4218"/>
    <w:rsid w:val="00DF4B6E"/>
    <w:rsid w:val="00DF6E5D"/>
    <w:rsid w:val="00DF7C20"/>
    <w:rsid w:val="00E01FF8"/>
    <w:rsid w:val="00E02F29"/>
    <w:rsid w:val="00E032C0"/>
    <w:rsid w:val="00E03545"/>
    <w:rsid w:val="00E03A9E"/>
    <w:rsid w:val="00E040A6"/>
    <w:rsid w:val="00E040C7"/>
    <w:rsid w:val="00E04302"/>
    <w:rsid w:val="00E0431D"/>
    <w:rsid w:val="00E04653"/>
    <w:rsid w:val="00E05F5C"/>
    <w:rsid w:val="00E06C87"/>
    <w:rsid w:val="00E100D6"/>
    <w:rsid w:val="00E1142A"/>
    <w:rsid w:val="00E12FAF"/>
    <w:rsid w:val="00E13E0D"/>
    <w:rsid w:val="00E14280"/>
    <w:rsid w:val="00E22EBD"/>
    <w:rsid w:val="00E23E64"/>
    <w:rsid w:val="00E24314"/>
    <w:rsid w:val="00E2444F"/>
    <w:rsid w:val="00E24C6F"/>
    <w:rsid w:val="00E2525A"/>
    <w:rsid w:val="00E252D6"/>
    <w:rsid w:val="00E25579"/>
    <w:rsid w:val="00E27613"/>
    <w:rsid w:val="00E27C31"/>
    <w:rsid w:val="00E27EDC"/>
    <w:rsid w:val="00E30718"/>
    <w:rsid w:val="00E3077A"/>
    <w:rsid w:val="00E3140A"/>
    <w:rsid w:val="00E31903"/>
    <w:rsid w:val="00E31BC4"/>
    <w:rsid w:val="00E322BD"/>
    <w:rsid w:val="00E3467D"/>
    <w:rsid w:val="00E35CBB"/>
    <w:rsid w:val="00E409A5"/>
    <w:rsid w:val="00E42074"/>
    <w:rsid w:val="00E42E71"/>
    <w:rsid w:val="00E4372C"/>
    <w:rsid w:val="00E4552D"/>
    <w:rsid w:val="00E471A9"/>
    <w:rsid w:val="00E501FE"/>
    <w:rsid w:val="00E50E54"/>
    <w:rsid w:val="00E52C1D"/>
    <w:rsid w:val="00E532A5"/>
    <w:rsid w:val="00E535F7"/>
    <w:rsid w:val="00E55259"/>
    <w:rsid w:val="00E556A8"/>
    <w:rsid w:val="00E5656E"/>
    <w:rsid w:val="00E5671A"/>
    <w:rsid w:val="00E57DE9"/>
    <w:rsid w:val="00E61804"/>
    <w:rsid w:val="00E6302F"/>
    <w:rsid w:val="00E63E90"/>
    <w:rsid w:val="00E64157"/>
    <w:rsid w:val="00E643A2"/>
    <w:rsid w:val="00E65A60"/>
    <w:rsid w:val="00E65DC8"/>
    <w:rsid w:val="00E71364"/>
    <w:rsid w:val="00E7215B"/>
    <w:rsid w:val="00E72659"/>
    <w:rsid w:val="00E73551"/>
    <w:rsid w:val="00E76248"/>
    <w:rsid w:val="00E76BAD"/>
    <w:rsid w:val="00E77020"/>
    <w:rsid w:val="00E77BEE"/>
    <w:rsid w:val="00E815BD"/>
    <w:rsid w:val="00E8251A"/>
    <w:rsid w:val="00E841BF"/>
    <w:rsid w:val="00E86026"/>
    <w:rsid w:val="00E8643C"/>
    <w:rsid w:val="00E867CD"/>
    <w:rsid w:val="00E86C0E"/>
    <w:rsid w:val="00E8784B"/>
    <w:rsid w:val="00E9224C"/>
    <w:rsid w:val="00E9247A"/>
    <w:rsid w:val="00E92AA9"/>
    <w:rsid w:val="00E93978"/>
    <w:rsid w:val="00E93DB6"/>
    <w:rsid w:val="00E96BCA"/>
    <w:rsid w:val="00E977A9"/>
    <w:rsid w:val="00E9794A"/>
    <w:rsid w:val="00EA18AF"/>
    <w:rsid w:val="00EA1A06"/>
    <w:rsid w:val="00EA2101"/>
    <w:rsid w:val="00EA3933"/>
    <w:rsid w:val="00EA4E0F"/>
    <w:rsid w:val="00EA66F8"/>
    <w:rsid w:val="00EA6A0B"/>
    <w:rsid w:val="00EA6F8A"/>
    <w:rsid w:val="00EB0A85"/>
    <w:rsid w:val="00EB1000"/>
    <w:rsid w:val="00EB1196"/>
    <w:rsid w:val="00EB2A89"/>
    <w:rsid w:val="00EB32C8"/>
    <w:rsid w:val="00EB3864"/>
    <w:rsid w:val="00EB4202"/>
    <w:rsid w:val="00EB59E7"/>
    <w:rsid w:val="00EB73EE"/>
    <w:rsid w:val="00EB7D5B"/>
    <w:rsid w:val="00EC0744"/>
    <w:rsid w:val="00EC08C2"/>
    <w:rsid w:val="00EC1BE8"/>
    <w:rsid w:val="00EC2A43"/>
    <w:rsid w:val="00EC562B"/>
    <w:rsid w:val="00EC6B3A"/>
    <w:rsid w:val="00ED009D"/>
    <w:rsid w:val="00ED0DAA"/>
    <w:rsid w:val="00ED0F30"/>
    <w:rsid w:val="00ED1D9F"/>
    <w:rsid w:val="00ED3DE4"/>
    <w:rsid w:val="00ED4604"/>
    <w:rsid w:val="00ED5623"/>
    <w:rsid w:val="00ED5848"/>
    <w:rsid w:val="00ED6DC7"/>
    <w:rsid w:val="00ED769C"/>
    <w:rsid w:val="00EE04CE"/>
    <w:rsid w:val="00EE073F"/>
    <w:rsid w:val="00EE2C1E"/>
    <w:rsid w:val="00EE2F45"/>
    <w:rsid w:val="00EE45B1"/>
    <w:rsid w:val="00EE5128"/>
    <w:rsid w:val="00EE65CB"/>
    <w:rsid w:val="00EE72CB"/>
    <w:rsid w:val="00EF14CC"/>
    <w:rsid w:val="00EF15EA"/>
    <w:rsid w:val="00EF202C"/>
    <w:rsid w:val="00EF3830"/>
    <w:rsid w:val="00EF42B4"/>
    <w:rsid w:val="00EF4317"/>
    <w:rsid w:val="00EF71A2"/>
    <w:rsid w:val="00EF7206"/>
    <w:rsid w:val="00F00C58"/>
    <w:rsid w:val="00F01023"/>
    <w:rsid w:val="00F01334"/>
    <w:rsid w:val="00F04B42"/>
    <w:rsid w:val="00F062C4"/>
    <w:rsid w:val="00F06461"/>
    <w:rsid w:val="00F06518"/>
    <w:rsid w:val="00F06FF0"/>
    <w:rsid w:val="00F074B0"/>
    <w:rsid w:val="00F13409"/>
    <w:rsid w:val="00F13587"/>
    <w:rsid w:val="00F1542B"/>
    <w:rsid w:val="00F15FA3"/>
    <w:rsid w:val="00F16468"/>
    <w:rsid w:val="00F16ACC"/>
    <w:rsid w:val="00F17049"/>
    <w:rsid w:val="00F17084"/>
    <w:rsid w:val="00F17BE2"/>
    <w:rsid w:val="00F21246"/>
    <w:rsid w:val="00F2152F"/>
    <w:rsid w:val="00F21769"/>
    <w:rsid w:val="00F22665"/>
    <w:rsid w:val="00F25F1A"/>
    <w:rsid w:val="00F2690C"/>
    <w:rsid w:val="00F269E7"/>
    <w:rsid w:val="00F26EA6"/>
    <w:rsid w:val="00F310CC"/>
    <w:rsid w:val="00F313C3"/>
    <w:rsid w:val="00F3223F"/>
    <w:rsid w:val="00F32C13"/>
    <w:rsid w:val="00F338FC"/>
    <w:rsid w:val="00F35931"/>
    <w:rsid w:val="00F35CE0"/>
    <w:rsid w:val="00F37BFF"/>
    <w:rsid w:val="00F42026"/>
    <w:rsid w:val="00F42BCC"/>
    <w:rsid w:val="00F43229"/>
    <w:rsid w:val="00F43CB2"/>
    <w:rsid w:val="00F50A22"/>
    <w:rsid w:val="00F50DB3"/>
    <w:rsid w:val="00F52C9B"/>
    <w:rsid w:val="00F552D1"/>
    <w:rsid w:val="00F55AE9"/>
    <w:rsid w:val="00F55EFD"/>
    <w:rsid w:val="00F57FF7"/>
    <w:rsid w:val="00F60060"/>
    <w:rsid w:val="00F611D6"/>
    <w:rsid w:val="00F61394"/>
    <w:rsid w:val="00F6146A"/>
    <w:rsid w:val="00F614C9"/>
    <w:rsid w:val="00F61883"/>
    <w:rsid w:val="00F61DA3"/>
    <w:rsid w:val="00F62DE9"/>
    <w:rsid w:val="00F64BED"/>
    <w:rsid w:val="00F64EE2"/>
    <w:rsid w:val="00F65A29"/>
    <w:rsid w:val="00F65EDE"/>
    <w:rsid w:val="00F66D18"/>
    <w:rsid w:val="00F71887"/>
    <w:rsid w:val="00F71C3A"/>
    <w:rsid w:val="00F71E2A"/>
    <w:rsid w:val="00F72C8C"/>
    <w:rsid w:val="00F73174"/>
    <w:rsid w:val="00F7408D"/>
    <w:rsid w:val="00F74400"/>
    <w:rsid w:val="00F7448C"/>
    <w:rsid w:val="00F74BE8"/>
    <w:rsid w:val="00F76544"/>
    <w:rsid w:val="00F7737E"/>
    <w:rsid w:val="00F80425"/>
    <w:rsid w:val="00F805C4"/>
    <w:rsid w:val="00F80C35"/>
    <w:rsid w:val="00F816EF"/>
    <w:rsid w:val="00F81C9E"/>
    <w:rsid w:val="00F822A3"/>
    <w:rsid w:val="00F837BA"/>
    <w:rsid w:val="00F842EE"/>
    <w:rsid w:val="00F85237"/>
    <w:rsid w:val="00F85CF0"/>
    <w:rsid w:val="00F860E8"/>
    <w:rsid w:val="00F861C5"/>
    <w:rsid w:val="00F86473"/>
    <w:rsid w:val="00F86DFA"/>
    <w:rsid w:val="00F878AF"/>
    <w:rsid w:val="00F925A3"/>
    <w:rsid w:val="00F93092"/>
    <w:rsid w:val="00F9481F"/>
    <w:rsid w:val="00F94B8D"/>
    <w:rsid w:val="00F95381"/>
    <w:rsid w:val="00F9570E"/>
    <w:rsid w:val="00F95A7A"/>
    <w:rsid w:val="00F966D1"/>
    <w:rsid w:val="00F9783D"/>
    <w:rsid w:val="00FA02F0"/>
    <w:rsid w:val="00FA0A8E"/>
    <w:rsid w:val="00FA0EB0"/>
    <w:rsid w:val="00FA10EA"/>
    <w:rsid w:val="00FA14A0"/>
    <w:rsid w:val="00FA248A"/>
    <w:rsid w:val="00FA24DC"/>
    <w:rsid w:val="00FA3BF4"/>
    <w:rsid w:val="00FA4743"/>
    <w:rsid w:val="00FA482B"/>
    <w:rsid w:val="00FA4FF7"/>
    <w:rsid w:val="00FA59CB"/>
    <w:rsid w:val="00FA5EB1"/>
    <w:rsid w:val="00FA6541"/>
    <w:rsid w:val="00FA7034"/>
    <w:rsid w:val="00FA7283"/>
    <w:rsid w:val="00FB19F0"/>
    <w:rsid w:val="00FB1A2C"/>
    <w:rsid w:val="00FB20A5"/>
    <w:rsid w:val="00FB2128"/>
    <w:rsid w:val="00FB511C"/>
    <w:rsid w:val="00FB53FE"/>
    <w:rsid w:val="00FB5590"/>
    <w:rsid w:val="00FB5D29"/>
    <w:rsid w:val="00FB634D"/>
    <w:rsid w:val="00FB6A98"/>
    <w:rsid w:val="00FB6B2A"/>
    <w:rsid w:val="00FB7D99"/>
    <w:rsid w:val="00FC06EF"/>
    <w:rsid w:val="00FC0D41"/>
    <w:rsid w:val="00FC1BD3"/>
    <w:rsid w:val="00FC2A35"/>
    <w:rsid w:val="00FC2C07"/>
    <w:rsid w:val="00FC32E5"/>
    <w:rsid w:val="00FC46E0"/>
    <w:rsid w:val="00FC4B21"/>
    <w:rsid w:val="00FC5DA7"/>
    <w:rsid w:val="00FC5DBD"/>
    <w:rsid w:val="00FC6182"/>
    <w:rsid w:val="00FC6603"/>
    <w:rsid w:val="00FC7E2E"/>
    <w:rsid w:val="00FD0063"/>
    <w:rsid w:val="00FD1A25"/>
    <w:rsid w:val="00FD2150"/>
    <w:rsid w:val="00FD3E83"/>
    <w:rsid w:val="00FD5E7F"/>
    <w:rsid w:val="00FE06AC"/>
    <w:rsid w:val="00FE07A7"/>
    <w:rsid w:val="00FE2BDF"/>
    <w:rsid w:val="00FE2E1D"/>
    <w:rsid w:val="00FE3251"/>
    <w:rsid w:val="00FE3BC2"/>
    <w:rsid w:val="00FF0C48"/>
    <w:rsid w:val="00FF3F67"/>
    <w:rsid w:val="00FF4924"/>
    <w:rsid w:val="00FF5F40"/>
    <w:rsid w:val="00FF7313"/>
    <w:rsid w:val="00FF75C7"/>
    <w:rsid w:val="016F16FB"/>
    <w:rsid w:val="01BD4A39"/>
    <w:rsid w:val="01D87F75"/>
    <w:rsid w:val="021876EC"/>
    <w:rsid w:val="02684F7E"/>
    <w:rsid w:val="031D0350"/>
    <w:rsid w:val="03432821"/>
    <w:rsid w:val="034D4FBD"/>
    <w:rsid w:val="034F5818"/>
    <w:rsid w:val="03976119"/>
    <w:rsid w:val="03A138CE"/>
    <w:rsid w:val="03C5307E"/>
    <w:rsid w:val="040959F7"/>
    <w:rsid w:val="044B1342"/>
    <w:rsid w:val="04A33269"/>
    <w:rsid w:val="04D80535"/>
    <w:rsid w:val="05D840BB"/>
    <w:rsid w:val="070C3F31"/>
    <w:rsid w:val="07107CC3"/>
    <w:rsid w:val="071E46D2"/>
    <w:rsid w:val="07244684"/>
    <w:rsid w:val="074C1610"/>
    <w:rsid w:val="076A1ED3"/>
    <w:rsid w:val="077D23C8"/>
    <w:rsid w:val="077E5BFB"/>
    <w:rsid w:val="078965F9"/>
    <w:rsid w:val="079F0DC2"/>
    <w:rsid w:val="07D26499"/>
    <w:rsid w:val="080F4113"/>
    <w:rsid w:val="081B28A5"/>
    <w:rsid w:val="08387E2F"/>
    <w:rsid w:val="083D733B"/>
    <w:rsid w:val="086123D7"/>
    <w:rsid w:val="08782E64"/>
    <w:rsid w:val="087D2DA4"/>
    <w:rsid w:val="0891753F"/>
    <w:rsid w:val="095F6E9A"/>
    <w:rsid w:val="097D096F"/>
    <w:rsid w:val="09911822"/>
    <w:rsid w:val="09927536"/>
    <w:rsid w:val="099D3EF6"/>
    <w:rsid w:val="0A035BDB"/>
    <w:rsid w:val="0A125676"/>
    <w:rsid w:val="0A8B37FE"/>
    <w:rsid w:val="0B247221"/>
    <w:rsid w:val="0B2B4B52"/>
    <w:rsid w:val="0B424CDD"/>
    <w:rsid w:val="0B5C5AF0"/>
    <w:rsid w:val="0B720D46"/>
    <w:rsid w:val="0B787D60"/>
    <w:rsid w:val="0B996B55"/>
    <w:rsid w:val="0BBD74A3"/>
    <w:rsid w:val="0C580E88"/>
    <w:rsid w:val="0D2B41C8"/>
    <w:rsid w:val="0D3764E2"/>
    <w:rsid w:val="0D625DFC"/>
    <w:rsid w:val="0DB60ADD"/>
    <w:rsid w:val="0E930150"/>
    <w:rsid w:val="0F3E4653"/>
    <w:rsid w:val="0F5512C6"/>
    <w:rsid w:val="0F781155"/>
    <w:rsid w:val="0F9C443E"/>
    <w:rsid w:val="0FBD05FD"/>
    <w:rsid w:val="0FDE569D"/>
    <w:rsid w:val="0FEB7704"/>
    <w:rsid w:val="10B62CCD"/>
    <w:rsid w:val="10BC13E6"/>
    <w:rsid w:val="10E46E12"/>
    <w:rsid w:val="10FA2039"/>
    <w:rsid w:val="110820F8"/>
    <w:rsid w:val="11626960"/>
    <w:rsid w:val="116C0BEE"/>
    <w:rsid w:val="117E5CFB"/>
    <w:rsid w:val="11E85599"/>
    <w:rsid w:val="123D183D"/>
    <w:rsid w:val="12445622"/>
    <w:rsid w:val="125515DD"/>
    <w:rsid w:val="12750A9A"/>
    <w:rsid w:val="12A67D38"/>
    <w:rsid w:val="12C76714"/>
    <w:rsid w:val="138F0B1F"/>
    <w:rsid w:val="13D3395D"/>
    <w:rsid w:val="13ED66B2"/>
    <w:rsid w:val="140E1A5D"/>
    <w:rsid w:val="145964E0"/>
    <w:rsid w:val="148B5626"/>
    <w:rsid w:val="14C7637A"/>
    <w:rsid w:val="14E27D94"/>
    <w:rsid w:val="14EE72C8"/>
    <w:rsid w:val="15C13046"/>
    <w:rsid w:val="16180861"/>
    <w:rsid w:val="16492C49"/>
    <w:rsid w:val="16E50EAD"/>
    <w:rsid w:val="172204C6"/>
    <w:rsid w:val="17273547"/>
    <w:rsid w:val="17400EF7"/>
    <w:rsid w:val="17EA6EE7"/>
    <w:rsid w:val="17F730E9"/>
    <w:rsid w:val="18057282"/>
    <w:rsid w:val="180D4EB0"/>
    <w:rsid w:val="18146905"/>
    <w:rsid w:val="181F786B"/>
    <w:rsid w:val="185D4679"/>
    <w:rsid w:val="18BA59B3"/>
    <w:rsid w:val="18D55226"/>
    <w:rsid w:val="18EC0EAD"/>
    <w:rsid w:val="18FF1156"/>
    <w:rsid w:val="195C5C93"/>
    <w:rsid w:val="199726C5"/>
    <w:rsid w:val="199D05C1"/>
    <w:rsid w:val="19B20F3B"/>
    <w:rsid w:val="1A2A6941"/>
    <w:rsid w:val="1A312C14"/>
    <w:rsid w:val="1A424906"/>
    <w:rsid w:val="1AA13F2E"/>
    <w:rsid w:val="1AE032ED"/>
    <w:rsid w:val="1B99244F"/>
    <w:rsid w:val="1BD22712"/>
    <w:rsid w:val="1C020C6B"/>
    <w:rsid w:val="1C31561C"/>
    <w:rsid w:val="1C43618A"/>
    <w:rsid w:val="1CDD7F2E"/>
    <w:rsid w:val="1D244763"/>
    <w:rsid w:val="1D325168"/>
    <w:rsid w:val="1D3779E5"/>
    <w:rsid w:val="1D3910AE"/>
    <w:rsid w:val="1D5C7A92"/>
    <w:rsid w:val="1DBA7CEB"/>
    <w:rsid w:val="1DFE4089"/>
    <w:rsid w:val="1E0459F4"/>
    <w:rsid w:val="1E3824DF"/>
    <w:rsid w:val="1E6869D2"/>
    <w:rsid w:val="1E6F4012"/>
    <w:rsid w:val="1EFA458A"/>
    <w:rsid w:val="1EFF2E10"/>
    <w:rsid w:val="1F136AA8"/>
    <w:rsid w:val="1F1E582B"/>
    <w:rsid w:val="1F3F378B"/>
    <w:rsid w:val="1F9B4659"/>
    <w:rsid w:val="1FBA0F30"/>
    <w:rsid w:val="1FF51F42"/>
    <w:rsid w:val="20D362D7"/>
    <w:rsid w:val="20EE206D"/>
    <w:rsid w:val="218B2675"/>
    <w:rsid w:val="21AA1C25"/>
    <w:rsid w:val="21DE4745"/>
    <w:rsid w:val="22B6244F"/>
    <w:rsid w:val="22D93F9B"/>
    <w:rsid w:val="232147B7"/>
    <w:rsid w:val="23225792"/>
    <w:rsid w:val="23E46C65"/>
    <w:rsid w:val="2400458A"/>
    <w:rsid w:val="245B5746"/>
    <w:rsid w:val="24D07A2F"/>
    <w:rsid w:val="253C7578"/>
    <w:rsid w:val="255B7E50"/>
    <w:rsid w:val="25A84F00"/>
    <w:rsid w:val="25AE6518"/>
    <w:rsid w:val="25B369E4"/>
    <w:rsid w:val="25BA3BF8"/>
    <w:rsid w:val="25E14A26"/>
    <w:rsid w:val="26102C28"/>
    <w:rsid w:val="262B46D7"/>
    <w:rsid w:val="2650645D"/>
    <w:rsid w:val="269D278F"/>
    <w:rsid w:val="26CF1507"/>
    <w:rsid w:val="26D5001F"/>
    <w:rsid w:val="27237A11"/>
    <w:rsid w:val="273E78B8"/>
    <w:rsid w:val="279377FB"/>
    <w:rsid w:val="27A12394"/>
    <w:rsid w:val="27A223E6"/>
    <w:rsid w:val="282C5A6C"/>
    <w:rsid w:val="285C37D0"/>
    <w:rsid w:val="285F6F9C"/>
    <w:rsid w:val="289F4879"/>
    <w:rsid w:val="28C5192E"/>
    <w:rsid w:val="28E735D2"/>
    <w:rsid w:val="28E82092"/>
    <w:rsid w:val="29087733"/>
    <w:rsid w:val="29134EC1"/>
    <w:rsid w:val="294066EC"/>
    <w:rsid w:val="2975038D"/>
    <w:rsid w:val="29F834FD"/>
    <w:rsid w:val="2A073660"/>
    <w:rsid w:val="2A077209"/>
    <w:rsid w:val="2A2F576C"/>
    <w:rsid w:val="2ACD3E63"/>
    <w:rsid w:val="2B165973"/>
    <w:rsid w:val="2B4A6B27"/>
    <w:rsid w:val="2B910099"/>
    <w:rsid w:val="2B9B4512"/>
    <w:rsid w:val="2BF76D15"/>
    <w:rsid w:val="2C0C6D22"/>
    <w:rsid w:val="2C2A09E3"/>
    <w:rsid w:val="2C78289F"/>
    <w:rsid w:val="2C9F4335"/>
    <w:rsid w:val="2CBA3854"/>
    <w:rsid w:val="2D495D24"/>
    <w:rsid w:val="2D830AD5"/>
    <w:rsid w:val="2D9454C4"/>
    <w:rsid w:val="2E1220D3"/>
    <w:rsid w:val="2E3737E1"/>
    <w:rsid w:val="2E61338C"/>
    <w:rsid w:val="2E6976BF"/>
    <w:rsid w:val="2E842923"/>
    <w:rsid w:val="2EC50499"/>
    <w:rsid w:val="2F131587"/>
    <w:rsid w:val="2F143261"/>
    <w:rsid w:val="2F217C86"/>
    <w:rsid w:val="2F4A3E20"/>
    <w:rsid w:val="2F854DEE"/>
    <w:rsid w:val="2F9A2D21"/>
    <w:rsid w:val="2FC21538"/>
    <w:rsid w:val="2FD47B8E"/>
    <w:rsid w:val="2FD96B30"/>
    <w:rsid w:val="2FDA0C5F"/>
    <w:rsid w:val="2FDF3EAB"/>
    <w:rsid w:val="30084543"/>
    <w:rsid w:val="30142846"/>
    <w:rsid w:val="301D7787"/>
    <w:rsid w:val="30561163"/>
    <w:rsid w:val="3057676D"/>
    <w:rsid w:val="30911D77"/>
    <w:rsid w:val="30A91ED3"/>
    <w:rsid w:val="30C72FFF"/>
    <w:rsid w:val="30F128A3"/>
    <w:rsid w:val="315C42DF"/>
    <w:rsid w:val="317E1122"/>
    <w:rsid w:val="31AD283A"/>
    <w:rsid w:val="31E86146"/>
    <w:rsid w:val="320F7EB6"/>
    <w:rsid w:val="32160DE5"/>
    <w:rsid w:val="32401D50"/>
    <w:rsid w:val="324F1D53"/>
    <w:rsid w:val="32F44EBD"/>
    <w:rsid w:val="334828EB"/>
    <w:rsid w:val="33721710"/>
    <w:rsid w:val="33D31231"/>
    <w:rsid w:val="33E603D9"/>
    <w:rsid w:val="345D0D46"/>
    <w:rsid w:val="34A518CD"/>
    <w:rsid w:val="34C21425"/>
    <w:rsid w:val="34CE2B20"/>
    <w:rsid w:val="35063732"/>
    <w:rsid w:val="35094DA0"/>
    <w:rsid w:val="35494B7A"/>
    <w:rsid w:val="35506E87"/>
    <w:rsid w:val="35662E15"/>
    <w:rsid w:val="356B6FE7"/>
    <w:rsid w:val="359E179D"/>
    <w:rsid w:val="359F496F"/>
    <w:rsid w:val="36006FFF"/>
    <w:rsid w:val="360F6E6C"/>
    <w:rsid w:val="366614CD"/>
    <w:rsid w:val="37630F49"/>
    <w:rsid w:val="37924800"/>
    <w:rsid w:val="379C6D7E"/>
    <w:rsid w:val="383C5F9A"/>
    <w:rsid w:val="384E55D1"/>
    <w:rsid w:val="38604C1F"/>
    <w:rsid w:val="38B6339B"/>
    <w:rsid w:val="38E75A70"/>
    <w:rsid w:val="391500B7"/>
    <w:rsid w:val="394E479F"/>
    <w:rsid w:val="39796F43"/>
    <w:rsid w:val="39BE5B37"/>
    <w:rsid w:val="3A7A635F"/>
    <w:rsid w:val="3AB74884"/>
    <w:rsid w:val="3AC9661D"/>
    <w:rsid w:val="3AE80991"/>
    <w:rsid w:val="3BE05507"/>
    <w:rsid w:val="3BE87859"/>
    <w:rsid w:val="3C080E86"/>
    <w:rsid w:val="3CC44E04"/>
    <w:rsid w:val="3CDB7FEF"/>
    <w:rsid w:val="3CDC704B"/>
    <w:rsid w:val="3DB4356C"/>
    <w:rsid w:val="3E0A41CC"/>
    <w:rsid w:val="3E1C72D0"/>
    <w:rsid w:val="3E53775D"/>
    <w:rsid w:val="3E55633E"/>
    <w:rsid w:val="3E741E75"/>
    <w:rsid w:val="3E9F6530"/>
    <w:rsid w:val="3F6B21D5"/>
    <w:rsid w:val="3F9E5AC2"/>
    <w:rsid w:val="40082068"/>
    <w:rsid w:val="40246B89"/>
    <w:rsid w:val="405B281D"/>
    <w:rsid w:val="40E816EB"/>
    <w:rsid w:val="4111461C"/>
    <w:rsid w:val="41192AE2"/>
    <w:rsid w:val="411D024C"/>
    <w:rsid w:val="41481DFA"/>
    <w:rsid w:val="41564B2B"/>
    <w:rsid w:val="416A113D"/>
    <w:rsid w:val="417D0085"/>
    <w:rsid w:val="41816D11"/>
    <w:rsid w:val="41CC2DBB"/>
    <w:rsid w:val="42CC1765"/>
    <w:rsid w:val="430B7913"/>
    <w:rsid w:val="43AE182C"/>
    <w:rsid w:val="43B73DF3"/>
    <w:rsid w:val="43EF4399"/>
    <w:rsid w:val="44213356"/>
    <w:rsid w:val="4474467B"/>
    <w:rsid w:val="447A78C7"/>
    <w:rsid w:val="4480307B"/>
    <w:rsid w:val="44DF3D8B"/>
    <w:rsid w:val="44F721F7"/>
    <w:rsid w:val="44FC3914"/>
    <w:rsid w:val="45052470"/>
    <w:rsid w:val="45154A79"/>
    <w:rsid w:val="45157E48"/>
    <w:rsid w:val="453A7ED8"/>
    <w:rsid w:val="45484499"/>
    <w:rsid w:val="456E260C"/>
    <w:rsid w:val="45B57017"/>
    <w:rsid w:val="45D73970"/>
    <w:rsid w:val="461D4DFF"/>
    <w:rsid w:val="463772D8"/>
    <w:rsid w:val="467B1A29"/>
    <w:rsid w:val="468507CA"/>
    <w:rsid w:val="46C51F93"/>
    <w:rsid w:val="46D52C1A"/>
    <w:rsid w:val="46D5626E"/>
    <w:rsid w:val="46EB7D39"/>
    <w:rsid w:val="472C13C2"/>
    <w:rsid w:val="473911F1"/>
    <w:rsid w:val="47F50E65"/>
    <w:rsid w:val="48355BCD"/>
    <w:rsid w:val="486243D2"/>
    <w:rsid w:val="48846460"/>
    <w:rsid w:val="48D30980"/>
    <w:rsid w:val="48D97C39"/>
    <w:rsid w:val="48F67B4B"/>
    <w:rsid w:val="49115557"/>
    <w:rsid w:val="49355CE9"/>
    <w:rsid w:val="49397528"/>
    <w:rsid w:val="49D62622"/>
    <w:rsid w:val="49F91446"/>
    <w:rsid w:val="49FB55C1"/>
    <w:rsid w:val="4A03116D"/>
    <w:rsid w:val="4A4B6FE6"/>
    <w:rsid w:val="4A5531E3"/>
    <w:rsid w:val="4AEB74F2"/>
    <w:rsid w:val="4AF709EA"/>
    <w:rsid w:val="4B0318CD"/>
    <w:rsid w:val="4B1F004D"/>
    <w:rsid w:val="4B55738E"/>
    <w:rsid w:val="4B60469D"/>
    <w:rsid w:val="4BA6033D"/>
    <w:rsid w:val="4BC026E2"/>
    <w:rsid w:val="4BE73B8F"/>
    <w:rsid w:val="4C873C6E"/>
    <w:rsid w:val="4CC0176E"/>
    <w:rsid w:val="4DA1357C"/>
    <w:rsid w:val="4DBF6E06"/>
    <w:rsid w:val="4EB72D0A"/>
    <w:rsid w:val="4EC67D93"/>
    <w:rsid w:val="4ECF3C4F"/>
    <w:rsid w:val="4EE01C53"/>
    <w:rsid w:val="4EE23333"/>
    <w:rsid w:val="4F2318D5"/>
    <w:rsid w:val="4F8A6920"/>
    <w:rsid w:val="4FB73BED"/>
    <w:rsid w:val="4FE12CFD"/>
    <w:rsid w:val="4FE749FB"/>
    <w:rsid w:val="50152B9F"/>
    <w:rsid w:val="5019487C"/>
    <w:rsid w:val="501974D9"/>
    <w:rsid w:val="50292157"/>
    <w:rsid w:val="5043693E"/>
    <w:rsid w:val="508B008C"/>
    <w:rsid w:val="509C399E"/>
    <w:rsid w:val="50AD77DA"/>
    <w:rsid w:val="50E571FD"/>
    <w:rsid w:val="50FC4A76"/>
    <w:rsid w:val="517F56E9"/>
    <w:rsid w:val="52205907"/>
    <w:rsid w:val="5264494A"/>
    <w:rsid w:val="5293358D"/>
    <w:rsid w:val="52B04EA6"/>
    <w:rsid w:val="52CA0C50"/>
    <w:rsid w:val="532F7B99"/>
    <w:rsid w:val="535F5C20"/>
    <w:rsid w:val="536F35A6"/>
    <w:rsid w:val="53913B4F"/>
    <w:rsid w:val="53AA10F6"/>
    <w:rsid w:val="53E600BE"/>
    <w:rsid w:val="53F421C2"/>
    <w:rsid w:val="540074EE"/>
    <w:rsid w:val="54457F5D"/>
    <w:rsid w:val="5499510D"/>
    <w:rsid w:val="54B62F54"/>
    <w:rsid w:val="54C0570F"/>
    <w:rsid w:val="555E7D76"/>
    <w:rsid w:val="55A0038E"/>
    <w:rsid w:val="55C7560F"/>
    <w:rsid w:val="563854E1"/>
    <w:rsid w:val="569946E0"/>
    <w:rsid w:val="56DB003C"/>
    <w:rsid w:val="56E412B7"/>
    <w:rsid w:val="56E53E56"/>
    <w:rsid w:val="56FD28D7"/>
    <w:rsid w:val="57026BB2"/>
    <w:rsid w:val="5737087F"/>
    <w:rsid w:val="573963A5"/>
    <w:rsid w:val="57476D14"/>
    <w:rsid w:val="57C86CC0"/>
    <w:rsid w:val="57EE113E"/>
    <w:rsid w:val="58743D20"/>
    <w:rsid w:val="58787070"/>
    <w:rsid w:val="58975896"/>
    <w:rsid w:val="58976A01"/>
    <w:rsid w:val="58A42B7D"/>
    <w:rsid w:val="58C60230"/>
    <w:rsid w:val="58C718FB"/>
    <w:rsid w:val="58C8014A"/>
    <w:rsid w:val="58F1196B"/>
    <w:rsid w:val="592005F2"/>
    <w:rsid w:val="59D95C1D"/>
    <w:rsid w:val="59EA1BD8"/>
    <w:rsid w:val="5A02180A"/>
    <w:rsid w:val="5A293626"/>
    <w:rsid w:val="5A516990"/>
    <w:rsid w:val="5A5466F6"/>
    <w:rsid w:val="5A583F4E"/>
    <w:rsid w:val="5A663615"/>
    <w:rsid w:val="5A7D0617"/>
    <w:rsid w:val="5AE80253"/>
    <w:rsid w:val="5B9A4407"/>
    <w:rsid w:val="5BB64046"/>
    <w:rsid w:val="5BE965A6"/>
    <w:rsid w:val="5BF83153"/>
    <w:rsid w:val="5C1170D3"/>
    <w:rsid w:val="5C4674A3"/>
    <w:rsid w:val="5C4D376E"/>
    <w:rsid w:val="5C9A2256"/>
    <w:rsid w:val="5C9B0909"/>
    <w:rsid w:val="5CA30371"/>
    <w:rsid w:val="5CCC28E2"/>
    <w:rsid w:val="5D315D31"/>
    <w:rsid w:val="5D8C7CC7"/>
    <w:rsid w:val="5D8F5755"/>
    <w:rsid w:val="5E3A06A5"/>
    <w:rsid w:val="5E765F44"/>
    <w:rsid w:val="5E8B5085"/>
    <w:rsid w:val="5ED6097D"/>
    <w:rsid w:val="5F67485F"/>
    <w:rsid w:val="5F894609"/>
    <w:rsid w:val="5F962DD4"/>
    <w:rsid w:val="5F9A1FD3"/>
    <w:rsid w:val="5FD36373"/>
    <w:rsid w:val="5FDC1844"/>
    <w:rsid w:val="5FFC4E97"/>
    <w:rsid w:val="603761EE"/>
    <w:rsid w:val="60513192"/>
    <w:rsid w:val="60670053"/>
    <w:rsid w:val="608114ED"/>
    <w:rsid w:val="60AC40C6"/>
    <w:rsid w:val="60C274DC"/>
    <w:rsid w:val="613A7C87"/>
    <w:rsid w:val="621A71DD"/>
    <w:rsid w:val="621F3F0C"/>
    <w:rsid w:val="626304C4"/>
    <w:rsid w:val="62807874"/>
    <w:rsid w:val="62990DA2"/>
    <w:rsid w:val="634E55EC"/>
    <w:rsid w:val="637859F9"/>
    <w:rsid w:val="63D76700"/>
    <w:rsid w:val="63E92F01"/>
    <w:rsid w:val="63EB1D2D"/>
    <w:rsid w:val="63FF2724"/>
    <w:rsid w:val="64022799"/>
    <w:rsid w:val="64195E96"/>
    <w:rsid w:val="642159B7"/>
    <w:rsid w:val="647E2B97"/>
    <w:rsid w:val="64D616D7"/>
    <w:rsid w:val="64F920B5"/>
    <w:rsid w:val="657F2FE4"/>
    <w:rsid w:val="66391F6A"/>
    <w:rsid w:val="664346B3"/>
    <w:rsid w:val="665667E3"/>
    <w:rsid w:val="667701E0"/>
    <w:rsid w:val="66A97EE4"/>
    <w:rsid w:val="66B9305E"/>
    <w:rsid w:val="66CD27E5"/>
    <w:rsid w:val="66D6417F"/>
    <w:rsid w:val="66E72749"/>
    <w:rsid w:val="66E81099"/>
    <w:rsid w:val="66F25E74"/>
    <w:rsid w:val="67210C01"/>
    <w:rsid w:val="673A2C09"/>
    <w:rsid w:val="67441B7E"/>
    <w:rsid w:val="676826BE"/>
    <w:rsid w:val="6779080D"/>
    <w:rsid w:val="678222CE"/>
    <w:rsid w:val="67D30150"/>
    <w:rsid w:val="67EA4D4E"/>
    <w:rsid w:val="67F215DE"/>
    <w:rsid w:val="67F3434E"/>
    <w:rsid w:val="680471C0"/>
    <w:rsid w:val="68121515"/>
    <w:rsid w:val="6817503B"/>
    <w:rsid w:val="684E31B6"/>
    <w:rsid w:val="685D55AC"/>
    <w:rsid w:val="695C3F1D"/>
    <w:rsid w:val="69A715A8"/>
    <w:rsid w:val="6A1F373D"/>
    <w:rsid w:val="6A7218FD"/>
    <w:rsid w:val="6AD815B0"/>
    <w:rsid w:val="6AFC76A3"/>
    <w:rsid w:val="6B0F353B"/>
    <w:rsid w:val="6B395F18"/>
    <w:rsid w:val="6B7B7B72"/>
    <w:rsid w:val="6B7D7B16"/>
    <w:rsid w:val="6BB424A0"/>
    <w:rsid w:val="6BC6093E"/>
    <w:rsid w:val="6BD40105"/>
    <w:rsid w:val="6BF64EAE"/>
    <w:rsid w:val="6C403715"/>
    <w:rsid w:val="6C5C3FB1"/>
    <w:rsid w:val="6C9514B1"/>
    <w:rsid w:val="6CA22864"/>
    <w:rsid w:val="6D4846EB"/>
    <w:rsid w:val="6DA35BBA"/>
    <w:rsid w:val="6DB137B6"/>
    <w:rsid w:val="6DBE27AA"/>
    <w:rsid w:val="6DD30AC9"/>
    <w:rsid w:val="6E4B0418"/>
    <w:rsid w:val="6E4E3083"/>
    <w:rsid w:val="6EB513BC"/>
    <w:rsid w:val="6EC61449"/>
    <w:rsid w:val="6ED73973"/>
    <w:rsid w:val="6EDB28AA"/>
    <w:rsid w:val="6EE319A2"/>
    <w:rsid w:val="6EEB6C7A"/>
    <w:rsid w:val="6F8704E3"/>
    <w:rsid w:val="6F9A47E5"/>
    <w:rsid w:val="6FA47D8A"/>
    <w:rsid w:val="6FAA1B94"/>
    <w:rsid w:val="6FEB735C"/>
    <w:rsid w:val="6FEC7B03"/>
    <w:rsid w:val="70545BA6"/>
    <w:rsid w:val="70C31FE5"/>
    <w:rsid w:val="70F45D49"/>
    <w:rsid w:val="715B3690"/>
    <w:rsid w:val="716D504F"/>
    <w:rsid w:val="71D945B4"/>
    <w:rsid w:val="71DC08B0"/>
    <w:rsid w:val="71E4219F"/>
    <w:rsid w:val="726B2631"/>
    <w:rsid w:val="726F7ACC"/>
    <w:rsid w:val="73421060"/>
    <w:rsid w:val="73EF7B12"/>
    <w:rsid w:val="740F145C"/>
    <w:rsid w:val="741C5309"/>
    <w:rsid w:val="742079DC"/>
    <w:rsid w:val="74246813"/>
    <w:rsid w:val="74436795"/>
    <w:rsid w:val="74A52794"/>
    <w:rsid w:val="74B727ED"/>
    <w:rsid w:val="74FC38D3"/>
    <w:rsid w:val="752124FA"/>
    <w:rsid w:val="75475CD9"/>
    <w:rsid w:val="755305BC"/>
    <w:rsid w:val="75556648"/>
    <w:rsid w:val="756A0280"/>
    <w:rsid w:val="759C53F1"/>
    <w:rsid w:val="75AF3E67"/>
    <w:rsid w:val="76272652"/>
    <w:rsid w:val="7628496E"/>
    <w:rsid w:val="76535DBB"/>
    <w:rsid w:val="768F2DAC"/>
    <w:rsid w:val="772671BC"/>
    <w:rsid w:val="77707A2A"/>
    <w:rsid w:val="77A401AA"/>
    <w:rsid w:val="77C127EB"/>
    <w:rsid w:val="78124A7F"/>
    <w:rsid w:val="78245629"/>
    <w:rsid w:val="78343E93"/>
    <w:rsid w:val="784805D1"/>
    <w:rsid w:val="788B681D"/>
    <w:rsid w:val="78925BAD"/>
    <w:rsid w:val="78C732ED"/>
    <w:rsid w:val="78CB6B1C"/>
    <w:rsid w:val="795F3AD5"/>
    <w:rsid w:val="796055BB"/>
    <w:rsid w:val="797352EE"/>
    <w:rsid w:val="799A0ACD"/>
    <w:rsid w:val="79BD0FA9"/>
    <w:rsid w:val="79F9148B"/>
    <w:rsid w:val="7A700FD4"/>
    <w:rsid w:val="7A7B26AD"/>
    <w:rsid w:val="7A8021B7"/>
    <w:rsid w:val="7A8C1AB9"/>
    <w:rsid w:val="7AF97A7D"/>
    <w:rsid w:val="7B000E04"/>
    <w:rsid w:val="7B7A114E"/>
    <w:rsid w:val="7B7B38AA"/>
    <w:rsid w:val="7BAE55A6"/>
    <w:rsid w:val="7BB845E5"/>
    <w:rsid w:val="7BCF0231"/>
    <w:rsid w:val="7BD75BE6"/>
    <w:rsid w:val="7BD87F93"/>
    <w:rsid w:val="7C5A49B6"/>
    <w:rsid w:val="7C66685D"/>
    <w:rsid w:val="7CCE0EF8"/>
    <w:rsid w:val="7CEF12D8"/>
    <w:rsid w:val="7D060D88"/>
    <w:rsid w:val="7D0F26E1"/>
    <w:rsid w:val="7D2343E3"/>
    <w:rsid w:val="7D314A09"/>
    <w:rsid w:val="7D4E52C9"/>
    <w:rsid w:val="7D542347"/>
    <w:rsid w:val="7D5A3746"/>
    <w:rsid w:val="7DA531F6"/>
    <w:rsid w:val="7DC5295E"/>
    <w:rsid w:val="7DF6568F"/>
    <w:rsid w:val="7EB02B41"/>
    <w:rsid w:val="7EBB39C0"/>
    <w:rsid w:val="7EC408CD"/>
    <w:rsid w:val="7EEB6D16"/>
    <w:rsid w:val="7EF2048F"/>
    <w:rsid w:val="7F8D688A"/>
    <w:rsid w:val="7FB00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7"/>
    <w:unhideWhenUsed/>
    <w:qFormat/>
    <w:uiPriority w:val="99"/>
    <w:rPr>
      <w:rFonts w:ascii="宋体"/>
      <w:sz w:val="24"/>
      <w:szCs w:val="24"/>
    </w:rPr>
  </w:style>
  <w:style w:type="paragraph" w:styleId="3">
    <w:name w:val="annotation text"/>
    <w:basedOn w:val="1"/>
    <w:link w:val="23"/>
    <w:unhideWhenUsed/>
    <w:qFormat/>
    <w:uiPriority w:val="99"/>
    <w:pPr>
      <w:jc w:val="left"/>
    </w:pPr>
  </w:style>
  <w:style w:type="paragraph" w:styleId="4">
    <w:name w:val="Body Text"/>
    <w:basedOn w:val="1"/>
    <w:link w:val="29"/>
    <w:unhideWhenUsed/>
    <w:qFormat/>
    <w:uiPriority w:val="99"/>
    <w:pPr>
      <w:spacing w:after="12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9"/>
    <w:semiHidden/>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4"/>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批注框文本 Char"/>
    <w:basedOn w:val="13"/>
    <w:link w:val="5"/>
    <w:semiHidden/>
    <w:qFormat/>
    <w:uiPriority w:val="99"/>
    <w:rPr>
      <w:sz w:val="18"/>
      <w:szCs w:val="18"/>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basedOn w:val="13"/>
    <w:link w:val="3"/>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paragraph" w:customStyle="1" w:styleId="25">
    <w:name w:val="列出段落2"/>
    <w:basedOn w:val="1"/>
    <w:unhideWhenUsed/>
    <w:qFormat/>
    <w:uiPriority w:val="99"/>
    <w:pPr>
      <w:ind w:firstLine="420" w:firstLineChars="200"/>
    </w:pPr>
  </w:style>
  <w:style w:type="character" w:customStyle="1" w:styleId="26">
    <w:name w:val="15"/>
    <w:basedOn w:val="13"/>
    <w:qFormat/>
    <w:uiPriority w:val="0"/>
    <w:rPr>
      <w:rFonts w:hint="default" w:ascii="Times New Roman" w:hAnsi="Times New Roman" w:cs="Times New Roman"/>
      <w:b/>
      <w:bCs/>
    </w:rPr>
  </w:style>
  <w:style w:type="character" w:customStyle="1" w:styleId="27">
    <w:name w:val="文档结构图 Char"/>
    <w:basedOn w:val="13"/>
    <w:link w:val="2"/>
    <w:semiHidden/>
    <w:qFormat/>
    <w:uiPriority w:val="99"/>
    <w:rPr>
      <w:rFonts w:ascii="宋体" w:hAnsi="Calibri"/>
      <w:kern w:val="2"/>
      <w:sz w:val="24"/>
      <w:szCs w:val="24"/>
    </w:rPr>
  </w:style>
  <w:style w:type="paragraph" w:customStyle="1" w:styleId="28">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29">
    <w:name w:val="正文文本 Char"/>
    <w:basedOn w:val="13"/>
    <w:link w:val="4"/>
    <w:semiHidden/>
    <w:qFormat/>
    <w:uiPriority w:val="99"/>
    <w:rPr>
      <w:rFonts w:ascii="Calibri" w:hAnsi="Calibri"/>
      <w:kern w:val="2"/>
      <w:sz w:val="21"/>
      <w:szCs w:val="22"/>
    </w:rPr>
  </w:style>
  <w:style w:type="table" w:customStyle="1" w:styleId="30">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 w:type="paragraph" w:customStyle="1" w:styleId="32">
    <w:name w:val="列表段落1"/>
    <w:basedOn w:val="1"/>
    <w:qFormat/>
    <w:uiPriority w:val="99"/>
    <w:pPr>
      <w:ind w:firstLine="420" w:firstLineChars="200"/>
    </w:p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character" w:customStyle="1" w:styleId="34">
    <w:name w:val="未处理的提及1"/>
    <w:basedOn w:val="13"/>
    <w:semiHidden/>
    <w:unhideWhenUsed/>
    <w:qFormat/>
    <w:uiPriority w:val="99"/>
    <w:rPr>
      <w:color w:val="605E5C"/>
      <w:shd w:val="clear" w:color="auto" w:fill="E1DFDD"/>
    </w:rPr>
  </w:style>
  <w:style w:type="paragraph" w:styleId="35">
    <w:name w:val="List Paragraph"/>
    <w:basedOn w:val="1"/>
    <w:qFormat/>
    <w:uiPriority w:val="99"/>
    <w:pPr>
      <w:ind w:firstLine="420" w:firstLineChars="200"/>
    </w:pPr>
  </w:style>
  <w:style w:type="paragraph" w:customStyle="1" w:styleId="36">
    <w:name w:val="修订3"/>
    <w:hidden/>
    <w:semiHidden/>
    <w:qFormat/>
    <w:uiPriority w:val="99"/>
    <w:rPr>
      <w:rFonts w:ascii="Calibri" w:hAnsi="Calibri" w:eastAsia="宋体" w:cs="Times New Roman"/>
      <w:kern w:val="2"/>
      <w:sz w:val="21"/>
      <w:szCs w:val="22"/>
      <w:lang w:val="en-US" w:eastAsia="zh-CN" w:bidi="ar-SA"/>
    </w:rPr>
  </w:style>
  <w:style w:type="character" w:customStyle="1" w:styleId="37">
    <w:name w:val="highlight"/>
    <w:basedOn w:val="13"/>
    <w:qFormat/>
    <w:uiPriority w:val="0"/>
  </w:style>
  <w:style w:type="paragraph" w:customStyle="1" w:styleId="38">
    <w:name w:val="修订4"/>
    <w:hidden/>
    <w:semiHidden/>
    <w:qFormat/>
    <w:uiPriority w:val="99"/>
    <w:rPr>
      <w:rFonts w:ascii="Calibri" w:hAnsi="Calibri" w:eastAsia="宋体" w:cs="Times New Roman"/>
      <w:kern w:val="2"/>
      <w:sz w:val="21"/>
      <w:szCs w:val="22"/>
      <w:lang w:val="en-US" w:eastAsia="zh-CN" w:bidi="ar-SA"/>
    </w:rPr>
  </w:style>
  <w:style w:type="character" w:customStyle="1" w:styleId="39">
    <w:name w:val="脚注文本 Char"/>
    <w:basedOn w:val="13"/>
    <w:link w:val="8"/>
    <w:semiHidden/>
    <w:qFormat/>
    <w:uiPriority w:val="99"/>
    <w:rPr>
      <w:rFonts w:ascii="Calibri" w:hAnsi="Calibri"/>
      <w:kern w:val="2"/>
      <w:sz w:val="18"/>
      <w:szCs w:val="18"/>
    </w:rPr>
  </w:style>
  <w:style w:type="character" w:customStyle="1" w:styleId="40">
    <w:name w:val="批注文字 字符1"/>
    <w:qFormat/>
    <w:uiPriority w:val="99"/>
    <w:rPr>
      <w:rFonts w:ascii="Calibri" w:hAnsi="Calibri"/>
      <w:kern w:val="2"/>
      <w:sz w:val="21"/>
      <w:szCs w:val="22"/>
    </w:rPr>
  </w:style>
  <w:style w:type="paragraph" w:customStyle="1" w:styleId="4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7&#65306;&#20135;&#21697;&#35828;&#26126;&#20070;&#65288;&#22825;&#28155;&#37329;2013&#24180;&#31532;304&#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附件7：产品说明书（天添金2013年第304期）.dot</Template>
  <Company>微软中国</Company>
  <Pages>18</Pages>
  <Words>4827</Words>
  <Characters>5079</Characters>
  <Lines>116</Lines>
  <Paragraphs>32</Paragraphs>
  <TotalTime>1</TotalTime>
  <ScaleCrop>false</ScaleCrop>
  <LinksUpToDate>false</LinksUpToDate>
  <CharactersWithSpaces>5090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2024-12-12T03:28:00Z</dcterms:created>
  <dc:creator>匿名用户</dc:creator>
  <cp:lastModifiedBy>CH07</cp:lastModifiedBy>
  <cp:lastPrinted>2022-11-03T01:37:00Z</cp:lastPrinted>
  <dcterms:modified xsi:type="dcterms:W3CDTF">2025-05-21T08:12:25Z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4B7E6E5ADE8E4EF3B6CEE98574A78E58_13</vt:lpwstr>
  </property>
  <property fmtid="{D5CDD505-2E9C-101B-9397-08002B2CF9AE}" pid="4" name="KSOTemplateDocerSaveRecord">
    <vt:lpwstr>eyJoZGlkIjoiODYyZDQwNzVhYWUzODA0M2M0NWYzNDUwMTdhMjY3ZTciLCJ1c2VySWQiOiIzNDM5ODc4NDkifQ==</vt:lpwstr>
  </property>
</Properties>
</file>