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【稳利恒盈封闭式固收类】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【稳利恒盈封闭式固收类】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【稳利恒盈封闭式固收类】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【稳利恒盈封闭式固收类】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【稳利恒盈封闭式固收类】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【稳利恒盈封闭式固收类】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w:t>
      </w:r>
      <w:r>
        <w:rPr>
          <w:rFonts w:hint="eastAsia" w:ascii="黑体" w:hAnsi="黑体" w:eastAsia="黑体"/>
          <w:b/>
          <w:sz w:val="44"/>
          <w:szCs w:val="44"/>
        </w:rPr>
        <w:t>稳利恒盈封闭式固收类</w:t>
      </w:r>
      <w:r>
        <w:rPr>
          <w:rStyle w:val="27"/>
          <w:rFonts w:hint="eastAsia" w:ascii="黑体" w:hAnsi="黑体" w:eastAsia="黑体" w:cs="宋体"/>
          <w:sz w:val="44"/>
          <w:szCs w:val="44"/>
        </w:rPr>
        <w:t>】</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2301"/>
      <w:bookmarkStart w:id="2" w:name="_Toc123701383"/>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701384"/>
      <w:bookmarkStart w:id="7" w:name="_Toc123112264"/>
      <w:bookmarkStart w:id="8" w:name="_Toc139991727"/>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05</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701386"/>
      <w:bookmarkStart w:id="12" w:name="_Toc123112227"/>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color w:val="auto"/>
                <w:sz w:val="18"/>
                <w:szCs w:val="18"/>
              </w:rPr>
              <w:t>兴银理财稳利恒盈封闭式2025年</w:t>
            </w:r>
            <w:r>
              <w:rPr>
                <w:rFonts w:hint="eastAsia" w:ascii="宋体" w:hAnsi="宋体"/>
                <w:bCs/>
                <w:color w:val="auto"/>
                <w:sz w:val="18"/>
                <w:szCs w:val="18"/>
                <w:lang w:eastAsia="zh-CN"/>
              </w:rPr>
              <w:t>421期</w:t>
            </w:r>
            <w:r>
              <w:rPr>
                <w:rFonts w:hint="eastAsia" w:ascii="宋体" w:hAnsi="宋体"/>
                <w:bCs/>
                <w:color w:val="auto"/>
                <w:sz w:val="18"/>
                <w:szCs w:val="18"/>
              </w:rPr>
              <w:t>固收类理财产品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color w:val="FF0000"/>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(纯盈颐养款)A</w:t>
            </w:r>
            <w:r>
              <w:rPr>
                <w:rFonts w:hint="eastAsia" w:ascii="宋体" w:hAnsi="宋体"/>
                <w:bCs/>
                <w:color w:val="auto"/>
                <w:sz w:val="18"/>
                <w:szCs w:val="18"/>
              </w:rPr>
              <w:t>】（适用【A】类份额）</w:t>
            </w:r>
          </w:p>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(纯盈颐养款)B</w:t>
            </w:r>
            <w:r>
              <w:rPr>
                <w:rFonts w:hint="eastAsia" w:ascii="宋体" w:hAnsi="宋体"/>
                <w:bCs/>
                <w:color w:val="auto"/>
                <w:sz w:val="18"/>
                <w:szCs w:val="18"/>
              </w:rPr>
              <w:t>】（适用【</w:t>
            </w:r>
            <w:r>
              <w:rPr>
                <w:rFonts w:hint="eastAsia" w:ascii="宋体" w:hAnsi="宋体"/>
                <w:bCs/>
                <w:color w:val="auto"/>
                <w:sz w:val="18"/>
                <w:szCs w:val="18"/>
                <w:lang w:val="en-US" w:eastAsia="zh-CN"/>
              </w:rPr>
              <w:t>B</w:t>
            </w:r>
            <w:r>
              <w:rPr>
                <w:rFonts w:hint="eastAsia" w:ascii="宋体" w:hAnsi="宋体"/>
                <w:bCs/>
                <w:color w:val="auto"/>
                <w:sz w:val="18"/>
                <w:szCs w:val="18"/>
              </w:rPr>
              <w:t>】类份额）</w:t>
            </w:r>
          </w:p>
          <w:p>
            <w:pPr>
              <w:spacing w:line="360" w:lineRule="auto"/>
              <w:jc w:val="left"/>
              <w:rPr>
                <w:rFonts w:hint="eastAsia" w:ascii="宋体" w:hAnsi="宋体"/>
                <w:bCs/>
                <w:color w:val="auto"/>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(纯盈颐养款)C</w:t>
            </w:r>
            <w:r>
              <w:rPr>
                <w:rFonts w:hint="eastAsia" w:ascii="宋体" w:hAnsi="宋体"/>
                <w:bCs/>
                <w:color w:val="auto"/>
                <w:sz w:val="18"/>
                <w:szCs w:val="18"/>
              </w:rPr>
              <w:t>】（适用【</w:t>
            </w:r>
            <w:r>
              <w:rPr>
                <w:rFonts w:hint="eastAsia" w:ascii="宋体" w:hAnsi="宋体"/>
                <w:bCs/>
                <w:color w:val="auto"/>
                <w:sz w:val="18"/>
                <w:szCs w:val="18"/>
                <w:lang w:val="en-US" w:eastAsia="zh-CN"/>
              </w:rPr>
              <w:t>C</w:t>
            </w:r>
            <w:r>
              <w:rPr>
                <w:rFonts w:hint="eastAsia" w:ascii="宋体" w:hAnsi="宋体"/>
                <w:bCs/>
                <w:color w:val="auto"/>
                <w:sz w:val="18"/>
                <w:szCs w:val="18"/>
              </w:rPr>
              <w:t>】类份额）</w:t>
            </w:r>
          </w:p>
          <w:p>
            <w:pPr>
              <w:spacing w:line="360" w:lineRule="auto"/>
              <w:jc w:val="left"/>
              <w:rPr>
                <w:rFonts w:ascii="宋体" w:hAnsi="宋体"/>
                <w:bCs/>
                <w:sz w:val="18"/>
                <w:szCs w:val="18"/>
              </w:rPr>
            </w:pPr>
            <w:r>
              <w:rPr>
                <w:rFonts w:hint="eastAsia" w:ascii="宋体" w:hAnsi="宋体"/>
                <w:bCs/>
                <w:color w:val="auto"/>
                <w:sz w:val="18"/>
                <w:szCs w:val="18"/>
              </w:rPr>
              <w:t>【</w:t>
            </w:r>
            <w:r>
              <w:rPr>
                <w:rFonts w:hint="eastAsia" w:asciiTheme="majorEastAsia" w:hAnsiTheme="majorEastAsia" w:eastAsiaTheme="majorEastAsia"/>
                <w:bCs/>
                <w:color w:val="auto"/>
                <w:kern w:val="0"/>
                <w:sz w:val="18"/>
                <w:szCs w:val="18"/>
              </w:rPr>
              <w:t>稳利恒盈2025年</w:t>
            </w:r>
            <w:r>
              <w:rPr>
                <w:rFonts w:hint="eastAsia" w:asciiTheme="majorEastAsia" w:hAnsiTheme="majorEastAsia" w:eastAsiaTheme="majorEastAsia"/>
                <w:bCs/>
                <w:color w:val="auto"/>
                <w:kern w:val="0"/>
                <w:sz w:val="18"/>
                <w:szCs w:val="18"/>
                <w:lang w:eastAsia="zh-CN"/>
              </w:rPr>
              <w:t>421期</w:t>
            </w:r>
            <w:r>
              <w:rPr>
                <w:rFonts w:hint="eastAsia" w:asciiTheme="majorEastAsia" w:hAnsiTheme="majorEastAsia" w:eastAsiaTheme="majorEastAsia"/>
                <w:bCs/>
                <w:color w:val="auto"/>
                <w:kern w:val="0"/>
                <w:sz w:val="18"/>
                <w:szCs w:val="18"/>
              </w:rPr>
              <w:t>(纯盈颐养款)D</w:t>
            </w:r>
            <w:r>
              <w:rPr>
                <w:rFonts w:hint="eastAsia" w:ascii="宋体" w:hAnsi="宋体"/>
                <w:bCs/>
                <w:color w:val="auto"/>
                <w:sz w:val="18"/>
                <w:szCs w:val="18"/>
              </w:rPr>
              <w:t>】（适用【</w:t>
            </w:r>
            <w:r>
              <w:rPr>
                <w:rFonts w:hint="eastAsia" w:ascii="宋体" w:hAnsi="宋体"/>
                <w:bCs/>
                <w:color w:val="auto"/>
                <w:sz w:val="18"/>
                <w:szCs w:val="18"/>
                <w:lang w:val="en-US" w:eastAsia="zh-CN"/>
              </w:rPr>
              <w:t>D</w:t>
            </w:r>
            <w:r>
              <w:rPr>
                <w:rFonts w:hint="eastAsia" w:ascii="宋体" w:hAnsi="宋体"/>
                <w:bCs/>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color w:val="auto"/>
                <w:sz w:val="18"/>
                <w:szCs w:val="18"/>
                <w:lang w:val="en-US" w:eastAsia="zh-CN"/>
              </w:rPr>
              <w:t>Z7002025000791</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auto"/>
                <w:sz w:val="18"/>
                <w:szCs w:val="18"/>
              </w:rPr>
              <w:t>【</w:t>
            </w:r>
            <w:bookmarkStart w:id="66" w:name="_GoBack"/>
            <w:r>
              <w:rPr>
                <w:rFonts w:hint="eastAsia" w:ascii="宋体" w:hAnsi="宋体"/>
                <w:bCs/>
                <w:color w:val="auto"/>
                <w:sz w:val="18"/>
                <w:szCs w:val="18"/>
                <w:lang w:eastAsia="zh-CN"/>
              </w:rPr>
              <w:t>9N254210</w:t>
            </w:r>
            <w:bookmarkEnd w:id="66"/>
            <w:r>
              <w:rPr>
                <w:rFonts w:ascii="宋体" w:hAnsi="宋体"/>
                <w:bCs/>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9N25421A</w:t>
            </w:r>
            <w:r>
              <w:rPr>
                <w:rFonts w:hint="eastAsia" w:ascii="宋体" w:hAnsi="宋体"/>
                <w:bCs/>
                <w:color w:val="auto"/>
                <w:sz w:val="18"/>
                <w:szCs w:val="18"/>
              </w:rPr>
              <w:t>】（适用【A】类份额）</w:t>
            </w:r>
          </w:p>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9N25421B</w:t>
            </w:r>
            <w:r>
              <w:rPr>
                <w:rFonts w:hint="eastAsia" w:ascii="宋体" w:hAnsi="宋体"/>
                <w:bCs/>
                <w:color w:val="auto"/>
                <w:sz w:val="18"/>
                <w:szCs w:val="18"/>
              </w:rPr>
              <w:t>】（适用【</w:t>
            </w:r>
            <w:r>
              <w:rPr>
                <w:rFonts w:hint="eastAsia" w:ascii="宋体" w:hAnsi="宋体"/>
                <w:bCs/>
                <w:color w:val="auto"/>
                <w:sz w:val="18"/>
                <w:szCs w:val="18"/>
                <w:lang w:val="en-US" w:eastAsia="zh-CN"/>
              </w:rPr>
              <w:t>B</w:t>
            </w:r>
            <w:r>
              <w:rPr>
                <w:rFonts w:hint="eastAsia" w:ascii="宋体" w:hAnsi="宋体"/>
                <w:bCs/>
                <w:color w:val="auto"/>
                <w:sz w:val="18"/>
                <w:szCs w:val="18"/>
              </w:rPr>
              <w:t>】类份额）</w:t>
            </w:r>
          </w:p>
          <w:p>
            <w:pPr>
              <w:spacing w:line="320" w:lineRule="exact"/>
              <w:jc w:val="left"/>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eastAsia="zh-CN"/>
              </w:rPr>
              <w:t>9N25421C</w:t>
            </w:r>
            <w:r>
              <w:rPr>
                <w:rFonts w:hint="eastAsia" w:ascii="宋体" w:hAnsi="宋体"/>
                <w:bCs/>
                <w:color w:val="auto"/>
                <w:sz w:val="18"/>
                <w:szCs w:val="18"/>
              </w:rPr>
              <w:t>】（适用【</w:t>
            </w:r>
            <w:r>
              <w:rPr>
                <w:rFonts w:hint="eastAsia" w:ascii="宋体" w:hAnsi="宋体"/>
                <w:bCs/>
                <w:color w:val="auto"/>
                <w:sz w:val="18"/>
                <w:szCs w:val="18"/>
                <w:lang w:val="en-US" w:eastAsia="zh-CN"/>
              </w:rPr>
              <w:t>C</w:t>
            </w:r>
            <w:r>
              <w:rPr>
                <w:rFonts w:hint="eastAsia" w:ascii="宋体" w:hAnsi="宋体"/>
                <w:bCs/>
                <w:color w:val="auto"/>
                <w:sz w:val="18"/>
                <w:szCs w:val="18"/>
              </w:rPr>
              <w:t>】类份额）</w:t>
            </w:r>
          </w:p>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auto"/>
                <w:sz w:val="18"/>
                <w:szCs w:val="18"/>
              </w:rPr>
              <w:t>【</w:t>
            </w:r>
            <w:r>
              <w:rPr>
                <w:rFonts w:hint="eastAsia" w:ascii="宋体" w:hAnsi="宋体"/>
                <w:bCs/>
                <w:color w:val="auto"/>
                <w:sz w:val="18"/>
                <w:szCs w:val="18"/>
                <w:lang w:eastAsia="zh-CN"/>
              </w:rPr>
              <w:t>9N25421D</w:t>
            </w:r>
            <w:r>
              <w:rPr>
                <w:rFonts w:hint="eastAsia" w:ascii="宋体" w:hAnsi="宋体"/>
                <w:bCs/>
                <w:color w:val="auto"/>
                <w:sz w:val="18"/>
                <w:szCs w:val="18"/>
              </w:rPr>
              <w:t>】（适用【</w:t>
            </w:r>
            <w:r>
              <w:rPr>
                <w:rFonts w:hint="eastAsia" w:ascii="宋体" w:hAnsi="宋体"/>
                <w:bCs/>
                <w:color w:val="auto"/>
                <w:sz w:val="18"/>
                <w:szCs w:val="18"/>
                <w:lang w:val="en-US" w:eastAsia="zh-CN"/>
              </w:rPr>
              <w:t>D</w:t>
            </w:r>
            <w:r>
              <w:rPr>
                <w:rFonts w:hint="eastAsia" w:ascii="宋体" w:hAnsi="宋体"/>
                <w:bCs/>
                <w:color w:val="auto"/>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41703880"/>
      <w:bookmarkStart w:id="15" w:name="_Toc139991730"/>
      <w:bookmarkStart w:id="16" w:name="_Toc123701389"/>
      <w:bookmarkStart w:id="17" w:name="_Toc8727"/>
      <w:bookmarkStart w:id="18" w:name="_Toc30935"/>
      <w:bookmarkStart w:id="19" w:name="_Toc32639"/>
      <w:bookmarkStart w:id="20" w:name="_Toc123112229"/>
      <w:bookmarkStart w:id="21" w:name="_Toc26897"/>
      <w:bookmarkStart w:id="22" w:name="_Toc6306"/>
      <w:bookmarkStart w:id="23" w:name="_Toc29629"/>
      <w:bookmarkStart w:id="24" w:name="_Toc4966"/>
      <w:bookmarkStart w:id="25" w:name="_Toc123112268"/>
      <w:bookmarkStart w:id="26" w:name="_Toc15517"/>
      <w:bookmarkStart w:id="27" w:name="_Toc23386"/>
      <w:bookmarkStart w:id="28" w:name="_Toc486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19592"/>
      <w:bookmarkStart w:id="34" w:name="_Toc22864"/>
      <w:bookmarkStart w:id="35" w:name="_Toc819"/>
      <w:bookmarkStart w:id="36" w:name="_Toc2465"/>
      <w:bookmarkStart w:id="37" w:name="_Toc13020"/>
      <w:bookmarkStart w:id="38" w:name="_Toc24860"/>
      <w:bookmarkStart w:id="39" w:name="_Toc15067"/>
      <w:bookmarkStart w:id="40" w:name="_Toc258829399"/>
      <w:bookmarkStart w:id="41" w:name="_Toc21301"/>
      <w:bookmarkStart w:id="42" w:name="_Toc661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627"/>
      <w:bookmarkStart w:id="48" w:name="_Toc24571"/>
      <w:bookmarkStart w:id="49" w:name="_Toc74065740"/>
      <w:bookmarkStart w:id="50" w:name="_Toc733"/>
      <w:bookmarkStart w:id="51" w:name="_Toc18631"/>
      <w:bookmarkStart w:id="52" w:name="_Toc6683"/>
      <w:bookmarkStart w:id="53" w:name="_Toc6149"/>
      <w:bookmarkStart w:id="54" w:name="_Toc13288"/>
      <w:bookmarkStart w:id="55" w:name="_Toc545"/>
      <w:bookmarkStart w:id="56" w:name="_Toc20318"/>
      <w:bookmarkStart w:id="57" w:name="_Toc22708"/>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1D2E77"/>
    <w:rsid w:val="05F13238"/>
    <w:rsid w:val="081370E6"/>
    <w:rsid w:val="08F06232"/>
    <w:rsid w:val="0A8130B1"/>
    <w:rsid w:val="149E474A"/>
    <w:rsid w:val="18D640E4"/>
    <w:rsid w:val="19212E29"/>
    <w:rsid w:val="1B7135F7"/>
    <w:rsid w:val="1D9C58B6"/>
    <w:rsid w:val="217676F3"/>
    <w:rsid w:val="23115DC9"/>
    <w:rsid w:val="340E3366"/>
    <w:rsid w:val="35C863A1"/>
    <w:rsid w:val="36B329CC"/>
    <w:rsid w:val="4069171A"/>
    <w:rsid w:val="41BA1A90"/>
    <w:rsid w:val="431859F2"/>
    <w:rsid w:val="487A428F"/>
    <w:rsid w:val="4F9B33E8"/>
    <w:rsid w:val="56C22B29"/>
    <w:rsid w:val="5BB00509"/>
    <w:rsid w:val="64DE20E9"/>
    <w:rsid w:val="657411FF"/>
    <w:rsid w:val="67CE260F"/>
    <w:rsid w:val="6B364EF9"/>
    <w:rsid w:val="6B3D13C9"/>
    <w:rsid w:val="718C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25</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2025-05-14T06:20:44Z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