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56" w:beforeLines="50" w:beforeAutospacing="0" w:after="0" w:afterAutospacing="0"/>
        <w:jc w:val="center"/>
        <w:rPr>
          <w:rFonts w:hint="eastAsia" w:ascii="楷体" w:hAnsi="楷体" w:eastAsia="楷体"/>
          <w:b/>
          <w:sz w:val="36"/>
          <w:szCs w:val="36"/>
        </w:rPr>
      </w:pPr>
      <w:bookmarkStart w:id="0" w:name="_GoBack"/>
      <w:bookmarkEnd w:id="0"/>
      <w:r>
        <w:rPr>
          <w:rFonts w:ascii="楷体" w:hAnsi="楷体" w:eastAsia="楷体"/>
        </w:rPr>
        <mc:AlternateContent>
          <mc:Choice Requires="wps">
            <w:drawing>
              <wp:anchor distT="45720" distB="45720" distL="114300" distR="114300" simplePos="0" relativeHeight="251659264" behindDoc="0" locked="0" layoutInCell="1" allowOverlap="1">
                <wp:simplePos x="0" y="0"/>
                <wp:positionH relativeFrom="margin">
                  <wp:posOffset>-334645</wp:posOffset>
                </wp:positionH>
                <wp:positionV relativeFrom="paragraph">
                  <wp:posOffset>61595</wp:posOffset>
                </wp:positionV>
                <wp:extent cx="5931535" cy="2494280"/>
                <wp:effectExtent l="4445" t="4445" r="7620" b="15875"/>
                <wp:wrapSquare wrapText="bothSides"/>
                <wp:docPr id="1" name="文本框 3"/>
                <wp:cNvGraphicFramePr/>
                <a:graphic xmlns:a="http://schemas.openxmlformats.org/drawingml/2006/main">
                  <a:graphicData uri="http://schemas.microsoft.com/office/word/2010/wordprocessingShape">
                    <wps:wsp>
                      <wps:cNvSpPr txBox="1"/>
                      <wps:spPr>
                        <a:xfrm>
                          <a:off x="0" y="0"/>
                          <a:ext cx="5931535" cy="249428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cs="宋体"/>
                                <w:b/>
                                <w:spacing w:val="-2"/>
                                <w:szCs w:val="21"/>
                                <w:u w:val="single"/>
                              </w:rPr>
                              <w:t>本产品为</w:t>
                            </w:r>
                            <w:r>
                              <w:rPr>
                                <w:rFonts w:hint="eastAsia" w:ascii="楷体" w:hAnsi="楷体" w:eastAsia="楷体" w:cs="宋体"/>
                                <w:b/>
                                <w:spacing w:val="-2"/>
                                <w:szCs w:val="21"/>
                                <w:u w:val="single"/>
                                <w:lang w:val="en-US" w:eastAsia="zh-CN"/>
                              </w:rPr>
                              <w:t>按季</w:t>
                            </w:r>
                            <w:r>
                              <w:rPr>
                                <w:rFonts w:hint="eastAsia" w:ascii="楷体" w:hAnsi="楷体" w:eastAsia="楷体" w:cs="宋体"/>
                                <w:b/>
                                <w:spacing w:val="-2"/>
                                <w:szCs w:val="21"/>
                                <w:u w:val="single"/>
                              </w:rPr>
                              <w:t>定开理财产品，未到开放时间客户无法赎回，请客户根据自身资金使用需要在开放时间内发起赎回申请。</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b/>
                                <w:u w:val="single"/>
                              </w:rPr>
                              <w:t>本产品赎回申请受制于产品巨额赎回条款的限制，这可能影响您的资金使用安排。</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按照设置的销售对象和销售起点进行销售，</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实际收取的销售服务费率、投资管理费率以及业绩比较基准存在差异，客户根据产品销售时设置的条件自主选择购买。</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rPr>
                                <w:rFonts w:hint="eastAsia"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客户服务热线：95319-</w:t>
                            </w:r>
                            <w:r>
                              <w:rPr>
                                <w:rFonts w:hint="eastAsia" w:ascii="楷体" w:hAnsi="楷体" w:eastAsia="楷体" w:cs="宋体"/>
                                <w:b/>
                                <w:spacing w:val="-2"/>
                                <w:szCs w:val="21"/>
                                <w:highlight w:val="none"/>
                                <w:u w:val="single"/>
                                <w:lang w:val="en-US" w:eastAsia="zh-CN"/>
                              </w:rPr>
                              <w:t>8-2</w:t>
                            </w:r>
                            <w:r>
                              <w:rPr>
                                <w:rFonts w:hint="eastAsia" w:ascii="楷体" w:hAnsi="楷体" w:eastAsia="楷体" w:cs="宋体"/>
                                <w:b/>
                                <w:spacing w:val="-2"/>
                                <w:szCs w:val="21"/>
                                <w:highlight w:val="none"/>
                                <w:u w:val="single"/>
                              </w:rPr>
                              <w:t>。</w:t>
                            </w:r>
                          </w:p>
                          <w:p>
                            <w:pPr>
                              <w:numPr>
                                <w:ilvl w:val="0"/>
                                <w:numId w:val="0"/>
                              </w:numPr>
                              <w:ind w:leftChars="0"/>
                              <w:rPr>
                                <w:rFonts w:hint="eastAsia" w:ascii="楷体" w:hAnsi="楷体" w:eastAsia="楷体" w:cs="宋体"/>
                                <w:b/>
                                <w:spacing w:val="-2"/>
                                <w:szCs w:val="21"/>
                                <w:highlight w:val="none"/>
                                <w:u w:val="single"/>
                              </w:rPr>
                            </w:pPr>
                            <w:r>
                              <w:rPr>
                                <w:rFonts w:hint="eastAsia" w:ascii="楷体" w:hAnsi="楷体" w:eastAsia="楷体"/>
                              </w:rPr>
                              <w:t>以上为本产品的特别提示，详细内容请仔细阅读理财产品合同。</w:t>
                            </w:r>
                          </w:p>
                          <w:p>
                            <w:pPr>
                              <w:jc w:val="left"/>
                              <w:rPr>
                                <w:rFonts w:hint="eastAsia" w:ascii="楷体" w:hAnsi="楷体" w:eastAsia="楷体"/>
                              </w:rPr>
                            </w:pPr>
                          </w:p>
                        </w:txbxContent>
                      </wps:txbx>
                      <wps:bodyPr wrap="square" upright="1"/>
                    </wps:wsp>
                  </a:graphicData>
                </a:graphic>
              </wp:anchor>
            </w:drawing>
          </mc:Choice>
          <mc:Fallback>
            <w:pict>
              <v:shape id="文本框 3" o:spid="_x0000_s1026" o:spt="202" type="#_x0000_t202" style="position:absolute;left:0pt;margin-left:-26.35pt;margin-top:4.85pt;height:196.4pt;width:467.05pt;mso-position-horizontal-relative:margin;mso-wrap-distance-bottom:3.6pt;mso-wrap-distance-left:9pt;mso-wrap-distance-right:9pt;mso-wrap-distance-top:3.6pt;z-index:251659264;mso-width-relative:page;mso-height-relative:page;" filled="f" stroked="t" coordsize="21600,21600" o:gfxdata="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10vHYAAAACQEAAA8AAAAAAAAA&#10;AQAgAAAAIgAAAGRycy9kb3ducmV2LnhtbFBLAQIUABQAAAAIAIdO4kCGC60mEQIAABwEAAAOAAAA&#10;AAAAAAEAIAAAACcBAABkcnMvZTJvRG9jLnhtbFBLBQYAAAAABgAGAFkBAACqBQAAAAA=&#10;">
                <v:fill on="f" focussize="0,0"/>
                <v:stroke color="#000000" joinstyle="miter"/>
                <v:imagedata o:title=""/>
                <o:lock v:ext="edit" aspectratio="f"/>
                <v:textbox>
                  <w:txbxContent>
                    <w:p>
                      <w:pPr>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cs="宋体"/>
                          <w:b/>
                          <w:spacing w:val="-2"/>
                          <w:szCs w:val="21"/>
                          <w:u w:val="single"/>
                        </w:rPr>
                        <w:t>本产品为</w:t>
                      </w:r>
                      <w:r>
                        <w:rPr>
                          <w:rFonts w:hint="eastAsia" w:ascii="楷体" w:hAnsi="楷体" w:eastAsia="楷体" w:cs="宋体"/>
                          <w:b/>
                          <w:spacing w:val="-2"/>
                          <w:szCs w:val="21"/>
                          <w:u w:val="single"/>
                          <w:lang w:val="en-US" w:eastAsia="zh-CN"/>
                        </w:rPr>
                        <w:t>按季</w:t>
                      </w:r>
                      <w:r>
                        <w:rPr>
                          <w:rFonts w:hint="eastAsia" w:ascii="楷体" w:hAnsi="楷体" w:eastAsia="楷体" w:cs="宋体"/>
                          <w:b/>
                          <w:spacing w:val="-2"/>
                          <w:szCs w:val="21"/>
                          <w:u w:val="single"/>
                        </w:rPr>
                        <w:t>定开理财产品，未到开放时间客户无法赎回，请客户根据自身资金使用需要在开放时间内发起赎回申请。</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b/>
                          <w:u w:val="single"/>
                        </w:rPr>
                        <w:t>本产品赎回申请受制于产品巨额赎回条款的限制，这可能影响您的资金使用安排。</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按照设置的销售对象和销售起点进行销售，</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实际收取的销售服务费率、投资管理费率以及业绩比较基准存在差异，客户根据产品销售时设置的条件自主选择购买。</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rPr>
                          <w:rFonts w:hint="eastAsia"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客户服务热线：95319-</w:t>
                      </w:r>
                      <w:r>
                        <w:rPr>
                          <w:rFonts w:hint="eastAsia" w:ascii="楷体" w:hAnsi="楷体" w:eastAsia="楷体" w:cs="宋体"/>
                          <w:b/>
                          <w:spacing w:val="-2"/>
                          <w:szCs w:val="21"/>
                          <w:highlight w:val="none"/>
                          <w:u w:val="single"/>
                          <w:lang w:val="en-US" w:eastAsia="zh-CN"/>
                        </w:rPr>
                        <w:t>8-2</w:t>
                      </w:r>
                      <w:r>
                        <w:rPr>
                          <w:rFonts w:hint="eastAsia" w:ascii="楷体" w:hAnsi="楷体" w:eastAsia="楷体" w:cs="宋体"/>
                          <w:b/>
                          <w:spacing w:val="-2"/>
                          <w:szCs w:val="21"/>
                          <w:highlight w:val="none"/>
                          <w:u w:val="single"/>
                        </w:rPr>
                        <w:t>。</w:t>
                      </w:r>
                    </w:p>
                    <w:p>
                      <w:pPr>
                        <w:numPr>
                          <w:ilvl w:val="0"/>
                          <w:numId w:val="0"/>
                        </w:numPr>
                        <w:ind w:leftChars="0"/>
                        <w:rPr>
                          <w:rFonts w:hint="eastAsia" w:ascii="楷体" w:hAnsi="楷体" w:eastAsia="楷体" w:cs="宋体"/>
                          <w:b/>
                          <w:spacing w:val="-2"/>
                          <w:szCs w:val="21"/>
                          <w:highlight w:val="none"/>
                          <w:u w:val="single"/>
                        </w:rPr>
                      </w:pPr>
                      <w:r>
                        <w:rPr>
                          <w:rFonts w:hint="eastAsia" w:ascii="楷体" w:hAnsi="楷体" w:eastAsia="楷体"/>
                        </w:rPr>
                        <w:t>以上为本产品的特别提示，详细内容请仔细阅读理财产品合同。</w:t>
                      </w:r>
                    </w:p>
                    <w:p>
                      <w:pPr>
                        <w:jc w:val="left"/>
                        <w:rPr>
                          <w:rFonts w:hint="eastAsia" w:ascii="楷体" w:hAnsi="楷体" w:eastAsia="楷体"/>
                        </w:rPr>
                      </w:pPr>
                    </w:p>
                  </w:txbxContent>
                </v:textbox>
                <w10:wrap type="square"/>
              </v:shape>
            </w:pict>
          </mc:Fallback>
        </mc:AlternateContent>
      </w:r>
      <w:r>
        <w:rPr>
          <w:rFonts w:hint="eastAsia" w:ascii="楷体" w:hAnsi="楷体" w:eastAsia="楷体"/>
          <w:b/>
          <w:sz w:val="36"/>
          <w:szCs w:val="36"/>
        </w:rPr>
        <w:t>“苏银理财</w:t>
      </w:r>
      <w:r>
        <w:rPr>
          <w:rFonts w:hint="eastAsia" w:ascii="楷体" w:hAnsi="楷体" w:eastAsia="楷体"/>
          <w:b/>
          <w:sz w:val="36"/>
          <w:szCs w:val="36"/>
          <w:lang w:eastAsia="zh-CN"/>
        </w:rPr>
        <w:t>恒源季开放8号</w:t>
      </w:r>
      <w:r>
        <w:rPr>
          <w:rFonts w:hint="eastAsia" w:ascii="楷体" w:hAnsi="楷体" w:eastAsia="楷体"/>
          <w:b/>
          <w:sz w:val="36"/>
          <w:szCs w:val="36"/>
        </w:rPr>
        <w:t>”理财产品合同</w:t>
      </w:r>
    </w:p>
    <w:p>
      <w:pPr>
        <w:pStyle w:val="12"/>
        <w:spacing w:before="0" w:beforeAutospacing="0" w:after="0" w:afterAutospacing="0" w:line="360" w:lineRule="auto"/>
        <w:jc w:val="center"/>
        <w:rPr>
          <w:rFonts w:hint="eastAsia" w:ascii="楷体" w:hAnsi="楷体" w:eastAsia="楷体"/>
          <w:b/>
        </w:rPr>
      </w:pPr>
      <w:r>
        <w:rPr>
          <w:rFonts w:hint="eastAsia" w:ascii="楷体" w:hAnsi="楷体" w:eastAsia="楷体"/>
          <w:b/>
          <w:sz w:val="32"/>
          <w:szCs w:val="32"/>
        </w:rPr>
        <w:t>理财非存款、产品有风险、投资须谨慎</w:t>
      </w:r>
    </w:p>
    <w:p>
      <w:pPr>
        <w:pStyle w:val="12"/>
        <w:spacing w:before="0" w:beforeAutospacing="0" w:after="156" w:afterLines="50" w:afterAutospacing="0" w:line="360" w:lineRule="auto"/>
        <w:jc w:val="center"/>
        <w:rPr>
          <w:rFonts w:hint="eastAsia" w:ascii="楷体" w:hAnsi="楷体" w:eastAsia="楷体"/>
          <w:b/>
          <w:lang w:val="en-US" w:eastAsia="zh-CN"/>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5</w:t>
      </w:r>
      <w:r>
        <w:rPr>
          <w:rFonts w:hint="eastAsia" w:ascii="楷体" w:hAnsi="楷体" w:eastAsia="楷体"/>
          <w:b/>
        </w:rPr>
        <w:t>月版）</w:t>
      </w:r>
      <w:r>
        <w:rPr>
          <w:rFonts w:hint="eastAsia" w:ascii="楷体" w:hAnsi="楷体" w:eastAsia="楷体"/>
          <w:b/>
          <w:lang w:val="en-US" w:eastAsia="zh-CN"/>
        </w:rPr>
        <w:t xml:space="preserve"> </w:t>
      </w:r>
    </w:p>
    <w:tbl>
      <w:tblPr>
        <w:tblStyle w:val="14"/>
        <w:tblW w:w="893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443"/>
        <w:gridCol w:w="24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rPr>
              <w:t>序号</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rPr>
              <w:t>理财产品合同中的具体文件名称</w:t>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1</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恒源季开放8号</w:t>
            </w:r>
            <w:r>
              <w:rPr>
                <w:rFonts w:hint="eastAsia" w:ascii="楷体" w:hAnsi="楷体" w:eastAsia="楷体"/>
                <w:sz w:val="18"/>
                <w:szCs w:val="18"/>
              </w:rPr>
              <w:t>”理财产品风险揭示书</w:t>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2</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恒源季开放8号</w:t>
            </w:r>
            <w:r>
              <w:rPr>
                <w:rFonts w:hint="eastAsia" w:ascii="楷体" w:hAnsi="楷体" w:eastAsia="楷体"/>
                <w:sz w:val="18"/>
                <w:szCs w:val="18"/>
              </w:rPr>
              <w:t>”理财产品说明书</w:t>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3</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4</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hint="eastAsia" w:ascii="楷体" w:hAnsi="楷体" w:eastAsia="楷体"/>
                <w:sz w:val="18"/>
                <w:szCs w:val="18"/>
                <w:lang w:eastAsia="zh-CN"/>
              </w:rPr>
            </w:pPr>
            <w:r>
              <w:rPr>
                <w:rFonts w:hint="eastAsia" w:ascii="楷体" w:hAnsi="楷体" w:eastAsia="楷体"/>
                <w:sz w:val="18"/>
                <w:szCs w:val="18"/>
                <w:lang w:eastAsia="zh-CN"/>
              </w:rPr>
              <w:t>投资者权益须知</w:t>
            </w:r>
            <w:r>
              <w:rPr>
                <w:rStyle w:val="20"/>
                <w:rFonts w:hint="eastAsia" w:ascii="楷体" w:hAnsi="楷体" w:eastAsia="楷体"/>
                <w:sz w:val="18"/>
                <w:szCs w:val="18"/>
                <w:lang w:eastAsia="zh-CN"/>
              </w:rPr>
              <w:footnoteReference w:id="0"/>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hint="eastAsia"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hint="eastAsia" w:ascii="楷体" w:hAnsi="楷体" w:eastAsia="楷体"/>
                <w:sz w:val="18"/>
                <w:szCs w:val="18"/>
              </w:rPr>
            </w:pPr>
            <w:r>
              <w:rPr>
                <w:rFonts w:hint="eastAsia" w:ascii="楷体" w:hAnsi="楷体" w:eastAsia="楷体"/>
                <w:sz w:val="18"/>
                <w:szCs w:val="18"/>
              </w:rPr>
              <w:t>5</w:t>
            </w:r>
          </w:p>
        </w:tc>
        <w:tc>
          <w:tcPr>
            <w:tcW w:w="5443"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lang w:eastAsia="zh-CN"/>
              </w:rPr>
              <w:t>理财产品（代理）销售协议书</w:t>
            </w:r>
            <w:r>
              <w:rPr>
                <w:rStyle w:val="20"/>
                <w:rFonts w:ascii="楷体" w:hAnsi="楷体" w:eastAsia="楷体"/>
              </w:rPr>
              <w:footnoteReference w:id="1"/>
            </w:r>
          </w:p>
        </w:tc>
        <w:tc>
          <w:tcPr>
            <w:tcW w:w="2494" w:type="dxa"/>
            <w:tcBorders>
              <w:top w:val="single" w:color="auto" w:sz="12" w:space="0"/>
              <w:left w:val="single" w:color="auto" w:sz="12" w:space="0"/>
              <w:bottom w:val="single" w:color="auto" w:sz="12" w:space="0"/>
              <w:right w:val="single" w:color="auto" w:sz="12" w:space="0"/>
            </w:tcBorders>
            <w:noWrap w:val="0"/>
            <w:vAlign w:val="top"/>
          </w:tcPr>
          <w:p>
            <w:pPr>
              <w:pStyle w:val="12"/>
              <w:spacing w:before="0" w:beforeAutospacing="0" w:after="0" w:afterAutospacing="0" w:line="360" w:lineRule="auto"/>
              <w:jc w:val="center"/>
              <w:rPr>
                <w:rFonts w:hint="eastAsia" w:ascii="楷体" w:hAnsi="楷体" w:eastAsia="楷体"/>
                <w:sz w:val="18"/>
                <w:szCs w:val="18"/>
                <w:lang w:eastAsia="zh-CN"/>
              </w:rPr>
            </w:pPr>
            <w:r>
              <w:rPr>
                <w:rFonts w:hint="eastAsia" w:ascii="楷体" w:hAnsi="楷体" w:eastAsia="楷体"/>
                <w:sz w:val="18"/>
                <w:szCs w:val="18"/>
                <w:lang w:eastAsia="zh-CN"/>
              </w:rPr>
              <w:t>理财产品（代理）销售协议书</w:t>
            </w:r>
          </w:p>
        </w:tc>
      </w:tr>
    </w:tbl>
    <w:p>
      <w:pPr>
        <w:pStyle w:val="12"/>
        <w:spacing w:before="156" w:beforeLines="50" w:beforeAutospacing="0" w:after="0" w:afterAutospacing="0" w:line="280" w:lineRule="atLeast"/>
        <w:rPr>
          <w:rFonts w:hint="eastAsia" w:ascii="楷体" w:hAnsi="楷体" w:eastAsia="楷体"/>
        </w:rPr>
      </w:pPr>
      <w:r>
        <w:rPr>
          <w:rStyle w:val="17"/>
          <w:rFonts w:hint="eastAsia" w:ascii="楷体" w:hAnsi="楷体" w:eastAsia="楷体"/>
          <w:bCs w:val="0"/>
        </w:rPr>
        <w:t>郑重提示：</w:t>
      </w:r>
    </w:p>
    <w:p>
      <w:pPr>
        <w:pStyle w:val="12"/>
        <w:spacing w:before="156" w:beforeLines="50" w:beforeAutospacing="0" w:after="0" w:afterAutospacing="0"/>
        <w:ind w:firstLine="480" w:firstLineChars="200"/>
        <w:rPr>
          <w:rFonts w:hint="eastAsia" w:ascii="楷体" w:hAnsi="楷体" w:eastAsia="楷体"/>
        </w:rPr>
      </w:pPr>
      <w:r>
        <w:rPr>
          <w:rFonts w:hint="eastAsia" w:ascii="楷体" w:hAnsi="楷体" w:eastAsia="楷体" w:cs="Times New Roman"/>
        </w:rPr>
        <w:t>《风险揭示书》、《理财产品说明书》、《</w:t>
      </w:r>
      <w:r>
        <w:rPr>
          <w:rFonts w:hint="eastAsia" w:ascii="楷体" w:hAnsi="楷体" w:eastAsia="楷体" w:cs="Times New Roman"/>
          <w:lang w:eastAsia="zh-CN"/>
        </w:rPr>
        <w:t>理财产品（代理）销售协议书</w:t>
      </w:r>
      <w:r>
        <w:rPr>
          <w:rFonts w:hint="eastAsia" w:ascii="楷体" w:hAnsi="楷体" w:eastAsia="楷体" w:cs="Times New Roman"/>
        </w:rPr>
        <w:t>》、《理财产品投资协议书》、《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2"/>
        <w:spacing w:before="156" w:beforeLines="5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2"/>
        <w:spacing w:before="0" w:beforeAutospacing="0" w:after="0" w:afterAutospacing="0" w:line="360" w:lineRule="auto"/>
        <w:jc w:val="center"/>
        <w:outlineLvl w:val="0"/>
        <w:rPr>
          <w:rFonts w:hint="eastAsia" w:ascii="楷体" w:hAnsi="楷体" w:eastAsia="楷体"/>
          <w:b/>
          <w:sz w:val="36"/>
          <w:szCs w:val="36"/>
        </w:rPr>
      </w:pPr>
      <w:r>
        <w:rPr>
          <w:rFonts w:hint="eastAsia" w:ascii="楷体" w:hAnsi="楷体" w:eastAsia="楷体"/>
          <w:sz w:val="24"/>
          <w:szCs w:val="24"/>
        </w:rPr>
        <w:br w:type="page"/>
      </w:r>
      <w:r>
        <w:rPr>
          <w:rFonts w:hint="eastAsia" w:ascii="楷体" w:hAnsi="楷体" w:eastAsia="楷体"/>
          <w:b/>
          <w:sz w:val="36"/>
          <w:szCs w:val="36"/>
        </w:rPr>
        <w:t>“苏银理财</w:t>
      </w:r>
      <w:r>
        <w:rPr>
          <w:rFonts w:hint="eastAsia" w:ascii="楷体" w:hAnsi="楷体" w:eastAsia="楷体"/>
          <w:b/>
          <w:sz w:val="36"/>
          <w:szCs w:val="36"/>
          <w:lang w:eastAsia="zh-CN"/>
        </w:rPr>
        <w:t>恒源季开放8号</w:t>
      </w:r>
      <w:r>
        <w:rPr>
          <w:rFonts w:hint="eastAsia" w:ascii="楷体" w:hAnsi="楷体" w:eastAsia="楷体"/>
          <w:b/>
          <w:sz w:val="36"/>
          <w:szCs w:val="36"/>
        </w:rPr>
        <w:t>”理财产品说明书</w:t>
      </w:r>
    </w:p>
    <w:p>
      <w:pPr>
        <w:jc w:val="center"/>
        <w:rPr>
          <w:rFonts w:hint="eastAsia"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hint="eastAsia" w:ascii="楷体" w:hAnsi="楷体" w:eastAsia="楷体"/>
          <w:b/>
          <w:sz w:val="28"/>
          <w:szCs w:val="28"/>
          <w:lang w:val="en-US" w:eastAsia="zh-CN"/>
        </w:rPr>
      </w:pPr>
      <w:r>
        <w:rPr>
          <w:rFonts w:hint="eastAsia" w:ascii="楷体" w:hAnsi="楷体" w:eastAsia="楷体"/>
          <w:b/>
          <w:sz w:val="28"/>
          <w:szCs w:val="28"/>
        </w:rPr>
        <w:t>重要须知</w:t>
      </w:r>
    </w:p>
    <w:p>
      <w:pPr>
        <w:numPr>
          <w:ilvl w:val="0"/>
          <w:numId w:val="2"/>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w:t>
      </w:r>
      <w:r>
        <w:rPr>
          <w:rFonts w:hint="eastAsia" w:ascii="楷体" w:hAnsi="楷体" w:eastAsia="楷体"/>
          <w:b/>
          <w:sz w:val="24"/>
          <w:szCs w:val="24"/>
          <w:u w:val="single"/>
          <w:lang w:val="en-US" w:eastAsia="zh-CN"/>
        </w:rPr>
        <w:t>或者交易违约等事项</w:t>
      </w:r>
      <w:r>
        <w:rPr>
          <w:rFonts w:hint="eastAsia" w:ascii="楷体" w:hAnsi="楷体" w:eastAsia="楷体"/>
          <w:b/>
          <w:sz w:val="24"/>
          <w:szCs w:val="24"/>
          <w:u w:val="single"/>
        </w:rPr>
        <w:t>而蒙受相应损失，投资者应充分认识投资风险，谨慎投资；本理财产品过往业绩不代表其未来表现，不等于理财产品实际收益，投资须谨慎；理财非存款、产品有风险、投资须谨慎。</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本理财产品的任何业绩比较区间、业绩比较基准类似表述均属不具有法律约束力的用语，业绩比较基准</w:t>
      </w:r>
      <w:r>
        <w:rPr>
          <w:rFonts w:hint="eastAsia" w:ascii="楷体" w:hAnsi="楷体" w:eastAsia="楷体"/>
          <w:b/>
          <w:sz w:val="24"/>
          <w:szCs w:val="24"/>
          <w:u w:val="single"/>
          <w:lang w:val="en-US" w:eastAsia="zh-CN"/>
        </w:rPr>
        <w:t>为管理人</w:t>
      </w:r>
      <w:r>
        <w:rPr>
          <w:rFonts w:hint="eastAsia" w:ascii="楷体" w:hAnsi="楷体" w:eastAsia="楷体"/>
          <w:b/>
          <w:sz w:val="24"/>
          <w:szCs w:val="24"/>
          <w:u w:val="single"/>
        </w:rPr>
        <w:t>对本产品所设定的投资目标</w:t>
      </w:r>
      <w:r>
        <w:rPr>
          <w:rFonts w:hint="eastAsia" w:ascii="楷体" w:hAnsi="楷体" w:eastAsia="楷体"/>
          <w:b/>
          <w:sz w:val="24"/>
          <w:szCs w:val="24"/>
          <w:u w:val="single"/>
          <w:lang w:eastAsia="zh-CN"/>
        </w:rPr>
        <w:t>，</w:t>
      </w:r>
      <w:r>
        <w:rPr>
          <w:rFonts w:hint="eastAsia" w:ascii="楷体" w:hAnsi="楷体" w:eastAsia="楷体"/>
          <w:b/>
          <w:sz w:val="24"/>
          <w:szCs w:val="24"/>
          <w:u w:val="single"/>
        </w:rPr>
        <w:t>不代表投资者可能获得的实际收益，亦不构成苏银理财有限责任公司（以下简称“苏银理财”）对本理财产品的任何收益承诺。</w:t>
      </w:r>
    </w:p>
    <w:p>
      <w:pPr>
        <w:numPr>
          <w:ilvl w:val="0"/>
          <w:numId w:val="2"/>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2"/>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、其他风险等。请仔细阅读《“苏银理财</w:t>
      </w:r>
      <w:r>
        <w:rPr>
          <w:rFonts w:hint="eastAsia" w:ascii="楷体" w:hAnsi="楷体" w:eastAsia="楷体"/>
          <w:sz w:val="24"/>
          <w:szCs w:val="24"/>
          <w:lang w:eastAsia="zh-CN"/>
        </w:rPr>
        <w:t>恒源季开放8号</w:t>
      </w:r>
      <w:r>
        <w:rPr>
          <w:rFonts w:hint="eastAsia" w:ascii="楷体" w:hAnsi="楷体" w:eastAsia="楷体"/>
          <w:sz w:val="24"/>
          <w:szCs w:val="24"/>
        </w:rPr>
        <w:t>”理财产品风险揭示书》的“风险揭示”部分。</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2"/>
        </w:numPr>
        <w:rPr>
          <w:rFonts w:hint="eastAsia"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lang w:val="en-US" w:eastAsia="zh-CN"/>
        </w:rPr>
        <w:t>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r>
        <w:rPr>
          <w:rFonts w:hint="eastAsia" w:ascii="楷体" w:hAnsi="楷体" w:eastAsia="楷体"/>
          <w:b/>
          <w:sz w:val="24"/>
          <w:szCs w:val="24"/>
          <w:u w:val="single"/>
        </w:rPr>
        <w:t>。</w:t>
      </w:r>
    </w:p>
    <w:p>
      <w:pPr>
        <w:numPr>
          <w:ilvl w:val="0"/>
          <w:numId w:val="2"/>
        </w:numPr>
        <w:rPr>
          <w:rFonts w:ascii="楷体" w:hAnsi="楷体" w:eastAsia="楷体"/>
          <w:sz w:val="24"/>
          <w:szCs w:val="24"/>
        </w:rPr>
      </w:pPr>
      <w:r>
        <w:rPr>
          <w:rFonts w:hint="eastAsia" w:ascii="楷体" w:hAnsi="楷体" w:eastAsia="楷体"/>
          <w:sz w:val="24"/>
          <w:szCs w:val="24"/>
        </w:rPr>
        <w:t>为贯彻落实</w:t>
      </w:r>
      <w:r>
        <w:rPr>
          <w:rFonts w:hint="eastAsia" w:ascii="楷体" w:hAnsi="楷体" w:eastAsia="楷体"/>
          <w:sz w:val="24"/>
          <w:szCs w:val="24"/>
          <w:lang w:val="en-US" w:eastAsia="zh-CN"/>
        </w:rPr>
        <w:t>金融监管总局</w:t>
      </w:r>
      <w:r>
        <w:rPr>
          <w:rFonts w:hint="eastAsia" w:ascii="楷体" w:hAnsi="楷体" w:eastAsia="楷体"/>
          <w:sz w:val="24"/>
          <w:szCs w:val="24"/>
        </w:rPr>
        <w:t>和银行业理财登记托管中心的要求，苏银理财将向监管机构报送理财产品投资者身份信息、每日交易、持仓等信息。后续</w:t>
      </w:r>
      <w:r>
        <w:rPr>
          <w:rFonts w:hint="eastAsia" w:ascii="楷体" w:hAnsi="楷体" w:eastAsia="楷体"/>
          <w:sz w:val="24"/>
          <w:szCs w:val="24"/>
          <w:lang w:val="en-US" w:eastAsia="zh-CN"/>
        </w:rPr>
        <w:t>金融监管总局</w:t>
      </w:r>
      <w:r>
        <w:rPr>
          <w:rFonts w:hint="eastAsia" w:ascii="楷体" w:hAnsi="楷体" w:eastAsia="楷体"/>
          <w:sz w:val="24"/>
          <w:szCs w:val="24"/>
        </w:rPr>
        <w:t>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2"/>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2"/>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2"/>
        </w:numPr>
        <w:rPr>
          <w:rFonts w:hint="eastAsia"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noWrap w:val="0"/>
            <w:vAlign w:val="center"/>
          </w:tcPr>
          <w:p>
            <w:pPr>
              <w:pStyle w:val="45"/>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恒源季开放8号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40"/>
              <w:ind w:left="55"/>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noWrap w:val="0"/>
            <w:vAlign w:val="center"/>
          </w:tcPr>
          <w:p>
            <w:pPr>
              <w:pStyle w:val="45"/>
              <w:kinsoku w:val="0"/>
              <w:overflowPunct w:val="0"/>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Z7003123000145</w:t>
            </w:r>
          </w:p>
          <w:p>
            <w:pPr>
              <w:pStyle w:val="45"/>
              <w:kinsoku w:val="0"/>
              <w:overflowPunct w:val="0"/>
              <w:ind w:left="59" w:leftChars="0"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rPr>
                <w:rFonts w:ascii="楷体" w:hAnsi="楷体" w:eastAsia="楷体" w:cs="宋体"/>
                <w:spacing w:val="-2"/>
                <w:sz w:val="21"/>
                <w:szCs w:val="21"/>
              </w:rPr>
              <w:fldChar w:fldCharType="begin"/>
            </w:r>
            <w:r>
              <w:rPr>
                <w:rFonts w:ascii="楷体" w:hAnsi="楷体" w:eastAsia="楷体" w:cs="宋体"/>
                <w:spacing w:val="-2"/>
                <w:sz w:val="21"/>
                <w:szCs w:val="21"/>
              </w:rPr>
              <w:instrText xml:space="preserve"> HYPERLINK "http://www.chinawealth.com.cn/" </w:instrText>
            </w:r>
            <w:r>
              <w:rPr>
                <w:rFonts w:ascii="楷体" w:hAnsi="楷体" w:eastAsia="楷体" w:cs="宋体"/>
                <w:spacing w:val="-2"/>
                <w:sz w:val="21"/>
                <w:szCs w:val="21"/>
              </w:rP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8" w:type="dxa"/>
            <w:noWrap w:val="0"/>
            <w:vAlign w:val="center"/>
          </w:tcPr>
          <w:p>
            <w:pPr>
              <w:pStyle w:val="45"/>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noWrap w:val="0"/>
            <w:vAlign w:val="center"/>
          </w:tcPr>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A份额：苏银理财恒源</w:t>
            </w:r>
            <w:r>
              <w:rPr>
                <w:rFonts w:hint="eastAsia" w:ascii="楷体" w:hAnsi="楷体" w:eastAsia="楷体" w:cs="宋体"/>
                <w:spacing w:val="-2"/>
                <w:sz w:val="21"/>
                <w:szCs w:val="21"/>
                <w:lang w:eastAsia="zh-CN"/>
              </w:rPr>
              <w:t>季开放8号</w:t>
            </w:r>
            <w:r>
              <w:rPr>
                <w:rFonts w:hint="eastAsia" w:ascii="楷体" w:hAnsi="楷体" w:eastAsia="楷体" w:cs="宋体"/>
                <w:spacing w:val="-2"/>
                <w:sz w:val="21"/>
                <w:szCs w:val="21"/>
              </w:rPr>
              <w:t>A/J02676</w:t>
            </w:r>
          </w:p>
          <w:p>
            <w:pPr>
              <w:pStyle w:val="45"/>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C份额：苏银理财恒源</w:t>
            </w:r>
            <w:r>
              <w:rPr>
                <w:rFonts w:hint="eastAsia" w:ascii="楷体" w:hAnsi="楷体" w:eastAsia="楷体" w:cs="宋体"/>
                <w:spacing w:val="-2"/>
                <w:sz w:val="21"/>
                <w:szCs w:val="21"/>
                <w:lang w:eastAsia="zh-CN"/>
              </w:rPr>
              <w:t>季开放8号</w:t>
            </w:r>
            <w:r>
              <w:rPr>
                <w:rFonts w:ascii="楷体" w:hAnsi="楷体" w:eastAsia="楷体" w:cs="宋体"/>
                <w:spacing w:val="-2"/>
                <w:sz w:val="21"/>
                <w:szCs w:val="21"/>
              </w:rPr>
              <w:t>C</w:t>
            </w:r>
            <w:r>
              <w:rPr>
                <w:rFonts w:hint="eastAsia" w:ascii="楷体" w:hAnsi="楷体" w:eastAsia="楷体" w:cs="宋体"/>
                <w:spacing w:val="-2"/>
                <w:sz w:val="21"/>
                <w:szCs w:val="21"/>
              </w:rPr>
              <w:t>/J02677</w:t>
            </w:r>
          </w:p>
          <w:p>
            <w:pPr>
              <w:pStyle w:val="45"/>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D份额：苏银理财恒源</w:t>
            </w:r>
            <w:r>
              <w:rPr>
                <w:rFonts w:hint="eastAsia" w:ascii="楷体" w:hAnsi="楷体" w:eastAsia="楷体" w:cs="宋体"/>
                <w:spacing w:val="-2"/>
                <w:sz w:val="21"/>
                <w:szCs w:val="21"/>
                <w:lang w:eastAsia="zh-CN"/>
              </w:rPr>
              <w:t>季开放8号</w:t>
            </w:r>
            <w:r>
              <w:rPr>
                <w:rFonts w:ascii="楷体" w:hAnsi="楷体" w:eastAsia="楷体" w:cs="宋体"/>
                <w:spacing w:val="-2"/>
                <w:sz w:val="21"/>
                <w:szCs w:val="21"/>
              </w:rPr>
              <w:t>D</w:t>
            </w:r>
            <w:r>
              <w:rPr>
                <w:rFonts w:hint="eastAsia" w:ascii="楷体" w:hAnsi="楷体" w:eastAsia="楷体" w:cs="宋体"/>
                <w:spacing w:val="-2"/>
                <w:sz w:val="21"/>
                <w:szCs w:val="21"/>
              </w:rPr>
              <w:t>/J02678</w:t>
            </w:r>
          </w:p>
          <w:p>
            <w:pPr>
              <w:pStyle w:val="45"/>
              <w:kinsoku w:val="0"/>
              <w:overflowPunct w:val="0"/>
              <w:spacing w:before="12"/>
              <w:ind w:left="59" w:right="73" w:rightChars="35"/>
              <w:jc w:val="both"/>
              <w:rPr>
                <w:rFonts w:ascii="楷体" w:hAnsi="楷体" w:eastAsia="楷体" w:cs="宋体"/>
                <w:spacing w:val="-2"/>
                <w:sz w:val="21"/>
                <w:szCs w:val="21"/>
              </w:rPr>
            </w:pPr>
            <w:r>
              <w:rPr>
                <w:rFonts w:ascii="楷体" w:hAnsi="楷体" w:eastAsia="楷体" w:cs="宋体"/>
                <w:spacing w:val="-2"/>
                <w:sz w:val="21"/>
                <w:szCs w:val="21"/>
              </w:rPr>
              <w:t>E</w:t>
            </w:r>
            <w:r>
              <w:rPr>
                <w:rFonts w:hint="eastAsia" w:ascii="楷体" w:hAnsi="楷体" w:eastAsia="楷体" w:cs="宋体"/>
                <w:spacing w:val="-2"/>
                <w:sz w:val="21"/>
                <w:szCs w:val="21"/>
              </w:rPr>
              <w:t>份额：苏银理财恒源</w:t>
            </w:r>
            <w:r>
              <w:rPr>
                <w:rFonts w:hint="eastAsia" w:ascii="楷体" w:hAnsi="楷体" w:eastAsia="楷体" w:cs="宋体"/>
                <w:spacing w:val="-2"/>
                <w:sz w:val="21"/>
                <w:szCs w:val="21"/>
                <w:lang w:eastAsia="zh-CN"/>
              </w:rPr>
              <w:t>季开放8号</w:t>
            </w:r>
            <w:r>
              <w:rPr>
                <w:rFonts w:ascii="楷体" w:hAnsi="楷体" w:eastAsia="楷体" w:cs="宋体"/>
                <w:spacing w:val="-2"/>
                <w:sz w:val="21"/>
                <w:szCs w:val="21"/>
              </w:rPr>
              <w:t>E</w:t>
            </w:r>
            <w:r>
              <w:rPr>
                <w:rFonts w:hint="eastAsia" w:ascii="楷体" w:hAnsi="楷体" w:eastAsia="楷体" w:cs="宋体"/>
                <w:spacing w:val="-2"/>
                <w:sz w:val="21"/>
                <w:szCs w:val="21"/>
              </w:rPr>
              <w:t>/J02679</w:t>
            </w:r>
          </w:p>
          <w:p>
            <w:pPr>
              <w:pStyle w:val="45"/>
              <w:kinsoku w:val="0"/>
              <w:overflowPunct w:val="0"/>
              <w:spacing w:before="12"/>
              <w:ind w:left="59" w:leftChars="0"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val="en-US" w:eastAsia="zh-CN"/>
              </w:rPr>
              <w:t>F份额：</w:t>
            </w:r>
            <w:r>
              <w:rPr>
                <w:rFonts w:hint="eastAsia" w:ascii="楷体" w:hAnsi="楷体" w:eastAsia="楷体" w:cs="宋体"/>
                <w:spacing w:val="-2"/>
                <w:sz w:val="21"/>
                <w:szCs w:val="21"/>
              </w:rPr>
              <w:t>苏银理财恒源</w:t>
            </w:r>
            <w:r>
              <w:rPr>
                <w:rFonts w:hint="eastAsia" w:ascii="楷体" w:hAnsi="楷体" w:eastAsia="楷体" w:cs="宋体"/>
                <w:spacing w:val="-2"/>
                <w:sz w:val="21"/>
                <w:szCs w:val="21"/>
                <w:lang w:eastAsia="zh-CN"/>
              </w:rPr>
              <w:t>季开放8号</w:t>
            </w: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/J02680</w:t>
            </w:r>
          </w:p>
          <w:p>
            <w:pPr>
              <w:pStyle w:val="45"/>
              <w:kinsoku w:val="0"/>
              <w:overflowPunct w:val="0"/>
              <w:spacing w:before="12"/>
              <w:ind w:left="59" w:leftChars="0"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val="en-US" w:eastAsia="zh-CN"/>
              </w:rPr>
              <w:t>G份额：</w:t>
            </w:r>
            <w:r>
              <w:rPr>
                <w:rFonts w:hint="eastAsia" w:ascii="楷体" w:hAnsi="楷体" w:eastAsia="楷体" w:cs="宋体"/>
                <w:spacing w:val="-2"/>
                <w:sz w:val="21"/>
                <w:szCs w:val="21"/>
              </w:rPr>
              <w:t>苏银理财恒源</w:t>
            </w:r>
            <w:r>
              <w:rPr>
                <w:rFonts w:hint="eastAsia" w:ascii="楷体" w:hAnsi="楷体" w:eastAsia="楷体" w:cs="宋体"/>
                <w:spacing w:val="-2"/>
                <w:sz w:val="21"/>
                <w:szCs w:val="21"/>
                <w:lang w:eastAsia="zh-CN"/>
              </w:rPr>
              <w:t>季开放8号</w:t>
            </w: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/J02681</w:t>
            </w:r>
          </w:p>
          <w:p>
            <w:pPr>
              <w:pStyle w:val="45"/>
              <w:kinsoku w:val="0"/>
              <w:overflowPunct w:val="0"/>
              <w:spacing w:before="12"/>
              <w:ind w:left="59" w:leftChars="0"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val="en-US" w:eastAsia="zh-CN"/>
              </w:rPr>
              <w:t>W份额：</w:t>
            </w:r>
            <w:r>
              <w:rPr>
                <w:rFonts w:hint="eastAsia" w:ascii="楷体" w:hAnsi="楷体" w:eastAsia="楷体" w:cs="宋体"/>
                <w:spacing w:val="-2"/>
                <w:sz w:val="21"/>
                <w:szCs w:val="21"/>
              </w:rPr>
              <w:t>苏银理财恒源</w:t>
            </w:r>
            <w:r>
              <w:rPr>
                <w:rFonts w:hint="eastAsia" w:ascii="楷体" w:hAnsi="楷体" w:eastAsia="楷体" w:cs="宋体"/>
                <w:spacing w:val="-2"/>
                <w:sz w:val="21"/>
                <w:szCs w:val="21"/>
                <w:lang w:eastAsia="zh-CN"/>
              </w:rPr>
              <w:t>季开放8号</w:t>
            </w:r>
            <w:r>
              <w:rPr>
                <w:rFonts w:hint="eastAsia" w:ascii="楷体" w:hAnsi="楷体" w:eastAsia="楷体" w:cs="宋体"/>
                <w:spacing w:val="-2"/>
                <w:sz w:val="21"/>
                <w:szCs w:val="21"/>
                <w:lang w:val="en-US" w:eastAsia="zh-CN"/>
              </w:rPr>
              <w:t>W</w:t>
            </w:r>
            <w:r>
              <w:rPr>
                <w:rFonts w:hint="eastAsia" w:ascii="楷体" w:hAnsi="楷体" w:eastAsia="楷体" w:cs="宋体"/>
                <w:spacing w:val="-2"/>
                <w:sz w:val="21"/>
                <w:szCs w:val="21"/>
              </w:rPr>
              <w:t>/J02834</w:t>
            </w:r>
          </w:p>
          <w:p>
            <w:pPr>
              <w:pStyle w:val="45"/>
              <w:kinsoku w:val="0"/>
              <w:overflowPunct w:val="0"/>
              <w:spacing w:before="12"/>
              <w:ind w:left="59" w:leftChars="0"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S份额：</w:t>
            </w:r>
            <w:r>
              <w:rPr>
                <w:rFonts w:hint="eastAsia" w:ascii="楷体" w:hAnsi="楷体" w:eastAsia="楷体" w:cs="宋体"/>
                <w:spacing w:val="-2"/>
                <w:sz w:val="21"/>
                <w:szCs w:val="21"/>
              </w:rPr>
              <w:t>苏银理财恒源</w:t>
            </w:r>
            <w:r>
              <w:rPr>
                <w:rFonts w:hint="eastAsia" w:ascii="楷体" w:hAnsi="楷体" w:eastAsia="楷体" w:cs="宋体"/>
                <w:spacing w:val="-2"/>
                <w:sz w:val="21"/>
                <w:szCs w:val="21"/>
                <w:lang w:eastAsia="zh-CN"/>
              </w:rPr>
              <w:t>季开放</w:t>
            </w:r>
            <w:r>
              <w:rPr>
                <w:rFonts w:hint="eastAsia" w:ascii="楷体" w:hAnsi="楷体" w:eastAsia="楷体" w:cs="宋体"/>
                <w:spacing w:val="-2"/>
                <w:sz w:val="21"/>
                <w:szCs w:val="21"/>
                <w:lang w:val="en-US" w:eastAsia="zh-CN"/>
              </w:rPr>
              <w:t>8</w:t>
            </w:r>
            <w:r>
              <w:rPr>
                <w:rFonts w:hint="eastAsia" w:ascii="楷体" w:hAnsi="楷体" w:eastAsia="楷体" w:cs="宋体"/>
                <w:spacing w:val="-2"/>
                <w:sz w:val="21"/>
                <w:szCs w:val="21"/>
                <w:lang w:eastAsia="zh-CN"/>
              </w:rPr>
              <w:t>号</w:t>
            </w:r>
            <w:r>
              <w:rPr>
                <w:rFonts w:hint="eastAsia" w:ascii="楷体" w:hAnsi="楷体" w:eastAsia="楷体" w:cs="宋体"/>
                <w:spacing w:val="-2"/>
                <w:sz w:val="21"/>
                <w:szCs w:val="21"/>
                <w:lang w:val="en-US" w:eastAsia="zh-CN"/>
              </w:rPr>
              <w:t>S</w:t>
            </w:r>
            <w:r>
              <w:rPr>
                <w:rFonts w:hint="eastAsia" w:ascii="楷体" w:hAnsi="楷体" w:eastAsia="楷体" w:cs="宋体"/>
                <w:spacing w:val="-2"/>
                <w:sz w:val="21"/>
                <w:szCs w:val="21"/>
              </w:rPr>
              <w:t>/J036</w:t>
            </w:r>
            <w:r>
              <w:rPr>
                <w:rFonts w:hint="eastAsia" w:ascii="楷体" w:hAnsi="楷体" w:eastAsia="楷体" w:cs="宋体"/>
                <w:spacing w:val="-2"/>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noWrap w:val="0"/>
            <w:vAlign w:val="center"/>
          </w:tcPr>
          <w:p>
            <w:pPr>
              <w:pStyle w:val="45"/>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noWrap w:val="0"/>
            <w:vAlign w:val="center"/>
          </w:tcPr>
          <w:p>
            <w:pPr>
              <w:pStyle w:val="45"/>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江苏银行股份有限公司，详见下文“十四、产品托管人”。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3"/>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noWrap w:val="0"/>
            <w:vAlign w:val="center"/>
          </w:tcPr>
          <w:p>
            <w:pPr>
              <w:pStyle w:val="45"/>
              <w:kinsoku w:val="0"/>
              <w:overflowPunct w:val="0"/>
              <w:spacing w:before="13"/>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noWrap w:val="0"/>
            <w:vAlign w:val="center"/>
          </w:tcPr>
          <w:p>
            <w:pPr>
              <w:kinsoku w:val="0"/>
              <w:overflowPunct w:val="0"/>
              <w:autoSpaceDE w:val="0"/>
              <w:autoSpaceDN w:val="0"/>
              <w:adjustRightInd w:val="0"/>
              <w:spacing w:before="13"/>
              <w:ind w:left="59" w:right="73" w:rightChars="35"/>
              <w:rPr>
                <w:rFonts w:hint="eastAsia" w:ascii="楷体" w:hAnsi="楷体" w:eastAsia="楷体" w:cs="宋体"/>
                <w:b/>
                <w:spacing w:val="-2"/>
                <w:kern w:val="0"/>
                <w:szCs w:val="21"/>
                <w:u w:val="single"/>
              </w:rPr>
            </w:pPr>
            <w:r>
              <w:rPr>
                <w:rFonts w:hint="eastAsia" w:ascii="楷体" w:hAnsi="楷体" w:eastAsia="楷体" w:cs="宋体"/>
                <w:b/>
                <w:spacing w:val="-2"/>
                <w:kern w:val="0"/>
                <w:szCs w:val="21"/>
                <w:u w:val="single"/>
              </w:rPr>
              <w:t>1、★★二级，</w:t>
            </w:r>
            <w:r>
              <w:rPr>
                <w:rFonts w:hint="eastAsia" w:ascii="楷体" w:hAnsi="楷体" w:eastAsia="楷体" w:cs="宋体"/>
                <w:spacing w:val="-2"/>
                <w:kern w:val="0"/>
                <w:szCs w:val="21"/>
              </w:rPr>
              <w:t>本评级为苏银理财有限责任公司内部评级，由苏银理财根据理财产品的投资组合、同类产品过往业绩和风险状况等因素，对理财产品进行评级，仅供客户参考。</w:t>
            </w:r>
          </w:p>
          <w:p>
            <w:pPr>
              <w:kinsoku w:val="0"/>
              <w:overflowPunct w:val="0"/>
              <w:autoSpaceDE w:val="0"/>
              <w:autoSpaceDN w:val="0"/>
              <w:adjustRightInd w:val="0"/>
              <w:spacing w:before="13"/>
              <w:ind w:left="59" w:right="73" w:rightChars="35"/>
              <w:rPr>
                <w:rFonts w:hint="eastAsia" w:ascii="楷体" w:hAnsi="楷体" w:eastAsia="楷体" w:cs="宋体"/>
                <w:spacing w:val="-2"/>
                <w:kern w:val="0"/>
                <w:szCs w:val="21"/>
              </w:rPr>
            </w:pPr>
            <w:r>
              <w:rPr>
                <w:rFonts w:hint="eastAsia" w:ascii="楷体" w:hAnsi="楷体" w:eastAsia="楷体" w:cs="宋体"/>
                <w:b/>
                <w:spacing w:val="-2"/>
                <w:kern w:val="0"/>
                <w:szCs w:val="21"/>
              </w:rPr>
              <w:t>2、</w:t>
            </w:r>
            <w:r>
              <w:rPr>
                <w:rFonts w:hint="eastAsia" w:ascii="楷体" w:hAnsi="楷体" w:eastAsia="楷体" w:cs="宋体"/>
                <w:spacing w:val="-2"/>
                <w:sz w:val="21"/>
                <w:szCs w:val="21"/>
                <w:highlight w:val="none"/>
                <w:lang w:val="en-US" w:eastAsia="zh-CN"/>
              </w:rPr>
              <w:t>如</w:t>
            </w:r>
            <w:r>
              <w:rPr>
                <w:rFonts w:hint="eastAsia" w:ascii="楷体" w:hAnsi="楷体" w:eastAsia="楷体" w:cs="宋体"/>
                <w:spacing w:val="-2"/>
                <w:sz w:val="21"/>
                <w:szCs w:val="21"/>
                <w:highlight w:val="none"/>
              </w:rPr>
              <w:t>本产品</w:t>
            </w:r>
            <w:r>
              <w:rPr>
                <w:rFonts w:hint="eastAsia" w:ascii="楷体" w:hAnsi="楷体" w:eastAsia="楷体" w:cs="宋体"/>
                <w:spacing w:val="-2"/>
                <w:sz w:val="21"/>
                <w:szCs w:val="21"/>
                <w:highlight w:val="none"/>
                <w:lang w:val="en-US" w:eastAsia="zh-CN"/>
              </w:rPr>
              <w:t>通过</w:t>
            </w:r>
            <w:r>
              <w:rPr>
                <w:rFonts w:hint="eastAsia" w:ascii="楷体" w:hAnsi="楷体" w:eastAsia="楷体" w:cs="宋体"/>
                <w:spacing w:val="-2"/>
                <w:sz w:val="21"/>
                <w:szCs w:val="21"/>
                <w:highlight w:val="none"/>
              </w:rPr>
              <w:t>代理销售机构渠道</w:t>
            </w:r>
            <w:r>
              <w:rPr>
                <w:rFonts w:hint="eastAsia" w:ascii="楷体" w:hAnsi="楷体" w:eastAsia="楷体" w:cs="宋体"/>
                <w:spacing w:val="-2"/>
                <w:sz w:val="21"/>
                <w:szCs w:val="21"/>
                <w:highlight w:val="none"/>
                <w:lang w:val="en-US" w:eastAsia="zh-CN"/>
              </w:rPr>
              <w:t>销售，</w:t>
            </w:r>
            <w:r>
              <w:rPr>
                <w:rFonts w:hint="eastAsia" w:ascii="楷体" w:hAnsi="楷体" w:eastAsia="楷体" w:cs="宋体"/>
                <w:spacing w:val="-2"/>
                <w:kern w:val="0"/>
                <w:szCs w:val="21"/>
              </w:rPr>
              <w:t>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kern w:val="0"/>
                <w:szCs w:val="21"/>
              </w:rPr>
              <w:t>销售评级与</w:t>
            </w:r>
            <w:r>
              <w:rPr>
                <w:rFonts w:hint="eastAsia" w:ascii="楷体" w:hAnsi="楷体" w:eastAsia="楷体" w:cs="宋体"/>
                <w:spacing w:val="-2"/>
                <w:kern w:val="0"/>
                <w:szCs w:val="21"/>
              </w:rPr>
              <w:t>苏银理财</w:t>
            </w:r>
            <w:r>
              <w:rPr>
                <w:rFonts w:ascii="楷体" w:hAnsi="楷体" w:eastAsia="楷体" w:cs="宋体"/>
                <w:spacing w:val="-2"/>
                <w:kern w:val="0"/>
                <w:szCs w:val="21"/>
              </w:rPr>
              <w:t>产品评级结果不一致的，代理销售机构应当采用对应较高风险等级的评级结果并予以披露</w:t>
            </w:r>
            <w:r>
              <w:rPr>
                <w:rFonts w:hint="eastAsia" w:ascii="楷体" w:hAnsi="楷体" w:eastAsia="楷体" w:cs="宋体"/>
                <w:spacing w:val="-2"/>
                <w:kern w:val="0"/>
                <w:szCs w:val="21"/>
              </w:rPr>
              <w:t>。</w:t>
            </w:r>
          </w:p>
          <w:p>
            <w:pPr>
              <w:pStyle w:val="45"/>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kern w:val="2"/>
                <w:sz w:val="21"/>
                <w:szCs w:val="21"/>
                <w:u w:val="single"/>
              </w:rPr>
              <w:t>3</w:t>
            </w:r>
            <w:r>
              <w:rPr>
                <w:rFonts w:hint="eastAsia" w:ascii="楷体" w:hAnsi="楷体" w:eastAsia="楷体" w:cs="宋体"/>
                <w:b/>
                <w:spacing w:val="-2"/>
                <w:kern w:val="2"/>
                <w:sz w:val="21"/>
                <w:szCs w:val="21"/>
                <w:highlight w:val="none"/>
                <w:u w:val="single"/>
              </w:rPr>
              <w:t>、</w:t>
            </w:r>
            <w:r>
              <w:rPr>
                <w:rFonts w:hint="eastAsia" w:ascii="楷体" w:hAnsi="楷体" w:eastAsia="楷体" w:cs="宋体"/>
                <w:b/>
                <w:spacing w:val="-2"/>
                <w:sz w:val="21"/>
                <w:szCs w:val="21"/>
                <w:highlight w:val="none"/>
                <w:u w:val="single"/>
                <w:lang w:val="en-US" w:eastAsia="zh-CN"/>
              </w:rPr>
              <w:t>如本</w:t>
            </w:r>
            <w:r>
              <w:rPr>
                <w:rFonts w:hint="eastAsia" w:ascii="楷体" w:hAnsi="楷体" w:eastAsia="楷体" w:cs="宋体"/>
                <w:b/>
                <w:spacing w:val="-2"/>
                <w:sz w:val="21"/>
                <w:szCs w:val="21"/>
                <w:highlight w:val="none"/>
                <w:u w:val="single"/>
              </w:rPr>
              <w:t>产品</w:t>
            </w:r>
            <w:r>
              <w:rPr>
                <w:rFonts w:ascii="楷体" w:hAnsi="楷体" w:eastAsia="楷体" w:cs="宋体"/>
                <w:b/>
                <w:spacing w:val="-2"/>
                <w:sz w:val="21"/>
                <w:szCs w:val="21"/>
                <w:highlight w:val="none"/>
                <w:u w:val="single"/>
              </w:rPr>
              <w:t>通过代理销售机构渠道销售，理财产品评级</w:t>
            </w:r>
            <w:r>
              <w:rPr>
                <w:rFonts w:hint="eastAsia" w:ascii="楷体" w:hAnsi="楷体" w:eastAsia="楷体" w:cs="宋体"/>
                <w:b/>
                <w:spacing w:val="-2"/>
                <w:sz w:val="21"/>
                <w:szCs w:val="21"/>
                <w:highlight w:val="none"/>
                <w:u w:val="single"/>
              </w:rPr>
              <w:t>以</w:t>
            </w:r>
            <w:r>
              <w:rPr>
                <w:rFonts w:ascii="楷体" w:hAnsi="楷体" w:eastAsia="楷体" w:cs="宋体"/>
                <w:b/>
                <w:spacing w:val="-2"/>
                <w:sz w:val="21"/>
                <w:szCs w:val="21"/>
                <w:highlight w:val="none"/>
                <w:u w:val="single"/>
              </w:rPr>
              <w:t>代理销售机构最终披露的评级结果为准</w:t>
            </w:r>
            <w:r>
              <w:rPr>
                <w:rFonts w:hint="eastAsia" w:ascii="楷体" w:hAnsi="楷体" w:eastAsia="楷体" w:cs="宋体"/>
                <w:b/>
                <w:spacing w:val="-2"/>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noWrap w:val="0"/>
            <w:vAlign w:val="center"/>
          </w:tcPr>
          <w:p>
            <w:pPr>
              <w:pStyle w:val="45"/>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3"/>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noWrap w:val="0"/>
            <w:vAlign w:val="center"/>
          </w:tcPr>
          <w:p>
            <w:pPr>
              <w:pStyle w:val="45"/>
              <w:kinsoku w:val="0"/>
              <w:overflowPunct w:val="0"/>
              <w:spacing w:before="12"/>
              <w:ind w:left="59" w:right="73" w:rightChars="35"/>
              <w:jc w:val="both"/>
              <w:rPr>
                <w:rFonts w:hint="eastAsia"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noWrap w:val="0"/>
            <w:vAlign w:val="center"/>
          </w:tcPr>
          <w:p>
            <w:pPr>
              <w:pStyle w:val="45"/>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A份额面向个人和机构投资者销售。</w:t>
            </w:r>
          </w:p>
          <w:p>
            <w:pPr>
              <w:pStyle w:val="45"/>
              <w:kinsoku w:val="0"/>
              <w:overflowPunct w:val="0"/>
              <w:spacing w:before="12"/>
              <w:ind w:left="59" w:right="88" w:rightChars="42"/>
              <w:jc w:val="both"/>
              <w:rPr>
                <w:rFonts w:hint="eastAsia" w:ascii="楷体" w:hAnsi="楷体" w:eastAsia="楷体" w:cs="宋体"/>
                <w:spacing w:val="-2"/>
                <w:sz w:val="21"/>
                <w:szCs w:val="21"/>
                <w:lang w:val="en-US" w:eastAsia="zh-CN"/>
              </w:rPr>
            </w:pPr>
            <w:r>
              <w:rPr>
                <w:rFonts w:ascii="楷体" w:hAnsi="楷体" w:eastAsia="楷体" w:cs="宋体"/>
                <w:spacing w:val="-2"/>
                <w:sz w:val="21"/>
                <w:szCs w:val="21"/>
                <w:highlight w:val="none"/>
              </w:rPr>
              <w:t>C</w:t>
            </w:r>
            <w:r>
              <w:rPr>
                <w:rFonts w:hint="eastAsia" w:ascii="楷体" w:hAnsi="楷体" w:eastAsia="楷体" w:cs="宋体"/>
                <w:spacing w:val="-2"/>
                <w:sz w:val="21"/>
                <w:szCs w:val="21"/>
                <w:highlight w:val="none"/>
              </w:rPr>
              <w:t>份额面向</w:t>
            </w:r>
            <w:r>
              <w:rPr>
                <w:rFonts w:hint="eastAsia" w:ascii="楷体" w:hAnsi="楷体" w:eastAsia="楷体" w:cs="宋体"/>
                <w:spacing w:val="-2"/>
                <w:sz w:val="21"/>
                <w:szCs w:val="21"/>
              </w:rPr>
              <w:t>个人和机构投资者销售</w:t>
            </w:r>
            <w:r>
              <w:rPr>
                <w:rFonts w:hint="eastAsia" w:ascii="楷体" w:hAnsi="楷体" w:eastAsia="楷体" w:cs="宋体"/>
                <w:spacing w:val="-2"/>
                <w:sz w:val="21"/>
                <w:szCs w:val="21"/>
                <w:lang w:eastAsia="zh-CN"/>
              </w:rPr>
              <w:t>。</w:t>
            </w:r>
          </w:p>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D份额面向个人</w:t>
            </w:r>
            <w:r>
              <w:rPr>
                <w:rFonts w:hint="eastAsia" w:ascii="楷体" w:hAnsi="楷体" w:eastAsia="楷体" w:cs="宋体"/>
                <w:spacing w:val="-2"/>
                <w:sz w:val="21"/>
                <w:szCs w:val="21"/>
                <w:lang w:val="en-US" w:eastAsia="zh-CN"/>
              </w:rPr>
              <w:t>和机构</w:t>
            </w:r>
            <w:r>
              <w:rPr>
                <w:rFonts w:hint="eastAsia" w:ascii="楷体" w:hAnsi="楷体" w:eastAsia="楷体" w:cs="宋体"/>
                <w:spacing w:val="-2"/>
                <w:sz w:val="21"/>
                <w:szCs w:val="21"/>
              </w:rPr>
              <w:t>投资者销售（销售机构江苏银行</w:t>
            </w:r>
            <w:r>
              <w:rPr>
                <w:rFonts w:hint="eastAsia" w:ascii="楷体" w:hAnsi="楷体" w:eastAsia="楷体" w:cs="宋体"/>
                <w:spacing w:val="-2"/>
                <w:sz w:val="21"/>
                <w:szCs w:val="21"/>
                <w:lang w:val="en-US" w:eastAsia="zh-CN"/>
              </w:rPr>
              <w:t>个人投资者</w:t>
            </w:r>
            <w:r>
              <w:rPr>
                <w:rFonts w:hint="eastAsia" w:ascii="楷体" w:hAnsi="楷体" w:eastAsia="楷体" w:cs="宋体"/>
                <w:spacing w:val="-2"/>
                <w:sz w:val="21"/>
                <w:szCs w:val="21"/>
              </w:rPr>
              <w:t>仅限财富客户购买，</w:t>
            </w:r>
            <w:r>
              <w:rPr>
                <w:rFonts w:hint="eastAsia" w:ascii="楷体" w:hAnsi="楷体" w:eastAsia="楷体" w:cs="宋体"/>
                <w:spacing w:val="-2"/>
                <w:sz w:val="21"/>
                <w:szCs w:val="21"/>
                <w:lang w:val="en-US" w:eastAsia="zh-CN"/>
              </w:rPr>
              <w:t>具体</w:t>
            </w:r>
            <w:r>
              <w:rPr>
                <w:rFonts w:hint="eastAsia" w:ascii="楷体" w:hAnsi="楷体" w:eastAsia="楷体" w:cs="宋体"/>
                <w:spacing w:val="-2"/>
                <w:sz w:val="21"/>
                <w:szCs w:val="21"/>
                <w:highlight w:val="none"/>
                <w:lang w:val="en-US" w:eastAsia="zh-CN"/>
              </w:rPr>
              <w:t>以销售机构设置为准。</w:t>
            </w:r>
            <w:r>
              <w:rPr>
                <w:rFonts w:hint="eastAsia" w:ascii="楷体" w:hAnsi="楷体" w:eastAsia="楷体" w:cs="宋体"/>
                <w:spacing w:val="-2"/>
                <w:sz w:val="21"/>
                <w:szCs w:val="21"/>
              </w:rPr>
              <w:t>江苏银行财富客户指在江苏银行日均资产大于等于200万元的个人客户，具体以销售机构系统设置为准</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机构投资者具体以销售机构设置为准</w:t>
            </w:r>
            <w:r>
              <w:rPr>
                <w:rFonts w:hint="eastAsia" w:ascii="楷体" w:hAnsi="楷体" w:eastAsia="楷体" w:cs="宋体"/>
                <w:spacing w:val="-2"/>
                <w:sz w:val="21"/>
                <w:szCs w:val="21"/>
              </w:rPr>
              <w:t>）。</w:t>
            </w:r>
          </w:p>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w:t>
            </w:r>
            <w:r>
              <w:rPr>
                <w:rFonts w:hint="eastAsia" w:ascii="楷体" w:hAnsi="楷体" w:eastAsia="楷体" w:cs="宋体"/>
                <w:spacing w:val="-2"/>
                <w:sz w:val="21"/>
                <w:szCs w:val="21"/>
                <w:highlight w:val="none"/>
              </w:rPr>
              <w:t>个人投资者销售</w:t>
            </w:r>
            <w:r>
              <w:rPr>
                <w:rFonts w:hint="eastAsia" w:ascii="楷体" w:hAnsi="楷体" w:eastAsia="楷体" w:cs="宋体"/>
                <w:spacing w:val="-2"/>
                <w:sz w:val="21"/>
                <w:szCs w:val="21"/>
              </w:rPr>
              <w:t>（销售机构江苏银行仅限私行客户购买，</w:t>
            </w:r>
            <w:r>
              <w:rPr>
                <w:rFonts w:hint="eastAsia" w:ascii="楷体" w:hAnsi="楷体" w:eastAsia="楷体" w:cs="宋体"/>
                <w:spacing w:val="-2"/>
                <w:sz w:val="21"/>
                <w:szCs w:val="21"/>
                <w:lang w:val="en-US" w:eastAsia="zh-CN"/>
              </w:rPr>
              <w:t>具体</w:t>
            </w:r>
            <w:r>
              <w:rPr>
                <w:rFonts w:hint="eastAsia" w:ascii="楷体" w:hAnsi="楷体" w:eastAsia="楷体" w:cs="宋体"/>
                <w:spacing w:val="-2"/>
                <w:sz w:val="21"/>
                <w:szCs w:val="21"/>
                <w:highlight w:val="none"/>
                <w:lang w:val="en-US" w:eastAsia="zh-CN"/>
              </w:rPr>
              <w:t>以销售机构系统设置为准。</w:t>
            </w:r>
            <w:r>
              <w:rPr>
                <w:rFonts w:hint="eastAsia" w:ascii="楷体" w:hAnsi="楷体" w:eastAsia="楷体" w:cs="宋体"/>
                <w:spacing w:val="-2"/>
                <w:sz w:val="21"/>
                <w:szCs w:val="21"/>
              </w:rPr>
              <w:t>江苏银行私行客户指在江苏银行日均资产大于等于600万元的个人客户）。</w:t>
            </w:r>
          </w:p>
          <w:p>
            <w:pPr>
              <w:pStyle w:val="45"/>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F份额面向个人和机构投资者销售。（仅限江苏银行以外其他销售机构客户购买，具体以销售机构系统设置为准）。</w:t>
            </w:r>
          </w:p>
          <w:p>
            <w:pPr>
              <w:pStyle w:val="45"/>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G份额面向个人和机构投资者销售。（仅限江苏银行以外其他销售机构客户购买，具体以销售机构系统设置为准）。</w:t>
            </w:r>
          </w:p>
          <w:p>
            <w:pPr>
              <w:pStyle w:val="45"/>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W份额面向个人和机构投资者销售。</w:t>
            </w:r>
          </w:p>
          <w:p>
            <w:pPr>
              <w:pStyle w:val="45"/>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S份额面向个人和机构投资者销售</w:t>
            </w:r>
            <w:r>
              <w:rPr>
                <w:rFonts w:hint="eastAsia" w:ascii="楷体" w:hAnsi="楷体" w:eastAsia="楷体" w:cs="宋体"/>
                <w:spacing w:val="-2"/>
                <w:sz w:val="21"/>
                <w:szCs w:val="21"/>
              </w:rPr>
              <w:t>（销售机构</w:t>
            </w:r>
            <w:r>
              <w:rPr>
                <w:rFonts w:hint="eastAsia" w:ascii="楷体" w:hAnsi="楷体" w:eastAsia="楷体" w:cs="宋体"/>
                <w:spacing w:val="-2"/>
                <w:sz w:val="21"/>
                <w:szCs w:val="21"/>
                <w:lang w:val="en-US" w:eastAsia="zh-CN"/>
              </w:rPr>
              <w:t>深圳农商</w:t>
            </w:r>
            <w:r>
              <w:rPr>
                <w:rFonts w:hint="eastAsia" w:ascii="楷体" w:hAnsi="楷体" w:eastAsia="楷体" w:cs="宋体"/>
                <w:spacing w:val="-2"/>
                <w:sz w:val="21"/>
                <w:szCs w:val="21"/>
              </w:rPr>
              <w:t>行仅限社区及私行专属客户购买，</w:t>
            </w:r>
            <w:r>
              <w:rPr>
                <w:rFonts w:hint="eastAsia" w:ascii="楷体" w:hAnsi="楷体" w:eastAsia="楷体" w:cs="宋体"/>
                <w:spacing w:val="-2"/>
                <w:sz w:val="21"/>
                <w:szCs w:val="21"/>
                <w:lang w:val="en-US" w:eastAsia="zh-CN"/>
              </w:rPr>
              <w:t>具体</w:t>
            </w:r>
            <w:r>
              <w:rPr>
                <w:rFonts w:hint="eastAsia" w:ascii="楷体" w:hAnsi="楷体" w:eastAsia="楷体" w:cs="宋体"/>
                <w:spacing w:val="-2"/>
                <w:sz w:val="21"/>
                <w:szCs w:val="21"/>
                <w:highlight w:val="none"/>
                <w:lang w:val="en-US" w:eastAsia="zh-CN"/>
              </w:rPr>
              <w:t>以销售机构设置为准</w:t>
            </w:r>
            <w:r>
              <w:rPr>
                <w:rFonts w:hint="eastAsia" w:ascii="楷体" w:hAnsi="楷体" w:eastAsia="楷体" w:cs="宋体"/>
                <w:spacing w:val="-2"/>
                <w:sz w:val="21"/>
                <w:szCs w:val="21"/>
              </w:rPr>
              <w:t>）</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noWrap w:val="0"/>
            <w:vAlign w:val="center"/>
          </w:tcPr>
          <w:p>
            <w:pPr>
              <w:pStyle w:val="45"/>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4"/>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投资周期</w:t>
            </w:r>
          </w:p>
        </w:tc>
        <w:tc>
          <w:tcPr>
            <w:tcW w:w="6614" w:type="dxa"/>
            <w:noWrap w:val="0"/>
            <w:vAlign w:val="center"/>
          </w:tcPr>
          <w:p>
            <w:pPr>
              <w:pStyle w:val="45"/>
              <w:kinsoku w:val="0"/>
              <w:overflowPunct w:val="0"/>
              <w:spacing w:before="14"/>
              <w:ind w:left="59" w:right="73" w:rightChars="35"/>
              <w:jc w:val="both"/>
              <w:rPr>
                <w:rFonts w:hint="eastAsia" w:ascii="楷体" w:hAnsi="楷体" w:eastAsia="楷体" w:cs="宋体"/>
                <w:b/>
                <w:spacing w:val="-2"/>
                <w:sz w:val="21"/>
                <w:szCs w:val="21"/>
              </w:rPr>
            </w:pPr>
            <w:r>
              <w:rPr>
                <w:rFonts w:ascii="楷体" w:hAnsi="楷体" w:eastAsia="楷体" w:cs="宋体"/>
                <w:spacing w:val="-2"/>
                <w:sz w:val="21"/>
                <w:szCs w:val="21"/>
              </w:rPr>
              <w:t>3</w:t>
            </w:r>
            <w:r>
              <w:rPr>
                <w:rFonts w:hint="eastAsia" w:ascii="楷体" w:hAnsi="楷体" w:eastAsia="楷体" w:cs="宋体"/>
                <w:spacing w:val="-2"/>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2"/>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计划发行规模</w:t>
            </w:r>
          </w:p>
        </w:tc>
        <w:tc>
          <w:tcPr>
            <w:tcW w:w="6614" w:type="dxa"/>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首期计划发行规模</w:t>
            </w:r>
            <w:r>
              <w:rPr>
                <w:rFonts w:hint="eastAsia" w:ascii="楷体" w:hAnsi="楷体" w:eastAsia="楷体" w:cs="宋体"/>
                <w:spacing w:val="-2"/>
                <w:szCs w:val="21"/>
                <w:lang w:val="en-US" w:eastAsia="zh-CN"/>
              </w:rPr>
              <w:t>10</w:t>
            </w:r>
            <w:r>
              <w:rPr>
                <w:rFonts w:hint="eastAsia" w:ascii="楷体" w:hAnsi="楷体" w:eastAsia="楷体" w:cs="宋体"/>
                <w:spacing w:val="-2"/>
                <w:szCs w:val="21"/>
              </w:rPr>
              <w:t>亿元</w:t>
            </w:r>
            <w:r>
              <w:rPr>
                <w:rFonts w:hint="eastAsia" w:ascii="楷体" w:hAnsi="楷体" w:eastAsia="楷体" w:cs="宋体"/>
                <w:spacing w:val="-2"/>
                <w:szCs w:val="21"/>
                <w:lang w:eastAsia="zh-CN"/>
              </w:rPr>
              <w:t>。</w:t>
            </w:r>
            <w:r>
              <w:rPr>
                <w:rFonts w:hint="eastAsia" w:ascii="楷体" w:hAnsi="楷体" w:eastAsia="楷体" w:cs="宋体"/>
                <w:spacing w:val="-2"/>
                <w:szCs w:val="21"/>
              </w:rPr>
              <w:t>募集过程中管理人有权根据产品的募集情况调整计划发行规模。后续开放期内管理人将根据客户申购/赎回情况调整产品发行规模。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A份额认购起点</w:t>
            </w:r>
            <w:r>
              <w:rPr>
                <w:rFonts w:ascii="楷体" w:hAnsi="楷体" w:eastAsia="楷体" w:cs="宋体"/>
                <w:spacing w:val="-2"/>
                <w:szCs w:val="21"/>
              </w:rPr>
              <w:t>1</w:t>
            </w:r>
            <w:r>
              <w:rPr>
                <w:rFonts w:hint="eastAsia" w:ascii="楷体" w:hAnsi="楷体" w:eastAsia="楷体" w:cs="宋体"/>
                <w:spacing w:val="-2"/>
                <w:szCs w:val="21"/>
              </w:rPr>
              <w:t>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szCs w:val="21"/>
              </w:rPr>
              <w:t>元的整数倍。</w:t>
            </w:r>
          </w:p>
          <w:p>
            <w:pPr>
              <w:ind w:left="59" w:right="73" w:rightChars="35"/>
              <w:rPr>
                <w:rFonts w:ascii="楷体" w:hAnsi="楷体" w:eastAsia="楷体"/>
                <w:szCs w:val="21"/>
              </w:rPr>
            </w:pPr>
            <w:r>
              <w:rPr>
                <w:rFonts w:hint="eastAsia" w:ascii="楷体" w:hAnsi="楷体" w:eastAsia="楷体" w:cs="宋体"/>
                <w:spacing w:val="-2"/>
                <w:szCs w:val="21"/>
              </w:rPr>
              <w:t>C份额认购起点</w:t>
            </w:r>
            <w:r>
              <w:rPr>
                <w:rFonts w:ascii="楷体" w:hAnsi="楷体" w:eastAsia="楷体" w:cs="宋体"/>
                <w:spacing w:val="-2"/>
                <w:szCs w:val="21"/>
              </w:rPr>
              <w:t>1</w:t>
            </w:r>
            <w:r>
              <w:rPr>
                <w:rFonts w:hint="eastAsia" w:ascii="楷体" w:hAnsi="楷体" w:eastAsia="楷体" w:cs="宋体"/>
                <w:spacing w:val="-2"/>
                <w:szCs w:val="21"/>
              </w:rPr>
              <w:t>万元，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cs="宋体"/>
                <w:spacing w:val="-2"/>
                <w:szCs w:val="21"/>
              </w:rPr>
              <w:t>万</w:t>
            </w:r>
            <w:r>
              <w:rPr>
                <w:rFonts w:hint="eastAsia" w:ascii="楷体" w:hAnsi="楷体" w:eastAsia="楷体"/>
                <w:szCs w:val="21"/>
              </w:rPr>
              <w:t>元的整数倍。</w:t>
            </w:r>
          </w:p>
          <w:p>
            <w:pPr>
              <w:ind w:left="59" w:right="73" w:rightChars="35"/>
              <w:rPr>
                <w:rFonts w:hint="eastAsia" w:ascii="楷体" w:hAnsi="楷体" w:eastAsia="楷体"/>
                <w:szCs w:val="21"/>
              </w:rPr>
            </w:pPr>
            <w:r>
              <w:rPr>
                <w:rFonts w:hint="default" w:ascii="楷体" w:hAnsi="楷体" w:eastAsia="楷体" w:cs="宋体"/>
                <w:spacing w:val="-2"/>
                <w:szCs w:val="21"/>
              </w:rPr>
              <w:t>D</w:t>
            </w:r>
            <w:r>
              <w:rPr>
                <w:rFonts w:hint="eastAsia" w:ascii="楷体" w:hAnsi="楷体" w:eastAsia="楷体" w:cs="宋体"/>
                <w:spacing w:val="-2"/>
                <w:szCs w:val="21"/>
              </w:rPr>
              <w:t>份额</w:t>
            </w:r>
            <w:r>
              <w:rPr>
                <w:rFonts w:hint="eastAsia" w:ascii="楷体" w:hAnsi="楷体" w:eastAsia="楷体" w:cs="宋体"/>
                <w:spacing w:val="-2"/>
                <w:szCs w:val="21"/>
                <w:lang w:val="en-US" w:eastAsia="zh-CN"/>
              </w:rPr>
              <w:t>个人投资者</w:t>
            </w:r>
            <w:r>
              <w:rPr>
                <w:rFonts w:hint="eastAsia" w:ascii="楷体" w:hAnsi="楷体" w:eastAsia="楷体" w:cs="宋体"/>
                <w:spacing w:val="-2"/>
                <w:szCs w:val="21"/>
              </w:rPr>
              <w:t>认购起点</w:t>
            </w:r>
            <w:r>
              <w:rPr>
                <w:rFonts w:hint="default" w:ascii="楷体" w:hAnsi="楷体" w:eastAsia="楷体" w:cs="宋体"/>
                <w:spacing w:val="-2"/>
                <w:szCs w:val="21"/>
              </w:rPr>
              <w:t>50</w:t>
            </w:r>
            <w:r>
              <w:rPr>
                <w:rFonts w:hint="eastAsia" w:ascii="楷体" w:hAnsi="楷体" w:eastAsia="楷体" w:cs="宋体"/>
                <w:spacing w:val="-2"/>
                <w:szCs w:val="21"/>
              </w:rPr>
              <w:t>万元，</w:t>
            </w:r>
            <w:r>
              <w:rPr>
                <w:rFonts w:hint="eastAsia" w:ascii="楷体" w:hAnsi="楷体" w:eastAsia="楷体" w:cs="Times New Roman"/>
                <w:szCs w:val="21"/>
              </w:rPr>
              <w:t>追加金额为</w:t>
            </w:r>
            <w:r>
              <w:rPr>
                <w:rFonts w:hint="default" w:ascii="楷体" w:hAnsi="楷体" w:eastAsia="楷体" w:cs="宋体"/>
                <w:spacing w:val="-2"/>
                <w:szCs w:val="21"/>
              </w:rPr>
              <w:t>1</w:t>
            </w:r>
            <w:r>
              <w:rPr>
                <w:rFonts w:hint="eastAsia" w:ascii="楷体" w:hAnsi="楷体" w:eastAsia="楷体" w:cs="宋体"/>
                <w:spacing w:val="-2"/>
                <w:szCs w:val="21"/>
              </w:rPr>
              <w:t>万</w:t>
            </w:r>
            <w:r>
              <w:rPr>
                <w:rFonts w:hint="eastAsia" w:ascii="楷体" w:hAnsi="楷体" w:eastAsia="楷体" w:cs="Times New Roman"/>
                <w:szCs w:val="21"/>
              </w:rPr>
              <w:t>元的整数倍</w:t>
            </w:r>
            <w:r>
              <w:rPr>
                <w:rFonts w:hint="eastAsia" w:ascii="楷体" w:hAnsi="楷体" w:eastAsia="楷体" w:cs="Times New Roman"/>
                <w:szCs w:val="21"/>
                <w:lang w:eastAsia="zh-CN"/>
              </w:rPr>
              <w:t>；</w:t>
            </w:r>
            <w:r>
              <w:rPr>
                <w:rFonts w:hint="eastAsia" w:ascii="楷体" w:hAnsi="楷体" w:eastAsia="楷体" w:cs="Times New Roman"/>
                <w:szCs w:val="21"/>
                <w:lang w:val="en-US" w:eastAsia="zh-CN"/>
              </w:rPr>
              <w:t>机构投资者认购起点5000万元，追加金额为1万元的整数倍。</w:t>
            </w:r>
          </w:p>
          <w:p>
            <w:pPr>
              <w:ind w:left="59" w:right="73" w:rightChars="35"/>
              <w:rPr>
                <w:rFonts w:hint="eastAsia" w:ascii="楷体" w:hAnsi="楷体" w:eastAsia="楷体"/>
                <w:szCs w:val="21"/>
              </w:rPr>
            </w:pPr>
            <w:r>
              <w:rPr>
                <w:rFonts w:hint="eastAsia" w:ascii="楷体" w:hAnsi="楷体" w:eastAsia="楷体" w:cs="宋体"/>
                <w:spacing w:val="-2"/>
                <w:szCs w:val="21"/>
                <w:lang w:val="en-US" w:eastAsia="zh-CN"/>
              </w:rPr>
              <w:t>E</w:t>
            </w:r>
            <w:r>
              <w:rPr>
                <w:rFonts w:hint="eastAsia" w:ascii="楷体" w:hAnsi="楷体" w:eastAsia="楷体" w:cs="宋体"/>
                <w:spacing w:val="-2"/>
                <w:szCs w:val="21"/>
              </w:rPr>
              <w:t>份额认购起点</w:t>
            </w:r>
            <w:r>
              <w:rPr>
                <w:rFonts w:hint="eastAsia" w:ascii="楷体" w:hAnsi="楷体" w:eastAsia="楷体" w:cs="宋体"/>
                <w:spacing w:val="-2"/>
                <w:szCs w:val="21"/>
                <w:lang w:val="en-US" w:eastAsia="zh-CN"/>
              </w:rPr>
              <w:t>100</w:t>
            </w:r>
            <w:r>
              <w:rPr>
                <w:rFonts w:hint="eastAsia" w:ascii="楷体" w:hAnsi="楷体" w:eastAsia="楷体" w:cs="宋体"/>
                <w:spacing w:val="-2"/>
                <w:szCs w:val="21"/>
              </w:rPr>
              <w:t>万元，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cs="宋体"/>
                <w:spacing w:val="-2"/>
                <w:szCs w:val="21"/>
              </w:rPr>
              <w:t>万</w:t>
            </w:r>
            <w:r>
              <w:rPr>
                <w:rFonts w:hint="eastAsia" w:ascii="楷体" w:hAnsi="楷体" w:eastAsia="楷体"/>
                <w:szCs w:val="21"/>
              </w:rPr>
              <w:t>元的整数倍。</w:t>
            </w:r>
          </w:p>
          <w:p>
            <w:pPr>
              <w:ind w:left="59" w:right="73" w:rightChars="35"/>
              <w:rPr>
                <w:rFonts w:hint="eastAsia" w:ascii="楷体" w:hAnsi="楷体" w:eastAsia="楷体"/>
                <w:szCs w:val="21"/>
              </w:rPr>
            </w:pPr>
            <w:r>
              <w:rPr>
                <w:rFonts w:hint="eastAsia" w:ascii="楷体" w:hAnsi="楷体" w:eastAsia="楷体"/>
                <w:szCs w:val="21"/>
                <w:lang w:val="en-US" w:eastAsia="zh-CN"/>
              </w:rPr>
              <w:t>F份额</w:t>
            </w:r>
            <w:r>
              <w:rPr>
                <w:rFonts w:hint="eastAsia" w:ascii="楷体" w:hAnsi="楷体" w:eastAsia="楷体" w:cs="宋体"/>
                <w:spacing w:val="-2"/>
                <w:szCs w:val="21"/>
              </w:rPr>
              <w:t>认购起点</w:t>
            </w:r>
            <w:r>
              <w:rPr>
                <w:rFonts w:ascii="楷体" w:hAnsi="楷体" w:eastAsia="楷体" w:cs="宋体"/>
                <w:spacing w:val="-2"/>
                <w:szCs w:val="21"/>
              </w:rPr>
              <w:t>1</w:t>
            </w:r>
            <w:r>
              <w:rPr>
                <w:rFonts w:hint="eastAsia" w:ascii="楷体" w:hAnsi="楷体" w:eastAsia="楷体" w:cs="宋体"/>
                <w:spacing w:val="-2"/>
                <w:szCs w:val="21"/>
              </w:rPr>
              <w:t>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szCs w:val="21"/>
              </w:rPr>
              <w:t>元的整数倍。</w:t>
            </w:r>
          </w:p>
          <w:p>
            <w:pPr>
              <w:ind w:left="59" w:right="73" w:rightChars="35"/>
              <w:rPr>
                <w:rFonts w:hint="eastAsia" w:ascii="楷体" w:hAnsi="楷体" w:eastAsia="楷体"/>
                <w:szCs w:val="21"/>
              </w:rPr>
            </w:pPr>
            <w:r>
              <w:rPr>
                <w:rFonts w:hint="eastAsia" w:ascii="楷体" w:hAnsi="楷体" w:eastAsia="楷体"/>
                <w:szCs w:val="21"/>
                <w:lang w:val="en-US" w:eastAsia="zh-CN"/>
              </w:rPr>
              <w:t>G份额</w:t>
            </w:r>
            <w:r>
              <w:rPr>
                <w:rFonts w:hint="eastAsia" w:ascii="楷体" w:hAnsi="楷体" w:eastAsia="楷体" w:cs="宋体"/>
                <w:spacing w:val="-2"/>
                <w:szCs w:val="21"/>
              </w:rPr>
              <w:t>认购起点</w:t>
            </w:r>
            <w:r>
              <w:rPr>
                <w:rFonts w:ascii="楷体" w:hAnsi="楷体" w:eastAsia="楷体" w:cs="宋体"/>
                <w:spacing w:val="-2"/>
                <w:szCs w:val="21"/>
              </w:rPr>
              <w:t>1</w:t>
            </w:r>
            <w:r>
              <w:rPr>
                <w:rFonts w:hint="eastAsia" w:ascii="楷体" w:hAnsi="楷体" w:eastAsia="楷体" w:cs="宋体"/>
                <w:spacing w:val="-2"/>
                <w:szCs w:val="21"/>
              </w:rPr>
              <w:t>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szCs w:val="21"/>
              </w:rPr>
              <w:t>元的整数倍。</w:t>
            </w:r>
          </w:p>
          <w:p>
            <w:pPr>
              <w:ind w:left="59" w:right="73" w:rightChars="35"/>
              <w:rPr>
                <w:rFonts w:hint="eastAsia" w:ascii="楷体" w:hAnsi="楷体" w:eastAsia="楷体"/>
                <w:szCs w:val="21"/>
                <w:lang w:eastAsia="zh-CN"/>
              </w:rPr>
            </w:pPr>
            <w:r>
              <w:rPr>
                <w:rFonts w:hint="eastAsia" w:ascii="楷体" w:hAnsi="楷体" w:eastAsia="楷体"/>
                <w:szCs w:val="21"/>
                <w:lang w:val="en-US" w:eastAsia="zh-CN"/>
              </w:rPr>
              <w:t>W份额</w:t>
            </w:r>
            <w:r>
              <w:rPr>
                <w:rFonts w:hint="eastAsia" w:ascii="楷体" w:hAnsi="楷体" w:eastAsia="楷体" w:cs="宋体"/>
                <w:spacing w:val="-2"/>
                <w:szCs w:val="21"/>
              </w:rPr>
              <w:t>认购起点</w:t>
            </w:r>
            <w:r>
              <w:rPr>
                <w:rFonts w:ascii="楷体" w:hAnsi="楷体" w:eastAsia="楷体" w:cs="宋体"/>
                <w:spacing w:val="-2"/>
                <w:szCs w:val="21"/>
              </w:rPr>
              <w:t>1</w:t>
            </w:r>
            <w:r>
              <w:rPr>
                <w:rFonts w:hint="eastAsia" w:ascii="楷体" w:hAnsi="楷体" w:eastAsia="楷体" w:cs="宋体"/>
                <w:spacing w:val="-2"/>
                <w:szCs w:val="21"/>
              </w:rPr>
              <w:t>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szCs w:val="21"/>
              </w:rPr>
              <w:t>元的整数倍</w:t>
            </w:r>
            <w:r>
              <w:rPr>
                <w:rFonts w:hint="eastAsia" w:ascii="楷体" w:hAnsi="楷体" w:eastAsia="楷体"/>
                <w:szCs w:val="21"/>
                <w:lang w:eastAsia="zh-CN"/>
              </w:rPr>
              <w:t>。</w:t>
            </w:r>
          </w:p>
          <w:p>
            <w:pPr>
              <w:ind w:left="59" w:right="73" w:rightChars="35"/>
              <w:rPr>
                <w:rFonts w:hint="eastAsia" w:ascii="楷体" w:hAnsi="楷体" w:eastAsia="楷体"/>
                <w:szCs w:val="21"/>
              </w:rPr>
            </w:pPr>
            <w:r>
              <w:rPr>
                <w:rFonts w:hint="eastAsia" w:ascii="楷体" w:hAnsi="楷体" w:eastAsia="楷体" w:cs="宋体"/>
                <w:spacing w:val="-2"/>
                <w:szCs w:val="21"/>
                <w:lang w:val="en-US" w:eastAsia="zh-CN"/>
              </w:rPr>
              <w:t>S</w:t>
            </w:r>
            <w:r>
              <w:rPr>
                <w:rFonts w:hint="eastAsia" w:ascii="楷体" w:hAnsi="楷体" w:eastAsia="楷体" w:cs="宋体"/>
                <w:spacing w:val="-2"/>
                <w:szCs w:val="21"/>
              </w:rPr>
              <w:t>份额认购起点</w:t>
            </w:r>
            <w:r>
              <w:rPr>
                <w:rFonts w:ascii="楷体" w:hAnsi="楷体" w:eastAsia="楷体" w:cs="宋体"/>
                <w:spacing w:val="-2"/>
                <w:szCs w:val="21"/>
              </w:rPr>
              <w:t>1</w:t>
            </w:r>
            <w:r>
              <w:rPr>
                <w:rFonts w:hint="eastAsia" w:ascii="楷体" w:hAnsi="楷体" w:eastAsia="楷体" w:cs="宋体"/>
                <w:spacing w:val="-2"/>
                <w:szCs w:val="21"/>
              </w:rPr>
              <w:t>元，</w:t>
            </w:r>
            <w:r>
              <w:rPr>
                <w:rFonts w:hint="eastAsia" w:ascii="楷体" w:hAnsi="楷体" w:eastAsia="楷体"/>
                <w:szCs w:val="21"/>
              </w:rPr>
              <w:t>追加金额为</w:t>
            </w:r>
            <w:r>
              <w:rPr>
                <w:rFonts w:ascii="楷体" w:hAnsi="楷体" w:eastAsia="楷体" w:cs="宋体"/>
                <w:spacing w:val="-2"/>
                <w:szCs w:val="21"/>
              </w:rPr>
              <w:t>1</w:t>
            </w:r>
            <w:r>
              <w:rPr>
                <w:rFonts w:hint="eastAsia" w:ascii="楷体" w:hAnsi="楷体" w:eastAsia="楷体"/>
                <w:szCs w:val="21"/>
              </w:rPr>
              <w:t>元的整数倍。</w:t>
            </w:r>
          </w:p>
          <w:p>
            <w:pPr>
              <w:ind w:left="59" w:leftChars="0" w:right="73" w:rightChars="35"/>
              <w:rPr>
                <w:rFonts w:hint="eastAsia" w:ascii="楷体" w:hAnsi="楷体" w:eastAsia="楷体" w:cs="宋体"/>
                <w:spacing w:val="-2"/>
                <w:sz w:val="21"/>
                <w:szCs w:val="21"/>
              </w:rPr>
            </w:pPr>
            <w:r>
              <w:rPr>
                <w:rFonts w:hint="eastAsia" w:ascii="楷体" w:hAnsi="楷体" w:eastAsia="楷体"/>
                <w:szCs w:val="21"/>
              </w:rPr>
              <w:t>认购起点/追加金额具体以</w:t>
            </w:r>
            <w:r>
              <w:rPr>
                <w:rFonts w:hint="eastAsia" w:ascii="楷体" w:hAnsi="楷体" w:eastAsia="楷体"/>
                <w:szCs w:val="21"/>
                <w:lang w:val="en-US" w:eastAsia="zh-CN"/>
              </w:rPr>
              <w:t>销售</w:t>
            </w:r>
            <w:r>
              <w:rPr>
                <w:rFonts w:hint="eastAsia" w:ascii="楷体" w:hAnsi="楷体" w:eastAsia="楷体"/>
                <w:szCs w:val="21"/>
              </w:rPr>
              <w:t>机构设置为准。认购资金的清算和认购份额的计算详见下文“八、产品认购”。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3"/>
              <w:ind w:left="55" w:leftChars="0"/>
              <w:jc w:val="both"/>
              <w:rPr>
                <w:rFonts w:hint="eastAsia" w:ascii="楷体" w:hAnsi="楷体" w:eastAsia="楷体" w:cs="宋体"/>
                <w:b/>
                <w:spacing w:val="-2"/>
                <w:kern w:val="0"/>
                <w:sz w:val="21"/>
                <w:szCs w:val="21"/>
                <w:highlight w:val="none"/>
                <w:lang w:val="en-US" w:eastAsia="zh-CN" w:bidi="ar-SA"/>
              </w:rPr>
            </w:pPr>
            <w:r>
              <w:rPr>
                <w:rFonts w:hint="eastAsia" w:ascii="楷体" w:hAnsi="楷体" w:eastAsia="楷体" w:cs="宋体"/>
                <w:b/>
                <w:spacing w:val="-2"/>
                <w:sz w:val="21"/>
                <w:szCs w:val="21"/>
                <w:highlight w:val="none"/>
              </w:rPr>
              <w:t>份额面值</w:t>
            </w:r>
          </w:p>
        </w:tc>
        <w:tc>
          <w:tcPr>
            <w:tcW w:w="6614" w:type="dxa"/>
            <w:noWrap w:val="0"/>
            <w:vAlign w:val="center"/>
          </w:tcPr>
          <w:p>
            <w:pPr>
              <w:pStyle w:val="45"/>
              <w:kinsoku w:val="0"/>
              <w:overflowPunct w:val="0"/>
              <w:spacing w:before="12"/>
              <w:ind w:left="59" w:leftChars="0" w:right="73" w:rightChars="35"/>
              <w:jc w:val="both"/>
              <w:rPr>
                <w:rFonts w:hint="eastAsia" w:ascii="楷体" w:hAnsi="楷体" w:eastAsia="楷体" w:cs="宋体"/>
                <w:spacing w:val="-2"/>
                <w:kern w:val="0"/>
                <w:sz w:val="21"/>
                <w:szCs w:val="21"/>
                <w:highlight w:val="none"/>
                <w:lang w:val="en-US" w:eastAsia="zh-CN" w:bidi="ar-SA"/>
              </w:rPr>
            </w:pPr>
            <w:r>
              <w:rPr>
                <w:rFonts w:hint="eastAsia" w:ascii="楷体" w:hAnsi="楷体" w:eastAsia="楷体" w:cs="宋体"/>
                <w:spacing w:val="-2"/>
                <w:sz w:val="21"/>
                <w:szCs w:val="21"/>
                <w:highlight w:val="none"/>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3"/>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noWrap w:val="0"/>
            <w:vAlign w:val="center"/>
          </w:tcPr>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eastAsia="zh-CN"/>
              </w:rPr>
              <w:t>202</w:t>
            </w:r>
            <w:r>
              <w:rPr>
                <w:rFonts w:hint="eastAsia" w:ascii="楷体" w:hAnsi="楷体" w:eastAsia="楷体" w:cs="宋体"/>
                <w:spacing w:val="-2"/>
                <w:sz w:val="21"/>
                <w:szCs w:val="21"/>
                <w:lang w:val="en-US" w:eastAsia="zh-CN"/>
              </w:rPr>
              <w:t>3</w:t>
            </w:r>
            <w:r>
              <w:rPr>
                <w:rFonts w:hint="eastAsia" w:ascii="楷体" w:hAnsi="楷体" w:eastAsia="楷体" w:cs="宋体"/>
                <w:spacing w:val="-2"/>
                <w:sz w:val="21"/>
                <w:szCs w:val="21"/>
                <w:lang w:eastAsia="zh-CN"/>
              </w:rPr>
              <w:t>年</w:t>
            </w:r>
            <w:r>
              <w:rPr>
                <w:rFonts w:hint="eastAsia" w:ascii="楷体" w:hAnsi="楷体" w:eastAsia="楷体" w:cs="宋体"/>
                <w:spacing w:val="-2"/>
                <w:sz w:val="21"/>
                <w:szCs w:val="21"/>
                <w:lang w:val="en-US" w:eastAsia="zh-CN"/>
              </w:rPr>
              <w:t>9</w:t>
            </w:r>
            <w:r>
              <w:rPr>
                <w:rFonts w:hint="eastAsia" w:ascii="楷体" w:hAnsi="楷体" w:eastAsia="楷体" w:cs="宋体"/>
                <w:spacing w:val="-2"/>
                <w:sz w:val="21"/>
                <w:szCs w:val="21"/>
                <w:lang w:eastAsia="zh-CN"/>
              </w:rPr>
              <w:t>月</w:t>
            </w:r>
            <w:r>
              <w:rPr>
                <w:rFonts w:hint="eastAsia" w:ascii="楷体" w:hAnsi="楷体" w:eastAsia="楷体" w:cs="宋体"/>
                <w:spacing w:val="-2"/>
                <w:sz w:val="21"/>
                <w:szCs w:val="21"/>
                <w:lang w:val="en-US" w:eastAsia="zh-CN"/>
              </w:rPr>
              <w:t>26</w:t>
            </w:r>
            <w:r>
              <w:rPr>
                <w:rFonts w:hint="eastAsia" w:ascii="楷体" w:hAnsi="楷体" w:eastAsia="楷体" w:cs="宋体"/>
                <w:spacing w:val="-2"/>
                <w:sz w:val="21"/>
                <w:szCs w:val="21"/>
                <w:lang w:eastAsia="zh-CN"/>
              </w:rPr>
              <w:t>日</w:t>
            </w:r>
            <w:r>
              <w:rPr>
                <w:rFonts w:hint="eastAsia" w:ascii="楷体" w:hAnsi="楷体" w:eastAsia="楷体" w:cs="宋体"/>
                <w:spacing w:val="-2"/>
                <w:sz w:val="21"/>
                <w:szCs w:val="21"/>
              </w:rPr>
              <w:t>9:00至</w:t>
            </w:r>
            <w:r>
              <w:rPr>
                <w:rFonts w:hint="eastAsia" w:ascii="楷体" w:hAnsi="楷体" w:eastAsia="楷体" w:cs="宋体"/>
                <w:spacing w:val="-2"/>
                <w:sz w:val="21"/>
                <w:szCs w:val="21"/>
                <w:lang w:eastAsia="zh-CN"/>
              </w:rPr>
              <w:t>202</w:t>
            </w:r>
            <w:r>
              <w:rPr>
                <w:rFonts w:hint="eastAsia" w:ascii="楷体" w:hAnsi="楷体" w:eastAsia="楷体" w:cs="宋体"/>
                <w:spacing w:val="-2"/>
                <w:sz w:val="21"/>
                <w:szCs w:val="21"/>
                <w:lang w:val="en-US" w:eastAsia="zh-CN"/>
              </w:rPr>
              <w:t>3</w:t>
            </w:r>
            <w:r>
              <w:rPr>
                <w:rFonts w:hint="eastAsia" w:ascii="楷体" w:hAnsi="楷体" w:eastAsia="楷体" w:cs="宋体"/>
                <w:spacing w:val="-2"/>
                <w:sz w:val="21"/>
                <w:szCs w:val="21"/>
                <w:lang w:eastAsia="zh-CN"/>
              </w:rPr>
              <w:t>年</w:t>
            </w:r>
            <w:r>
              <w:rPr>
                <w:rFonts w:hint="eastAsia" w:ascii="楷体" w:hAnsi="楷体" w:eastAsia="楷体" w:cs="宋体"/>
                <w:spacing w:val="-2"/>
                <w:sz w:val="21"/>
                <w:szCs w:val="21"/>
                <w:lang w:val="en-US" w:eastAsia="zh-CN"/>
              </w:rPr>
              <w:t>10</w:t>
            </w:r>
            <w:r>
              <w:rPr>
                <w:rFonts w:hint="eastAsia" w:ascii="楷体" w:hAnsi="楷体" w:eastAsia="楷体" w:cs="宋体"/>
                <w:spacing w:val="-2"/>
                <w:sz w:val="21"/>
                <w:szCs w:val="21"/>
                <w:lang w:eastAsia="zh-CN"/>
              </w:rPr>
              <w:t>月</w:t>
            </w:r>
            <w:r>
              <w:rPr>
                <w:rFonts w:hint="eastAsia" w:ascii="楷体" w:hAnsi="楷体" w:eastAsia="楷体" w:cs="宋体"/>
                <w:spacing w:val="-2"/>
                <w:sz w:val="21"/>
                <w:szCs w:val="21"/>
                <w:lang w:val="en-US" w:eastAsia="zh-CN"/>
              </w:rPr>
              <w:t>9</w:t>
            </w:r>
            <w:r>
              <w:rPr>
                <w:rFonts w:hint="eastAsia" w:ascii="楷体" w:hAnsi="楷体" w:eastAsia="楷体" w:cs="宋体"/>
                <w:spacing w:val="-2"/>
                <w:sz w:val="21"/>
                <w:szCs w:val="21"/>
                <w:lang w:eastAsia="zh-CN"/>
              </w:rPr>
              <w:t>日</w:t>
            </w:r>
            <w:r>
              <w:rPr>
                <w:rFonts w:hint="eastAsia" w:ascii="楷体" w:hAnsi="楷体" w:eastAsia="楷体" w:cs="宋体"/>
                <w:spacing w:val="-2"/>
                <w:sz w:val="21"/>
                <w:szCs w:val="21"/>
              </w:rPr>
              <w:t>17:00</w:t>
            </w:r>
          </w:p>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产品成立日</w:t>
            </w:r>
          </w:p>
        </w:tc>
        <w:tc>
          <w:tcPr>
            <w:tcW w:w="6614" w:type="dxa"/>
            <w:noWrap w:val="0"/>
            <w:vAlign w:val="center"/>
          </w:tcPr>
          <w:p>
            <w:pPr>
              <w:pStyle w:val="45"/>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eastAsia="zh-CN"/>
              </w:rPr>
              <w:t>202</w:t>
            </w:r>
            <w:r>
              <w:rPr>
                <w:rFonts w:hint="eastAsia" w:ascii="楷体" w:hAnsi="楷体" w:eastAsia="楷体" w:cs="宋体"/>
                <w:spacing w:val="-2"/>
                <w:sz w:val="21"/>
                <w:szCs w:val="21"/>
                <w:lang w:val="en-US" w:eastAsia="zh-CN"/>
              </w:rPr>
              <w:t>3</w:t>
            </w:r>
            <w:r>
              <w:rPr>
                <w:rFonts w:hint="eastAsia" w:ascii="楷体" w:hAnsi="楷体" w:eastAsia="楷体" w:cs="宋体"/>
                <w:spacing w:val="-2"/>
                <w:sz w:val="21"/>
                <w:szCs w:val="21"/>
                <w:lang w:eastAsia="zh-CN"/>
              </w:rPr>
              <w:t>年</w:t>
            </w:r>
            <w:r>
              <w:rPr>
                <w:rFonts w:hint="eastAsia" w:ascii="楷体" w:hAnsi="楷体" w:eastAsia="楷体" w:cs="宋体"/>
                <w:spacing w:val="-2"/>
                <w:sz w:val="21"/>
                <w:szCs w:val="21"/>
                <w:lang w:val="en-US" w:eastAsia="zh-CN"/>
              </w:rPr>
              <w:t>10</w:t>
            </w:r>
            <w:r>
              <w:rPr>
                <w:rFonts w:hint="eastAsia" w:ascii="楷体" w:hAnsi="楷体" w:eastAsia="楷体" w:cs="宋体"/>
                <w:spacing w:val="-2"/>
                <w:sz w:val="21"/>
                <w:szCs w:val="21"/>
                <w:lang w:eastAsia="zh-CN"/>
              </w:rPr>
              <w:t>月</w:t>
            </w:r>
            <w:r>
              <w:rPr>
                <w:rFonts w:hint="eastAsia" w:ascii="楷体" w:hAnsi="楷体" w:eastAsia="楷体" w:cs="宋体"/>
                <w:spacing w:val="-2"/>
                <w:sz w:val="21"/>
                <w:szCs w:val="21"/>
                <w:lang w:val="en-US" w:eastAsia="zh-CN"/>
              </w:rPr>
              <w:t>10</w:t>
            </w:r>
            <w:r>
              <w:rPr>
                <w:rFonts w:hint="eastAsia" w:ascii="楷体" w:hAnsi="楷体" w:eastAsia="楷体" w:cs="宋体"/>
                <w:spacing w:val="-2"/>
                <w:sz w:val="21"/>
                <w:szCs w:val="21"/>
                <w:lang w:eastAsia="zh-CN"/>
              </w:rPr>
              <w:t>日</w:t>
            </w:r>
          </w:p>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w:t>
            </w:r>
            <w:r>
              <w:rPr>
                <w:rFonts w:hint="eastAsia" w:ascii="楷体" w:hAnsi="楷体" w:eastAsia="楷体" w:cs="宋体"/>
                <w:spacing w:val="-2"/>
                <w:sz w:val="21"/>
                <w:szCs w:val="21"/>
                <w:lang w:val="en-US" w:eastAsia="zh-CN"/>
              </w:rPr>
              <w:t>3</w:t>
            </w:r>
            <w:r>
              <w:rPr>
                <w:rFonts w:ascii="楷体" w:hAnsi="楷体" w:eastAsia="楷体" w:cs="宋体"/>
                <w:spacing w:val="-2"/>
                <w:sz w:val="21"/>
                <w:szCs w:val="21"/>
              </w:rPr>
              <w:t>000</w:t>
            </w:r>
            <w:r>
              <w:rPr>
                <w:rFonts w:hint="eastAsia" w:ascii="楷体" w:hAnsi="楷体" w:eastAsia="楷体" w:cs="宋体"/>
                <w:spacing w:val="-2"/>
                <w:sz w:val="21"/>
                <w:szCs w:val="21"/>
              </w:rPr>
              <w:t>万</w:t>
            </w:r>
            <w:r>
              <w:rPr>
                <w:rFonts w:hint="eastAsia" w:ascii="楷体" w:hAnsi="楷体" w:eastAsia="楷体" w:cs="宋体"/>
                <w:spacing w:val="-2"/>
                <w:sz w:val="21"/>
                <w:szCs w:val="21"/>
                <w:lang w:val="en-US" w:eastAsia="zh-CN"/>
              </w:rPr>
              <w:t>元</w:t>
            </w:r>
            <w:r>
              <w:rPr>
                <w:rFonts w:hint="eastAsia" w:ascii="楷体" w:hAnsi="楷体" w:eastAsia="楷体" w:cs="宋体"/>
                <w:spacing w:val="-2"/>
                <w:sz w:val="21"/>
                <w:szCs w:val="21"/>
              </w:rPr>
              <w:t>，或新的法律、法规导致本产品无法合法合规运行，或出现其他导致影响产品成立的不可抗力因素，产品管理人有权利但无义务宣布产品不成立，并于产品募集期结束后5个工作日内将投资者认购资金返还至投资者资金账户，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noWrap w:val="0"/>
            <w:vAlign w:val="center"/>
          </w:tcPr>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lang w:eastAsia="zh-CN"/>
              </w:rPr>
              <w:t>203</w:t>
            </w:r>
            <w:r>
              <w:rPr>
                <w:rFonts w:hint="eastAsia" w:ascii="楷体" w:hAnsi="楷体" w:eastAsia="楷体" w:cs="宋体"/>
                <w:spacing w:val="-2"/>
                <w:sz w:val="21"/>
                <w:szCs w:val="21"/>
                <w:lang w:val="en-US" w:eastAsia="zh-CN"/>
              </w:rPr>
              <w:t>3</w:t>
            </w:r>
            <w:r>
              <w:rPr>
                <w:rFonts w:hint="eastAsia" w:ascii="楷体" w:hAnsi="楷体" w:eastAsia="楷体" w:cs="宋体"/>
                <w:spacing w:val="-2"/>
                <w:sz w:val="21"/>
                <w:szCs w:val="21"/>
                <w:lang w:eastAsia="zh-CN"/>
              </w:rPr>
              <w:t>年</w:t>
            </w:r>
            <w:r>
              <w:rPr>
                <w:rFonts w:hint="eastAsia" w:ascii="楷体" w:hAnsi="楷体" w:eastAsia="楷体" w:cs="宋体"/>
                <w:spacing w:val="-2"/>
                <w:sz w:val="21"/>
                <w:szCs w:val="21"/>
                <w:lang w:val="en-US" w:eastAsia="zh-CN"/>
              </w:rPr>
              <w:t>10</w:t>
            </w:r>
            <w:r>
              <w:rPr>
                <w:rFonts w:hint="eastAsia" w:ascii="楷体" w:hAnsi="楷体" w:eastAsia="楷体" w:cs="宋体"/>
                <w:spacing w:val="-2"/>
                <w:sz w:val="21"/>
                <w:szCs w:val="21"/>
                <w:lang w:eastAsia="zh-CN"/>
              </w:rPr>
              <w:t>月</w:t>
            </w:r>
            <w:r>
              <w:rPr>
                <w:rFonts w:hint="eastAsia" w:ascii="楷体" w:hAnsi="楷体" w:eastAsia="楷体" w:cs="宋体"/>
                <w:spacing w:val="-2"/>
                <w:sz w:val="21"/>
                <w:szCs w:val="21"/>
                <w:lang w:val="en-US" w:eastAsia="zh-CN"/>
              </w:rPr>
              <w:t>11</w:t>
            </w:r>
            <w:r>
              <w:rPr>
                <w:rFonts w:hint="eastAsia" w:ascii="楷体" w:hAnsi="楷体" w:eastAsia="楷体" w:cs="宋体"/>
                <w:spacing w:val="-2"/>
                <w:sz w:val="21"/>
                <w:szCs w:val="21"/>
                <w:lang w:eastAsia="zh-CN"/>
              </w:rPr>
              <w:t>日</w:t>
            </w:r>
            <w:r>
              <w:rPr>
                <w:rFonts w:hint="eastAsia" w:ascii="楷体" w:hAnsi="楷体" w:eastAsia="楷体" w:cs="宋体"/>
                <w:spacing w:val="-2"/>
                <w:sz w:val="21"/>
                <w:szCs w:val="21"/>
              </w:rPr>
              <w:t>（如遇节假日，顺延至下一工作日）</w:t>
            </w:r>
          </w:p>
          <w:p>
            <w:pPr>
              <w:pStyle w:val="45"/>
              <w:kinsoku w:val="0"/>
              <w:overflowPunct w:val="0"/>
              <w:spacing w:before="12"/>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在符合本理财产品说明书约定的条件下，管理人有权提前终止该产品，产品到期日受制于提前终止条款。详见下文“十一、产品的终止与清算”。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4"/>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开放计划</w:t>
            </w:r>
          </w:p>
        </w:tc>
        <w:tc>
          <w:tcPr>
            <w:tcW w:w="6614" w:type="dxa"/>
            <w:noWrap w:val="0"/>
            <w:vAlign w:val="center"/>
          </w:tcPr>
          <w:p>
            <w:pPr>
              <w:pStyle w:val="45"/>
              <w:kinsoku w:val="0"/>
              <w:overflowPunct w:val="0"/>
              <w:spacing w:before="14"/>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本产品按投资周期开放申购与赎回，首个投资周期终止日为</w:t>
            </w:r>
            <w:r>
              <w:rPr>
                <w:rFonts w:hint="eastAsia" w:ascii="楷体" w:hAnsi="楷体" w:eastAsia="楷体" w:cs="宋体"/>
                <w:spacing w:val="-2"/>
                <w:sz w:val="21"/>
                <w:szCs w:val="21"/>
                <w:lang w:eastAsia="zh-CN"/>
              </w:rPr>
              <w:t>202</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lang w:eastAsia="zh-CN"/>
              </w:rPr>
              <w:t>年</w:t>
            </w:r>
            <w:r>
              <w:rPr>
                <w:rFonts w:hint="eastAsia" w:ascii="楷体" w:hAnsi="楷体" w:eastAsia="楷体" w:cs="宋体"/>
                <w:spacing w:val="-2"/>
                <w:sz w:val="21"/>
                <w:szCs w:val="21"/>
                <w:lang w:val="en-US" w:eastAsia="zh-CN"/>
              </w:rPr>
              <w:t>1</w:t>
            </w:r>
            <w:r>
              <w:rPr>
                <w:rFonts w:hint="eastAsia" w:ascii="楷体" w:hAnsi="楷体" w:eastAsia="楷体" w:cs="宋体"/>
                <w:spacing w:val="-2"/>
                <w:sz w:val="21"/>
                <w:szCs w:val="21"/>
                <w:lang w:eastAsia="zh-CN"/>
              </w:rPr>
              <w:t>月</w:t>
            </w:r>
            <w:r>
              <w:rPr>
                <w:rFonts w:hint="eastAsia" w:ascii="楷体" w:hAnsi="楷体" w:eastAsia="楷体" w:cs="宋体"/>
                <w:spacing w:val="-2"/>
                <w:sz w:val="21"/>
                <w:szCs w:val="21"/>
                <w:lang w:val="en-US" w:eastAsia="zh-CN"/>
              </w:rPr>
              <w:t>16</w:t>
            </w:r>
            <w:r>
              <w:rPr>
                <w:rFonts w:hint="eastAsia" w:ascii="楷体" w:hAnsi="楷体" w:eastAsia="楷体" w:cs="宋体"/>
                <w:spacing w:val="-2"/>
                <w:sz w:val="21"/>
                <w:szCs w:val="21"/>
                <w:lang w:eastAsia="zh-CN"/>
              </w:rPr>
              <w:t>日</w:t>
            </w:r>
            <w:r>
              <w:rPr>
                <w:rFonts w:hint="eastAsia" w:ascii="楷体" w:hAnsi="楷体" w:eastAsia="楷体" w:cs="宋体"/>
                <w:spacing w:val="-2"/>
                <w:sz w:val="21"/>
                <w:szCs w:val="21"/>
              </w:rPr>
              <w:t>，之后本产品每</w:t>
            </w:r>
            <w:r>
              <w:rPr>
                <w:rFonts w:ascii="楷体" w:hAnsi="楷体" w:eastAsia="楷体" w:cs="宋体"/>
                <w:spacing w:val="-2"/>
                <w:sz w:val="21"/>
                <w:szCs w:val="21"/>
              </w:rPr>
              <w:t>3</w:t>
            </w:r>
            <w:r>
              <w:rPr>
                <w:rFonts w:hint="eastAsia" w:ascii="楷体" w:hAnsi="楷体" w:eastAsia="楷体" w:cs="宋体"/>
                <w:spacing w:val="-2"/>
                <w:sz w:val="21"/>
                <w:szCs w:val="21"/>
              </w:rPr>
              <w:t>个月开放一次，投资者可在每个投资周期终止日前7</w:t>
            </w:r>
            <w:r>
              <w:rPr>
                <w:rFonts w:hint="eastAsia" w:ascii="楷体" w:hAnsi="楷体" w:eastAsia="楷体" w:cs="宋体"/>
                <w:spacing w:val="-2"/>
                <w:sz w:val="21"/>
                <w:szCs w:val="21"/>
                <w:lang w:val="en-US" w:eastAsia="zh-CN"/>
              </w:rPr>
              <w:t>个工作</w:t>
            </w:r>
            <w:r>
              <w:rPr>
                <w:rFonts w:hint="eastAsia" w:ascii="楷体" w:hAnsi="楷体" w:eastAsia="楷体" w:cs="宋体"/>
                <w:spacing w:val="-2"/>
                <w:sz w:val="21"/>
                <w:szCs w:val="21"/>
              </w:rPr>
              <w:t>日（含投资周期终止日）内，通过销售机构提出申购/赎回申请，管理人于投资周期终止日次日对申购/赎回申请予以统一确认，未赎回的部分份额自动进入下一个投资周期。（以各销售机构设置的开放时间为准）</w:t>
            </w:r>
          </w:p>
          <w:p>
            <w:pPr>
              <w:pStyle w:val="45"/>
              <w:kinsoku w:val="0"/>
              <w:overflowPunct w:val="0"/>
              <w:spacing w:before="14"/>
              <w:ind w:left="59"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rPr>
              <w:t>管理人有权根据资产运作情况、节假日安排调整开放计划，并在调整前进行公告。详见下文“九、产品申购、赎回”。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单个客户</w:t>
            </w:r>
            <w:r>
              <w:rPr>
                <w:rFonts w:hint="eastAsia" w:ascii="楷体" w:hAnsi="楷体" w:eastAsia="楷体" w:cs="宋体"/>
                <w:b/>
                <w:spacing w:val="-2"/>
                <w:sz w:val="21"/>
                <w:szCs w:val="21"/>
                <w:lang w:val="en-US" w:eastAsia="zh-CN"/>
              </w:rPr>
              <w:t>单日</w:t>
            </w:r>
            <w:r>
              <w:rPr>
                <w:rFonts w:hint="eastAsia" w:ascii="楷体" w:hAnsi="楷体" w:eastAsia="楷体" w:cs="宋体"/>
                <w:b/>
                <w:spacing w:val="-2"/>
                <w:sz w:val="21"/>
                <w:szCs w:val="21"/>
              </w:rPr>
              <w:t>认/申购限额</w:t>
            </w:r>
          </w:p>
        </w:tc>
        <w:tc>
          <w:tcPr>
            <w:tcW w:w="6614" w:type="dxa"/>
            <w:noWrap w:val="0"/>
            <w:vAlign w:val="center"/>
          </w:tcPr>
          <w:p>
            <w:pPr>
              <w:ind w:left="59" w:leftChars="0" w:right="73" w:rightChars="35"/>
              <w:rPr>
                <w:rFonts w:hint="eastAsia" w:ascii="楷体" w:hAnsi="楷体" w:eastAsia="楷体" w:cs="宋体"/>
                <w:spacing w:val="-2"/>
                <w:sz w:val="21"/>
                <w:szCs w:val="21"/>
              </w:rPr>
            </w:pPr>
            <w:r>
              <w:rPr>
                <w:rFonts w:hint="eastAsia" w:ascii="楷体" w:hAnsi="楷体" w:eastAsia="楷体" w:cs="宋体"/>
                <w:spacing w:val="-2"/>
                <w:kern w:val="0"/>
                <w:sz w:val="21"/>
                <w:szCs w:val="21"/>
                <w:lang w:val="en-US" w:eastAsia="zh-CN" w:bidi="ar-SA"/>
              </w:rPr>
              <w:t>1亿元。</w:t>
            </w:r>
            <w:r>
              <w:rPr>
                <w:rFonts w:hint="eastAsia" w:ascii="楷体" w:hAnsi="楷体" w:eastAsia="楷体" w:cs="宋体"/>
                <w:spacing w:val="-2"/>
                <w:sz w:val="21"/>
                <w:szCs w:val="21"/>
              </w:rPr>
              <w:t>超过单日累计认/申购上限时，</w:t>
            </w:r>
            <w:r>
              <w:rPr>
                <w:rFonts w:hint="eastAsia" w:ascii="楷体" w:hAnsi="楷体" w:eastAsia="楷体" w:cs="宋体"/>
                <w:spacing w:val="-2"/>
                <w:sz w:val="21"/>
                <w:szCs w:val="21"/>
                <w:lang w:val="en-US" w:eastAsia="zh-CN"/>
              </w:rPr>
              <w:t>管理人有权</w:t>
            </w:r>
            <w:r>
              <w:rPr>
                <w:rFonts w:hint="eastAsia" w:ascii="楷体" w:hAnsi="楷体" w:eastAsia="楷体" w:cs="宋体"/>
                <w:spacing w:val="-2"/>
                <w:sz w:val="21"/>
                <w:szCs w:val="21"/>
              </w:rPr>
              <w:t>拒绝投资者的认/申购申请。产品存续期</w:t>
            </w:r>
            <w:r>
              <w:rPr>
                <w:rFonts w:ascii="楷体" w:hAnsi="楷体" w:eastAsia="楷体" w:cs="宋体"/>
                <w:spacing w:val="-2"/>
                <w:sz w:val="21"/>
                <w:szCs w:val="21"/>
              </w:rPr>
              <w:t>内管理人有权根据实际情况调整</w:t>
            </w:r>
            <w:r>
              <w:rPr>
                <w:rFonts w:hint="eastAsia" w:ascii="楷体" w:hAnsi="楷体" w:eastAsia="楷体" w:cs="宋体"/>
                <w:spacing w:val="-2"/>
                <w:sz w:val="21"/>
                <w:szCs w:val="21"/>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noWrap w:val="0"/>
            <w:vAlign w:val="center"/>
          </w:tcPr>
          <w:p>
            <w:pPr>
              <w:ind w:left="59" w:leftChars="0" w:right="73" w:rightChars="35"/>
              <w:rPr>
                <w:rFonts w:hint="eastAsia" w:ascii="楷体" w:hAnsi="楷体" w:eastAsia="楷体" w:cs="宋体"/>
                <w:spacing w:val="-2"/>
                <w:sz w:val="21"/>
                <w:szCs w:val="21"/>
              </w:rPr>
            </w:pPr>
            <w:r>
              <w:rPr>
                <w:rFonts w:hint="eastAsia" w:ascii="楷体" w:hAnsi="楷体" w:eastAsia="楷体" w:cs="宋体"/>
                <w:spacing w:val="-2"/>
                <w:kern w:val="0"/>
                <w:sz w:val="21"/>
                <w:szCs w:val="21"/>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4"/>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单个客户赎回限额</w:t>
            </w:r>
          </w:p>
        </w:tc>
        <w:tc>
          <w:tcPr>
            <w:tcW w:w="6614" w:type="dxa"/>
            <w:noWrap w:val="0"/>
            <w:vAlign w:val="center"/>
          </w:tcPr>
          <w:p>
            <w:pPr>
              <w:pStyle w:val="45"/>
              <w:kinsoku w:val="0"/>
              <w:overflowPunct w:val="0"/>
              <w:spacing w:before="14"/>
              <w:ind w:left="59" w:leftChars="0" w:right="73" w:rightChars="35"/>
              <w:jc w:val="both"/>
              <w:rPr>
                <w:rFonts w:hint="eastAsia" w:ascii="楷体" w:hAnsi="楷体" w:eastAsia="楷体" w:cs="宋体"/>
                <w:spacing w:val="-2"/>
                <w:sz w:val="21"/>
                <w:szCs w:val="21"/>
              </w:rPr>
            </w:pPr>
            <w:r>
              <w:rPr>
                <w:rFonts w:hint="eastAsia" w:ascii="楷体" w:hAnsi="楷体" w:eastAsia="楷体" w:cs="宋体"/>
                <w:spacing w:val="-2"/>
                <w:kern w:val="0"/>
                <w:sz w:val="21"/>
                <w:szCs w:val="21"/>
                <w:lang w:val="en-US" w:eastAsia="zh-CN" w:bidi="ar-SA"/>
              </w:rPr>
              <w:t>1亿份。</w:t>
            </w:r>
            <w:r>
              <w:rPr>
                <w:rFonts w:hint="eastAsia" w:ascii="楷体" w:hAnsi="楷体" w:eastAsia="楷体" w:cs="宋体"/>
                <w:b/>
                <w:bCs/>
                <w:spacing w:val="-2"/>
                <w:kern w:val="0"/>
                <w:sz w:val="21"/>
                <w:szCs w:val="21"/>
                <w:u w:val="single"/>
                <w:lang w:val="en-US" w:eastAsia="zh-CN" w:bidi="ar-SA"/>
              </w:rPr>
              <w:t>超过单个客户赎回限额时，管理人有权拒绝投资者的赎回申请。对于单个投资者单个开放日申请赎回理财份额超过上一交易日日终理财产品总份额的10%的部分，管理人有权暂停接受其赎回申请。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noWrap w:val="0"/>
            <w:vAlign w:val="center"/>
          </w:tcPr>
          <w:p>
            <w:pPr>
              <w:pStyle w:val="45"/>
              <w:kinsoku w:val="0"/>
              <w:overflowPunct w:val="0"/>
              <w:spacing w:before="14"/>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巨额申购</w:t>
            </w:r>
          </w:p>
        </w:tc>
        <w:tc>
          <w:tcPr>
            <w:tcW w:w="6614" w:type="dxa"/>
            <w:noWrap w:val="0"/>
            <w:vAlign w:val="center"/>
          </w:tcPr>
          <w:p>
            <w:pPr>
              <w:pStyle w:val="45"/>
              <w:kinsoku w:val="0"/>
              <w:overflowPunct w:val="0"/>
              <w:spacing w:before="14"/>
              <w:ind w:left="59" w:leftChars="0" w:right="73" w:rightChars="35"/>
              <w:jc w:val="both"/>
              <w:rPr>
                <w:rFonts w:hint="eastAsia" w:ascii="楷体" w:hAnsi="楷体" w:eastAsia="楷体" w:cs="宋体"/>
                <w:spacing w:val="-2"/>
                <w:sz w:val="21"/>
                <w:szCs w:val="21"/>
              </w:rPr>
            </w:pPr>
            <w:r>
              <w:rPr>
                <w:rFonts w:hint="eastAsia" w:ascii="楷体" w:hAnsi="楷体" w:eastAsia="楷体" w:cs="宋体"/>
                <w:spacing w:val="-2"/>
                <w:sz w:val="21"/>
                <w:szCs w:val="21"/>
                <w:highlight w:val="none"/>
              </w:rPr>
              <w:t>本产品单个开放日</w:t>
            </w:r>
            <w:r>
              <w:rPr>
                <w:rFonts w:hint="eastAsia" w:ascii="楷体" w:hAnsi="楷体" w:eastAsia="楷体" w:cs="宋体"/>
                <w:spacing w:val="-2"/>
                <w:sz w:val="21"/>
                <w:szCs w:val="18"/>
                <w:highlight w:val="none"/>
              </w:rPr>
              <w:t>投资者</w:t>
            </w:r>
            <w:r>
              <w:rPr>
                <w:rFonts w:hint="eastAsia" w:ascii="楷体" w:hAnsi="楷体" w:eastAsia="楷体" w:cs="宋体"/>
                <w:spacing w:val="-2"/>
                <w:sz w:val="21"/>
                <w:szCs w:val="21"/>
                <w:highlight w:val="none"/>
              </w:rPr>
              <w:t>净</w:t>
            </w:r>
            <w:r>
              <w:rPr>
                <w:rFonts w:hint="eastAsia" w:ascii="楷体" w:hAnsi="楷体" w:eastAsia="楷体" w:cs="宋体"/>
                <w:spacing w:val="-2"/>
                <w:sz w:val="21"/>
                <w:szCs w:val="21"/>
                <w:highlight w:val="none"/>
                <w:lang w:val="en-US" w:eastAsia="zh-CN"/>
              </w:rPr>
              <w:t>申购</w:t>
            </w:r>
            <w:r>
              <w:rPr>
                <w:rFonts w:hint="eastAsia" w:ascii="楷体" w:hAnsi="楷体" w:eastAsia="楷体" w:cs="宋体"/>
                <w:spacing w:val="-2"/>
                <w:sz w:val="21"/>
                <w:szCs w:val="21"/>
                <w:highlight w:val="none"/>
              </w:rPr>
              <w:t>额（申购申请份额总数扣除赎回申请份额总数）超过上一日产品总份额20%时，即</w:t>
            </w:r>
            <w:r>
              <w:rPr>
                <w:rFonts w:hint="eastAsia" w:ascii="楷体" w:hAnsi="楷体" w:eastAsia="楷体" w:cs="宋体"/>
                <w:spacing w:val="-2"/>
                <w:sz w:val="21"/>
                <w:szCs w:val="21"/>
              </w:rPr>
              <w:t>认为发生了巨额申购。</w:t>
            </w:r>
            <w:r>
              <w:rPr>
                <w:rFonts w:hint="eastAsia" w:ascii="楷体" w:hAnsi="楷体" w:eastAsia="楷体" w:cs="宋体"/>
                <w:b/>
                <w:bCs/>
                <w:spacing w:val="-2"/>
                <w:sz w:val="21"/>
                <w:szCs w:val="21"/>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巨额赎回</w:t>
            </w:r>
          </w:p>
        </w:tc>
        <w:tc>
          <w:tcPr>
            <w:tcW w:w="6614" w:type="dxa"/>
            <w:noWrap w:val="0"/>
            <w:vAlign w:val="center"/>
          </w:tcPr>
          <w:p>
            <w:pPr>
              <w:ind w:right="115" w:rightChars="55"/>
              <w:rPr>
                <w:rFonts w:hint="eastAsia" w:ascii="楷体" w:hAnsi="楷体" w:eastAsia="楷体" w:cs="宋体"/>
                <w:spacing w:val="-2"/>
                <w:szCs w:val="21"/>
              </w:rPr>
            </w:pPr>
            <w:r>
              <w:rPr>
                <w:rFonts w:hint="eastAsia" w:ascii="楷体" w:hAnsi="楷体" w:eastAsia="楷体" w:cs="宋体"/>
                <w:spacing w:val="-2"/>
                <w:szCs w:val="21"/>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Cs w:val="21"/>
              </w:rPr>
              <w:t>延期</w:t>
            </w:r>
            <w:r>
              <w:rPr>
                <w:rFonts w:hint="eastAsia" w:ascii="楷体" w:hAnsi="楷体" w:eastAsia="楷体" w:cs="宋体"/>
                <w:spacing w:val="-2"/>
                <w:szCs w:val="21"/>
              </w:rPr>
              <w:t>办理</w:t>
            </w:r>
            <w:r>
              <w:rPr>
                <w:rFonts w:ascii="楷体" w:hAnsi="楷体" w:eastAsia="楷体" w:cs="宋体"/>
                <w:spacing w:val="-2"/>
                <w:szCs w:val="21"/>
              </w:rPr>
              <w:t>巨额赎回</w:t>
            </w:r>
            <w:r>
              <w:rPr>
                <w:rFonts w:hint="eastAsia" w:ascii="楷体" w:hAnsi="楷体" w:eastAsia="楷体" w:cs="宋体"/>
                <w:spacing w:val="-2"/>
                <w:szCs w:val="21"/>
              </w:rPr>
              <w:t>等</w:t>
            </w:r>
            <w:r>
              <w:rPr>
                <w:rFonts w:ascii="楷体" w:hAnsi="楷体" w:eastAsia="楷体" w:cs="宋体"/>
                <w:spacing w:val="-2"/>
                <w:szCs w:val="21"/>
              </w:rPr>
              <w:t>措施</w:t>
            </w:r>
            <w:r>
              <w:rPr>
                <w:rFonts w:hint="eastAsia" w:ascii="楷体" w:hAnsi="楷体" w:eastAsia="楷体" w:cs="宋体"/>
                <w:spacing w:val="-2"/>
                <w:szCs w:val="21"/>
              </w:rPr>
              <w:t>，产品管理人将在采取</w:t>
            </w:r>
            <w:r>
              <w:rPr>
                <w:rFonts w:ascii="楷体" w:hAnsi="楷体" w:eastAsia="楷体" w:cs="宋体"/>
                <w:spacing w:val="-2"/>
                <w:szCs w:val="21"/>
              </w:rPr>
              <w:t>相关</w:t>
            </w:r>
            <w:r>
              <w:rPr>
                <w:rFonts w:hint="eastAsia" w:ascii="楷体" w:hAnsi="楷体" w:eastAsia="楷体" w:cs="宋体"/>
                <w:spacing w:val="-2"/>
                <w:szCs w:val="21"/>
              </w:rPr>
              <w:t>措施后3个工作日内进行信息披露。</w:t>
            </w:r>
          </w:p>
          <w:p>
            <w:pPr>
              <w:jc w:val="both"/>
              <w:rPr>
                <w:rFonts w:ascii="楷体" w:hAnsi="楷体" w:eastAsia="楷体" w:cs="宋体"/>
                <w:b/>
                <w:spacing w:val="-2"/>
                <w:szCs w:val="21"/>
                <w:u w:val="single"/>
              </w:rPr>
            </w:pPr>
            <w:r>
              <w:rPr>
                <w:rFonts w:hint="eastAsia" w:ascii="楷体" w:hAnsi="楷体" w:eastAsia="楷体" w:cs="宋体"/>
                <w:b/>
                <w:spacing w:val="-2"/>
                <w:szCs w:val="21"/>
                <w:u w:val="single"/>
              </w:rPr>
              <w:t>1.全额赎回：当产品管理人有能力兑付投资者的全部赎回申请时，将在申请确认日按投资者申请赎回份额执行正常赎回程序。</w:t>
            </w:r>
          </w:p>
          <w:p>
            <w:pPr>
              <w:jc w:val="both"/>
              <w:rPr>
                <w:rFonts w:ascii="楷体" w:hAnsi="楷体" w:eastAsia="楷体" w:cs="宋体"/>
                <w:b/>
                <w:spacing w:val="-2"/>
                <w:szCs w:val="21"/>
                <w:u w:val="single"/>
              </w:rPr>
            </w:pPr>
            <w:r>
              <w:rPr>
                <w:rFonts w:hint="eastAsia" w:ascii="楷体" w:hAnsi="楷体" w:eastAsia="楷体" w:cs="宋体"/>
                <w:b/>
                <w:spacing w:val="-2"/>
                <w:szCs w:val="21"/>
                <w:u w:val="single"/>
              </w:rPr>
              <w:t>2.部分赎回</w:t>
            </w:r>
            <w:r>
              <w:rPr>
                <w:rFonts w:ascii="楷体" w:hAnsi="楷体" w:eastAsia="楷体" w:cs="宋体"/>
                <w:b/>
                <w:spacing w:val="-2"/>
                <w:szCs w:val="21"/>
                <w:u w:val="single"/>
              </w:rPr>
              <w:t>：</w:t>
            </w:r>
            <w:r>
              <w:rPr>
                <w:rFonts w:hint="eastAsia" w:ascii="楷体" w:hAnsi="楷体" w:eastAsia="楷体" w:cs="宋体"/>
                <w:b/>
                <w:spacing w:val="-2"/>
                <w:szCs w:val="21"/>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jc w:val="both"/>
              <w:rPr>
                <w:rFonts w:hint="eastAsia" w:ascii="楷体" w:hAnsi="楷体" w:eastAsia="楷体" w:cs="宋体"/>
                <w:spacing w:val="-2"/>
                <w:sz w:val="21"/>
                <w:szCs w:val="21"/>
              </w:rPr>
            </w:pPr>
            <w:r>
              <w:rPr>
                <w:rFonts w:hint="eastAsia" w:ascii="楷体" w:hAnsi="楷体" w:eastAsia="楷体" w:cs="宋体"/>
                <w:b/>
                <w:spacing w:val="-2"/>
                <w:szCs w:val="21"/>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Cs w:val="21"/>
                <w:u w:val="single"/>
              </w:rPr>
              <w:t>可</w:t>
            </w:r>
            <w:r>
              <w:rPr>
                <w:rFonts w:hint="eastAsia" w:ascii="楷体" w:hAnsi="楷体" w:eastAsia="楷体" w:cs="宋体"/>
                <w:b/>
                <w:spacing w:val="-2"/>
                <w:szCs w:val="21"/>
                <w:u w:val="single"/>
              </w:rPr>
              <w:t>选择将当日未获受理部分予以撤销（巨额赎回处理方式具体以</w:t>
            </w:r>
            <w:r>
              <w:rPr>
                <w:rFonts w:hint="eastAsia" w:ascii="楷体" w:hAnsi="楷体" w:eastAsia="楷体" w:cs="宋体"/>
                <w:b/>
                <w:spacing w:val="-2"/>
                <w:szCs w:val="21"/>
                <w:u w:val="single"/>
                <w:lang w:val="en-US" w:eastAsia="zh-CN"/>
              </w:rPr>
              <w:t>销售</w:t>
            </w:r>
            <w:r>
              <w:rPr>
                <w:rFonts w:hint="eastAsia" w:ascii="楷体" w:hAnsi="楷体" w:eastAsia="楷体" w:cs="宋体"/>
                <w:b/>
                <w:spacing w:val="-2"/>
                <w:szCs w:val="21"/>
                <w:u w:val="single"/>
              </w:rPr>
              <w:t>机构展示为准），未选择撤销的赎回申请，产品</w:t>
            </w:r>
            <w:r>
              <w:rPr>
                <w:rFonts w:ascii="楷体" w:hAnsi="楷体" w:eastAsia="楷体" w:cs="宋体"/>
                <w:b/>
                <w:spacing w:val="-2"/>
                <w:szCs w:val="21"/>
                <w:u w:val="single"/>
              </w:rPr>
              <w:t>管理人可以</w:t>
            </w:r>
            <w:r>
              <w:rPr>
                <w:rFonts w:hint="eastAsia" w:ascii="楷体" w:hAnsi="楷体" w:eastAsia="楷体" w:cs="宋体"/>
                <w:b/>
                <w:spacing w:val="-2"/>
                <w:szCs w:val="21"/>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连续巨额赎回</w:t>
            </w:r>
          </w:p>
        </w:tc>
        <w:tc>
          <w:tcPr>
            <w:tcW w:w="66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53" w:rightChars="25"/>
              <w:textAlignment w:val="auto"/>
              <w:outlineLvl w:val="9"/>
              <w:rPr>
                <w:rFonts w:hint="eastAsia" w:ascii="楷体" w:hAnsi="楷体" w:eastAsia="楷体" w:cs="宋体"/>
                <w:spacing w:val="-2"/>
                <w:sz w:val="21"/>
                <w:szCs w:val="21"/>
              </w:rPr>
            </w:pPr>
            <w:r>
              <w:rPr>
                <w:rFonts w:hint="eastAsia" w:ascii="楷体" w:hAnsi="楷体" w:eastAsia="楷体" w:cs="宋体"/>
                <w:spacing w:val="-2"/>
                <w:kern w:val="0"/>
                <w:sz w:val="21"/>
                <w:szCs w:val="21"/>
                <w:lang w:val="en-US" w:eastAsia="zh-CN" w:bidi="ar-SA"/>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2"/>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noWrap w:val="0"/>
            <w:vAlign w:val="center"/>
          </w:tcPr>
          <w:p>
            <w:pPr>
              <w:ind w:left="59" w:right="73" w:rightChars="35"/>
              <w:rPr>
                <w:rFonts w:hint="eastAsia" w:ascii="楷体" w:hAnsi="楷体" w:eastAsia="楷体"/>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b w:val="0"/>
                <w:bCs w:val="0"/>
                <w:spacing w:val="-2"/>
                <w:sz w:val="21"/>
                <w:szCs w:val="21"/>
                <w:u w:val="single"/>
              </w:rPr>
              <w:t>各份额业绩比较基准如下：</w:t>
            </w:r>
          </w:p>
          <w:tbl>
            <w:tblPr>
              <w:tblStyle w:val="14"/>
              <w:tblW w:w="6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1"/>
              <w:gridCol w:w="187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ascii="楷体" w:hAnsi="楷体" w:eastAsia="楷体"/>
                      <w:szCs w:val="21"/>
                    </w:rPr>
                  </w:pPr>
                  <w:r>
                    <w:rPr>
                      <w:rFonts w:hint="eastAsia" w:ascii="楷体" w:hAnsi="楷体" w:eastAsia="楷体"/>
                      <w:szCs w:val="21"/>
                    </w:rPr>
                    <w:t>投资周期</w:t>
                  </w:r>
                </w:p>
              </w:tc>
              <w:tc>
                <w:tcPr>
                  <w:tcW w:w="1871" w:type="dxa"/>
                  <w:noWrap w:val="0"/>
                  <w:vAlign w:val="center"/>
                </w:tcPr>
                <w:p>
                  <w:pPr>
                    <w:jc w:val="center"/>
                    <w:rPr>
                      <w:rFonts w:ascii="楷体" w:hAnsi="楷体" w:eastAsia="楷体"/>
                      <w:szCs w:val="21"/>
                    </w:rPr>
                  </w:pPr>
                  <w:r>
                    <w:rPr>
                      <w:rFonts w:hint="eastAsia" w:ascii="楷体" w:hAnsi="楷体" w:eastAsia="楷体"/>
                      <w:szCs w:val="21"/>
                    </w:rPr>
                    <w:t>投资周期起始日</w:t>
                  </w:r>
                </w:p>
              </w:tc>
              <w:tc>
                <w:tcPr>
                  <w:tcW w:w="1871" w:type="dxa"/>
                  <w:noWrap w:val="0"/>
                  <w:vAlign w:val="center"/>
                </w:tcPr>
                <w:p>
                  <w:pPr>
                    <w:jc w:val="center"/>
                    <w:rPr>
                      <w:rFonts w:ascii="楷体" w:hAnsi="楷体" w:eastAsia="楷体"/>
                      <w:szCs w:val="21"/>
                    </w:rPr>
                  </w:pPr>
                  <w:r>
                    <w:rPr>
                      <w:rFonts w:hint="eastAsia" w:ascii="楷体" w:hAnsi="楷体" w:eastAsia="楷体"/>
                      <w:szCs w:val="21"/>
                    </w:rPr>
                    <w:t>投资周期终止日</w:t>
                  </w:r>
                </w:p>
              </w:tc>
              <w:tc>
                <w:tcPr>
                  <w:tcW w:w="1928" w:type="dxa"/>
                  <w:noWrap w:val="0"/>
                  <w:vAlign w:val="center"/>
                </w:tcPr>
                <w:p>
                  <w:pPr>
                    <w:jc w:val="center"/>
                    <w:rPr>
                      <w:rFonts w:hint="eastAsia" w:ascii="楷体" w:hAnsi="楷体" w:eastAsia="楷体"/>
                      <w:szCs w:val="21"/>
                    </w:rPr>
                  </w:pPr>
                  <w:r>
                    <w:rPr>
                      <w:rFonts w:hint="eastAsia" w:ascii="楷体" w:hAnsi="楷体" w:eastAsia="楷体"/>
                      <w:szCs w:val="21"/>
                    </w:rPr>
                    <w:t>业绩比较基准</w:t>
                  </w:r>
                </w:p>
                <w:p>
                  <w:pPr>
                    <w:jc w:val="center"/>
                    <w:rPr>
                      <w:rFonts w:hint="default" w:ascii="楷体" w:hAnsi="楷体" w:eastAsia="楷体"/>
                      <w:szCs w:val="21"/>
                      <w:lang w:val="en-US" w:eastAsia="zh-CN"/>
                    </w:rPr>
                  </w:pPr>
                  <w:r>
                    <w:rPr>
                      <w:rFonts w:hint="eastAsia" w:ascii="楷体" w:hAnsi="楷体" w:eastAsia="楷体"/>
                      <w:szCs w:val="21"/>
                      <w:lang w:eastAsia="zh-CN"/>
                    </w:rPr>
                    <w:t>（</w:t>
                  </w:r>
                  <w:r>
                    <w:rPr>
                      <w:rFonts w:hint="eastAsia" w:ascii="楷体" w:hAnsi="楷体" w:eastAsia="楷体"/>
                      <w:szCs w:val="21"/>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1</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2023年10月10日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2024年1月16日</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A份额2.70%-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C份额2.80%-</w:t>
                  </w:r>
                  <w:r>
                    <w:rPr>
                      <w:rFonts w:ascii="楷体" w:hAnsi="楷体" w:eastAsia="楷体" w:cs="宋体"/>
                      <w:spacing w:val="-2"/>
                      <w:szCs w:val="21"/>
                    </w:rPr>
                    <w:t>3.</w:t>
                  </w:r>
                  <w:r>
                    <w:rPr>
                      <w:rFonts w:hint="eastAsia" w:ascii="楷体" w:hAnsi="楷体" w:eastAsia="楷体" w:cs="宋体"/>
                      <w:spacing w:val="-2"/>
                      <w:szCs w:val="21"/>
                      <w:lang w:val="en-US" w:eastAsia="zh-CN"/>
                    </w:rPr>
                    <w:t>70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D份额2.85%-</w:t>
                  </w:r>
                  <w:r>
                    <w:rPr>
                      <w:rFonts w:ascii="楷体" w:hAnsi="楷体" w:eastAsia="楷体" w:cs="宋体"/>
                      <w:spacing w:val="-2"/>
                      <w:szCs w:val="21"/>
                    </w:rPr>
                    <w:t>3.</w:t>
                  </w:r>
                  <w:r>
                    <w:rPr>
                      <w:rFonts w:hint="eastAsia" w:ascii="楷体" w:hAnsi="楷体" w:eastAsia="楷体" w:cs="宋体"/>
                      <w:spacing w:val="-2"/>
                      <w:szCs w:val="21"/>
                      <w:lang w:val="en-US" w:eastAsia="zh-CN"/>
                    </w:rPr>
                    <w:t>75</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E份额2.95%-</w:t>
                  </w:r>
                  <w:r>
                    <w:rPr>
                      <w:rFonts w:ascii="楷体" w:hAnsi="楷体" w:eastAsia="楷体" w:cs="宋体"/>
                      <w:spacing w:val="-2"/>
                      <w:szCs w:val="21"/>
                    </w:rPr>
                    <w:t>3.</w:t>
                  </w:r>
                  <w:r>
                    <w:rPr>
                      <w:rFonts w:hint="eastAsia" w:ascii="楷体" w:hAnsi="楷体" w:eastAsia="楷体" w:cs="宋体"/>
                      <w:spacing w:val="-2"/>
                      <w:szCs w:val="21"/>
                      <w:lang w:val="en-US" w:eastAsia="zh-CN"/>
                    </w:rPr>
                    <w:t>85</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F份额2.70%-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G份额2.70%-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2</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2024年1月17日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2024年4月29日</w:t>
                  </w:r>
                </w:p>
              </w:tc>
              <w:tc>
                <w:tcPr>
                  <w:tcW w:w="19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A份额2.70%-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C份额2.80%-</w:t>
                  </w:r>
                  <w:r>
                    <w:rPr>
                      <w:rFonts w:ascii="楷体" w:hAnsi="楷体" w:eastAsia="楷体" w:cs="宋体"/>
                      <w:spacing w:val="-2"/>
                      <w:szCs w:val="21"/>
                    </w:rPr>
                    <w:t>3.</w:t>
                  </w:r>
                  <w:r>
                    <w:rPr>
                      <w:rFonts w:hint="eastAsia" w:ascii="楷体" w:hAnsi="楷体" w:eastAsia="楷体" w:cs="宋体"/>
                      <w:spacing w:val="-2"/>
                      <w:szCs w:val="21"/>
                      <w:lang w:val="en-US" w:eastAsia="zh-CN"/>
                    </w:rPr>
                    <w:t>70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D份额2.85%-</w:t>
                  </w:r>
                  <w:r>
                    <w:rPr>
                      <w:rFonts w:ascii="楷体" w:hAnsi="楷体" w:eastAsia="楷体" w:cs="宋体"/>
                      <w:spacing w:val="-2"/>
                      <w:szCs w:val="21"/>
                    </w:rPr>
                    <w:t>3.</w:t>
                  </w:r>
                  <w:r>
                    <w:rPr>
                      <w:rFonts w:hint="eastAsia" w:ascii="楷体" w:hAnsi="楷体" w:eastAsia="楷体" w:cs="宋体"/>
                      <w:spacing w:val="-2"/>
                      <w:szCs w:val="21"/>
                      <w:lang w:val="en-US" w:eastAsia="zh-CN"/>
                    </w:rPr>
                    <w:t>75</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E份额2.95%-</w:t>
                  </w:r>
                  <w:r>
                    <w:rPr>
                      <w:rFonts w:ascii="楷体" w:hAnsi="楷体" w:eastAsia="楷体" w:cs="宋体"/>
                      <w:spacing w:val="-2"/>
                      <w:szCs w:val="21"/>
                    </w:rPr>
                    <w:t>3.</w:t>
                  </w:r>
                  <w:r>
                    <w:rPr>
                      <w:rFonts w:hint="eastAsia" w:ascii="楷体" w:hAnsi="楷体" w:eastAsia="楷体" w:cs="宋体"/>
                      <w:spacing w:val="-2"/>
                      <w:szCs w:val="21"/>
                      <w:lang w:val="en-US" w:eastAsia="zh-CN"/>
                    </w:rPr>
                    <w:t>85</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F份额2.70%-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rPr>
                  </w:pPr>
                  <w:r>
                    <w:rPr>
                      <w:rFonts w:hint="eastAsia" w:ascii="楷体" w:hAnsi="楷体" w:eastAsia="楷体" w:cs="宋体"/>
                      <w:spacing w:val="-2"/>
                      <w:szCs w:val="21"/>
                      <w:lang w:val="en-US" w:eastAsia="zh-CN"/>
                    </w:rPr>
                    <w:t>G份额2.70%-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W份额2.70%-</w:t>
                  </w:r>
                  <w:r>
                    <w:rPr>
                      <w:rFonts w:ascii="楷体" w:hAnsi="楷体" w:eastAsia="楷体" w:cs="宋体"/>
                      <w:spacing w:val="-2"/>
                      <w:szCs w:val="21"/>
                    </w:rPr>
                    <w:t>3.6</w:t>
                  </w:r>
                  <w:r>
                    <w:rPr>
                      <w:rFonts w:hint="eastAsia" w:ascii="楷体" w:hAnsi="楷体" w:eastAsia="楷体" w:cs="宋体"/>
                      <w:spacing w:val="-2"/>
                      <w:szCs w:val="21"/>
                      <w:lang w:val="en-US" w:eastAsia="zh-CN"/>
                    </w:rPr>
                    <w:t>0</w:t>
                  </w:r>
                  <w:r>
                    <w:rPr>
                      <w:rFonts w:hint="eastAsia" w:ascii="楷体" w:hAnsi="楷体" w:eastAsia="楷体" w:cs="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3</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2024年4月30日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2024年8月6日</w:t>
                  </w:r>
                </w:p>
              </w:tc>
              <w:tc>
                <w:tcPr>
                  <w:tcW w:w="19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4</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2024年8月7日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2024年11月14日</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A份额2.30%-3.10%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C份额2.40%-3.20%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D份额2.45%-3.25%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E份额2.55%-3.35%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F份额2.30%-3.10%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G份额2.30%-3.10%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W份额2.30%-3.10%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5</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2024年11月15日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2025年2月19日</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A份额2.20%-3.00%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C份额2.30%-3.10%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D份额2.35%-3.15%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E份额2.45%-3.25%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F份额2.20%-3.00%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G份额2.20%-3.00%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W份额2.20%-3.00%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6</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2025年2月20日</w:t>
                  </w:r>
                </w:p>
              </w:tc>
              <w:tc>
                <w:tcPr>
                  <w:tcW w:w="1871" w:type="dxa"/>
                  <w:noWrap w:val="0"/>
                  <w:vAlign w:val="center"/>
                </w:tcPr>
                <w:p>
                  <w:pPr>
                    <w:jc w:val="center"/>
                    <w:rPr>
                      <w:rFonts w:hint="eastAsia" w:ascii="楷体" w:hAnsi="楷体" w:eastAsia="楷体"/>
                      <w:sz w:val="21"/>
                      <w:szCs w:val="21"/>
                      <w:lang w:val="en-US" w:eastAsia="zh-CN"/>
                    </w:rPr>
                  </w:pPr>
                  <w:r>
                    <w:rPr>
                      <w:rFonts w:hint="eastAsia" w:ascii="楷体" w:hAnsi="楷体" w:eastAsia="楷体"/>
                      <w:sz w:val="21"/>
                      <w:szCs w:val="21"/>
                      <w:lang w:val="en-US" w:eastAsia="zh-CN"/>
                    </w:rPr>
                    <w:t>2025年5月28日</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A份额2.20%-3.00%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C份额2.30%-3.10%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D份额2.35%-3.15%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E份额2.45%-3.25%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F份额2.20%-3.00%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G份额2.20%-3.00%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W份额2.20%-3.00%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S份额2.30%-3.10%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Cs w:val="21"/>
                      <w:lang w:val="en-US" w:eastAsia="zh-CN"/>
                    </w:rPr>
                    <w:t>7</w:t>
                  </w:r>
                </w:p>
              </w:tc>
              <w:tc>
                <w:tcPr>
                  <w:tcW w:w="1871"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 w:val="21"/>
                      <w:szCs w:val="21"/>
                      <w:lang w:val="en-US" w:eastAsia="zh-CN"/>
                    </w:rPr>
                    <w:t>2025年5月29日</w:t>
                  </w:r>
                </w:p>
              </w:tc>
              <w:tc>
                <w:tcPr>
                  <w:tcW w:w="1871"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 w:val="21"/>
                      <w:szCs w:val="21"/>
                      <w:lang w:val="en-US" w:eastAsia="zh-CN"/>
                    </w:rPr>
                    <w:t>2025年9月3日</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A份额2.10%-2.90%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C份额2.20%-3.00%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D份额2.25%-3.05%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E份额2.35%-3.15%</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F份额2.10%-2.90%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G份额2.10%-2.90%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szCs w:val="21"/>
                      <w:lang w:val="en-US" w:eastAsia="zh-CN"/>
                    </w:rPr>
                  </w:pPr>
                  <w:r>
                    <w:rPr>
                      <w:rFonts w:hint="eastAsia" w:ascii="楷体" w:hAnsi="楷体" w:eastAsia="楷体" w:cs="宋体"/>
                      <w:spacing w:val="-2"/>
                      <w:szCs w:val="21"/>
                      <w:lang w:val="en-US" w:eastAsia="zh-CN"/>
                    </w:rPr>
                    <w:t>W份额2.10%-2.90%</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宋体"/>
                      <w:spacing w:val="-2"/>
                      <w:kern w:val="2"/>
                      <w:sz w:val="21"/>
                      <w:szCs w:val="21"/>
                      <w:lang w:val="en-US" w:eastAsia="zh-CN" w:bidi="ar-SA"/>
                    </w:rPr>
                  </w:pPr>
                  <w:r>
                    <w:rPr>
                      <w:rFonts w:hint="eastAsia" w:ascii="楷体" w:hAnsi="楷体" w:eastAsia="楷体" w:cs="宋体"/>
                      <w:spacing w:val="-2"/>
                      <w:szCs w:val="21"/>
                      <w:lang w:val="en-US" w:eastAsia="zh-CN"/>
                    </w:rPr>
                    <w:t>S份额2.20%-3.00%</w:t>
                  </w:r>
                </w:p>
              </w:tc>
            </w:tr>
          </w:tbl>
          <w:p>
            <w:pPr>
              <w:ind w:left="59" w:leftChars="0" w:right="73" w:rightChars="35"/>
              <w:rPr>
                <w:rFonts w:hint="eastAsia"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45"/>
              <w:kinsoku w:val="0"/>
              <w:overflowPunct w:val="0"/>
              <w:spacing w:before="18"/>
              <w:ind w:left="55"/>
              <w:jc w:val="both"/>
              <w:rPr>
                <w:rFonts w:hint="eastAsia"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hint="eastAsia" w:ascii="楷体" w:hAnsi="楷体" w:eastAsia="楷体" w:cs="宋体"/>
                <w:spacing w:val="-2"/>
                <w:szCs w:val="21"/>
              </w:rPr>
            </w:pPr>
            <w:r>
              <w:rPr>
                <w:rFonts w:hint="eastAsia" w:ascii="楷体" w:hAnsi="楷体" w:eastAsia="楷体" w:cs="宋体"/>
                <w:spacing w:val="-2"/>
                <w:szCs w:val="21"/>
              </w:rPr>
              <w:t>2.销售服务费率：</w:t>
            </w:r>
            <w:r>
              <w:rPr>
                <w:rFonts w:hint="eastAsia" w:ascii="楷体" w:hAnsi="楷体" w:eastAsia="楷体" w:cs="宋体"/>
                <w:spacing w:val="-2"/>
                <w:szCs w:val="21"/>
                <w:lang w:val="en-US" w:eastAsia="zh-CN"/>
              </w:rPr>
              <w:t>0.50%/年</w:t>
            </w:r>
            <w:r>
              <w:rPr>
                <w:rFonts w:hint="eastAsia" w:ascii="楷体" w:hAnsi="楷体" w:eastAsia="楷体" w:cs="宋体"/>
                <w:spacing w:val="-2"/>
                <w:szCs w:val="21"/>
              </w:rPr>
              <w:t>。</w:t>
            </w:r>
          </w:p>
          <w:p>
            <w:pPr>
              <w:ind w:left="59" w:right="73" w:rightChars="35"/>
              <w:rPr>
                <w:rFonts w:hint="eastAsia" w:ascii="楷体" w:hAnsi="楷体" w:eastAsia="楷体" w:cs="宋体"/>
                <w:spacing w:val="-2"/>
                <w:szCs w:val="21"/>
              </w:rPr>
            </w:pPr>
            <w:r>
              <w:rPr>
                <w:rFonts w:hint="eastAsia" w:ascii="楷体" w:hAnsi="楷体" w:eastAsia="楷体" w:cs="宋体"/>
                <w:spacing w:val="-2"/>
                <w:szCs w:val="21"/>
              </w:rPr>
              <w:t>3.投资管理费率：A份额</w:t>
            </w:r>
            <w:r>
              <w:rPr>
                <w:rFonts w:ascii="楷体" w:hAnsi="楷体" w:eastAsia="楷体" w:cs="宋体"/>
                <w:spacing w:val="-2"/>
                <w:szCs w:val="21"/>
              </w:rPr>
              <w:t>0.8</w:t>
            </w:r>
            <w:r>
              <w:rPr>
                <w:rFonts w:hint="eastAsia" w:ascii="楷体" w:hAnsi="楷体" w:eastAsia="楷体" w:cs="宋体"/>
                <w:spacing w:val="-2"/>
                <w:szCs w:val="21"/>
              </w:rPr>
              <w:t>0%/年，</w:t>
            </w:r>
            <w:r>
              <w:rPr>
                <w:rFonts w:ascii="楷体" w:hAnsi="楷体" w:eastAsia="楷体" w:cs="宋体"/>
                <w:spacing w:val="-2"/>
                <w:szCs w:val="21"/>
              </w:rPr>
              <w:t>C</w:t>
            </w:r>
            <w:r>
              <w:rPr>
                <w:rFonts w:hint="eastAsia" w:ascii="楷体" w:hAnsi="楷体" w:eastAsia="楷体" w:cs="宋体"/>
                <w:spacing w:val="-2"/>
                <w:szCs w:val="21"/>
              </w:rPr>
              <w:t>份额</w:t>
            </w:r>
            <w:r>
              <w:rPr>
                <w:rFonts w:ascii="楷体" w:hAnsi="楷体" w:eastAsia="楷体" w:cs="宋体"/>
                <w:spacing w:val="-2"/>
                <w:szCs w:val="21"/>
              </w:rPr>
              <w:t>0.7</w:t>
            </w:r>
            <w:r>
              <w:rPr>
                <w:rFonts w:hint="eastAsia" w:ascii="楷体" w:hAnsi="楷体" w:eastAsia="楷体" w:cs="宋体"/>
                <w:spacing w:val="-2"/>
                <w:szCs w:val="21"/>
                <w:lang w:val="en-US" w:eastAsia="zh-CN"/>
              </w:rPr>
              <w:t>0</w:t>
            </w:r>
            <w:r>
              <w:rPr>
                <w:rFonts w:hint="eastAsia" w:ascii="楷体" w:hAnsi="楷体" w:eastAsia="楷体" w:cs="宋体"/>
                <w:spacing w:val="-2"/>
                <w:szCs w:val="21"/>
              </w:rPr>
              <w:t>%/年，</w:t>
            </w:r>
            <w:r>
              <w:rPr>
                <w:rFonts w:ascii="楷体" w:hAnsi="楷体" w:eastAsia="楷体" w:cs="宋体"/>
                <w:spacing w:val="-2"/>
                <w:szCs w:val="21"/>
              </w:rPr>
              <w:t>D</w:t>
            </w:r>
            <w:r>
              <w:rPr>
                <w:rFonts w:hint="eastAsia" w:ascii="楷体" w:hAnsi="楷体" w:eastAsia="楷体" w:cs="宋体"/>
                <w:spacing w:val="-2"/>
                <w:szCs w:val="21"/>
              </w:rPr>
              <w:t>份额</w:t>
            </w:r>
            <w:r>
              <w:rPr>
                <w:rFonts w:ascii="楷体" w:hAnsi="楷体" w:eastAsia="楷体" w:cs="宋体"/>
                <w:spacing w:val="-2"/>
                <w:szCs w:val="21"/>
              </w:rPr>
              <w:t>0.</w:t>
            </w:r>
            <w:r>
              <w:rPr>
                <w:rFonts w:hint="eastAsia" w:ascii="楷体" w:hAnsi="楷体" w:eastAsia="楷体" w:cs="宋体"/>
                <w:spacing w:val="-2"/>
                <w:szCs w:val="21"/>
                <w:lang w:val="en-US" w:eastAsia="zh-CN"/>
              </w:rPr>
              <w:t>6</w:t>
            </w:r>
            <w:r>
              <w:rPr>
                <w:rFonts w:ascii="楷体" w:hAnsi="楷体" w:eastAsia="楷体" w:cs="宋体"/>
                <w:spacing w:val="-2"/>
                <w:szCs w:val="21"/>
              </w:rPr>
              <w:t>5</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E份额0.55%/年，F</w:t>
            </w:r>
            <w:r>
              <w:rPr>
                <w:rFonts w:hint="eastAsia" w:ascii="楷体" w:hAnsi="楷体" w:eastAsia="楷体" w:cs="宋体"/>
                <w:spacing w:val="-2"/>
                <w:szCs w:val="21"/>
              </w:rPr>
              <w:t>份额</w:t>
            </w:r>
            <w:r>
              <w:rPr>
                <w:rFonts w:ascii="楷体" w:hAnsi="楷体" w:eastAsia="楷体" w:cs="宋体"/>
                <w:spacing w:val="-2"/>
                <w:szCs w:val="21"/>
              </w:rPr>
              <w:t>0.8</w:t>
            </w:r>
            <w:r>
              <w:rPr>
                <w:rFonts w:hint="eastAsia" w:ascii="楷体" w:hAnsi="楷体" w:eastAsia="楷体" w:cs="宋体"/>
                <w:spacing w:val="-2"/>
                <w:szCs w:val="21"/>
              </w:rPr>
              <w:t>0%/年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G</w:t>
            </w:r>
            <w:r>
              <w:rPr>
                <w:rFonts w:hint="eastAsia" w:ascii="楷体" w:hAnsi="楷体" w:eastAsia="楷体" w:cs="宋体"/>
                <w:spacing w:val="-2"/>
                <w:szCs w:val="21"/>
              </w:rPr>
              <w:t>份额</w:t>
            </w:r>
            <w:r>
              <w:rPr>
                <w:rFonts w:ascii="楷体" w:hAnsi="楷体" w:eastAsia="楷体" w:cs="宋体"/>
                <w:spacing w:val="-2"/>
                <w:szCs w:val="21"/>
              </w:rPr>
              <w:t>0.8</w:t>
            </w:r>
            <w:r>
              <w:rPr>
                <w:rFonts w:hint="eastAsia" w:ascii="楷体" w:hAnsi="楷体" w:eastAsia="楷体" w:cs="宋体"/>
                <w:spacing w:val="-2"/>
                <w:szCs w:val="21"/>
              </w:rPr>
              <w:t>0%/年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W</w:t>
            </w:r>
            <w:r>
              <w:rPr>
                <w:rFonts w:hint="eastAsia" w:ascii="楷体" w:hAnsi="楷体" w:eastAsia="楷体" w:cs="宋体"/>
                <w:spacing w:val="-2"/>
                <w:szCs w:val="21"/>
              </w:rPr>
              <w:t>份额</w:t>
            </w:r>
            <w:r>
              <w:rPr>
                <w:rFonts w:ascii="楷体" w:hAnsi="楷体" w:eastAsia="楷体" w:cs="宋体"/>
                <w:spacing w:val="-2"/>
                <w:szCs w:val="21"/>
              </w:rPr>
              <w:t>0.8</w:t>
            </w:r>
            <w:r>
              <w:rPr>
                <w:rFonts w:hint="eastAsia" w:ascii="楷体" w:hAnsi="楷体" w:eastAsia="楷体" w:cs="宋体"/>
                <w:spacing w:val="-2"/>
                <w:szCs w:val="21"/>
              </w:rPr>
              <w:t>0%/年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S</w:t>
            </w:r>
            <w:r>
              <w:rPr>
                <w:rFonts w:hint="eastAsia" w:ascii="楷体" w:hAnsi="楷体" w:eastAsia="楷体" w:cs="宋体"/>
                <w:spacing w:val="-2"/>
                <w:szCs w:val="21"/>
              </w:rPr>
              <w:t>份额</w:t>
            </w:r>
            <w:r>
              <w:rPr>
                <w:rFonts w:ascii="楷体" w:hAnsi="楷体" w:eastAsia="楷体" w:cs="宋体"/>
                <w:spacing w:val="-2"/>
                <w:szCs w:val="21"/>
              </w:rPr>
              <w:t>0.7</w:t>
            </w:r>
            <w:r>
              <w:rPr>
                <w:rFonts w:hint="eastAsia" w:ascii="楷体" w:hAnsi="楷体" w:eastAsia="楷体" w:cs="宋体"/>
                <w:spacing w:val="-2"/>
                <w:szCs w:val="21"/>
                <w:lang w:val="en-US" w:eastAsia="zh-CN"/>
              </w:rPr>
              <w:t>0</w:t>
            </w:r>
            <w:r>
              <w:rPr>
                <w:rFonts w:hint="eastAsia" w:ascii="楷体" w:hAnsi="楷体" w:eastAsia="楷体" w:cs="宋体"/>
                <w:spacing w:val="-2"/>
                <w:szCs w:val="21"/>
              </w:rPr>
              <w:t>%/年。</w:t>
            </w:r>
          </w:p>
          <w:p>
            <w:pPr>
              <w:ind w:left="59" w:right="73" w:rightChars="35"/>
              <w:rPr>
                <w:rFonts w:hint="eastAsia" w:ascii="楷体" w:hAnsi="楷体" w:eastAsia="楷体" w:cs="宋体"/>
                <w:spacing w:val="-2"/>
                <w:szCs w:val="21"/>
              </w:rPr>
            </w:pPr>
            <w:r>
              <w:rPr>
                <w:rFonts w:hint="eastAsia" w:ascii="楷体" w:hAnsi="楷体" w:eastAsia="楷体" w:cs="宋体"/>
                <w:spacing w:val="-2"/>
                <w:szCs w:val="21"/>
              </w:rPr>
              <w:t>4.超额业绩报酬：管理人按投资周期收取超额业绩报酬。若单一投资周期的各份额实际投资收益在扣除托管费、销售服务费、投资管理费以及运作产品所必须缴纳的税费后超过各份额业绩比较基准</w:t>
            </w:r>
            <w:r>
              <w:rPr>
                <w:rFonts w:hint="eastAsia" w:ascii="楷体" w:hAnsi="楷体" w:eastAsia="楷体" w:cs="宋体"/>
                <w:spacing w:val="-2"/>
                <w:szCs w:val="21"/>
                <w:lang w:val="en-US" w:eastAsia="zh-CN"/>
              </w:rPr>
              <w:t>上限</w:t>
            </w:r>
            <w:r>
              <w:rPr>
                <w:rFonts w:hint="eastAsia" w:ascii="楷体" w:hAnsi="楷体" w:eastAsia="楷体" w:cs="宋体"/>
                <w:spacing w:val="-2"/>
                <w:szCs w:val="21"/>
              </w:rPr>
              <w:t>，则该投资周期终止日后管理人将按照超出部分的</w:t>
            </w:r>
            <w:r>
              <w:rPr>
                <w:rFonts w:hint="eastAsia" w:ascii="楷体" w:hAnsi="楷体" w:eastAsia="楷体" w:cs="宋体"/>
                <w:spacing w:val="-2"/>
                <w:szCs w:val="21"/>
                <w:lang w:val="en-US" w:eastAsia="zh-CN"/>
              </w:rPr>
              <w:t>50</w:t>
            </w:r>
            <w:r>
              <w:rPr>
                <w:rFonts w:hint="eastAsia" w:ascii="楷体" w:hAnsi="楷体" w:eastAsia="楷体" w:cs="宋体"/>
                <w:spacing w:val="-2"/>
                <w:szCs w:val="21"/>
              </w:rPr>
              <w:t>%收取超额业绩报酬。</w:t>
            </w:r>
          </w:p>
          <w:p>
            <w:pPr>
              <w:ind w:left="59" w:right="73" w:rightChars="35"/>
              <w:rPr>
                <w:rFonts w:hint="eastAsia" w:ascii="楷体" w:hAnsi="楷体" w:eastAsia="楷体" w:cs="宋体"/>
                <w:spacing w:val="-2"/>
                <w:szCs w:val="21"/>
              </w:rPr>
            </w:pPr>
            <w:r>
              <w:rPr>
                <w:rFonts w:hint="eastAsia" w:ascii="楷体" w:hAnsi="楷体" w:eastAsia="楷体" w:cs="宋体"/>
                <w:spacing w:val="-2"/>
                <w:szCs w:val="21"/>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w:t>
            </w:r>
            <w:r>
              <w:rPr>
                <w:rFonts w:hint="eastAsia" w:ascii="楷体" w:hAnsi="楷体" w:eastAsia="楷体" w:cs="宋体"/>
                <w:spacing w:val="-2"/>
                <w:szCs w:val="21"/>
                <w:lang w:val="en-US" w:eastAsia="zh-CN"/>
              </w:rPr>
              <w:t>费用进行调整</w:t>
            </w:r>
            <w:r>
              <w:rPr>
                <w:rFonts w:hint="eastAsia" w:ascii="楷体" w:hAnsi="楷体" w:eastAsia="楷体" w:cs="宋体"/>
                <w:spacing w:val="-2"/>
                <w:szCs w:val="21"/>
              </w:rPr>
              <w:t>，实际收取费率以管理人公告为准。</w:t>
            </w:r>
            <w:r>
              <w:rPr>
                <w:rFonts w:hint="eastAsia" w:ascii="楷体" w:hAnsi="楷体" w:eastAsia="楷体" w:cs="宋体"/>
                <w:b/>
                <w:spacing w:val="-2"/>
                <w:szCs w:val="21"/>
                <w:u w:val="single"/>
              </w:rPr>
              <w:t>本产品设置有多个份额，</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按照设置的销售对象和销售起点进行销售，</w:t>
            </w:r>
            <w:r>
              <w:rPr>
                <w:rFonts w:hint="eastAsia" w:ascii="楷体" w:hAnsi="楷体" w:eastAsia="楷体" w:cs="宋体"/>
                <w:b/>
                <w:spacing w:val="-2"/>
                <w:szCs w:val="21"/>
                <w:u w:val="single"/>
                <w:lang w:eastAsia="zh-CN"/>
              </w:rPr>
              <w:t>各份额</w:t>
            </w:r>
            <w:r>
              <w:rPr>
                <w:rFonts w:hint="eastAsia" w:ascii="楷体" w:hAnsi="楷体" w:eastAsia="楷体" w:cs="宋体"/>
                <w:b/>
                <w:spacing w:val="-2"/>
                <w:szCs w:val="21"/>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45"/>
              <w:kinsoku w:val="0"/>
              <w:overflowPunct w:val="0"/>
              <w:spacing w:before="18"/>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本产品每日估值，每个开放日结束后2个工作日内通过本理财产品说明书约定方式披露上一投资周期终止日的单位净值、份额累计净值、认</w:t>
            </w:r>
            <w:r>
              <w:rPr>
                <w:rFonts w:hint="eastAsia" w:ascii="楷体" w:hAnsi="楷体" w:eastAsia="楷体" w:cs="宋体"/>
                <w:spacing w:val="-2"/>
                <w:szCs w:val="21"/>
                <w:lang w:val="en-US" w:eastAsia="zh-CN"/>
              </w:rPr>
              <w:t>/申</w:t>
            </w:r>
            <w:r>
              <w:rPr>
                <w:rFonts w:hint="eastAsia" w:ascii="楷体" w:hAnsi="楷体" w:eastAsia="楷体" w:cs="宋体"/>
                <w:spacing w:val="-2"/>
                <w:szCs w:val="21"/>
              </w:rPr>
              <w:t>购价格和赎回价格。详见下文“十、产品估值”。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45"/>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暂停估值</w:t>
            </w:r>
          </w:p>
        </w:tc>
        <w:tc>
          <w:tcPr>
            <w:tcW w:w="6614" w:type="dxa"/>
            <w:tcBorders>
              <w:bottom w:val="single" w:color="auto" w:sz="4" w:space="0"/>
            </w:tcBorders>
            <w:noWrap w:val="0"/>
            <w:vAlign w:val="center"/>
          </w:tcPr>
          <w:p>
            <w:pPr>
              <w:ind w:left="59" w:leftChars="0" w:right="73" w:rightChars="35"/>
              <w:rPr>
                <w:rFonts w:hint="eastAsia" w:ascii="楷体" w:hAnsi="楷体" w:eastAsia="楷体" w:cs="宋体"/>
                <w:spacing w:val="-2"/>
                <w:szCs w:val="21"/>
              </w:rPr>
            </w:pPr>
            <w:r>
              <w:rPr>
                <w:rFonts w:hint="eastAsia" w:ascii="楷体" w:hAnsi="楷体" w:eastAsia="楷体" w:cs="宋体"/>
                <w:spacing w:val="-2"/>
                <w:szCs w:val="21"/>
              </w:rPr>
              <w:t>本产品在前一估值日内，产品资产净值50%以上的资产不具备活跃交易市场或者在活跃市场中无报价，且不能采用估值技术可靠计量公允价值的，应当暂停本产品估值，并采取延缓支付赎回款项或暂停接受理财产品认</w:t>
            </w:r>
            <w:r>
              <w:rPr>
                <w:rFonts w:hint="eastAsia" w:ascii="楷体" w:hAnsi="楷体" w:eastAsia="楷体" w:cs="宋体"/>
                <w:spacing w:val="-2"/>
                <w:szCs w:val="21"/>
                <w:lang w:val="en-US" w:eastAsia="zh-CN"/>
              </w:rPr>
              <w:t>/申</w:t>
            </w:r>
            <w:r>
              <w:rPr>
                <w:rFonts w:hint="eastAsia" w:ascii="楷体" w:hAnsi="楷体" w:eastAsia="楷体" w:cs="宋体"/>
                <w:spacing w:val="-2"/>
                <w:szCs w:val="21"/>
              </w:rPr>
              <w:t>购、赎回申请等措施。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tcBorders>
              <w:bottom w:val="single" w:color="auto" w:sz="4" w:space="0"/>
            </w:tcBorders>
            <w:noWrap w:val="0"/>
            <w:vAlign w:val="center"/>
          </w:tcPr>
          <w:p>
            <w:pPr>
              <w:pStyle w:val="45"/>
              <w:kinsoku w:val="0"/>
              <w:overflowPunct w:val="0"/>
              <w:spacing w:before="18"/>
              <w:ind w:left="55" w:leftChars="0"/>
              <w:jc w:val="both"/>
              <w:rPr>
                <w:rFonts w:hint="eastAsia" w:ascii="楷体" w:hAnsi="楷体" w:eastAsia="楷体" w:cs="宋体"/>
                <w:b/>
                <w:spacing w:val="-2"/>
                <w:kern w:val="0"/>
                <w:sz w:val="21"/>
                <w:szCs w:val="21"/>
                <w:highlight w:val="none"/>
                <w:lang w:val="en-US" w:eastAsia="zh-CN" w:bidi="ar-SA"/>
              </w:rPr>
            </w:pPr>
            <w:r>
              <w:rPr>
                <w:rFonts w:hint="eastAsia" w:ascii="楷体" w:hAnsi="楷体" w:eastAsia="楷体" w:cs="宋体"/>
                <w:b/>
                <w:spacing w:val="-2"/>
                <w:sz w:val="21"/>
                <w:szCs w:val="21"/>
                <w:highlight w:val="none"/>
              </w:rPr>
              <w:t>收益分配</w:t>
            </w:r>
          </w:p>
        </w:tc>
        <w:tc>
          <w:tcPr>
            <w:tcW w:w="6614" w:type="dxa"/>
            <w:tcBorders>
              <w:bottom w:val="single" w:color="auto" w:sz="4" w:space="0"/>
            </w:tcBorders>
            <w:noWrap w:val="0"/>
            <w:vAlign w:val="center"/>
          </w:tcPr>
          <w:p>
            <w:pPr>
              <w:ind w:left="59" w:leftChars="0" w:right="73" w:rightChars="35"/>
              <w:rPr>
                <w:rFonts w:hint="eastAsia" w:ascii="楷体" w:hAnsi="楷体" w:eastAsia="楷体" w:cs="宋体"/>
                <w:spacing w:val="-2"/>
                <w:szCs w:val="21"/>
                <w:highlight w:val="none"/>
              </w:rPr>
            </w:pPr>
            <w:r>
              <w:rPr>
                <w:rFonts w:hint="eastAsia" w:ascii="楷体" w:hAnsi="楷体" w:eastAsia="楷体" w:cs="宋体"/>
                <w:spacing w:val="-2"/>
                <w:szCs w:val="21"/>
                <w:highlight w:val="none"/>
              </w:rPr>
              <w:t>本产品无分红机制，投资运作情况体现为产品净值变化。产品投资运作</w:t>
            </w:r>
          </w:p>
          <w:p>
            <w:pPr>
              <w:ind w:left="59" w:leftChars="0" w:right="73" w:rightChars="35"/>
              <w:rPr>
                <w:rFonts w:hint="eastAsia" w:ascii="楷体" w:hAnsi="楷体" w:eastAsia="楷体" w:cs="宋体"/>
                <w:spacing w:val="-2"/>
                <w:szCs w:val="21"/>
                <w:highlight w:val="none"/>
              </w:rPr>
            </w:pPr>
            <w:r>
              <w:rPr>
                <w:rFonts w:hint="eastAsia" w:ascii="楷体" w:hAnsi="楷体" w:eastAsia="楷体" w:cs="宋体"/>
                <w:spacing w:val="-2"/>
                <w:szCs w:val="21"/>
                <w:highlight w:val="none"/>
              </w:rPr>
              <w:t>到期，投资收益扣除相关费用后，全部分配给投资者。详见下文“十</w:t>
            </w:r>
            <w:r>
              <w:rPr>
                <w:rFonts w:hint="eastAsia" w:ascii="楷体" w:hAnsi="楷体" w:eastAsia="楷体" w:cs="宋体"/>
                <w:spacing w:val="-2"/>
                <w:szCs w:val="21"/>
                <w:highlight w:val="none"/>
                <w:lang w:val="en-US" w:eastAsia="zh-CN"/>
              </w:rPr>
              <w:t>一</w:t>
            </w:r>
            <w:r>
              <w:rPr>
                <w:rFonts w:hint="eastAsia" w:ascii="楷体" w:hAnsi="楷体" w:eastAsia="楷体" w:cs="宋体"/>
                <w:spacing w:val="-2"/>
                <w:szCs w:val="21"/>
                <w:highlight w:val="none"/>
              </w:rPr>
              <w:t>、</w:t>
            </w:r>
          </w:p>
          <w:p>
            <w:pPr>
              <w:ind w:left="59" w:leftChars="0" w:right="73" w:rightChars="35"/>
              <w:rPr>
                <w:rFonts w:hint="eastAsia" w:ascii="楷体" w:hAnsi="楷体" w:eastAsia="楷体" w:cs="宋体"/>
                <w:spacing w:val="-2"/>
                <w:kern w:val="2"/>
                <w:sz w:val="21"/>
                <w:szCs w:val="21"/>
                <w:highlight w:val="none"/>
                <w:lang w:val="en-US" w:eastAsia="zh-CN" w:bidi="ar-SA"/>
              </w:rPr>
            </w:pPr>
            <w:r>
              <w:rPr>
                <w:rFonts w:hint="eastAsia" w:ascii="楷体" w:hAnsi="楷体" w:eastAsia="楷体" w:cs="宋体"/>
                <w:spacing w:val="-2"/>
                <w:szCs w:val="21"/>
                <w:highlight w:val="none"/>
              </w:rPr>
              <w:t>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pStyle w:val="45"/>
              <w:kinsoku w:val="0"/>
              <w:overflowPunct w:val="0"/>
              <w:spacing w:before="18"/>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管理人将按照《理财产品说明书》中约定的方式进行信息披露，详见下文“十五、信息披露”。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pStyle w:val="45"/>
              <w:kinsoku w:val="0"/>
              <w:overflowPunct w:val="0"/>
              <w:spacing w:before="18"/>
              <w:ind w:left="55"/>
              <w:jc w:val="both"/>
              <w:rPr>
                <w:rFonts w:hint="eastAsia"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ind w:left="59" w:right="73" w:rightChars="35"/>
              <w:rPr>
                <w:rFonts w:hint="eastAsia" w:ascii="楷体" w:hAnsi="楷体" w:eastAsia="楷体" w:cs="宋体"/>
                <w:spacing w:val="-2"/>
                <w:szCs w:val="21"/>
              </w:rPr>
            </w:pPr>
            <w:r>
              <w:rPr>
                <w:rFonts w:hint="eastAsia" w:ascii="楷体" w:hAnsi="楷体" w:eastAsia="楷体" w:cs="宋体"/>
                <w:spacing w:val="-2"/>
                <w:szCs w:val="21"/>
              </w:rPr>
              <w:t>本产品运作过程中涉及的各纳税主体，其纳税义务按国家税收法律、法规执行。详见下文“十三、税收规定”。</w:t>
            </w:r>
          </w:p>
        </w:tc>
      </w:tr>
    </w:tbl>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sz w:val="24"/>
          <w:szCs w:val="24"/>
          <w:lang w:val="en-US" w:eastAsia="zh-CN"/>
        </w:rPr>
        <w:t>监管机构</w:t>
      </w:r>
      <w:r>
        <w:rPr>
          <w:rFonts w:hint="eastAsia" w:ascii="楷体" w:hAnsi="楷体" w:eastAsia="楷体"/>
          <w:sz w:val="24"/>
          <w:szCs w:val="24"/>
        </w:rPr>
        <w:t>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lang w:val="en-US" w:eastAsia="zh-CN"/>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4"/>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3"/>
        </w:numPr>
        <w:tabs>
          <w:tab w:val="left" w:pos="1134"/>
        </w:tabs>
        <w:ind w:firstLine="562" w:firstLineChars="200"/>
        <w:outlineLvl w:val="1"/>
        <w:rPr>
          <w:rFonts w:hint="eastAsia" w:ascii="楷体" w:hAnsi="楷体" w:eastAsia="楷体"/>
          <w:b/>
          <w:sz w:val="28"/>
          <w:szCs w:val="28"/>
          <w:highlight w:val="none"/>
        </w:rPr>
      </w:pPr>
      <w:r>
        <w:rPr>
          <w:rFonts w:hint="eastAsia" w:ascii="楷体" w:hAnsi="楷体" w:eastAsia="楷体"/>
          <w:b/>
          <w:sz w:val="28"/>
          <w:szCs w:val="28"/>
          <w:highlight w:val="none"/>
        </w:rPr>
        <w:t>销售机构</w:t>
      </w:r>
    </w:p>
    <w:p>
      <w:pPr>
        <w:ind w:firstLine="480" w:firstLineChars="200"/>
        <w:rPr>
          <w:rFonts w:hint="eastAsia" w:ascii="楷体" w:hAnsi="楷体" w:eastAsia="楷体"/>
          <w:b w:val="0"/>
          <w:bCs w:val="0"/>
          <w:sz w:val="24"/>
          <w:szCs w:val="24"/>
          <w:highlight w:val="yellow"/>
          <w:u w:val="none"/>
          <w:lang w:val="en-US" w:eastAsia="zh-CN"/>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4"/>
          <w:szCs w:val="24"/>
          <w:highlight w:val="none"/>
          <w:u w:val="none"/>
          <w:lang w:val="en-US" w:eastAsia="zh-CN"/>
        </w:rPr>
        <w:t>本产品各份额销售机构如下：</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3816"/>
        <w:gridCol w:w="3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441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restart"/>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2239" w:type="pct"/>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2179" w:type="pct"/>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苏银理财有限责任公司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kern w:val="0"/>
                <w:sz w:val="18"/>
                <w:szCs w:val="18"/>
                <w:u w:val="none"/>
                <w:lang w:val="en-US" w:eastAsia="zh-CN" w:bidi="ar"/>
              </w:rPr>
            </w:pPr>
          </w:p>
        </w:tc>
        <w:tc>
          <w:tcPr>
            <w:tcW w:w="2239" w:type="pct"/>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江苏睢宁农村</w:t>
            </w:r>
            <w:r>
              <w:rPr>
                <w:rFonts w:hint="eastAsia" w:ascii="楷体" w:hAnsi="楷体" w:eastAsia="楷体" w:cs="楷体"/>
                <w:i w:val="0"/>
                <w:iCs w:val="0"/>
                <w:color w:val="000000"/>
                <w:sz w:val="18"/>
                <w:szCs w:val="18"/>
                <w:u w:val="none"/>
                <w:lang w:val="en-US" w:eastAsia="zh-CN"/>
              </w:rPr>
              <w:t>商业银行股份有限公司</w:t>
            </w:r>
          </w:p>
        </w:tc>
        <w:tc>
          <w:tcPr>
            <w:tcW w:w="2179" w:type="pct"/>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restart"/>
            <w:tcBorders>
              <w:top w:val="single" w:color="auto" w:sz="4" w:space="0"/>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C份额</w:t>
            </w:r>
          </w:p>
        </w:tc>
        <w:tc>
          <w:tcPr>
            <w:tcW w:w="2239" w:type="pct"/>
            <w:tcBorders>
              <w:top w:val="single" w:color="auto" w:sz="4" w:space="0"/>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sz w:val="18"/>
                <w:szCs w:val="18"/>
                <w:u w:val="none"/>
                <w:lang w:val="en-US" w:eastAsia="zh-CN"/>
              </w:rPr>
              <w:t>江苏银行股份有限公司</w:t>
            </w:r>
          </w:p>
        </w:tc>
        <w:tc>
          <w:tcPr>
            <w:tcW w:w="2179" w:type="pct"/>
            <w:tcBorders>
              <w:top w:val="single" w:color="auto" w:sz="4" w:space="0"/>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苏银理财有限责任公司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c>
          <w:tcPr>
            <w:tcW w:w="2239" w:type="pct"/>
            <w:tcBorders>
              <w:top w:val="nil"/>
              <w:left w:val="single" w:color="auto"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kern w:val="0"/>
                <w:sz w:val="18"/>
                <w:szCs w:val="18"/>
                <w:u w:val="none"/>
                <w:lang w:val="en-US" w:eastAsia="zh-CN" w:bidi="ar"/>
              </w:rPr>
              <w:t>江苏睢宁农村</w:t>
            </w:r>
            <w:r>
              <w:rPr>
                <w:rFonts w:hint="eastAsia" w:ascii="楷体" w:hAnsi="楷体" w:eastAsia="楷体" w:cs="楷体"/>
                <w:i w:val="0"/>
                <w:iCs w:val="0"/>
                <w:color w:val="000000"/>
                <w:sz w:val="18"/>
                <w:szCs w:val="18"/>
                <w:u w:val="none"/>
                <w:lang w:val="en-US" w:eastAsia="zh-CN"/>
              </w:rPr>
              <w:t>商业银行股份有限公司</w:t>
            </w:r>
          </w:p>
        </w:tc>
        <w:tc>
          <w:tcPr>
            <w:tcW w:w="217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tcBorders>
              <w:top w:val="single" w:color="000000" w:sz="4" w:space="0"/>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2239" w:type="pct"/>
            <w:tcBorders>
              <w:top w:val="single" w:color="auto" w:sz="4" w:space="0"/>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2179" w:type="pct"/>
            <w:tcBorders>
              <w:top w:val="single" w:color="auto" w:sz="4" w:space="0"/>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苏银理财有限责任公司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E份额</w:t>
            </w:r>
          </w:p>
        </w:tc>
        <w:tc>
          <w:tcPr>
            <w:tcW w:w="2239"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江苏银行股份有限公司</w:t>
            </w:r>
          </w:p>
        </w:tc>
        <w:tc>
          <w:tcPr>
            <w:tcW w:w="217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苏银理财有限责任公司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2239" w:type="pct"/>
            <w:tcBorders>
              <w:top w:val="single" w:color="auto" w:sz="4" w:space="0"/>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华侨银行有限公司</w:t>
            </w:r>
          </w:p>
        </w:tc>
        <w:tc>
          <w:tcPr>
            <w:tcW w:w="2179" w:type="pct"/>
            <w:tcBorders>
              <w:top w:val="single" w:color="auto" w:sz="4" w:space="0"/>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浙江瑞安农村商业银行股份有限公司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宁波通商银行股份有限公司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浙江绍兴瑞丰农村商业银行股份有限公司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深圳农村商业银行股份有限公司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浙江永嘉农村商业银行股份有限公司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苏州银行股份有限公司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浙江永康农村商业银行股份有限公司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兴业银行股份有限公司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浙江余杭农村商业银行股份有限公司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浙江舟山定海海洋农村商业银行股份有限公司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杭州联合农村商业银行股份有限公司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北京农村商业银行股份有限公司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浙江嘉善农村商业银行股份有限公司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广州农村商业银行股份有限公司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浙江海宁农村商业银行股份有限公司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浙江乐清农村商业银行股份有限公司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浙江青田农村商业银行股份有限公司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浙江上虞农村商业银行股份有限公司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浙江衢州衢江农村商业银行股份有限公司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浙江江山农村商业银行股份有限公司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浙江台州路桥农村商业银行股份有限公司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山西银行股份有限公司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浙江长兴农村商业银行股份有限公司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徽商银行股份有限公司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浙江武义农村商业银行股份有限公司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莱商银行股份有限公司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交通</w:t>
            </w:r>
            <w:r>
              <w:rPr>
                <w:rFonts w:hint="default" w:ascii="楷体" w:hAnsi="楷体" w:eastAsia="楷体" w:cs="楷体"/>
                <w:i w:val="0"/>
                <w:iCs w:val="0"/>
                <w:color w:val="000000"/>
                <w:sz w:val="18"/>
                <w:szCs w:val="18"/>
                <w:u w:val="none"/>
                <w:lang w:val="en-US" w:eastAsia="zh-CN"/>
              </w:rPr>
              <w:t>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浙江萧山农村商业银行股份有限公司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浙江新昌农村商业银行股份有限公司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浙江温州鹿城农村商业银行股份有限公司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广州银行股份有限公司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浙江安吉农村商业银行股份有限公司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九江银行股份有限公司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中邮邮惠万家银行有限责任公司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潍坊银行股份有限公司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华侨银行有限公司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81"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浙江绍兴瑞丰农村商业银行股份有限公司</w:t>
            </w:r>
          </w:p>
        </w:tc>
        <w:tc>
          <w:tcPr>
            <w:tcW w:w="2179" w:type="pct"/>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浙江瑞安农村商业银行股份有限公司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81" w:type="pct"/>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2239" w:type="pct"/>
            <w:tcBorders>
              <w:top w:val="nil"/>
              <w:left w:val="single" w:color="000000"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浙江瑞安农村商业银行股份有限公司</w:t>
            </w:r>
          </w:p>
        </w:tc>
        <w:tc>
          <w:tcPr>
            <w:tcW w:w="2179" w:type="pct"/>
            <w:tcBorders>
              <w:top w:val="nil"/>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宁波通商银行股份有限公司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restart"/>
            <w:tcBorders>
              <w:top w:val="single" w:color="auto" w:sz="4" w:space="0"/>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G份额</w:t>
            </w:r>
          </w:p>
        </w:tc>
        <w:tc>
          <w:tcPr>
            <w:tcW w:w="2239" w:type="pct"/>
            <w:tcBorders>
              <w:top w:val="single" w:color="auto" w:sz="4" w:space="0"/>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江苏丹阳</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single" w:color="auto" w:sz="4" w:space="0"/>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江苏泗洪</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江苏东台</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江苏泰兴</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江苏阜宁</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江苏新沂</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江苏海安</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江苏盱眙</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江苏洪泽</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徐州</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江苏淮安</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江苏扬中</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江苏靖江</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江苏扬州</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江苏句容</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江苏宜兴</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江苏溧水</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江苏紫金</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江苏涟水</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江苏</w:t>
            </w:r>
            <w:r>
              <w:rPr>
                <w:rFonts w:hint="default" w:ascii="楷体" w:hAnsi="楷体" w:eastAsia="楷体" w:cs="楷体"/>
                <w:i w:val="0"/>
                <w:iCs w:val="0"/>
                <w:color w:val="000000"/>
                <w:sz w:val="18"/>
                <w:szCs w:val="18"/>
                <w:u w:val="none"/>
                <w:lang w:val="en-US" w:eastAsia="zh-CN"/>
              </w:rPr>
              <w:t>江阴</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江苏南通</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宁波东海银行</w:t>
            </w:r>
            <w:r>
              <w:rPr>
                <w:rFonts w:hint="eastAsia" w:ascii="楷体" w:hAnsi="楷体" w:eastAsia="楷体" w:cs="楷体"/>
                <w:i w:val="0"/>
                <w:iCs w:val="0"/>
                <w:color w:val="000000"/>
                <w:sz w:val="18"/>
                <w:szCs w:val="18"/>
                <w:u w:val="none"/>
                <w:lang w:val="en-US" w:eastAsia="zh-CN"/>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江苏邳州</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齐鲁银行</w:t>
            </w:r>
            <w:r>
              <w:rPr>
                <w:rFonts w:hint="eastAsia" w:ascii="楷体" w:hAnsi="楷体" w:eastAsia="楷体" w:cs="楷体"/>
                <w:i w:val="0"/>
                <w:iCs w:val="0"/>
                <w:color w:val="000000"/>
                <w:sz w:val="18"/>
                <w:szCs w:val="18"/>
                <w:u w:val="none"/>
                <w:lang w:val="en-US" w:eastAsia="zh-CN"/>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江苏启东</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上海银行</w:t>
            </w:r>
            <w:r>
              <w:rPr>
                <w:rFonts w:hint="eastAsia" w:ascii="楷体" w:hAnsi="楷体" w:eastAsia="楷体" w:cs="楷体"/>
                <w:i w:val="0"/>
                <w:iCs w:val="0"/>
                <w:color w:val="000000"/>
                <w:sz w:val="18"/>
                <w:szCs w:val="18"/>
                <w:u w:val="none"/>
                <w:lang w:val="en-US" w:eastAsia="zh-CN"/>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江苏如东</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深圳前海微众银行股份有限公司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江苏如皋</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default" w:ascii="楷体" w:hAnsi="楷体" w:eastAsia="楷体" w:cs="楷体"/>
                <w:i w:val="0"/>
                <w:iCs w:val="0"/>
                <w:color w:val="000000"/>
                <w:sz w:val="18"/>
                <w:szCs w:val="18"/>
                <w:u w:val="none"/>
                <w:lang w:val="en-US" w:eastAsia="zh-CN"/>
              </w:rPr>
              <w:t>兴业银行</w:t>
            </w:r>
            <w:r>
              <w:rPr>
                <w:rFonts w:hint="eastAsia" w:ascii="楷体" w:hAnsi="楷体" w:eastAsia="楷体" w:cs="楷体"/>
                <w:i w:val="0"/>
                <w:iCs w:val="0"/>
                <w:color w:val="000000"/>
                <w:sz w:val="18"/>
                <w:szCs w:val="18"/>
                <w:u w:val="none"/>
                <w:lang w:val="en-US" w:eastAsia="zh-CN"/>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江苏沭阳</w:t>
            </w:r>
            <w:r>
              <w:rPr>
                <w:rFonts w:hint="eastAsia" w:ascii="楷体" w:hAnsi="楷体" w:eastAsia="楷体" w:cs="楷体"/>
                <w:i w:val="0"/>
                <w:iCs w:val="0"/>
                <w:color w:val="000000"/>
                <w:sz w:val="18"/>
                <w:szCs w:val="18"/>
                <w:u w:val="none"/>
                <w:lang w:val="en-US" w:eastAsia="zh-CN"/>
              </w:rPr>
              <w:t>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sz w:val="18"/>
                <w:szCs w:val="18"/>
                <w:u w:val="none"/>
                <w:lang w:val="en-US" w:eastAsia="zh-CN"/>
              </w:rPr>
              <w:t>江苏</w:t>
            </w:r>
            <w:r>
              <w:rPr>
                <w:rFonts w:hint="default" w:ascii="楷体" w:hAnsi="楷体" w:eastAsia="楷体" w:cs="楷体"/>
                <w:i w:val="0"/>
                <w:iCs w:val="0"/>
                <w:color w:val="000000"/>
                <w:sz w:val="18"/>
                <w:szCs w:val="18"/>
                <w:u w:val="none"/>
                <w:lang w:val="en-US" w:eastAsia="zh-CN"/>
              </w:rPr>
              <w:t>张家港</w:t>
            </w:r>
            <w:r>
              <w:rPr>
                <w:rFonts w:hint="eastAsia" w:ascii="楷体" w:hAnsi="楷体" w:eastAsia="楷体" w:cs="楷体"/>
                <w:i w:val="0"/>
                <w:iCs w:val="0"/>
                <w:color w:val="000000"/>
                <w:sz w:val="18"/>
                <w:szCs w:val="18"/>
                <w:u w:val="none"/>
                <w:lang w:val="en-US" w:eastAsia="zh-CN"/>
              </w:rPr>
              <w:t>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sz w:val="18"/>
                <w:szCs w:val="18"/>
                <w:u w:val="none"/>
                <w:lang w:val="en-US" w:eastAsia="zh-CN"/>
              </w:rPr>
              <w:t>江苏民丰农村商业银行股份有限公司</w:t>
            </w:r>
          </w:p>
        </w:tc>
        <w:tc>
          <w:tcPr>
            <w:tcW w:w="2179" w:type="pct"/>
            <w:tcBorders>
              <w:top w:val="nil"/>
              <w:left w:val="nil"/>
              <w:bottom w:val="nil"/>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sz w:val="18"/>
                <w:szCs w:val="18"/>
                <w:u w:val="none"/>
                <w:lang w:val="en-US" w:eastAsia="zh-CN"/>
              </w:rPr>
              <w:t>江苏大丰农村商业银行股份有限公司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vMerge w:val="continue"/>
            <w:tcBorders>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p>
        </w:tc>
        <w:tc>
          <w:tcPr>
            <w:tcW w:w="2239" w:type="pct"/>
            <w:tcBorders>
              <w:top w:val="nil"/>
              <w:left w:val="single" w:color="auto" w:sz="4" w:space="0"/>
              <w:bottom w:val="single" w:color="auto" w:sz="4" w:space="0"/>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江苏苏州农村商业银行股份有限公司</w:t>
            </w:r>
          </w:p>
        </w:tc>
        <w:tc>
          <w:tcPr>
            <w:tcW w:w="2179" w:type="pct"/>
            <w:tcBorders>
              <w:top w:val="nil"/>
              <w:left w:val="nil"/>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江苏镇江农村商业银行股份有限公司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W份额</w:t>
            </w:r>
          </w:p>
        </w:tc>
        <w:tc>
          <w:tcPr>
            <w:tcW w:w="2239" w:type="pct"/>
            <w:tcBorders>
              <w:top w:val="single" w:color="auto" w:sz="4" w:space="0"/>
              <w:left w:val="single" w:color="auto" w:sz="4" w:space="0"/>
              <w:bottom w:val="single" w:color="auto" w:sz="4" w:space="0"/>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浙江网商银行股份有限公司</w:t>
            </w:r>
          </w:p>
        </w:tc>
        <w:tc>
          <w:tcPr>
            <w:tcW w:w="2179" w:type="pct"/>
            <w:tcBorders>
              <w:top w:val="single" w:color="auto" w:sz="4" w:space="0"/>
              <w:left w:val="nil"/>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S份额</w:t>
            </w:r>
          </w:p>
        </w:tc>
        <w:tc>
          <w:tcPr>
            <w:tcW w:w="2239" w:type="pct"/>
            <w:tcBorders>
              <w:top w:val="single" w:color="auto" w:sz="4" w:space="0"/>
              <w:left w:val="single" w:color="auto" w:sz="4" w:space="0"/>
              <w:bottom w:val="single" w:color="auto" w:sz="4" w:space="0"/>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sz w:val="18"/>
                <w:szCs w:val="18"/>
                <w:u w:val="none"/>
                <w:lang w:val="en-US" w:eastAsia="zh-CN"/>
              </w:rPr>
              <w:t>深圳农村商业银行股份有限公司</w:t>
            </w:r>
          </w:p>
        </w:tc>
        <w:tc>
          <w:tcPr>
            <w:tcW w:w="2179" w:type="pct"/>
            <w:tcBorders>
              <w:top w:val="single" w:color="auto" w:sz="4" w:space="0"/>
              <w:left w:val="nil"/>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2"/>
                <w:sz w:val="18"/>
                <w:szCs w:val="18"/>
                <w:u w:val="none"/>
                <w:lang w:val="en-US" w:eastAsia="zh-CN" w:bidi="ar-SA"/>
              </w:rPr>
            </w:pPr>
            <w:r>
              <w:rPr>
                <w:rFonts w:hint="default" w:ascii="楷体" w:hAnsi="楷体" w:eastAsia="楷体" w:cs="楷体"/>
                <w:i w:val="0"/>
                <w:iCs w:val="0"/>
                <w:color w:val="000000"/>
                <w:sz w:val="18"/>
                <w:szCs w:val="18"/>
                <w:u w:val="none"/>
                <w:lang w:val="en-US" w:eastAsia="zh-CN"/>
              </w:rPr>
              <w:t>苏银理财有限责任公司</w:t>
            </w:r>
          </w:p>
        </w:tc>
      </w:tr>
    </w:tbl>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投资合作机构</w:t>
      </w:r>
    </w:p>
    <w:p>
      <w:pPr>
        <w:ind w:firstLine="480" w:firstLineChars="200"/>
        <w:rPr>
          <w:rFonts w:hint="eastAsia" w:ascii="楷体" w:hAnsi="楷体" w:eastAsia="楷体"/>
          <w:b/>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4"/>
          <w:szCs w:val="24"/>
          <w:lang w:val="en-US" w:eastAsia="zh-CN"/>
        </w:rPr>
        <w:t>包括</w:t>
      </w:r>
      <w:r>
        <w:rPr>
          <w:rFonts w:hint="eastAsia" w:ascii="楷体" w:hAnsi="楷体" w:eastAsia="楷体"/>
          <w:sz w:val="24"/>
          <w:szCs w:val="24"/>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88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序号</w:t>
            </w:r>
          </w:p>
        </w:tc>
        <w:tc>
          <w:tcPr>
            <w:tcW w:w="1691"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投资合作机构</w:t>
            </w:r>
          </w:p>
        </w:tc>
        <w:tc>
          <w:tcPr>
            <w:tcW w:w="2919"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弘业期货股份有限公司</w:t>
            </w:r>
          </w:p>
        </w:tc>
        <w:tc>
          <w:tcPr>
            <w:tcW w:w="2919"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2</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江苏省国际信托有限责任公司</w:t>
            </w:r>
          </w:p>
        </w:tc>
        <w:tc>
          <w:tcPr>
            <w:tcW w:w="2919"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3</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ascii="楷体" w:hAnsi="楷体" w:eastAsia="楷体"/>
                <w:b w:val="0"/>
                <w:bCs w:val="0"/>
                <w:sz w:val="20"/>
                <w:szCs w:val="18"/>
              </w:rPr>
              <w:t>创金合信基金管理有限公司</w:t>
            </w:r>
          </w:p>
        </w:tc>
        <w:tc>
          <w:tcPr>
            <w:tcW w:w="2919"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ascii="楷体" w:hAnsi="楷体" w:eastAsia="楷体"/>
                <w:b w:val="0"/>
                <w:bCs w:val="0"/>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4</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楷体" w:hAnsi="楷体" w:eastAsia="楷体"/>
                <w:b w:val="0"/>
                <w:bCs w:val="0"/>
                <w:sz w:val="20"/>
                <w:szCs w:val="18"/>
              </w:rPr>
            </w:pPr>
            <w:r>
              <w:rPr>
                <w:rFonts w:hint="eastAsia" w:ascii="楷体" w:hAnsi="楷体" w:eastAsia="楷体"/>
                <w:b w:val="0"/>
                <w:bCs w:val="0"/>
                <w:sz w:val="20"/>
                <w:szCs w:val="18"/>
              </w:rPr>
              <w:t>中粮信托有限责任公司</w:t>
            </w:r>
          </w:p>
        </w:tc>
        <w:tc>
          <w:tcPr>
            <w:tcW w:w="2919"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楷体" w:hAnsi="楷体" w:eastAsia="楷体"/>
                <w:b w:val="0"/>
                <w:bCs w:val="0"/>
                <w:sz w:val="20"/>
                <w:szCs w:val="18"/>
              </w:rPr>
            </w:pPr>
            <w:r>
              <w:rPr>
                <w:rFonts w:hint="eastAsia" w:ascii="楷体" w:hAnsi="楷体" w:eastAsia="楷体"/>
                <w:b w:val="0"/>
                <w:bCs w:val="0"/>
                <w:sz w:val="20"/>
                <w:szCs w:val="18"/>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kern w:val="2"/>
                <w:sz w:val="20"/>
                <w:szCs w:val="20"/>
                <w:vertAlign w:val="baseline"/>
                <w:lang w:val="en-US" w:eastAsia="zh-CN" w:bidi="ar-SA"/>
              </w:rPr>
            </w:pPr>
            <w:r>
              <w:rPr>
                <w:rFonts w:hint="eastAsia" w:ascii="楷体" w:hAnsi="楷体" w:eastAsia="楷体"/>
                <w:b w:val="0"/>
                <w:bCs w:val="0"/>
                <w:sz w:val="20"/>
                <w:szCs w:val="20"/>
                <w:vertAlign w:val="baseline"/>
                <w:lang w:val="en-US" w:eastAsia="zh-CN"/>
              </w:rPr>
              <w:t>5</w:t>
            </w:r>
          </w:p>
        </w:tc>
        <w:tc>
          <w:tcPr>
            <w:tcW w:w="1691" w:type="pct"/>
            <w:noWrap w:val="0"/>
            <w:vAlign w:val="center"/>
          </w:tcPr>
          <w:p>
            <w:pPr>
              <w:keepNext w:val="0"/>
              <w:keepLines w:val="0"/>
              <w:widowControl/>
              <w:suppressLineNumbers w:val="0"/>
              <w:jc w:val="center"/>
              <w:textAlignment w:val="center"/>
              <w:rPr>
                <w:rFonts w:hint="eastAsia" w:ascii="楷体" w:hAnsi="楷体" w:eastAsia="楷体"/>
                <w:b w:val="0"/>
                <w:bCs w:val="0"/>
                <w:kern w:val="2"/>
                <w:sz w:val="20"/>
                <w:szCs w:val="18"/>
                <w:lang w:val="en-US" w:eastAsia="zh-CN" w:bidi="ar-SA"/>
              </w:rPr>
            </w:pPr>
            <w:r>
              <w:rPr>
                <w:rFonts w:hint="eastAsia" w:ascii="楷体" w:hAnsi="楷体" w:eastAsia="楷体" w:cs="楷体"/>
                <w:i w:val="0"/>
                <w:iCs w:val="0"/>
                <w:color w:val="000000"/>
                <w:kern w:val="0"/>
                <w:sz w:val="20"/>
                <w:szCs w:val="20"/>
                <w:u w:val="none"/>
                <w:lang w:val="en-US" w:eastAsia="zh-CN" w:bidi="ar"/>
              </w:rPr>
              <w:t>太平洋资产管理有限责任公司</w:t>
            </w:r>
          </w:p>
        </w:tc>
        <w:tc>
          <w:tcPr>
            <w:tcW w:w="2919" w:type="pct"/>
            <w:noWrap w:val="0"/>
            <w:vAlign w:val="center"/>
          </w:tcPr>
          <w:p>
            <w:pPr>
              <w:keepNext w:val="0"/>
              <w:keepLines w:val="0"/>
              <w:widowControl/>
              <w:suppressLineNumbers w:val="0"/>
              <w:jc w:val="left"/>
              <w:textAlignment w:val="center"/>
              <w:rPr>
                <w:rFonts w:hint="eastAsia" w:ascii="楷体" w:hAnsi="楷体" w:eastAsia="楷体"/>
                <w:b w:val="0"/>
                <w:bCs w:val="0"/>
                <w:kern w:val="2"/>
                <w:sz w:val="20"/>
                <w:szCs w:val="18"/>
                <w:lang w:val="en-US" w:eastAsia="zh-CN" w:bidi="ar-SA"/>
              </w:rPr>
            </w:pPr>
            <w:r>
              <w:rPr>
                <w:rFonts w:hint="eastAsia" w:ascii="楷体" w:hAnsi="楷体" w:eastAsia="楷体" w:cs="楷体"/>
                <w:i w:val="0"/>
                <w:iCs w:val="0"/>
                <w:color w:val="000000"/>
                <w:kern w:val="0"/>
                <w:sz w:val="20"/>
                <w:szCs w:val="20"/>
                <w:u w:val="none"/>
                <w:lang w:val="en-US" w:eastAsia="zh-CN" w:bidi="ar"/>
              </w:rPr>
              <w:t>太平洋资产管理有限责任公司（以下简称“太保资产”）于2006年6月经中国保监会批准成立，由中国太平洋保险（集团）股份有限公司控股，注册资本21亿元。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6</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Times New Roman"/>
                <w:b w:val="0"/>
                <w:bCs w:val="0"/>
                <w:kern w:val="2"/>
                <w:sz w:val="20"/>
                <w:szCs w:val="18"/>
                <w:lang w:val="en-US" w:eastAsia="zh-CN" w:bidi="ar-SA"/>
              </w:rPr>
            </w:pPr>
            <w:r>
              <w:rPr>
                <w:rFonts w:hint="eastAsia" w:ascii="楷体" w:hAnsi="楷体" w:eastAsia="楷体" w:cs="Times New Roman"/>
                <w:b w:val="0"/>
                <w:bCs w:val="0"/>
                <w:sz w:val="20"/>
                <w:szCs w:val="18"/>
              </w:rPr>
              <w:t>东方财富证券股份有限公司</w:t>
            </w:r>
          </w:p>
        </w:tc>
        <w:tc>
          <w:tcPr>
            <w:tcW w:w="2919" w:type="pct"/>
            <w:noWrap w:val="0"/>
            <w:vAlign w:val="top"/>
          </w:tcPr>
          <w:p>
            <w:pPr>
              <w:spacing w:beforeLines="0" w:afterLines="0"/>
              <w:jc w:val="left"/>
              <w:rPr>
                <w:rFonts w:hint="eastAsia" w:ascii="楷体" w:hAnsi="楷体" w:eastAsia="楷体"/>
                <w:b w:val="0"/>
                <w:bCs w:val="0"/>
                <w:kern w:val="2"/>
                <w:sz w:val="20"/>
                <w:szCs w:val="18"/>
                <w:lang w:val="en-US" w:eastAsia="zh-CN" w:bidi="ar-SA"/>
              </w:rPr>
            </w:pPr>
            <w:r>
              <w:rPr>
                <w:rFonts w:hint="eastAsia" w:ascii="楷体" w:hAnsi="楷体" w:eastAsia="楷体"/>
                <w:color w:val="000000"/>
                <w:sz w:val="20"/>
                <w:szCs w:val="24"/>
              </w:rPr>
              <w:t>东方财富证券股份有限公司，简称“东方财富证券”，是东方财富信息股份有限公司旗下的持牌证券公司，始终坚持用户第一，注重科技赋能、投研管理建设，旨在为客户提供全方位的财富管理服务。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7</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Times New Roman"/>
                <w:b w:val="0"/>
                <w:bCs w:val="0"/>
                <w:sz w:val="20"/>
                <w:szCs w:val="18"/>
              </w:rPr>
            </w:pPr>
            <w:r>
              <w:rPr>
                <w:rFonts w:hint="eastAsia" w:ascii="楷体" w:hAnsi="楷体" w:eastAsia="楷体" w:cs="Times New Roman"/>
                <w:b w:val="0"/>
                <w:bCs w:val="0"/>
                <w:sz w:val="20"/>
                <w:szCs w:val="18"/>
              </w:rPr>
              <w:t>太平洋资产管理有限责任公司</w:t>
            </w:r>
          </w:p>
        </w:tc>
        <w:tc>
          <w:tcPr>
            <w:tcW w:w="2919" w:type="pct"/>
            <w:noWrap w:val="0"/>
            <w:vAlign w:val="top"/>
          </w:tcPr>
          <w:p>
            <w:pPr>
              <w:spacing w:beforeLines="0" w:afterLines="0"/>
              <w:jc w:val="left"/>
              <w:rPr>
                <w:rFonts w:hint="eastAsia" w:ascii="楷体" w:hAnsi="楷体" w:eastAsia="楷体"/>
                <w:color w:val="000000"/>
                <w:sz w:val="20"/>
                <w:szCs w:val="24"/>
              </w:rPr>
            </w:pPr>
            <w:r>
              <w:rPr>
                <w:rFonts w:hint="eastAsia" w:ascii="楷体" w:hAnsi="楷体" w:eastAsia="楷体"/>
                <w:color w:val="000000"/>
                <w:sz w:val="20"/>
                <w:szCs w:val="24"/>
              </w:rPr>
              <w:t>太平洋资产管理有限责任公司（以下简称“太保资产”）于2006年6月经中国保监会批准成立，由中国太平洋保险（集团）股份有限公司控股，注册资本21亿元。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8</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Times New Roman"/>
                <w:b w:val="0"/>
                <w:bCs w:val="0"/>
                <w:sz w:val="20"/>
                <w:szCs w:val="18"/>
              </w:rPr>
            </w:pPr>
            <w:r>
              <w:rPr>
                <w:rFonts w:hint="eastAsia" w:ascii="楷体" w:hAnsi="楷体" w:eastAsia="楷体" w:cs="Times New Roman"/>
                <w:b w:val="0"/>
                <w:bCs w:val="0"/>
                <w:sz w:val="20"/>
                <w:szCs w:val="18"/>
              </w:rPr>
              <w:t>国投泰康信托有限公司</w:t>
            </w:r>
          </w:p>
        </w:tc>
        <w:tc>
          <w:tcPr>
            <w:tcW w:w="2919" w:type="pct"/>
            <w:noWrap w:val="0"/>
            <w:vAlign w:val="top"/>
          </w:tcPr>
          <w:p>
            <w:pPr>
              <w:spacing w:beforeLines="0" w:afterLines="0"/>
              <w:jc w:val="left"/>
              <w:rPr>
                <w:rFonts w:hint="eastAsia" w:ascii="楷体" w:hAnsi="楷体" w:eastAsia="楷体"/>
                <w:color w:val="000000"/>
                <w:sz w:val="20"/>
                <w:szCs w:val="24"/>
              </w:rPr>
            </w:pPr>
            <w:r>
              <w:rPr>
                <w:rFonts w:hint="eastAsia" w:ascii="楷体" w:hAnsi="楷体" w:eastAsia="楷体"/>
                <w:color w:val="000000"/>
                <w:sz w:val="20"/>
                <w:szCs w:val="24"/>
              </w:rPr>
              <w:t>国投泰康信托有限公司成立于1986年6月，是由中国银保监会监管的非银行金融机构。国投泰康信托注册资本26.705亿元，股东为国投资本控股有限公司、泰康保险集团股份有限公司、悦达资本股份有限公司和泰康资产管理有限责任公司。</w:t>
            </w:r>
          </w:p>
        </w:tc>
      </w:tr>
    </w:tbl>
    <w:p>
      <w:pPr>
        <w:ind w:firstLine="480" w:firstLineChars="200"/>
        <w:rPr>
          <w:rFonts w:hint="eastAsia"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披露新增的投资合作机构</w:t>
      </w:r>
      <w:r>
        <w:rPr>
          <w:rFonts w:hint="eastAsia" w:ascii="楷体" w:hAnsi="楷体" w:eastAsia="楷体"/>
          <w:sz w:val="24"/>
          <w:szCs w:val="24"/>
        </w:rPr>
        <w:t>。</w:t>
      </w:r>
    </w:p>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名词释义</w:t>
      </w:r>
    </w:p>
    <w:p>
      <w:pPr>
        <w:ind w:firstLine="480" w:firstLineChars="200"/>
        <w:rPr>
          <w:rFonts w:hint="eastAsia"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5"/>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参与主体用语</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w:t>
      </w:r>
      <w:r>
        <w:rPr>
          <w:rFonts w:hint="eastAsia" w:ascii="楷体" w:hAnsi="楷体" w:eastAsia="楷体" w:cs="Calibri"/>
          <w:sz w:val="24"/>
          <w:szCs w:val="24"/>
          <w:lang w:val="en-US" w:eastAsia="zh-CN"/>
        </w:rPr>
        <w:t>金融监管总局</w:t>
      </w:r>
      <w:r>
        <w:rPr>
          <w:rFonts w:hint="eastAsia" w:ascii="楷体" w:hAnsi="楷体" w:eastAsia="楷体" w:cs="Calibri"/>
          <w:sz w:val="24"/>
          <w:szCs w:val="24"/>
        </w:rPr>
        <w:t>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lang w:val="en-US" w:eastAsia="zh-CN"/>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5"/>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理财产品用语</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恒源季开放8号</w:t>
      </w:r>
      <w:r>
        <w:rPr>
          <w:rFonts w:hint="eastAsia" w:ascii="楷体" w:hAnsi="楷体" w:eastAsia="楷体" w:cs="Calibri"/>
          <w:sz w:val="24"/>
          <w:szCs w:val="24"/>
        </w:rPr>
        <w:t>”理财产品。</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产品资产总值</w:t>
      </w:r>
      <w:r>
        <w:rPr>
          <w:rFonts w:hint="eastAsia" w:ascii="楷体" w:hAnsi="楷体" w:eastAsia="楷体" w:cs="Calibri"/>
          <w:sz w:val="24"/>
          <w:szCs w:val="24"/>
          <w:lang w:eastAsia="zh-CN"/>
        </w:rPr>
        <w:t>：</w:t>
      </w:r>
      <w:r>
        <w:rPr>
          <w:rFonts w:hint="eastAsia" w:ascii="楷体" w:hAnsi="楷体" w:eastAsia="楷体" w:cs="Calibri"/>
          <w:sz w:val="24"/>
          <w:szCs w:val="24"/>
        </w:rPr>
        <w:t>指产品拥有的各类有价证券、银行存款、应收款项及其他资产的价值总和。</w:t>
      </w:r>
    </w:p>
    <w:p>
      <w:pPr>
        <w:numPr>
          <w:ilvl w:val="0"/>
          <w:numId w:val="7"/>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产品负债总值</w:t>
      </w:r>
      <w:r>
        <w:rPr>
          <w:rFonts w:hint="eastAsia" w:ascii="楷体" w:hAnsi="楷体" w:eastAsia="楷体" w:cs="Calibri"/>
          <w:sz w:val="24"/>
          <w:szCs w:val="24"/>
          <w:lang w:eastAsia="zh-CN"/>
        </w:rPr>
        <w:t>：</w:t>
      </w:r>
      <w:r>
        <w:rPr>
          <w:rFonts w:hint="eastAsia" w:ascii="楷体" w:hAnsi="楷体" w:eastAsia="楷体" w:cs="Calibri"/>
          <w:sz w:val="24"/>
          <w:szCs w:val="24"/>
        </w:rPr>
        <w:t>指产品运作及融资时形成的负债价值总和，包括融资资金本息、应付各项费用（包括托管费、销售服务费、投资管理费、超额业绩报酬、其他费用等）、应付税金及其他应付款项等。</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w:t>
      </w:r>
      <w:r>
        <w:rPr>
          <w:rFonts w:hint="eastAsia" w:ascii="楷体" w:hAnsi="楷体" w:eastAsia="楷体" w:cs="Calibri"/>
          <w:sz w:val="24"/>
          <w:szCs w:val="24"/>
          <w:lang w:val="en-US" w:eastAsia="zh-CN"/>
        </w:rPr>
        <w:t>份额</w:t>
      </w:r>
      <w:r>
        <w:rPr>
          <w:rFonts w:hint="eastAsia" w:ascii="楷体" w:hAnsi="楷体" w:eastAsia="楷体" w:cs="Calibri"/>
          <w:sz w:val="24"/>
          <w:szCs w:val="24"/>
        </w:rPr>
        <w:t>单位净值进行理财产品申购、赎回和终止时分配。</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7"/>
        </w:numPr>
        <w:tabs>
          <w:tab w:val="left" w:pos="851"/>
        </w:tabs>
        <w:ind w:left="0" w:firstLine="482" w:firstLineChars="200"/>
        <w:rPr>
          <w:rFonts w:hint="eastAsia"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认购：指投资者根据理财产品说明书约定在募集期内申请购买本产品理财产品份额的行为。</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7"/>
        </w:numPr>
        <w:tabs>
          <w:tab w:val="left" w:pos="851"/>
        </w:tabs>
        <w:ind w:left="0" w:firstLine="480" w:firstLineChars="200"/>
        <w:rPr>
          <w:rFonts w:hint="eastAsia" w:ascii="楷体" w:hAnsi="楷体" w:eastAsia="楷体" w:cs="Calibri"/>
          <w:sz w:val="24"/>
          <w:szCs w:val="24"/>
        </w:rPr>
      </w:pPr>
      <w:r>
        <w:rPr>
          <w:rFonts w:ascii="楷体" w:hAnsi="楷体" w:eastAsia="楷体" w:cs="Calibri"/>
          <w:sz w:val="24"/>
          <w:szCs w:val="24"/>
        </w:rPr>
        <w:t>申购、赎回申请</w:t>
      </w:r>
      <w:r>
        <w:rPr>
          <w:rFonts w:hint="eastAsia" w:ascii="楷体" w:hAnsi="楷体" w:eastAsia="楷体" w:cs="Calibri"/>
          <w:sz w:val="24"/>
          <w:szCs w:val="24"/>
        </w:rPr>
        <w:t>：</w:t>
      </w:r>
      <w:r>
        <w:rPr>
          <w:rFonts w:ascii="楷体" w:hAnsi="楷体" w:eastAsia="楷体" w:cs="Calibri"/>
          <w:sz w:val="24"/>
          <w:szCs w:val="24"/>
        </w:rPr>
        <w:t>指在</w:t>
      </w:r>
      <w:r>
        <w:rPr>
          <w:rFonts w:hint="eastAsia" w:ascii="楷体" w:hAnsi="楷体" w:eastAsia="楷体" w:cs="Calibri"/>
          <w:sz w:val="24"/>
          <w:szCs w:val="24"/>
        </w:rPr>
        <w:t>理财产品开放日</w:t>
      </w:r>
      <w:r>
        <w:rPr>
          <w:rFonts w:ascii="楷体" w:hAnsi="楷体" w:eastAsia="楷体" w:cs="Calibri"/>
          <w:sz w:val="24"/>
          <w:szCs w:val="24"/>
        </w:rPr>
        <w:t>投资者向</w:t>
      </w:r>
      <w:r>
        <w:rPr>
          <w:rFonts w:hint="eastAsia" w:ascii="楷体" w:hAnsi="楷体" w:eastAsia="楷体" w:cs="Calibri"/>
          <w:sz w:val="24"/>
          <w:szCs w:val="24"/>
        </w:rPr>
        <w:t>理财产品管理人</w:t>
      </w:r>
      <w:r>
        <w:rPr>
          <w:rFonts w:ascii="楷体" w:hAnsi="楷体" w:eastAsia="楷体" w:cs="Calibri"/>
          <w:sz w:val="24"/>
          <w:szCs w:val="24"/>
        </w:rPr>
        <w:t>提出申请对理财</w:t>
      </w:r>
      <w:r>
        <w:rPr>
          <w:rFonts w:hint="eastAsia" w:ascii="楷体" w:hAnsi="楷体" w:eastAsia="楷体" w:cs="Calibri"/>
          <w:sz w:val="24"/>
          <w:szCs w:val="24"/>
        </w:rPr>
        <w:t>产品</w:t>
      </w:r>
      <w:r>
        <w:rPr>
          <w:rFonts w:ascii="楷体" w:hAnsi="楷体" w:eastAsia="楷体" w:cs="Calibri"/>
          <w:sz w:val="24"/>
          <w:szCs w:val="24"/>
        </w:rPr>
        <w:t>份额进行购买或卖出的行为。</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巨额赎回：理财产品每个开放日投资者净赎回额（赎回申请份额总数扣除申购申请份额总数）超过本理财产品上一工作日日终份额10%时，即为发生巨额赎回。</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lang w:val="en-US" w:eastAsia="zh-CN"/>
        </w:rPr>
        <w:t>流动性受限资产：</w:t>
      </w:r>
      <w:r>
        <w:rPr>
          <w:rFonts w:hint="eastAsia" w:ascii="楷体" w:hAnsi="楷体" w:eastAsia="楷体" w:cs="Calibri"/>
          <w:kern w:val="2"/>
          <w:sz w:val="24"/>
          <w:szCs w:val="24"/>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4"/>
          <w:szCs w:val="24"/>
          <w:lang w:val="en-US" w:eastAsia="zh-CN"/>
        </w:rPr>
        <w:t>法律法规或监管机构另有规定的，从其规定。</w:t>
      </w:r>
    </w:p>
    <w:p>
      <w:pPr>
        <w:numPr>
          <w:ilvl w:val="0"/>
          <w:numId w:val="7"/>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kern w:val="2"/>
          <w:sz w:val="24"/>
          <w:szCs w:val="24"/>
        </w:rPr>
        <w:t>7个工作日可变现资产</w:t>
      </w:r>
      <w:r>
        <w:rPr>
          <w:rFonts w:hint="eastAsia" w:ascii="楷体" w:hAnsi="楷体" w:eastAsia="楷体" w:cs="Calibri"/>
          <w:kern w:val="2"/>
          <w:sz w:val="24"/>
          <w:szCs w:val="24"/>
          <w:lang w:eastAsia="zh-CN"/>
        </w:rPr>
        <w:t>：</w:t>
      </w:r>
      <w:r>
        <w:rPr>
          <w:rFonts w:hint="eastAsia" w:ascii="楷体" w:hAnsi="楷体" w:eastAsia="楷体" w:cs="Calibri"/>
          <w:kern w:val="2"/>
          <w:sz w:val="24"/>
          <w:szCs w:val="24"/>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5"/>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期间与日期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投资周期：投资周期指投资者持有理财产品份额所对应的理财资金由产品管理人进行投资运作的一段完整期间，每一个投资周期为该投资周期起始日至该投资周期终止日的理财期间。投资周期起始日：指每一个投资周期开始的日期。投资周期终止日：指每一个投资周期结束的日期。</w:t>
      </w:r>
    </w:p>
    <w:p>
      <w:pPr>
        <w:numPr>
          <w:ilvl w:val="0"/>
          <w:numId w:val="8"/>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开放日：指投资周期终止日。开放计划内的申购、赎回申请，将以开放日的净值进行确认。</w:t>
      </w:r>
    </w:p>
    <w:p>
      <w:pPr>
        <w:numPr>
          <w:ilvl w:val="0"/>
          <w:numId w:val="8"/>
        </w:numPr>
        <w:tabs>
          <w:tab w:val="left" w:pos="851"/>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5"/>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其他</w:t>
      </w:r>
    </w:p>
    <w:p>
      <w:pPr>
        <w:numPr>
          <w:ilvl w:val="0"/>
          <w:numId w:val="9"/>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元：指人民币元。</w:t>
      </w:r>
    </w:p>
    <w:p>
      <w:pPr>
        <w:numPr>
          <w:ilvl w:val="0"/>
          <w:numId w:val="9"/>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9"/>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不可抗力：指理财产品合同各方当事人所不能预见、不能避免且不能克服的客观情况，使得任何一方当事人无法及时履行理财合同的全部或部分义务，该类事件包括但不限于：</w:t>
      </w:r>
    </w:p>
    <w:p>
      <w:pPr>
        <w:numPr>
          <w:ilvl w:val="0"/>
          <w:numId w:val="10"/>
        </w:numPr>
        <w:tabs>
          <w:tab w:val="left" w:pos="728"/>
        </w:tabs>
        <w:ind w:left="420" w:leftChars="200" w:firstLine="0" w:firstLineChars="0"/>
        <w:rPr>
          <w:rFonts w:hint="eastAsia" w:ascii="楷体" w:hAnsi="楷体" w:eastAsia="楷体" w:cs="Calibri"/>
          <w:sz w:val="24"/>
          <w:szCs w:val="24"/>
          <w:lang w:val="en-US" w:eastAsia="zh-CN"/>
        </w:rPr>
      </w:pPr>
      <w:r>
        <w:rPr>
          <w:rFonts w:hint="eastAsia" w:ascii="楷体" w:hAnsi="楷体" w:eastAsia="楷体" w:cs="Calibri"/>
          <w:sz w:val="24"/>
          <w:szCs w:val="24"/>
          <w:lang w:val="en-US" w:eastAsia="zh-CN"/>
        </w:rPr>
        <w:t>地震、海啸、台风、洪水、火灾、停电、严重传染病等；</w:t>
      </w:r>
    </w:p>
    <w:p>
      <w:pPr>
        <w:numPr>
          <w:ilvl w:val="0"/>
          <w:numId w:val="10"/>
        </w:numPr>
        <w:tabs>
          <w:tab w:val="left" w:pos="728"/>
        </w:tabs>
        <w:ind w:left="420" w:leftChars="200" w:firstLine="0" w:firstLineChars="0"/>
        <w:rPr>
          <w:rFonts w:hint="default" w:ascii="楷体" w:hAnsi="楷体" w:eastAsia="楷体" w:cs="Calibri"/>
          <w:sz w:val="24"/>
          <w:szCs w:val="24"/>
          <w:lang w:val="en-US" w:eastAsia="zh-CN"/>
        </w:rPr>
      </w:pPr>
      <w:r>
        <w:rPr>
          <w:rFonts w:hint="eastAsia" w:ascii="楷体" w:hAnsi="楷体" w:eastAsia="楷体" w:cs="Calibri"/>
          <w:sz w:val="24"/>
          <w:szCs w:val="24"/>
          <w:lang w:val="en-US" w:eastAsia="zh-CN"/>
        </w:rPr>
        <w:t>战争、政变、恐怖主义、骚乱、罢工等；</w:t>
      </w:r>
    </w:p>
    <w:p>
      <w:pPr>
        <w:numPr>
          <w:ilvl w:val="0"/>
          <w:numId w:val="0"/>
        </w:numPr>
        <w:tabs>
          <w:tab w:val="left" w:pos="728"/>
        </w:tabs>
        <w:ind w:left="0" w:leftChars="0" w:firstLine="408" w:firstLineChars="170"/>
        <w:rPr>
          <w:rFonts w:hint="eastAsia" w:ascii="楷体" w:hAnsi="楷体" w:eastAsia="楷体" w:cs="Calibri"/>
          <w:sz w:val="24"/>
          <w:szCs w:val="24"/>
          <w:lang w:val="en-US" w:eastAsia="zh-CN"/>
        </w:rPr>
      </w:pPr>
      <w:r>
        <w:rPr>
          <w:rFonts w:hint="eastAsia" w:ascii="楷体" w:hAnsi="楷体" w:eastAsia="楷体" w:cs="Calibri"/>
          <w:sz w:val="24"/>
          <w:szCs w:val="24"/>
          <w:lang w:val="en-US" w:eastAsia="zh-CN"/>
        </w:rPr>
        <w:t>（3）新的法律法规、国家政策颁布实施导致原适用的法律法规、国家政策失效；</w:t>
      </w:r>
    </w:p>
    <w:p>
      <w:pPr>
        <w:numPr>
          <w:ilvl w:val="0"/>
          <w:numId w:val="0"/>
        </w:numPr>
        <w:tabs>
          <w:tab w:val="left" w:pos="728"/>
        </w:tabs>
        <w:ind w:left="0" w:leftChars="0" w:firstLine="408" w:firstLineChars="170"/>
        <w:rPr>
          <w:rFonts w:hint="eastAsia" w:ascii="楷体" w:hAnsi="楷体" w:eastAsia="楷体" w:cs="Calibri"/>
          <w:sz w:val="24"/>
          <w:szCs w:val="24"/>
          <w:lang w:val="en-US" w:eastAsia="zh-CN"/>
        </w:rPr>
      </w:pPr>
      <w:r>
        <w:rPr>
          <w:rFonts w:hint="eastAsia" w:ascii="楷体" w:hAnsi="楷体" w:eastAsia="楷体" w:cs="Calibri"/>
          <w:sz w:val="24"/>
          <w:szCs w:val="24"/>
          <w:lang w:val="en-US" w:eastAsia="zh-CN"/>
        </w:rPr>
        <w:t>（4）因不可归咎于理财产品合同当事人的事由，金融监管机构强制要求终止该理财产品；</w:t>
      </w:r>
    </w:p>
    <w:p>
      <w:pPr>
        <w:numPr>
          <w:ilvl w:val="0"/>
          <w:numId w:val="0"/>
        </w:numPr>
        <w:tabs>
          <w:tab w:val="left" w:pos="728"/>
        </w:tabs>
        <w:ind w:left="0" w:leftChars="0" w:firstLine="408" w:firstLineChars="170"/>
        <w:rPr>
          <w:rFonts w:hint="eastAsia" w:ascii="楷体" w:hAnsi="楷体" w:eastAsia="楷体" w:cs="Calibri"/>
          <w:sz w:val="24"/>
          <w:szCs w:val="24"/>
        </w:rPr>
      </w:pPr>
      <w:r>
        <w:rPr>
          <w:rFonts w:hint="eastAsia" w:ascii="楷体" w:hAnsi="楷体" w:eastAsia="楷体" w:cs="Calibri"/>
          <w:sz w:val="24"/>
          <w:szCs w:val="24"/>
          <w:lang w:val="en-US" w:eastAsia="zh-CN"/>
        </w:rPr>
        <w:t>（5）网络系统遭受攻击、电信部门技术调整或故障等原因导致的服务中断和延迟等。</w:t>
      </w:r>
    </w:p>
    <w:p>
      <w:pPr>
        <w:numPr>
          <w:ilvl w:val="0"/>
          <w:numId w:val="3"/>
        </w:numPr>
        <w:tabs>
          <w:tab w:val="left" w:pos="1134"/>
        </w:tabs>
        <w:ind w:firstLine="562" w:firstLineChars="200"/>
        <w:outlineLvl w:val="1"/>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hint="eastAsia"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w:t>
      </w:r>
      <w:r>
        <w:rPr>
          <w:rFonts w:hint="eastAsia" w:ascii="楷体" w:hAnsi="楷体" w:eastAsia="楷体"/>
          <w:b/>
          <w:sz w:val="24"/>
          <w:szCs w:val="24"/>
          <w:u w:val="single"/>
          <w:lang w:val="en-US" w:eastAsia="zh-CN"/>
        </w:rPr>
        <w:t>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如本产品通过代理销售机构渠道销售，</w:t>
      </w:r>
      <w:r>
        <w:rPr>
          <w:rFonts w:hint="eastAsia" w:ascii="楷体" w:hAnsi="楷体" w:eastAsia="楷体"/>
          <w:sz w:val="24"/>
          <w:szCs w:val="24"/>
        </w:rPr>
        <w:t>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highlight w:val="none"/>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hint="eastAsia" w:ascii="楷体" w:hAnsi="楷体" w:eastAsia="楷体"/>
          <w:sz w:val="24"/>
          <w:szCs w:val="24"/>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hint="eastAsia" w:ascii="楷体" w:hAnsi="楷体" w:eastAsia="楷体" w:cs="浠垮畫"/>
                <w:kern w:val="0"/>
                <w:sz w:val="24"/>
                <w:szCs w:val="24"/>
                <w:lang w:val="en-US" w:eastAsia="zh-CN"/>
              </w:rPr>
            </w:pPr>
            <w:r>
              <w:rPr>
                <w:rFonts w:hint="eastAsia" w:ascii="楷体" w:hAnsi="楷体" w:eastAsia="楷体" w:cs="浠垮畫"/>
                <w:kern w:val="0"/>
                <w:sz w:val="24"/>
                <w:szCs w:val="24"/>
              </w:rPr>
              <w:t>低风险</w:t>
            </w:r>
            <w:r>
              <w:rPr>
                <w:rFonts w:hint="eastAsia" w:ascii="楷体" w:hAnsi="楷体" w:eastAsia="楷体" w:cs="浠垮畫"/>
                <w:kern w:val="0"/>
                <w:sz w:val="24"/>
                <w:szCs w:val="24"/>
                <w:lang w:val="en-US" w:eastAsia="zh-CN"/>
              </w:rPr>
              <w:t>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投资管理</w:t>
      </w:r>
    </w:p>
    <w:p>
      <w:pPr>
        <w:numPr>
          <w:ilvl w:val="0"/>
          <w:numId w:val="1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投资范围和比例</w:t>
      </w:r>
    </w:p>
    <w:p>
      <w:pPr>
        <w:ind w:firstLine="480" w:firstLineChars="200"/>
        <w:rPr>
          <w:rFonts w:hint="eastAsia" w:ascii="楷体" w:hAnsi="楷体" w:eastAsia="楷体"/>
          <w:sz w:val="24"/>
          <w:szCs w:val="24"/>
        </w:rPr>
      </w:pPr>
      <w:r>
        <w:rPr>
          <w:rFonts w:hint="eastAsia" w:ascii="楷体" w:hAnsi="楷体" w:eastAsia="楷体"/>
          <w:sz w:val="24"/>
          <w:szCs w:val="24"/>
        </w:rPr>
        <w:t>本理财产品直接或间接投资于货币市场工具类资产、标准化债权类资产、非标准化债权类资产和监管机构允许投资的其他资产。具体资产投资比例为：货币市场工具、债券以及符合监管要求的固定收益类资产占产品资产总值比例为80%-100%，符合监管要求的其他资产占产品资产总值比例0%</w:t>
      </w:r>
      <w:r>
        <w:rPr>
          <w:rFonts w:hint="eastAsia" w:ascii="楷体" w:hAnsi="楷体" w:eastAsia="楷体"/>
          <w:sz w:val="24"/>
          <w:szCs w:val="24"/>
          <w:lang w:val="en-US" w:eastAsia="zh-CN"/>
        </w:rPr>
        <w:t>-</w:t>
      </w:r>
      <w:r>
        <w:rPr>
          <w:rFonts w:hint="eastAsia" w:ascii="楷体" w:hAnsi="楷体" w:eastAsia="楷体"/>
          <w:sz w:val="24"/>
          <w:szCs w:val="24"/>
        </w:rPr>
        <w:t>20%，其中非标准化债权类资产合计投资比例不高于产品净资产50%。</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本理财产品</w:t>
      </w:r>
      <w:r>
        <w:rPr>
          <w:rFonts w:hint="eastAsia" w:ascii="楷体" w:hAnsi="楷体" w:eastAsia="楷体"/>
          <w:sz w:val="24"/>
          <w:szCs w:val="24"/>
        </w:rPr>
        <w:t>在开放日及开放日前7个工作日内持有不低于产品资产净值5%的现金或者到期日在一年以内的国债、中央银行票据和政策性金融债券；直接投资于流动性受限资产的市值在开放日不得超过产品资产净值的15%；在开放日前一工作日内，7个工作日可变现资产的可变现价值应当不低于产品资产净值的10%；每日确认且需当日支付的净赎回申请不超过前一工作日理财产品7个工作日可变现资产的可变现价值。</w:t>
      </w:r>
    </w:p>
    <w:p>
      <w:pPr>
        <w:ind w:firstLine="480" w:firstLineChars="200"/>
        <w:rPr>
          <w:rFonts w:hint="eastAsia" w:ascii="楷体" w:hAnsi="楷体" w:eastAsia="楷体"/>
          <w:sz w:val="24"/>
          <w:szCs w:val="24"/>
        </w:rPr>
      </w:pPr>
      <w:r>
        <w:rPr>
          <w:rFonts w:hint="eastAsia" w:ascii="楷体" w:hAnsi="楷体" w:eastAsia="楷体"/>
          <w:sz w:val="24"/>
          <w:szCs w:val="24"/>
        </w:rPr>
        <w:t>产品存续期内若本理财产品投资非标准化债权资产，管理人将选择优质企业作为融资人，且融资项目已履行管理人内部审批流程，融资人业务经营正常，融资项目还款来源明确，并在本理财产品的定期报告中披露。</w:t>
      </w:r>
    </w:p>
    <w:p>
      <w:pPr>
        <w:ind w:firstLine="480" w:firstLineChars="200"/>
        <w:rPr>
          <w:rFonts w:hint="eastAsia"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投资集中度限制</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hint="eastAsia"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hint="eastAsia"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1"/>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杠杆水平限制</w:t>
      </w:r>
    </w:p>
    <w:p>
      <w:pPr>
        <w:ind w:firstLine="480" w:firstLineChars="200"/>
        <w:rPr>
          <w:rFonts w:hint="eastAsia" w:ascii="楷体" w:hAnsi="楷体" w:eastAsia="楷体"/>
          <w:sz w:val="24"/>
          <w:szCs w:val="24"/>
        </w:rPr>
      </w:pPr>
      <w:r>
        <w:rPr>
          <w:rFonts w:hint="eastAsia" w:ascii="楷体" w:hAnsi="楷体" w:eastAsia="楷体"/>
          <w:sz w:val="24"/>
          <w:szCs w:val="24"/>
        </w:rPr>
        <w:t>本理财产品资产总值/理财产品资产净值不超过140%（如监管有最新规定的参照监管规定调整）。</w:t>
      </w:r>
    </w:p>
    <w:p>
      <w:pPr>
        <w:numPr>
          <w:ilvl w:val="0"/>
          <w:numId w:val="1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投资范围调整</w:t>
      </w:r>
    </w:p>
    <w:p>
      <w:pPr>
        <w:ind w:firstLine="480" w:firstLineChars="200"/>
        <w:rPr>
          <w:rFonts w:hint="eastAsia"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3"/>
        </w:numPr>
        <w:tabs>
          <w:tab w:val="left" w:pos="1134"/>
        </w:tabs>
        <w:ind w:firstLine="562" w:firstLineChars="200"/>
        <w:outlineLvl w:val="1"/>
        <w:rPr>
          <w:rFonts w:ascii="楷体" w:hAnsi="楷体" w:eastAsia="楷体"/>
          <w:b/>
          <w:sz w:val="28"/>
          <w:szCs w:val="28"/>
        </w:rPr>
      </w:pPr>
      <w:r>
        <w:rPr>
          <w:rFonts w:hint="eastAsia" w:ascii="楷体" w:hAnsi="楷体" w:eastAsia="楷体"/>
          <w:b/>
          <w:sz w:val="28"/>
          <w:szCs w:val="28"/>
        </w:rPr>
        <w:t>产品认购</w:t>
      </w:r>
    </w:p>
    <w:p>
      <w:pPr>
        <w:numPr>
          <w:ilvl w:val="0"/>
          <w:numId w:val="13"/>
        </w:numPr>
        <w:tabs>
          <w:tab w:val="left" w:pos="993"/>
        </w:tabs>
        <w:ind w:left="0" w:firstLine="480" w:firstLineChars="200"/>
        <w:rPr>
          <w:rFonts w:hint="eastAsia" w:ascii="楷体" w:hAnsi="楷体" w:eastAsia="楷体"/>
          <w:sz w:val="24"/>
          <w:szCs w:val="24"/>
        </w:rPr>
      </w:pPr>
      <w:r>
        <w:rPr>
          <w:rFonts w:hint="eastAsia" w:ascii="楷体" w:hAnsi="楷体" w:eastAsia="楷体" w:cs="Calibri"/>
          <w:sz w:val="24"/>
          <w:szCs w:val="24"/>
        </w:rPr>
        <w:t>认购期间：</w:t>
      </w:r>
      <w:r>
        <w:rPr>
          <w:rFonts w:hint="eastAsia" w:ascii="楷体" w:hAnsi="楷体" w:eastAsia="楷体"/>
          <w:sz w:val="24"/>
          <w:szCs w:val="24"/>
          <w:lang w:eastAsia="zh-CN"/>
        </w:rPr>
        <w:t>202</w:t>
      </w:r>
      <w:r>
        <w:rPr>
          <w:rFonts w:hint="eastAsia" w:ascii="楷体" w:hAnsi="楷体" w:eastAsia="楷体"/>
          <w:sz w:val="24"/>
          <w:szCs w:val="24"/>
          <w:lang w:val="en-US" w:eastAsia="zh-CN"/>
        </w:rPr>
        <w:t>3</w:t>
      </w:r>
      <w:r>
        <w:rPr>
          <w:rFonts w:hint="eastAsia" w:ascii="楷体" w:hAnsi="楷体" w:eastAsia="楷体"/>
          <w:sz w:val="24"/>
          <w:szCs w:val="24"/>
          <w:lang w:eastAsia="zh-CN"/>
        </w:rPr>
        <w:t>年</w:t>
      </w:r>
      <w:r>
        <w:rPr>
          <w:rFonts w:hint="eastAsia" w:ascii="楷体" w:hAnsi="楷体" w:eastAsia="楷体"/>
          <w:sz w:val="24"/>
          <w:szCs w:val="24"/>
          <w:lang w:val="en-US" w:eastAsia="zh-CN"/>
        </w:rPr>
        <w:t>9</w:t>
      </w:r>
      <w:r>
        <w:rPr>
          <w:rFonts w:hint="eastAsia" w:ascii="楷体" w:hAnsi="楷体" w:eastAsia="楷体"/>
          <w:sz w:val="24"/>
          <w:szCs w:val="24"/>
          <w:lang w:eastAsia="zh-CN"/>
        </w:rPr>
        <w:t>月</w:t>
      </w:r>
      <w:r>
        <w:rPr>
          <w:rFonts w:hint="eastAsia" w:ascii="楷体" w:hAnsi="楷体" w:eastAsia="楷体"/>
          <w:sz w:val="24"/>
          <w:szCs w:val="24"/>
          <w:lang w:val="en-US" w:eastAsia="zh-CN"/>
        </w:rPr>
        <w:t>26</w:t>
      </w:r>
      <w:r>
        <w:rPr>
          <w:rFonts w:hint="eastAsia" w:ascii="楷体" w:hAnsi="楷体" w:eastAsia="楷体"/>
          <w:sz w:val="24"/>
          <w:szCs w:val="24"/>
          <w:lang w:eastAsia="zh-CN"/>
        </w:rPr>
        <w:t>日9:00至202</w:t>
      </w:r>
      <w:r>
        <w:rPr>
          <w:rFonts w:hint="eastAsia" w:ascii="楷体" w:hAnsi="楷体" w:eastAsia="楷体"/>
          <w:sz w:val="24"/>
          <w:szCs w:val="24"/>
          <w:lang w:val="en-US" w:eastAsia="zh-CN"/>
        </w:rPr>
        <w:t>3</w:t>
      </w:r>
      <w:r>
        <w:rPr>
          <w:rFonts w:hint="eastAsia" w:ascii="楷体" w:hAnsi="楷体" w:eastAsia="楷体"/>
          <w:sz w:val="24"/>
          <w:szCs w:val="24"/>
          <w:lang w:eastAsia="zh-CN"/>
        </w:rPr>
        <w:t>年</w:t>
      </w:r>
      <w:r>
        <w:rPr>
          <w:rFonts w:hint="eastAsia" w:ascii="楷体" w:hAnsi="楷体" w:eastAsia="楷体"/>
          <w:sz w:val="24"/>
          <w:szCs w:val="24"/>
          <w:lang w:val="en-US" w:eastAsia="zh-CN"/>
        </w:rPr>
        <w:t>10</w:t>
      </w:r>
      <w:r>
        <w:rPr>
          <w:rFonts w:hint="eastAsia" w:ascii="楷体" w:hAnsi="楷体" w:eastAsia="楷体"/>
          <w:sz w:val="24"/>
          <w:szCs w:val="24"/>
          <w:lang w:eastAsia="zh-CN"/>
        </w:rPr>
        <w:t>月</w:t>
      </w:r>
      <w:r>
        <w:rPr>
          <w:rFonts w:hint="eastAsia" w:ascii="楷体" w:hAnsi="楷体" w:eastAsia="楷体"/>
          <w:sz w:val="24"/>
          <w:szCs w:val="24"/>
          <w:lang w:val="en-US" w:eastAsia="zh-CN"/>
        </w:rPr>
        <w:t>9</w:t>
      </w:r>
      <w:r>
        <w:rPr>
          <w:rFonts w:hint="eastAsia" w:ascii="楷体" w:hAnsi="楷体" w:eastAsia="楷体"/>
          <w:sz w:val="24"/>
          <w:szCs w:val="24"/>
          <w:lang w:eastAsia="zh-CN"/>
        </w:rPr>
        <w:t>日17:00</w:t>
      </w:r>
      <w:r>
        <w:rPr>
          <w:rFonts w:hint="eastAsia" w:ascii="楷体" w:hAnsi="楷体" w:eastAsia="楷体" w:cs="Calibri"/>
          <w:sz w:val="24"/>
          <w:szCs w:val="24"/>
        </w:rPr>
        <w:t>。</w:t>
      </w:r>
      <w:r>
        <w:rPr>
          <w:rFonts w:hint="eastAsia" w:ascii="楷体" w:hAnsi="楷体" w:eastAsia="楷体"/>
          <w:sz w:val="24"/>
          <w:szCs w:val="24"/>
        </w:rPr>
        <w:t>（以各销售机构设置的认购时间为准）</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lang w:val="en-US" w:eastAsia="zh-CN"/>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单笔认购起点金额、追加金额：本理财产品</w:t>
      </w:r>
      <w:r>
        <w:rPr>
          <w:rFonts w:hint="eastAsia" w:ascii="楷体" w:hAnsi="楷体" w:eastAsia="楷体" w:cs="宋体"/>
          <w:spacing w:val="-2"/>
          <w:sz w:val="24"/>
          <w:szCs w:val="24"/>
        </w:rPr>
        <w:t>A份额</w:t>
      </w:r>
      <w:r>
        <w:rPr>
          <w:rFonts w:hint="eastAsia" w:ascii="楷体" w:hAnsi="楷体" w:eastAsia="楷体"/>
          <w:sz w:val="24"/>
          <w:szCs w:val="24"/>
        </w:rPr>
        <w:t>投资者单笔认购起点金额为</w:t>
      </w:r>
      <w:r>
        <w:rPr>
          <w:rFonts w:ascii="楷体" w:hAnsi="楷体" w:eastAsia="楷体"/>
          <w:sz w:val="24"/>
          <w:szCs w:val="24"/>
        </w:rPr>
        <w:t>1</w:t>
      </w:r>
      <w:r>
        <w:rPr>
          <w:rFonts w:hint="eastAsia" w:ascii="楷体" w:hAnsi="楷体" w:eastAsia="楷体"/>
          <w:sz w:val="24"/>
          <w:szCs w:val="24"/>
        </w:rPr>
        <w:t>元，追加金额为</w:t>
      </w:r>
      <w:r>
        <w:rPr>
          <w:rFonts w:ascii="楷体" w:hAnsi="楷体" w:eastAsia="楷体"/>
          <w:sz w:val="24"/>
          <w:szCs w:val="24"/>
        </w:rPr>
        <w:t>1</w:t>
      </w:r>
      <w:r>
        <w:rPr>
          <w:rFonts w:hint="eastAsia" w:ascii="楷体" w:hAnsi="楷体" w:eastAsia="楷体"/>
          <w:sz w:val="24"/>
          <w:szCs w:val="24"/>
        </w:rPr>
        <w:t>元的整数倍；</w:t>
      </w:r>
      <w:r>
        <w:rPr>
          <w:rFonts w:ascii="楷体" w:hAnsi="楷体" w:eastAsia="楷体" w:cs="宋体"/>
          <w:spacing w:val="-2"/>
          <w:sz w:val="24"/>
          <w:szCs w:val="24"/>
        </w:rPr>
        <w:t>C</w:t>
      </w:r>
      <w:r>
        <w:rPr>
          <w:rFonts w:hint="eastAsia" w:ascii="楷体" w:hAnsi="楷体" w:eastAsia="楷体" w:cs="宋体"/>
          <w:spacing w:val="-2"/>
          <w:sz w:val="24"/>
          <w:szCs w:val="24"/>
        </w:rPr>
        <w:t>份额</w:t>
      </w:r>
      <w:r>
        <w:rPr>
          <w:rFonts w:hint="eastAsia" w:ascii="楷体" w:hAnsi="楷体" w:eastAsia="楷体"/>
          <w:sz w:val="24"/>
          <w:szCs w:val="24"/>
        </w:rPr>
        <w:t>投资者单笔认购起点金额为</w:t>
      </w:r>
      <w:r>
        <w:rPr>
          <w:rFonts w:ascii="楷体" w:hAnsi="楷体" w:eastAsia="楷体"/>
          <w:sz w:val="24"/>
          <w:szCs w:val="24"/>
        </w:rPr>
        <w:t>1</w:t>
      </w:r>
      <w:r>
        <w:rPr>
          <w:rFonts w:hint="eastAsia" w:ascii="楷体" w:hAnsi="楷体" w:eastAsia="楷体"/>
          <w:sz w:val="24"/>
          <w:szCs w:val="24"/>
        </w:rPr>
        <w:t>万元，追加金额为</w:t>
      </w:r>
      <w:r>
        <w:rPr>
          <w:rFonts w:ascii="楷体" w:hAnsi="楷体" w:eastAsia="楷体"/>
          <w:sz w:val="24"/>
          <w:szCs w:val="24"/>
        </w:rPr>
        <w:t>1</w:t>
      </w:r>
      <w:r>
        <w:rPr>
          <w:rFonts w:hint="eastAsia" w:ascii="楷体" w:hAnsi="楷体" w:eastAsia="楷体"/>
          <w:sz w:val="24"/>
          <w:szCs w:val="24"/>
        </w:rPr>
        <w:t>万元的整数倍;</w:t>
      </w:r>
      <w:r>
        <w:rPr>
          <w:rFonts w:ascii="楷体" w:hAnsi="楷体" w:eastAsia="楷体" w:cs="宋体"/>
          <w:spacing w:val="-2"/>
          <w:sz w:val="24"/>
          <w:szCs w:val="24"/>
        </w:rPr>
        <w:t xml:space="preserve"> D</w:t>
      </w:r>
      <w:r>
        <w:rPr>
          <w:rFonts w:hint="eastAsia" w:ascii="楷体" w:hAnsi="楷体" w:eastAsia="楷体" w:cs="宋体"/>
          <w:spacing w:val="-2"/>
          <w:sz w:val="24"/>
          <w:szCs w:val="24"/>
        </w:rPr>
        <w:t>份额</w:t>
      </w:r>
      <w:r>
        <w:rPr>
          <w:rFonts w:hint="eastAsia" w:ascii="楷体" w:hAnsi="楷体" w:eastAsia="楷体" w:cs="宋体"/>
          <w:spacing w:val="-2"/>
          <w:sz w:val="24"/>
          <w:szCs w:val="24"/>
          <w:lang w:val="en-US" w:eastAsia="zh-CN"/>
        </w:rPr>
        <w:t>个人</w:t>
      </w:r>
      <w:r>
        <w:rPr>
          <w:rFonts w:hint="eastAsia" w:ascii="楷体" w:hAnsi="楷体" w:eastAsia="楷体"/>
          <w:sz w:val="24"/>
          <w:szCs w:val="24"/>
        </w:rPr>
        <w:t>投资者单笔认购起点金额为</w:t>
      </w:r>
      <w:r>
        <w:rPr>
          <w:rFonts w:ascii="楷体" w:hAnsi="楷体" w:eastAsia="楷体"/>
          <w:sz w:val="24"/>
          <w:szCs w:val="24"/>
        </w:rPr>
        <w:t>50</w:t>
      </w:r>
      <w:r>
        <w:rPr>
          <w:rFonts w:hint="eastAsia" w:ascii="楷体" w:hAnsi="楷体" w:eastAsia="楷体"/>
          <w:sz w:val="24"/>
          <w:szCs w:val="24"/>
        </w:rPr>
        <w:t>万元，追加金额为</w:t>
      </w:r>
      <w:r>
        <w:rPr>
          <w:rFonts w:ascii="楷体" w:hAnsi="楷体" w:eastAsia="楷体"/>
          <w:sz w:val="24"/>
          <w:szCs w:val="24"/>
        </w:rPr>
        <w:t>1</w:t>
      </w:r>
      <w:r>
        <w:rPr>
          <w:rFonts w:hint="eastAsia" w:ascii="楷体" w:hAnsi="楷体" w:eastAsia="楷体"/>
          <w:sz w:val="24"/>
          <w:szCs w:val="24"/>
        </w:rPr>
        <w:t>万元的整数倍</w:t>
      </w:r>
      <w:r>
        <w:rPr>
          <w:rFonts w:hint="eastAsia" w:ascii="楷体" w:hAnsi="楷体" w:eastAsia="楷体"/>
          <w:sz w:val="24"/>
          <w:szCs w:val="24"/>
          <w:lang w:eastAsia="zh-CN"/>
        </w:rPr>
        <w:t>，</w:t>
      </w:r>
      <w:r>
        <w:rPr>
          <w:rFonts w:hint="eastAsia" w:ascii="楷体" w:hAnsi="楷体" w:eastAsia="楷体"/>
          <w:sz w:val="24"/>
          <w:szCs w:val="24"/>
          <w:lang w:val="en-US" w:eastAsia="zh-CN"/>
        </w:rPr>
        <w:t>机构</w:t>
      </w:r>
      <w:r>
        <w:rPr>
          <w:rFonts w:hint="eastAsia" w:ascii="楷体" w:hAnsi="楷体" w:eastAsia="楷体"/>
          <w:sz w:val="24"/>
          <w:szCs w:val="24"/>
        </w:rPr>
        <w:t>投资者单笔认购起点金额为</w:t>
      </w:r>
      <w:r>
        <w:rPr>
          <w:rFonts w:ascii="楷体" w:hAnsi="楷体" w:eastAsia="楷体"/>
          <w:sz w:val="24"/>
          <w:szCs w:val="24"/>
        </w:rPr>
        <w:t>50</w:t>
      </w:r>
      <w:r>
        <w:rPr>
          <w:rFonts w:hint="eastAsia" w:ascii="楷体" w:hAnsi="楷体" w:eastAsia="楷体"/>
          <w:sz w:val="24"/>
          <w:szCs w:val="24"/>
          <w:lang w:val="en-US" w:eastAsia="zh-CN"/>
        </w:rPr>
        <w:t>00</w:t>
      </w:r>
      <w:r>
        <w:rPr>
          <w:rFonts w:hint="eastAsia" w:ascii="楷体" w:hAnsi="楷体" w:eastAsia="楷体"/>
          <w:sz w:val="24"/>
          <w:szCs w:val="24"/>
        </w:rPr>
        <w:t>万元，追加金额为</w:t>
      </w:r>
      <w:r>
        <w:rPr>
          <w:rFonts w:ascii="楷体" w:hAnsi="楷体" w:eastAsia="楷体"/>
          <w:sz w:val="24"/>
          <w:szCs w:val="24"/>
        </w:rPr>
        <w:t>1</w:t>
      </w:r>
      <w:r>
        <w:rPr>
          <w:rFonts w:hint="eastAsia" w:ascii="楷体" w:hAnsi="楷体" w:eastAsia="楷体"/>
          <w:sz w:val="24"/>
          <w:szCs w:val="24"/>
        </w:rPr>
        <w:t>万元的整数倍；</w:t>
      </w:r>
      <w:r>
        <w:rPr>
          <w:rFonts w:hint="eastAsia" w:ascii="楷体" w:hAnsi="楷体" w:eastAsia="楷体"/>
          <w:sz w:val="24"/>
          <w:szCs w:val="24"/>
          <w:lang w:val="en-US" w:eastAsia="zh-CN"/>
        </w:rPr>
        <w:t>E</w:t>
      </w:r>
      <w:r>
        <w:rPr>
          <w:rFonts w:hint="eastAsia" w:ascii="楷体" w:hAnsi="楷体" w:eastAsia="楷体" w:cs="宋体"/>
          <w:spacing w:val="-2"/>
          <w:sz w:val="24"/>
          <w:szCs w:val="24"/>
        </w:rPr>
        <w:t>份额</w:t>
      </w:r>
      <w:r>
        <w:rPr>
          <w:rFonts w:hint="eastAsia" w:ascii="楷体" w:hAnsi="楷体" w:eastAsia="楷体"/>
          <w:sz w:val="24"/>
          <w:szCs w:val="24"/>
        </w:rPr>
        <w:t>投资者单笔认购起点金额为</w:t>
      </w:r>
      <w:r>
        <w:rPr>
          <w:rFonts w:hint="eastAsia" w:ascii="楷体" w:hAnsi="楷体" w:eastAsia="楷体"/>
          <w:sz w:val="24"/>
          <w:szCs w:val="24"/>
          <w:lang w:val="en-US" w:eastAsia="zh-CN"/>
        </w:rPr>
        <w:t>100</w:t>
      </w:r>
      <w:r>
        <w:rPr>
          <w:rFonts w:hint="eastAsia" w:ascii="楷体" w:hAnsi="楷体" w:eastAsia="楷体"/>
          <w:sz w:val="24"/>
          <w:szCs w:val="24"/>
        </w:rPr>
        <w:t>万元，追加金额为</w:t>
      </w:r>
      <w:r>
        <w:rPr>
          <w:rFonts w:ascii="楷体" w:hAnsi="楷体" w:eastAsia="楷体"/>
          <w:sz w:val="24"/>
          <w:szCs w:val="24"/>
        </w:rPr>
        <w:t>1</w:t>
      </w:r>
      <w:r>
        <w:rPr>
          <w:rFonts w:hint="eastAsia" w:ascii="楷体" w:hAnsi="楷体" w:eastAsia="楷体"/>
          <w:sz w:val="24"/>
          <w:szCs w:val="24"/>
        </w:rPr>
        <w:t>万元的整数倍</w:t>
      </w:r>
      <w:r>
        <w:rPr>
          <w:rFonts w:hint="eastAsia" w:ascii="楷体" w:hAnsi="楷体" w:eastAsia="楷体"/>
          <w:sz w:val="24"/>
          <w:szCs w:val="24"/>
          <w:lang w:eastAsia="zh-CN"/>
        </w:rPr>
        <w:t>；</w:t>
      </w:r>
      <w:r>
        <w:rPr>
          <w:rFonts w:hint="eastAsia" w:ascii="楷体" w:hAnsi="楷体" w:eastAsia="楷体" w:cs="Calibri"/>
          <w:sz w:val="24"/>
          <w:szCs w:val="24"/>
          <w:lang w:val="en-US" w:eastAsia="zh-CN"/>
        </w:rPr>
        <w:t>F</w:t>
      </w:r>
      <w:r>
        <w:rPr>
          <w:rFonts w:hint="eastAsia" w:ascii="楷体" w:hAnsi="楷体" w:eastAsia="楷体" w:cs="宋体"/>
          <w:spacing w:val="-2"/>
          <w:sz w:val="24"/>
          <w:szCs w:val="24"/>
        </w:rPr>
        <w:t>份额</w:t>
      </w:r>
      <w:r>
        <w:rPr>
          <w:rFonts w:hint="eastAsia" w:ascii="楷体" w:hAnsi="楷体" w:eastAsia="楷体" w:cs="Calibri"/>
          <w:sz w:val="24"/>
          <w:szCs w:val="24"/>
        </w:rPr>
        <w:t>投资者单笔认购起点金额为</w:t>
      </w:r>
      <w:r>
        <w:rPr>
          <w:rFonts w:ascii="楷体" w:hAnsi="楷体" w:eastAsia="楷体" w:cs="Calibri"/>
          <w:sz w:val="24"/>
          <w:szCs w:val="24"/>
        </w:rPr>
        <w:t>1</w:t>
      </w:r>
      <w:r>
        <w:rPr>
          <w:rFonts w:hint="eastAsia" w:ascii="楷体" w:hAnsi="楷体" w:eastAsia="楷体" w:cs="Calibri"/>
          <w:sz w:val="24"/>
          <w:szCs w:val="24"/>
        </w:rPr>
        <w:t>元，追加金额为</w:t>
      </w:r>
      <w:r>
        <w:rPr>
          <w:rFonts w:ascii="楷体" w:hAnsi="楷体" w:eastAsia="楷体" w:cs="Calibri"/>
          <w:sz w:val="24"/>
          <w:szCs w:val="24"/>
        </w:rPr>
        <w:t>1</w:t>
      </w:r>
      <w:r>
        <w:rPr>
          <w:rFonts w:hint="eastAsia" w:ascii="楷体" w:hAnsi="楷体" w:eastAsia="楷体" w:cs="Calibri"/>
          <w:sz w:val="24"/>
          <w:szCs w:val="24"/>
        </w:rPr>
        <w:t>元的整数倍</w:t>
      </w:r>
      <w:r>
        <w:rPr>
          <w:rFonts w:hint="eastAsia" w:ascii="楷体" w:hAnsi="楷体" w:eastAsia="楷体"/>
          <w:sz w:val="24"/>
          <w:szCs w:val="24"/>
          <w:lang w:eastAsia="zh-CN"/>
        </w:rPr>
        <w:t>；</w:t>
      </w:r>
      <w:r>
        <w:rPr>
          <w:rFonts w:hint="eastAsia" w:ascii="楷体" w:hAnsi="楷体" w:eastAsia="楷体" w:cs="Calibri"/>
          <w:sz w:val="24"/>
          <w:szCs w:val="24"/>
          <w:lang w:val="en-US" w:eastAsia="zh-CN"/>
        </w:rPr>
        <w:t>G</w:t>
      </w:r>
      <w:r>
        <w:rPr>
          <w:rFonts w:hint="eastAsia" w:ascii="楷体" w:hAnsi="楷体" w:eastAsia="楷体" w:cs="宋体"/>
          <w:spacing w:val="-2"/>
          <w:sz w:val="24"/>
          <w:szCs w:val="24"/>
        </w:rPr>
        <w:t>份额</w:t>
      </w:r>
      <w:r>
        <w:rPr>
          <w:rFonts w:hint="eastAsia" w:ascii="楷体" w:hAnsi="楷体" w:eastAsia="楷体" w:cs="Calibri"/>
          <w:sz w:val="24"/>
          <w:szCs w:val="24"/>
        </w:rPr>
        <w:t>投资者单笔认购起点金额为</w:t>
      </w:r>
      <w:r>
        <w:rPr>
          <w:rFonts w:ascii="楷体" w:hAnsi="楷体" w:eastAsia="楷体" w:cs="Calibri"/>
          <w:sz w:val="24"/>
          <w:szCs w:val="24"/>
        </w:rPr>
        <w:t>1</w:t>
      </w:r>
      <w:r>
        <w:rPr>
          <w:rFonts w:hint="eastAsia" w:ascii="楷体" w:hAnsi="楷体" w:eastAsia="楷体" w:cs="Calibri"/>
          <w:sz w:val="24"/>
          <w:szCs w:val="24"/>
        </w:rPr>
        <w:t>元，追加金额为</w:t>
      </w:r>
      <w:r>
        <w:rPr>
          <w:rFonts w:ascii="楷体" w:hAnsi="楷体" w:eastAsia="楷体" w:cs="Calibri"/>
          <w:sz w:val="24"/>
          <w:szCs w:val="24"/>
        </w:rPr>
        <w:t>1</w:t>
      </w:r>
      <w:r>
        <w:rPr>
          <w:rFonts w:hint="eastAsia" w:ascii="楷体" w:hAnsi="楷体" w:eastAsia="楷体" w:cs="Calibri"/>
          <w:sz w:val="24"/>
          <w:szCs w:val="24"/>
        </w:rPr>
        <w:t>元的整数倍</w:t>
      </w:r>
      <w:r>
        <w:rPr>
          <w:rFonts w:hint="eastAsia" w:ascii="楷体" w:hAnsi="楷体" w:eastAsia="楷体"/>
          <w:sz w:val="24"/>
          <w:szCs w:val="24"/>
          <w:lang w:eastAsia="zh-CN"/>
        </w:rPr>
        <w:t>；</w:t>
      </w:r>
      <w:r>
        <w:rPr>
          <w:rFonts w:hint="eastAsia" w:ascii="楷体" w:hAnsi="楷体" w:eastAsia="楷体"/>
          <w:sz w:val="24"/>
          <w:szCs w:val="24"/>
          <w:lang w:val="en-US" w:eastAsia="zh-CN"/>
        </w:rPr>
        <w:t>W</w:t>
      </w:r>
      <w:r>
        <w:rPr>
          <w:rFonts w:hint="eastAsia" w:ascii="楷体" w:hAnsi="楷体" w:eastAsia="楷体" w:cs="宋体"/>
          <w:spacing w:val="-2"/>
          <w:sz w:val="24"/>
          <w:szCs w:val="24"/>
        </w:rPr>
        <w:t>份额</w:t>
      </w:r>
      <w:r>
        <w:rPr>
          <w:rFonts w:hint="eastAsia" w:ascii="楷体" w:hAnsi="楷体" w:eastAsia="楷体" w:cs="Calibri"/>
          <w:sz w:val="24"/>
          <w:szCs w:val="24"/>
        </w:rPr>
        <w:t>投资者单笔认购起点金额为</w:t>
      </w:r>
      <w:r>
        <w:rPr>
          <w:rFonts w:ascii="楷体" w:hAnsi="楷体" w:eastAsia="楷体" w:cs="Calibri"/>
          <w:sz w:val="24"/>
          <w:szCs w:val="24"/>
        </w:rPr>
        <w:t>1</w:t>
      </w:r>
      <w:r>
        <w:rPr>
          <w:rFonts w:hint="eastAsia" w:ascii="楷体" w:hAnsi="楷体" w:eastAsia="楷体" w:cs="Calibri"/>
          <w:sz w:val="24"/>
          <w:szCs w:val="24"/>
        </w:rPr>
        <w:t>元，追加金额为</w:t>
      </w:r>
      <w:r>
        <w:rPr>
          <w:rFonts w:ascii="楷体" w:hAnsi="楷体" w:eastAsia="楷体" w:cs="Calibri"/>
          <w:sz w:val="24"/>
          <w:szCs w:val="24"/>
        </w:rPr>
        <w:t>1</w:t>
      </w:r>
      <w:r>
        <w:rPr>
          <w:rFonts w:hint="eastAsia" w:ascii="楷体" w:hAnsi="楷体" w:eastAsia="楷体" w:cs="Calibri"/>
          <w:sz w:val="24"/>
          <w:szCs w:val="24"/>
        </w:rPr>
        <w:t>元的整数倍</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S</w:t>
      </w:r>
      <w:r>
        <w:rPr>
          <w:rFonts w:hint="eastAsia" w:ascii="楷体" w:hAnsi="楷体" w:eastAsia="楷体" w:cs="宋体"/>
          <w:spacing w:val="-2"/>
          <w:sz w:val="24"/>
          <w:szCs w:val="24"/>
        </w:rPr>
        <w:t>份额</w:t>
      </w:r>
      <w:r>
        <w:rPr>
          <w:rFonts w:hint="eastAsia" w:ascii="楷体" w:hAnsi="楷体" w:eastAsia="楷体" w:cs="Calibri"/>
          <w:sz w:val="24"/>
          <w:szCs w:val="24"/>
        </w:rPr>
        <w:t>投资者单笔认购起点金额为</w:t>
      </w:r>
      <w:r>
        <w:rPr>
          <w:rFonts w:ascii="楷体" w:hAnsi="楷体" w:eastAsia="楷体" w:cs="Calibri"/>
          <w:sz w:val="24"/>
          <w:szCs w:val="24"/>
        </w:rPr>
        <w:t>1</w:t>
      </w:r>
      <w:r>
        <w:rPr>
          <w:rFonts w:hint="eastAsia" w:ascii="楷体" w:hAnsi="楷体" w:eastAsia="楷体" w:cs="Calibri"/>
          <w:sz w:val="24"/>
          <w:szCs w:val="24"/>
        </w:rPr>
        <w:t>元，追加金额为</w:t>
      </w:r>
      <w:r>
        <w:rPr>
          <w:rFonts w:ascii="楷体" w:hAnsi="楷体" w:eastAsia="楷体" w:cs="Calibri"/>
          <w:sz w:val="24"/>
          <w:szCs w:val="24"/>
        </w:rPr>
        <w:t>1</w:t>
      </w:r>
      <w:r>
        <w:rPr>
          <w:rFonts w:hint="eastAsia" w:ascii="楷体" w:hAnsi="楷体" w:eastAsia="楷体" w:cs="Calibri"/>
          <w:sz w:val="24"/>
          <w:szCs w:val="24"/>
        </w:rPr>
        <w:t>元的整数倍。</w:t>
      </w:r>
      <w:r>
        <w:rPr>
          <w:rFonts w:hint="eastAsia" w:ascii="楷体" w:hAnsi="楷体" w:eastAsia="楷体"/>
          <w:sz w:val="24"/>
          <w:szCs w:val="24"/>
        </w:rPr>
        <w:t>（以各销售机构设置为准）</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认购申请撤销时间：认购期间，投资者可于</w:t>
      </w:r>
      <w:r>
        <w:rPr>
          <w:rFonts w:hint="eastAsia" w:ascii="楷体" w:hAnsi="楷体" w:eastAsia="楷体"/>
          <w:sz w:val="24"/>
          <w:szCs w:val="24"/>
          <w:lang w:eastAsia="zh-CN"/>
        </w:rPr>
        <w:t>202</w:t>
      </w:r>
      <w:r>
        <w:rPr>
          <w:rFonts w:hint="eastAsia" w:ascii="楷体" w:hAnsi="楷体" w:eastAsia="楷体"/>
          <w:sz w:val="24"/>
          <w:szCs w:val="24"/>
          <w:lang w:val="en-US" w:eastAsia="zh-CN"/>
        </w:rPr>
        <w:t>3</w:t>
      </w:r>
      <w:r>
        <w:rPr>
          <w:rFonts w:hint="eastAsia" w:ascii="楷体" w:hAnsi="楷体" w:eastAsia="楷体"/>
          <w:sz w:val="24"/>
          <w:szCs w:val="24"/>
          <w:lang w:eastAsia="zh-CN"/>
        </w:rPr>
        <w:t>年</w:t>
      </w:r>
      <w:r>
        <w:rPr>
          <w:rFonts w:hint="eastAsia" w:ascii="楷体" w:hAnsi="楷体" w:eastAsia="楷体"/>
          <w:sz w:val="24"/>
          <w:szCs w:val="24"/>
          <w:lang w:val="en-US" w:eastAsia="zh-CN"/>
        </w:rPr>
        <w:t>10</w:t>
      </w:r>
      <w:r>
        <w:rPr>
          <w:rFonts w:hint="eastAsia" w:ascii="楷体" w:hAnsi="楷体" w:eastAsia="楷体"/>
          <w:sz w:val="24"/>
          <w:szCs w:val="24"/>
          <w:lang w:eastAsia="zh-CN"/>
        </w:rPr>
        <w:t>月</w:t>
      </w:r>
      <w:r>
        <w:rPr>
          <w:rFonts w:hint="eastAsia" w:ascii="楷体" w:hAnsi="楷体" w:eastAsia="楷体"/>
          <w:sz w:val="24"/>
          <w:szCs w:val="24"/>
          <w:lang w:val="en-US" w:eastAsia="zh-CN"/>
        </w:rPr>
        <w:t>9</w:t>
      </w:r>
      <w:r>
        <w:rPr>
          <w:rFonts w:hint="eastAsia" w:ascii="楷体" w:hAnsi="楷体" w:eastAsia="楷体"/>
          <w:sz w:val="24"/>
          <w:szCs w:val="24"/>
          <w:lang w:eastAsia="zh-CN"/>
        </w:rPr>
        <w:t>日</w:t>
      </w:r>
      <w:r>
        <w:rPr>
          <w:rFonts w:hint="eastAsia" w:ascii="楷体" w:hAnsi="楷体" w:eastAsia="楷体"/>
          <w:sz w:val="24"/>
          <w:szCs w:val="24"/>
        </w:rPr>
        <w:t>17:00</w:t>
      </w:r>
      <w:r>
        <w:rPr>
          <w:rFonts w:hint="eastAsia" w:ascii="楷体" w:hAnsi="楷体" w:eastAsia="楷体" w:cs="Calibri"/>
          <w:sz w:val="24"/>
          <w:szCs w:val="24"/>
        </w:rPr>
        <w:t>前撤销认购申请，该时点后不得撤销。（以各销售机构设置的撤销截止时间为准）</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认购资金的清算</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投资者提出认购申请时，须备足购买资金。如投资者通过代销渠道购买，管理人在份额确认日通知销售机构扣划投资者认购资金，投资者应在扣款前保证资金账户中拥有足够可用余额</w:t>
      </w:r>
      <w:r>
        <w:rPr>
          <w:rFonts w:hint="eastAsia" w:ascii="楷体" w:hAnsi="楷体" w:eastAsia="楷体"/>
          <w:sz w:val="24"/>
          <w:szCs w:val="24"/>
          <w:highlight w:val="none"/>
          <w:lang w:eastAsia="zh-CN"/>
        </w:rPr>
        <w:t>；</w:t>
      </w:r>
      <w:r>
        <w:rPr>
          <w:rFonts w:hint="eastAsia" w:ascii="楷体" w:hAnsi="楷体" w:eastAsia="楷体"/>
          <w:sz w:val="24"/>
          <w:szCs w:val="24"/>
          <w:highlight w:val="none"/>
        </w:rPr>
        <w:t>如投资者通过苏银</w:t>
      </w:r>
      <w:r>
        <w:rPr>
          <w:rFonts w:hint="eastAsia" w:ascii="楷体" w:hAnsi="楷体" w:eastAsia="楷体"/>
          <w:sz w:val="24"/>
          <w:szCs w:val="24"/>
          <w:highlight w:val="none"/>
          <w:lang w:val="en-US" w:eastAsia="zh-CN"/>
        </w:rPr>
        <w:t>理财</w:t>
      </w:r>
      <w:r>
        <w:rPr>
          <w:rFonts w:hint="eastAsia" w:ascii="楷体" w:hAnsi="楷体" w:eastAsia="楷体"/>
          <w:sz w:val="24"/>
          <w:szCs w:val="24"/>
          <w:highlight w:val="none"/>
        </w:rPr>
        <w:t>直营</w:t>
      </w:r>
      <w:r>
        <w:rPr>
          <w:rFonts w:hint="eastAsia" w:ascii="楷体" w:hAnsi="楷体" w:eastAsia="楷体"/>
          <w:sz w:val="24"/>
          <w:szCs w:val="24"/>
          <w:highlight w:val="none"/>
          <w:lang w:val="en-US" w:eastAsia="zh-CN"/>
        </w:rPr>
        <w:t>渠道</w:t>
      </w:r>
      <w:r>
        <w:rPr>
          <w:rFonts w:hint="eastAsia" w:ascii="楷体" w:hAnsi="楷体" w:eastAsia="楷体"/>
          <w:sz w:val="24"/>
          <w:szCs w:val="24"/>
          <w:highlight w:val="none"/>
        </w:rPr>
        <w:t>购买</w:t>
      </w:r>
      <w:r>
        <w:rPr>
          <w:rFonts w:hint="eastAsia" w:ascii="楷体" w:hAnsi="楷体" w:eastAsia="楷体"/>
          <w:sz w:val="24"/>
          <w:szCs w:val="24"/>
          <w:highlight w:val="none"/>
          <w:lang w:eastAsia="zh-CN"/>
        </w:rPr>
        <w:t>，</w:t>
      </w:r>
      <w:r>
        <w:rPr>
          <w:rFonts w:hint="eastAsia" w:ascii="楷体" w:hAnsi="楷体" w:eastAsia="楷体"/>
          <w:sz w:val="24"/>
          <w:szCs w:val="24"/>
          <w:highlight w:val="none"/>
        </w:rPr>
        <w:t>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认购份额登记日：本理财产品于</w:t>
      </w:r>
      <w:r>
        <w:rPr>
          <w:rFonts w:hint="eastAsia" w:ascii="楷体" w:hAnsi="楷体" w:eastAsia="楷体"/>
          <w:sz w:val="24"/>
          <w:szCs w:val="24"/>
          <w:lang w:eastAsia="zh-CN"/>
        </w:rPr>
        <w:t>202</w:t>
      </w:r>
      <w:r>
        <w:rPr>
          <w:rFonts w:hint="eastAsia" w:ascii="楷体" w:hAnsi="楷体" w:eastAsia="楷体"/>
          <w:sz w:val="24"/>
          <w:szCs w:val="24"/>
          <w:lang w:val="en-US" w:eastAsia="zh-CN"/>
        </w:rPr>
        <w:t>3</w:t>
      </w:r>
      <w:r>
        <w:rPr>
          <w:rFonts w:hint="eastAsia" w:ascii="楷体" w:hAnsi="楷体" w:eastAsia="楷体"/>
          <w:sz w:val="24"/>
          <w:szCs w:val="24"/>
          <w:lang w:eastAsia="zh-CN"/>
        </w:rPr>
        <w:t>年</w:t>
      </w:r>
      <w:r>
        <w:rPr>
          <w:rFonts w:hint="eastAsia" w:ascii="楷体" w:hAnsi="楷体" w:eastAsia="楷体"/>
          <w:sz w:val="24"/>
          <w:szCs w:val="24"/>
          <w:lang w:val="en-US" w:eastAsia="zh-CN"/>
        </w:rPr>
        <w:t>10</w:t>
      </w:r>
      <w:r>
        <w:rPr>
          <w:rFonts w:hint="eastAsia" w:ascii="楷体" w:hAnsi="楷体" w:eastAsia="楷体"/>
          <w:sz w:val="24"/>
          <w:szCs w:val="24"/>
          <w:lang w:eastAsia="zh-CN"/>
        </w:rPr>
        <w:t>月</w:t>
      </w:r>
      <w:r>
        <w:rPr>
          <w:rFonts w:hint="eastAsia" w:ascii="楷体" w:hAnsi="楷体" w:eastAsia="楷体"/>
          <w:sz w:val="24"/>
          <w:szCs w:val="24"/>
          <w:lang w:val="en-US" w:eastAsia="zh-CN"/>
        </w:rPr>
        <w:t>10</w:t>
      </w:r>
      <w:r>
        <w:rPr>
          <w:rFonts w:hint="eastAsia" w:ascii="楷体" w:hAnsi="楷体" w:eastAsia="楷体"/>
          <w:sz w:val="24"/>
          <w:szCs w:val="24"/>
          <w:lang w:eastAsia="zh-CN"/>
        </w:rPr>
        <w:t>日</w:t>
      </w:r>
      <w:r>
        <w:rPr>
          <w:rFonts w:hint="eastAsia" w:ascii="楷体" w:hAnsi="楷体" w:eastAsia="楷体" w:cs="Calibri"/>
          <w:sz w:val="24"/>
          <w:szCs w:val="24"/>
        </w:rPr>
        <w:t>进行份额登记</w:t>
      </w:r>
      <w:r>
        <w:rPr>
          <w:rFonts w:hint="eastAsia" w:ascii="楷体" w:hAnsi="楷体" w:eastAsia="楷体" w:cs="Calibri"/>
          <w:sz w:val="24"/>
          <w:szCs w:val="24"/>
          <w:lang w:val="en-US" w:eastAsia="zh-CN"/>
        </w:rPr>
        <w:t>。</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hint="eastAsia"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hint="eastAsia"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3"/>
        </w:numPr>
        <w:tabs>
          <w:tab w:val="left" w:pos="1134"/>
        </w:tabs>
        <w:ind w:firstLine="562" w:firstLineChars="200"/>
        <w:outlineLvl w:val="1"/>
        <w:rPr>
          <w:rFonts w:hint="eastAsia" w:ascii="楷体" w:hAnsi="楷体" w:eastAsia="楷体"/>
          <w:b/>
          <w:sz w:val="28"/>
          <w:szCs w:val="28"/>
        </w:rPr>
      </w:pPr>
      <w:r>
        <w:rPr>
          <w:rFonts w:hint="eastAsia" w:ascii="楷体" w:hAnsi="楷体" w:eastAsia="楷体"/>
          <w:b/>
          <w:sz w:val="28"/>
          <w:szCs w:val="28"/>
        </w:rPr>
        <w:t>产品申购、赎回</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投资周期、开放计划</w:t>
      </w:r>
    </w:p>
    <w:p>
      <w:pPr>
        <w:ind w:firstLine="480" w:firstLineChars="200"/>
        <w:rPr>
          <w:rFonts w:hint="eastAsia" w:ascii="楷体" w:hAnsi="楷体" w:eastAsia="楷体"/>
          <w:sz w:val="24"/>
          <w:szCs w:val="24"/>
        </w:rPr>
      </w:pPr>
      <w:r>
        <w:rPr>
          <w:rFonts w:hint="eastAsia" w:ascii="楷体" w:hAnsi="楷体" w:eastAsia="楷体"/>
          <w:sz w:val="24"/>
          <w:szCs w:val="24"/>
        </w:rPr>
        <w:t>本产品成立日为</w:t>
      </w:r>
      <w:r>
        <w:rPr>
          <w:rFonts w:hint="eastAsia" w:ascii="楷体" w:hAnsi="楷体" w:eastAsia="楷体"/>
          <w:sz w:val="24"/>
          <w:szCs w:val="24"/>
          <w:lang w:eastAsia="zh-CN"/>
        </w:rPr>
        <w:t>202</w:t>
      </w:r>
      <w:r>
        <w:rPr>
          <w:rFonts w:hint="eastAsia" w:ascii="楷体" w:hAnsi="楷体" w:eastAsia="楷体"/>
          <w:sz w:val="24"/>
          <w:szCs w:val="24"/>
          <w:lang w:val="en-US" w:eastAsia="zh-CN"/>
        </w:rPr>
        <w:t>3</w:t>
      </w:r>
      <w:r>
        <w:rPr>
          <w:rFonts w:hint="eastAsia" w:ascii="楷体" w:hAnsi="楷体" w:eastAsia="楷体"/>
          <w:sz w:val="24"/>
          <w:szCs w:val="24"/>
          <w:lang w:eastAsia="zh-CN"/>
        </w:rPr>
        <w:t>年</w:t>
      </w:r>
      <w:r>
        <w:rPr>
          <w:rFonts w:hint="eastAsia" w:ascii="楷体" w:hAnsi="楷体" w:eastAsia="楷体"/>
          <w:sz w:val="24"/>
          <w:szCs w:val="24"/>
          <w:lang w:val="en-US" w:eastAsia="zh-CN"/>
        </w:rPr>
        <w:t>10</w:t>
      </w:r>
      <w:r>
        <w:rPr>
          <w:rFonts w:hint="eastAsia" w:ascii="楷体" w:hAnsi="楷体" w:eastAsia="楷体"/>
          <w:sz w:val="24"/>
          <w:szCs w:val="24"/>
          <w:lang w:eastAsia="zh-CN"/>
        </w:rPr>
        <w:t>月</w:t>
      </w:r>
      <w:r>
        <w:rPr>
          <w:rFonts w:hint="eastAsia" w:ascii="楷体" w:hAnsi="楷体" w:eastAsia="楷体"/>
          <w:sz w:val="24"/>
          <w:szCs w:val="24"/>
          <w:lang w:val="en-US" w:eastAsia="zh-CN"/>
        </w:rPr>
        <w:t>10</w:t>
      </w:r>
      <w:r>
        <w:rPr>
          <w:rFonts w:hint="eastAsia" w:ascii="楷体" w:hAnsi="楷体" w:eastAsia="楷体"/>
          <w:sz w:val="24"/>
          <w:szCs w:val="24"/>
          <w:lang w:eastAsia="zh-CN"/>
        </w:rPr>
        <w:t>日</w:t>
      </w:r>
      <w:r>
        <w:rPr>
          <w:rFonts w:hint="eastAsia" w:ascii="楷体" w:hAnsi="楷体" w:eastAsia="楷体"/>
          <w:sz w:val="24"/>
          <w:szCs w:val="24"/>
        </w:rPr>
        <w:t>，从成立日起，每</w:t>
      </w:r>
      <w:r>
        <w:rPr>
          <w:rFonts w:ascii="楷体" w:hAnsi="楷体" w:eastAsia="楷体"/>
          <w:sz w:val="24"/>
          <w:szCs w:val="24"/>
        </w:rPr>
        <w:t>3</w:t>
      </w:r>
      <w:r>
        <w:rPr>
          <w:rFonts w:hint="eastAsia" w:ascii="楷体" w:hAnsi="楷体" w:eastAsia="楷体"/>
          <w:sz w:val="24"/>
          <w:szCs w:val="24"/>
        </w:rPr>
        <w:t>个月为一个投资周期。第一个投资周期起始日为产品成立日，终止日为</w:t>
      </w:r>
      <w:r>
        <w:rPr>
          <w:rFonts w:hint="eastAsia" w:ascii="楷体" w:hAnsi="楷体" w:eastAsia="楷体"/>
          <w:sz w:val="24"/>
          <w:szCs w:val="24"/>
          <w:lang w:eastAsia="zh-CN"/>
        </w:rPr>
        <w:t>202</w:t>
      </w:r>
      <w:r>
        <w:rPr>
          <w:rFonts w:hint="eastAsia" w:ascii="楷体" w:hAnsi="楷体" w:eastAsia="楷体"/>
          <w:sz w:val="24"/>
          <w:szCs w:val="24"/>
          <w:lang w:val="en-US" w:eastAsia="zh-CN"/>
        </w:rPr>
        <w:t>4</w:t>
      </w:r>
      <w:r>
        <w:rPr>
          <w:rFonts w:hint="eastAsia" w:ascii="楷体" w:hAnsi="楷体" w:eastAsia="楷体"/>
          <w:sz w:val="24"/>
          <w:szCs w:val="24"/>
          <w:lang w:eastAsia="zh-CN"/>
        </w:rPr>
        <w:t>年</w:t>
      </w:r>
      <w:r>
        <w:rPr>
          <w:rFonts w:hint="eastAsia" w:ascii="楷体" w:hAnsi="楷体" w:eastAsia="楷体"/>
          <w:sz w:val="24"/>
          <w:szCs w:val="24"/>
          <w:lang w:val="en-US" w:eastAsia="zh-CN"/>
        </w:rPr>
        <w:t>1</w:t>
      </w:r>
      <w:r>
        <w:rPr>
          <w:rFonts w:hint="eastAsia" w:ascii="楷体" w:hAnsi="楷体" w:eastAsia="楷体"/>
          <w:sz w:val="24"/>
          <w:szCs w:val="24"/>
          <w:lang w:eastAsia="zh-CN"/>
        </w:rPr>
        <w:t>月</w:t>
      </w:r>
      <w:r>
        <w:rPr>
          <w:rFonts w:hint="eastAsia" w:ascii="楷体" w:hAnsi="楷体" w:eastAsia="楷体"/>
          <w:sz w:val="24"/>
          <w:szCs w:val="24"/>
          <w:lang w:val="en-US" w:eastAsia="zh-CN"/>
        </w:rPr>
        <w:t>16</w:t>
      </w:r>
      <w:r>
        <w:rPr>
          <w:rFonts w:hint="eastAsia" w:ascii="楷体" w:hAnsi="楷体" w:eastAsia="楷体"/>
          <w:sz w:val="24"/>
          <w:szCs w:val="24"/>
          <w:lang w:eastAsia="zh-CN"/>
        </w:rPr>
        <w:t>日</w:t>
      </w:r>
      <w:r>
        <w:rPr>
          <w:rFonts w:hint="eastAsia" w:ascii="楷体" w:hAnsi="楷体" w:eastAsia="楷体"/>
          <w:sz w:val="24"/>
          <w:szCs w:val="24"/>
        </w:rPr>
        <w:t>。对于第二个投资周期以及后续投资周期，每个投资周期起始日为上一投资周期终止日次日，终止日为其起始日后</w:t>
      </w:r>
      <w:r>
        <w:rPr>
          <w:rFonts w:ascii="楷体" w:hAnsi="楷体" w:eastAsia="楷体"/>
          <w:sz w:val="24"/>
          <w:szCs w:val="24"/>
        </w:rPr>
        <w:t>3</w:t>
      </w:r>
      <w:r>
        <w:rPr>
          <w:rFonts w:hint="eastAsia" w:ascii="楷体" w:hAnsi="楷体" w:eastAsia="楷体"/>
          <w:sz w:val="24"/>
          <w:szCs w:val="24"/>
        </w:rPr>
        <w:t>个月，具体日期以管理人公告为准。</w:t>
      </w:r>
    </w:p>
    <w:p>
      <w:pPr>
        <w:ind w:firstLine="480" w:firstLineChars="200"/>
        <w:rPr>
          <w:rFonts w:hint="eastAsia" w:ascii="楷体" w:hAnsi="楷体" w:eastAsia="楷体"/>
          <w:sz w:val="24"/>
          <w:szCs w:val="24"/>
        </w:rPr>
      </w:pPr>
      <w:r>
        <w:rPr>
          <w:rFonts w:hint="eastAsia" w:ascii="楷体" w:hAnsi="楷体" w:eastAsia="楷体"/>
          <w:sz w:val="24"/>
          <w:szCs w:val="24"/>
        </w:rPr>
        <w:t>本产品在每个投资周期结束前设置开放计划，时间为投资周期终止日前7</w:t>
      </w:r>
      <w:r>
        <w:rPr>
          <w:rFonts w:hint="eastAsia" w:ascii="楷体" w:hAnsi="楷体" w:eastAsia="楷体"/>
          <w:sz w:val="24"/>
          <w:szCs w:val="24"/>
          <w:lang w:val="en-US" w:eastAsia="zh-CN"/>
        </w:rPr>
        <w:t>个工作</w:t>
      </w:r>
      <w:r>
        <w:rPr>
          <w:rFonts w:hint="eastAsia" w:ascii="楷体" w:hAnsi="楷体" w:eastAsia="楷体"/>
          <w:sz w:val="24"/>
          <w:szCs w:val="24"/>
        </w:rPr>
        <w:t>日（含投资周期终止日），开放计划最后一日（即投资周期终止日）为开放日。投资者可在开放计划时间内通过销售机构提出申购/赎回申请，</w:t>
      </w:r>
      <w:r>
        <w:rPr>
          <w:rFonts w:hint="eastAsia" w:ascii="楷体" w:hAnsi="楷体" w:eastAsia="楷体"/>
          <w:b/>
          <w:sz w:val="24"/>
          <w:szCs w:val="24"/>
          <w:u w:val="single"/>
        </w:rPr>
        <w:t>除开放计划外的其他时间，管理人不接受投资者申购、赎回申请。</w:t>
      </w:r>
      <w:r>
        <w:rPr>
          <w:rFonts w:hint="eastAsia" w:ascii="楷体" w:hAnsi="楷体" w:eastAsia="楷体"/>
          <w:sz w:val="24"/>
          <w:szCs w:val="24"/>
        </w:rPr>
        <w:t>（以各销售机构设置的开放时间为准）</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申购、赎回的规则</w:t>
      </w:r>
    </w:p>
    <w:p>
      <w:pPr>
        <w:numPr>
          <w:ilvl w:val="0"/>
          <w:numId w:val="15"/>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申购、赎回的原则：本产品采用金额申购、份额赎回的原则，即申购以金额申请，赎回以份额申请。</w:t>
      </w:r>
    </w:p>
    <w:p>
      <w:pPr>
        <w:numPr>
          <w:ilvl w:val="0"/>
          <w:numId w:val="15"/>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申购、赎回的时间：投资者可在开放计划约定的时间内提交申购/赎回申请</w:t>
      </w:r>
      <w:r>
        <w:rPr>
          <w:rFonts w:hint="eastAsia" w:ascii="楷体" w:hAnsi="楷体" w:eastAsia="楷体"/>
          <w:sz w:val="24"/>
          <w:szCs w:val="24"/>
        </w:rPr>
        <w:t>（以各销售机构设置的开放时间为准）</w:t>
      </w:r>
      <w:r>
        <w:rPr>
          <w:rFonts w:hint="eastAsia" w:ascii="楷体" w:hAnsi="楷体" w:eastAsia="楷体" w:cs="Calibri"/>
          <w:sz w:val="24"/>
          <w:szCs w:val="24"/>
        </w:rPr>
        <w:t>。本产品首个投资周期及开放计划详见下表，后续投资周期及开放计划受资产运作情况、节假日安排等要素限制，管理人将在每个投资周期结束前通过本理财产品说明书约定的方式披露下一周期开放计划。</w:t>
      </w:r>
    </w:p>
    <w:tbl>
      <w:tblPr>
        <w:tblStyle w:val="1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1"/>
        <w:gridCol w:w="1871"/>
        <w:gridCol w:w="238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ascii="楷体" w:hAnsi="楷体" w:eastAsia="楷体"/>
                <w:szCs w:val="21"/>
              </w:rPr>
            </w:pPr>
            <w:r>
              <w:rPr>
                <w:rFonts w:hint="eastAsia" w:ascii="楷体" w:hAnsi="楷体" w:eastAsia="楷体"/>
                <w:szCs w:val="21"/>
              </w:rPr>
              <w:t>投资周期</w:t>
            </w:r>
          </w:p>
        </w:tc>
        <w:tc>
          <w:tcPr>
            <w:tcW w:w="1871" w:type="dxa"/>
            <w:noWrap w:val="0"/>
            <w:vAlign w:val="center"/>
          </w:tcPr>
          <w:p>
            <w:pPr>
              <w:jc w:val="center"/>
              <w:rPr>
                <w:rFonts w:ascii="楷体" w:hAnsi="楷体" w:eastAsia="楷体"/>
                <w:szCs w:val="21"/>
              </w:rPr>
            </w:pPr>
            <w:r>
              <w:rPr>
                <w:rFonts w:hint="eastAsia" w:ascii="楷体" w:hAnsi="楷体" w:eastAsia="楷体"/>
                <w:szCs w:val="21"/>
              </w:rPr>
              <w:t>投资周期起始日</w:t>
            </w:r>
          </w:p>
        </w:tc>
        <w:tc>
          <w:tcPr>
            <w:tcW w:w="1871" w:type="dxa"/>
            <w:noWrap w:val="0"/>
            <w:vAlign w:val="center"/>
          </w:tcPr>
          <w:p>
            <w:pPr>
              <w:jc w:val="center"/>
              <w:rPr>
                <w:rFonts w:ascii="楷体" w:hAnsi="楷体" w:eastAsia="楷体"/>
                <w:szCs w:val="21"/>
              </w:rPr>
            </w:pPr>
            <w:r>
              <w:rPr>
                <w:rFonts w:hint="eastAsia" w:ascii="楷体" w:hAnsi="楷体" w:eastAsia="楷体"/>
                <w:szCs w:val="21"/>
              </w:rPr>
              <w:t>投资周期终止日</w:t>
            </w:r>
          </w:p>
        </w:tc>
        <w:tc>
          <w:tcPr>
            <w:tcW w:w="2381" w:type="dxa"/>
            <w:noWrap w:val="0"/>
            <w:vAlign w:val="center"/>
          </w:tcPr>
          <w:p>
            <w:pPr>
              <w:jc w:val="center"/>
              <w:rPr>
                <w:rFonts w:ascii="楷体" w:hAnsi="楷体" w:eastAsia="楷体"/>
                <w:szCs w:val="21"/>
              </w:rPr>
            </w:pPr>
            <w:r>
              <w:rPr>
                <w:rFonts w:hint="eastAsia" w:ascii="楷体" w:hAnsi="楷体" w:eastAsia="楷体"/>
                <w:szCs w:val="21"/>
              </w:rPr>
              <w:t>开放计划</w:t>
            </w:r>
          </w:p>
          <w:p>
            <w:pPr>
              <w:jc w:val="center"/>
              <w:rPr>
                <w:rFonts w:ascii="楷体" w:hAnsi="楷体" w:eastAsia="楷体"/>
                <w:szCs w:val="21"/>
              </w:rPr>
            </w:pPr>
            <w:r>
              <w:rPr>
                <w:rFonts w:hint="eastAsia" w:ascii="楷体" w:hAnsi="楷体" w:eastAsia="楷体"/>
                <w:szCs w:val="21"/>
              </w:rPr>
              <w:t>（申购/赎回时间）</w:t>
            </w:r>
          </w:p>
        </w:tc>
        <w:tc>
          <w:tcPr>
            <w:tcW w:w="1871" w:type="dxa"/>
            <w:noWrap w:val="0"/>
            <w:vAlign w:val="center"/>
          </w:tcPr>
          <w:p>
            <w:pPr>
              <w:jc w:val="center"/>
              <w:rPr>
                <w:rFonts w:ascii="楷体" w:hAnsi="楷体" w:eastAsia="楷体"/>
                <w:szCs w:val="21"/>
              </w:rPr>
            </w:pPr>
            <w:r>
              <w:rPr>
                <w:rFonts w:hint="eastAsia" w:ascii="楷体" w:hAnsi="楷体" w:eastAsia="楷体"/>
                <w:szCs w:val="21"/>
              </w:rPr>
              <w:t>申购/赎回确认日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ascii="楷体" w:hAnsi="楷体" w:eastAsia="楷体"/>
                <w:szCs w:val="21"/>
              </w:rPr>
            </w:pPr>
            <w:r>
              <w:rPr>
                <w:rFonts w:hint="eastAsia" w:ascii="楷体" w:hAnsi="楷体" w:eastAsia="楷体"/>
                <w:szCs w:val="21"/>
              </w:rPr>
              <w:t>1</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3</w:t>
            </w:r>
            <w:r>
              <w:rPr>
                <w:rFonts w:hint="eastAsia" w:ascii="楷体" w:hAnsi="楷体" w:eastAsia="楷体"/>
                <w:szCs w:val="21"/>
                <w:lang w:eastAsia="zh-CN"/>
              </w:rPr>
              <w:t>年</w:t>
            </w:r>
            <w:r>
              <w:rPr>
                <w:rFonts w:hint="eastAsia" w:ascii="楷体" w:hAnsi="楷体" w:eastAsia="楷体"/>
                <w:szCs w:val="21"/>
                <w:lang w:val="en-US" w:eastAsia="zh-CN"/>
              </w:rPr>
              <w:t>10</w:t>
            </w:r>
            <w:r>
              <w:rPr>
                <w:rFonts w:hint="eastAsia" w:ascii="楷体" w:hAnsi="楷体" w:eastAsia="楷体"/>
                <w:szCs w:val="21"/>
                <w:lang w:eastAsia="zh-CN"/>
              </w:rPr>
              <w:t>月</w:t>
            </w:r>
            <w:r>
              <w:rPr>
                <w:rFonts w:hint="eastAsia" w:ascii="楷体" w:hAnsi="楷体" w:eastAsia="楷体"/>
                <w:szCs w:val="21"/>
                <w:lang w:val="en-US" w:eastAsia="zh-CN"/>
              </w:rPr>
              <w:t>10</w:t>
            </w:r>
            <w:r>
              <w:rPr>
                <w:rFonts w:hint="eastAsia" w:ascii="楷体" w:hAnsi="楷体" w:eastAsia="楷体"/>
                <w:szCs w:val="21"/>
                <w:lang w:eastAsia="zh-CN"/>
              </w:rPr>
              <w:t>日</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w:t>
            </w:r>
            <w:r>
              <w:rPr>
                <w:rFonts w:hint="eastAsia" w:ascii="楷体" w:hAnsi="楷体" w:eastAsia="楷体"/>
                <w:szCs w:val="21"/>
                <w:lang w:eastAsia="zh-CN"/>
              </w:rPr>
              <w:t>月</w:t>
            </w:r>
            <w:r>
              <w:rPr>
                <w:rFonts w:hint="eastAsia" w:ascii="楷体" w:hAnsi="楷体" w:eastAsia="楷体"/>
                <w:szCs w:val="21"/>
                <w:lang w:val="en-US" w:eastAsia="zh-CN"/>
              </w:rPr>
              <w:t>16</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w:t>
            </w:r>
            <w:r>
              <w:rPr>
                <w:rFonts w:hint="eastAsia" w:ascii="楷体" w:hAnsi="楷体" w:eastAsia="楷体"/>
                <w:szCs w:val="21"/>
                <w:lang w:eastAsia="zh-CN"/>
              </w:rPr>
              <w:t>月</w:t>
            </w:r>
            <w:r>
              <w:rPr>
                <w:rFonts w:hint="eastAsia" w:ascii="楷体" w:hAnsi="楷体" w:eastAsia="楷体"/>
                <w:szCs w:val="21"/>
                <w:lang w:val="en-US" w:eastAsia="zh-CN"/>
              </w:rPr>
              <w:t>10</w:t>
            </w:r>
            <w:r>
              <w:rPr>
                <w:rFonts w:hint="eastAsia" w:ascii="楷体" w:hAnsi="楷体" w:eastAsia="楷体"/>
                <w:szCs w:val="21"/>
                <w:lang w:eastAsia="zh-CN"/>
              </w:rPr>
              <w:t>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ascii="楷体" w:hAnsi="楷体" w:eastAsia="楷体"/>
                <w:szCs w:val="21"/>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w:t>
            </w:r>
            <w:r>
              <w:rPr>
                <w:rFonts w:hint="eastAsia" w:ascii="楷体" w:hAnsi="楷体" w:eastAsia="楷体"/>
                <w:szCs w:val="21"/>
                <w:lang w:eastAsia="zh-CN"/>
              </w:rPr>
              <w:t>月</w:t>
            </w:r>
            <w:r>
              <w:rPr>
                <w:rFonts w:hint="eastAsia" w:ascii="楷体" w:hAnsi="楷体" w:eastAsia="楷体"/>
                <w:szCs w:val="21"/>
                <w:lang w:val="en-US" w:eastAsia="zh-CN"/>
              </w:rPr>
              <w:t>16</w:t>
            </w:r>
            <w:r>
              <w:rPr>
                <w:rFonts w:hint="eastAsia" w:ascii="楷体" w:hAnsi="楷体" w:eastAsia="楷体"/>
                <w:szCs w:val="21"/>
                <w:lang w:eastAsia="zh-CN"/>
              </w:rPr>
              <w:t>日</w:t>
            </w:r>
            <w:r>
              <w:rPr>
                <w:rFonts w:hint="eastAsia" w:ascii="楷体" w:hAnsi="楷体" w:eastAsia="楷体"/>
                <w:szCs w:val="21"/>
              </w:rPr>
              <w:t>17:00</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w:t>
            </w:r>
            <w:r>
              <w:rPr>
                <w:rFonts w:hint="eastAsia" w:ascii="楷体" w:hAnsi="楷体" w:eastAsia="楷体"/>
                <w:szCs w:val="21"/>
                <w:lang w:eastAsia="zh-CN"/>
              </w:rPr>
              <w:t>月</w:t>
            </w:r>
            <w:r>
              <w:rPr>
                <w:rFonts w:hint="eastAsia" w:ascii="楷体" w:hAnsi="楷体" w:eastAsia="楷体"/>
                <w:szCs w:val="21"/>
                <w:lang w:val="en-US" w:eastAsia="zh-CN"/>
              </w:rPr>
              <w:t>17</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2</w:t>
            </w:r>
          </w:p>
        </w:tc>
        <w:tc>
          <w:tcPr>
            <w:tcW w:w="1871" w:type="dxa"/>
            <w:noWrap w:val="0"/>
            <w:vAlign w:val="center"/>
          </w:tcPr>
          <w:p>
            <w:pPr>
              <w:jc w:val="center"/>
              <w:rPr>
                <w:rFonts w:hint="eastAsia"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w:t>
            </w:r>
            <w:r>
              <w:rPr>
                <w:rFonts w:hint="eastAsia" w:ascii="楷体" w:hAnsi="楷体" w:eastAsia="楷体"/>
                <w:szCs w:val="21"/>
                <w:lang w:eastAsia="zh-CN"/>
              </w:rPr>
              <w:t>月</w:t>
            </w:r>
            <w:r>
              <w:rPr>
                <w:rFonts w:hint="eastAsia" w:ascii="楷体" w:hAnsi="楷体" w:eastAsia="楷体"/>
                <w:szCs w:val="21"/>
                <w:lang w:val="en-US" w:eastAsia="zh-CN"/>
              </w:rPr>
              <w:t>17</w:t>
            </w:r>
            <w:r>
              <w:rPr>
                <w:rFonts w:hint="eastAsia" w:ascii="楷体" w:hAnsi="楷体" w:eastAsia="楷体"/>
                <w:szCs w:val="21"/>
                <w:lang w:eastAsia="zh-CN"/>
              </w:rPr>
              <w:t>日</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4</w:t>
            </w:r>
            <w:r>
              <w:rPr>
                <w:rFonts w:hint="eastAsia" w:ascii="楷体" w:hAnsi="楷体" w:eastAsia="楷体"/>
                <w:szCs w:val="21"/>
                <w:lang w:eastAsia="zh-CN"/>
              </w:rPr>
              <w:t>月</w:t>
            </w:r>
            <w:r>
              <w:rPr>
                <w:rFonts w:hint="eastAsia" w:ascii="楷体" w:hAnsi="楷体" w:eastAsia="楷体"/>
                <w:szCs w:val="21"/>
                <w:lang w:val="en-US" w:eastAsia="zh-CN"/>
              </w:rPr>
              <w:t>29</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4</w:t>
            </w:r>
            <w:r>
              <w:rPr>
                <w:rFonts w:hint="eastAsia" w:ascii="楷体" w:hAnsi="楷体" w:eastAsia="楷体"/>
                <w:szCs w:val="21"/>
                <w:lang w:eastAsia="zh-CN"/>
              </w:rPr>
              <w:t>月</w:t>
            </w:r>
            <w:r>
              <w:rPr>
                <w:rFonts w:hint="eastAsia" w:ascii="楷体" w:hAnsi="楷体" w:eastAsia="楷体"/>
                <w:szCs w:val="21"/>
                <w:lang w:val="en-US" w:eastAsia="zh-CN"/>
              </w:rPr>
              <w:t>23</w:t>
            </w:r>
            <w:r>
              <w:rPr>
                <w:rFonts w:hint="eastAsia" w:ascii="楷体" w:hAnsi="楷体" w:eastAsia="楷体"/>
                <w:szCs w:val="21"/>
                <w:lang w:eastAsia="zh-CN"/>
              </w:rPr>
              <w:t>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4</w:t>
            </w:r>
            <w:r>
              <w:rPr>
                <w:rFonts w:hint="eastAsia" w:ascii="楷体" w:hAnsi="楷体" w:eastAsia="楷体"/>
                <w:szCs w:val="21"/>
                <w:lang w:eastAsia="zh-CN"/>
              </w:rPr>
              <w:t>月</w:t>
            </w:r>
            <w:r>
              <w:rPr>
                <w:rFonts w:hint="eastAsia" w:ascii="楷体" w:hAnsi="楷体" w:eastAsia="楷体"/>
                <w:szCs w:val="21"/>
                <w:lang w:val="en-US" w:eastAsia="zh-CN"/>
              </w:rPr>
              <w:t>29</w:t>
            </w:r>
            <w:r>
              <w:rPr>
                <w:rFonts w:hint="eastAsia" w:ascii="楷体" w:hAnsi="楷体" w:eastAsia="楷体"/>
                <w:szCs w:val="21"/>
                <w:lang w:eastAsia="zh-CN"/>
              </w:rPr>
              <w:t>日</w:t>
            </w:r>
            <w:r>
              <w:rPr>
                <w:rFonts w:hint="eastAsia" w:ascii="楷体" w:hAnsi="楷体" w:eastAsia="楷体"/>
                <w:szCs w:val="21"/>
              </w:rPr>
              <w:t>17:00</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4</w:t>
            </w:r>
            <w:r>
              <w:rPr>
                <w:rFonts w:hint="eastAsia" w:ascii="楷体" w:hAnsi="楷体" w:eastAsia="楷体"/>
                <w:szCs w:val="21"/>
                <w:lang w:eastAsia="zh-CN"/>
              </w:rPr>
              <w:t>月</w:t>
            </w:r>
            <w:r>
              <w:rPr>
                <w:rFonts w:hint="eastAsia" w:ascii="楷体" w:hAnsi="楷体" w:eastAsia="楷体"/>
                <w:szCs w:val="21"/>
                <w:lang w:val="en-US" w:eastAsia="zh-CN"/>
              </w:rPr>
              <w:t>30</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3</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4</w:t>
            </w:r>
            <w:r>
              <w:rPr>
                <w:rFonts w:hint="eastAsia" w:ascii="楷体" w:hAnsi="楷体" w:eastAsia="楷体"/>
                <w:szCs w:val="21"/>
                <w:lang w:eastAsia="zh-CN"/>
              </w:rPr>
              <w:t>月</w:t>
            </w:r>
            <w:r>
              <w:rPr>
                <w:rFonts w:hint="eastAsia" w:ascii="楷体" w:hAnsi="楷体" w:eastAsia="楷体"/>
                <w:szCs w:val="21"/>
                <w:lang w:val="en-US" w:eastAsia="zh-CN"/>
              </w:rPr>
              <w:t>30</w:t>
            </w:r>
            <w:r>
              <w:rPr>
                <w:rFonts w:hint="eastAsia" w:ascii="楷体" w:hAnsi="楷体" w:eastAsia="楷体"/>
                <w:szCs w:val="21"/>
                <w:lang w:eastAsia="zh-CN"/>
              </w:rPr>
              <w:t>日</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8</w:t>
            </w:r>
            <w:r>
              <w:rPr>
                <w:rFonts w:hint="eastAsia" w:ascii="楷体" w:hAnsi="楷体" w:eastAsia="楷体"/>
                <w:szCs w:val="21"/>
                <w:lang w:eastAsia="zh-CN"/>
              </w:rPr>
              <w:t>月</w:t>
            </w:r>
            <w:r>
              <w:rPr>
                <w:rFonts w:hint="eastAsia" w:ascii="楷体" w:hAnsi="楷体" w:eastAsia="楷体"/>
                <w:szCs w:val="21"/>
                <w:lang w:val="en-US" w:eastAsia="zh-CN"/>
              </w:rPr>
              <w:t>6</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7</w:t>
            </w:r>
            <w:r>
              <w:rPr>
                <w:rFonts w:hint="eastAsia" w:ascii="楷体" w:hAnsi="楷体" w:eastAsia="楷体"/>
                <w:szCs w:val="21"/>
                <w:lang w:eastAsia="zh-CN"/>
              </w:rPr>
              <w:t>月</w:t>
            </w:r>
            <w:r>
              <w:rPr>
                <w:rFonts w:hint="eastAsia" w:ascii="楷体" w:hAnsi="楷体" w:eastAsia="楷体"/>
                <w:szCs w:val="21"/>
                <w:lang w:val="en-US" w:eastAsia="zh-CN"/>
              </w:rPr>
              <w:t>29</w:t>
            </w:r>
            <w:r>
              <w:rPr>
                <w:rFonts w:hint="eastAsia" w:ascii="楷体" w:hAnsi="楷体" w:eastAsia="楷体"/>
                <w:szCs w:val="21"/>
                <w:lang w:eastAsia="zh-CN"/>
              </w:rPr>
              <w:t>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8</w:t>
            </w:r>
            <w:r>
              <w:rPr>
                <w:rFonts w:hint="eastAsia" w:ascii="楷体" w:hAnsi="楷体" w:eastAsia="楷体"/>
                <w:szCs w:val="21"/>
                <w:lang w:eastAsia="zh-CN"/>
              </w:rPr>
              <w:t>月</w:t>
            </w:r>
            <w:r>
              <w:rPr>
                <w:rFonts w:hint="eastAsia" w:ascii="楷体" w:hAnsi="楷体" w:eastAsia="楷体"/>
                <w:szCs w:val="21"/>
                <w:lang w:val="en-US" w:eastAsia="zh-CN"/>
              </w:rPr>
              <w:t>6</w:t>
            </w:r>
            <w:r>
              <w:rPr>
                <w:rFonts w:hint="eastAsia" w:ascii="楷体" w:hAnsi="楷体" w:eastAsia="楷体"/>
                <w:szCs w:val="21"/>
                <w:lang w:eastAsia="zh-CN"/>
              </w:rPr>
              <w:t>日</w:t>
            </w:r>
            <w:r>
              <w:rPr>
                <w:rFonts w:hint="eastAsia" w:ascii="楷体" w:hAnsi="楷体" w:eastAsia="楷体"/>
                <w:szCs w:val="21"/>
              </w:rPr>
              <w:t>17:00</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8</w:t>
            </w:r>
            <w:r>
              <w:rPr>
                <w:rFonts w:hint="eastAsia" w:ascii="楷体" w:hAnsi="楷体" w:eastAsia="楷体"/>
                <w:szCs w:val="21"/>
                <w:lang w:eastAsia="zh-CN"/>
              </w:rPr>
              <w:t>月</w:t>
            </w:r>
            <w:r>
              <w:rPr>
                <w:rFonts w:hint="eastAsia" w:ascii="楷体" w:hAnsi="楷体" w:eastAsia="楷体"/>
                <w:szCs w:val="21"/>
                <w:lang w:val="en-US" w:eastAsia="zh-CN"/>
              </w:rPr>
              <w:t>7</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4</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8</w:t>
            </w:r>
            <w:r>
              <w:rPr>
                <w:rFonts w:hint="eastAsia" w:ascii="楷体" w:hAnsi="楷体" w:eastAsia="楷体"/>
                <w:szCs w:val="21"/>
                <w:lang w:eastAsia="zh-CN"/>
              </w:rPr>
              <w:t>月</w:t>
            </w:r>
            <w:r>
              <w:rPr>
                <w:rFonts w:hint="eastAsia" w:ascii="楷体" w:hAnsi="楷体" w:eastAsia="楷体"/>
                <w:szCs w:val="21"/>
                <w:lang w:val="en-US" w:eastAsia="zh-CN"/>
              </w:rPr>
              <w:t>7</w:t>
            </w:r>
            <w:r>
              <w:rPr>
                <w:rFonts w:hint="eastAsia" w:ascii="楷体" w:hAnsi="楷体" w:eastAsia="楷体"/>
                <w:szCs w:val="21"/>
                <w:lang w:eastAsia="zh-CN"/>
              </w:rPr>
              <w:t>日</w:t>
            </w:r>
          </w:p>
        </w:tc>
        <w:tc>
          <w:tcPr>
            <w:tcW w:w="1871" w:type="dxa"/>
            <w:noWrap w:val="0"/>
            <w:vAlign w:val="center"/>
          </w:tcPr>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11</w:t>
            </w:r>
            <w:r>
              <w:rPr>
                <w:rFonts w:hint="eastAsia" w:ascii="楷体" w:hAnsi="楷体" w:eastAsia="楷体"/>
                <w:szCs w:val="21"/>
                <w:lang w:eastAsia="zh-CN"/>
              </w:rPr>
              <w:t>月</w:t>
            </w:r>
            <w:r>
              <w:rPr>
                <w:rFonts w:hint="eastAsia" w:ascii="楷体" w:hAnsi="楷体" w:eastAsia="楷体"/>
                <w:szCs w:val="21"/>
                <w:lang w:val="en-US" w:eastAsia="zh-CN"/>
              </w:rPr>
              <w:t>14</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11</w:t>
            </w:r>
            <w:r>
              <w:rPr>
                <w:rFonts w:hint="eastAsia" w:ascii="楷体" w:hAnsi="楷体" w:eastAsia="楷体"/>
                <w:szCs w:val="21"/>
                <w:lang w:eastAsia="zh-CN"/>
              </w:rPr>
              <w:t>月</w:t>
            </w:r>
            <w:r>
              <w:rPr>
                <w:rFonts w:hint="eastAsia" w:ascii="楷体" w:hAnsi="楷体" w:eastAsia="楷体"/>
                <w:szCs w:val="21"/>
                <w:lang w:val="en-US" w:eastAsia="zh-CN"/>
              </w:rPr>
              <w:t>6</w:t>
            </w:r>
            <w:r>
              <w:rPr>
                <w:rFonts w:hint="eastAsia" w:ascii="楷体" w:hAnsi="楷体" w:eastAsia="楷体"/>
                <w:szCs w:val="21"/>
                <w:lang w:eastAsia="zh-CN"/>
              </w:rPr>
              <w:t>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11</w:t>
            </w:r>
            <w:r>
              <w:rPr>
                <w:rFonts w:hint="eastAsia" w:ascii="楷体" w:hAnsi="楷体" w:eastAsia="楷体"/>
                <w:szCs w:val="21"/>
                <w:lang w:eastAsia="zh-CN"/>
              </w:rPr>
              <w:t>月</w:t>
            </w:r>
            <w:r>
              <w:rPr>
                <w:rFonts w:hint="eastAsia" w:ascii="楷体" w:hAnsi="楷体" w:eastAsia="楷体"/>
                <w:szCs w:val="21"/>
                <w:lang w:val="en-US" w:eastAsia="zh-CN"/>
              </w:rPr>
              <w:t>14</w:t>
            </w:r>
            <w:r>
              <w:rPr>
                <w:rFonts w:hint="eastAsia" w:ascii="楷体" w:hAnsi="楷体" w:eastAsia="楷体"/>
                <w:szCs w:val="21"/>
                <w:lang w:eastAsia="zh-CN"/>
              </w:rPr>
              <w:t>日</w:t>
            </w:r>
            <w:r>
              <w:rPr>
                <w:rFonts w:hint="eastAsia" w:ascii="楷体" w:hAnsi="楷体" w:eastAsia="楷体"/>
                <w:szCs w:val="21"/>
              </w:rPr>
              <w:t>17:00</w:t>
            </w:r>
          </w:p>
        </w:tc>
        <w:tc>
          <w:tcPr>
            <w:tcW w:w="1871" w:type="dxa"/>
            <w:noWrap w:val="0"/>
            <w:vAlign w:val="center"/>
          </w:tcPr>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11</w:t>
            </w:r>
            <w:r>
              <w:rPr>
                <w:rFonts w:hint="eastAsia" w:ascii="楷体" w:hAnsi="楷体" w:eastAsia="楷体"/>
                <w:szCs w:val="21"/>
                <w:lang w:eastAsia="zh-CN"/>
              </w:rPr>
              <w:t>月</w:t>
            </w:r>
            <w:r>
              <w:rPr>
                <w:rFonts w:hint="eastAsia" w:ascii="楷体" w:hAnsi="楷体" w:eastAsia="楷体"/>
                <w:szCs w:val="21"/>
                <w:lang w:val="en-US" w:eastAsia="zh-CN"/>
              </w:rPr>
              <w:t>15</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5</w:t>
            </w:r>
          </w:p>
        </w:tc>
        <w:tc>
          <w:tcPr>
            <w:tcW w:w="1871"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4</w:t>
            </w:r>
            <w:r>
              <w:rPr>
                <w:rFonts w:hint="eastAsia" w:ascii="楷体" w:hAnsi="楷体" w:eastAsia="楷体"/>
                <w:szCs w:val="21"/>
                <w:lang w:eastAsia="zh-CN"/>
              </w:rPr>
              <w:t>年</w:t>
            </w:r>
            <w:r>
              <w:rPr>
                <w:rFonts w:hint="eastAsia" w:ascii="楷体" w:hAnsi="楷体" w:eastAsia="楷体"/>
                <w:szCs w:val="21"/>
                <w:lang w:val="en-US" w:eastAsia="zh-CN"/>
              </w:rPr>
              <w:t>11</w:t>
            </w:r>
            <w:r>
              <w:rPr>
                <w:rFonts w:hint="eastAsia" w:ascii="楷体" w:hAnsi="楷体" w:eastAsia="楷体"/>
                <w:szCs w:val="21"/>
                <w:lang w:eastAsia="zh-CN"/>
              </w:rPr>
              <w:t>月</w:t>
            </w:r>
            <w:r>
              <w:rPr>
                <w:rFonts w:hint="eastAsia" w:ascii="楷体" w:hAnsi="楷体" w:eastAsia="楷体"/>
                <w:szCs w:val="21"/>
                <w:lang w:val="en-US" w:eastAsia="zh-CN"/>
              </w:rPr>
              <w:t>15</w:t>
            </w:r>
            <w:r>
              <w:rPr>
                <w:rFonts w:hint="eastAsia" w:ascii="楷体" w:hAnsi="楷体" w:eastAsia="楷体"/>
                <w:szCs w:val="21"/>
                <w:lang w:eastAsia="zh-CN"/>
              </w:rPr>
              <w:t>日</w:t>
            </w:r>
          </w:p>
        </w:tc>
        <w:tc>
          <w:tcPr>
            <w:tcW w:w="1871" w:type="dxa"/>
            <w:noWrap w:val="0"/>
            <w:vAlign w:val="center"/>
          </w:tcPr>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2</w:t>
            </w:r>
            <w:r>
              <w:rPr>
                <w:rFonts w:hint="eastAsia" w:ascii="楷体" w:hAnsi="楷体" w:eastAsia="楷体"/>
                <w:szCs w:val="21"/>
                <w:lang w:eastAsia="zh-CN"/>
              </w:rPr>
              <w:t>月</w:t>
            </w:r>
            <w:r>
              <w:rPr>
                <w:rFonts w:hint="eastAsia" w:ascii="楷体" w:hAnsi="楷体" w:eastAsia="楷体"/>
                <w:szCs w:val="21"/>
                <w:lang w:val="en-US" w:eastAsia="zh-CN"/>
              </w:rPr>
              <w:t>19</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 w:val="21"/>
                <w:szCs w:val="21"/>
                <w:lang w:val="en-US" w:eastAsia="zh-CN"/>
              </w:rPr>
              <w:t>2025年2月11日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 w:val="21"/>
                <w:szCs w:val="21"/>
                <w:lang w:val="en-US" w:eastAsia="zh-CN"/>
              </w:rPr>
              <w:t>2025年2月19日</w:t>
            </w:r>
            <w:r>
              <w:rPr>
                <w:rFonts w:hint="eastAsia" w:ascii="楷体" w:hAnsi="楷体" w:eastAsia="楷体"/>
                <w:szCs w:val="21"/>
              </w:rPr>
              <w:t>17:00</w:t>
            </w:r>
          </w:p>
        </w:tc>
        <w:tc>
          <w:tcPr>
            <w:tcW w:w="1871" w:type="dxa"/>
            <w:noWrap w:val="0"/>
            <w:vAlign w:val="center"/>
          </w:tcPr>
          <w:p>
            <w:pPr>
              <w:jc w:val="center"/>
              <w:rPr>
                <w:rFonts w:hint="eastAsia" w:ascii="楷体" w:hAnsi="Times New Roman" w:eastAsia="楷体" w:cs="楷体"/>
                <w:color w:val="000000"/>
                <w:kern w:val="0"/>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2</w:t>
            </w:r>
            <w:r>
              <w:rPr>
                <w:rFonts w:hint="eastAsia" w:ascii="楷体" w:hAnsi="楷体" w:eastAsia="楷体"/>
                <w:szCs w:val="21"/>
                <w:lang w:eastAsia="zh-CN"/>
              </w:rPr>
              <w:t>月</w:t>
            </w:r>
            <w:r>
              <w:rPr>
                <w:rFonts w:hint="eastAsia" w:ascii="楷体" w:hAnsi="楷体" w:eastAsia="楷体"/>
                <w:szCs w:val="21"/>
                <w:lang w:val="en-US" w:eastAsia="zh-CN"/>
              </w:rPr>
              <w:t>20</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6</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2</w:t>
            </w:r>
            <w:r>
              <w:rPr>
                <w:rFonts w:hint="eastAsia" w:ascii="楷体" w:hAnsi="楷体" w:eastAsia="楷体"/>
                <w:szCs w:val="21"/>
                <w:lang w:eastAsia="zh-CN"/>
              </w:rPr>
              <w:t>月</w:t>
            </w:r>
            <w:r>
              <w:rPr>
                <w:rFonts w:hint="eastAsia" w:ascii="楷体" w:hAnsi="楷体" w:eastAsia="楷体"/>
                <w:szCs w:val="21"/>
                <w:lang w:val="en-US" w:eastAsia="zh-CN"/>
              </w:rPr>
              <w:t>20</w:t>
            </w:r>
            <w:r>
              <w:rPr>
                <w:rFonts w:hint="eastAsia" w:ascii="楷体" w:hAnsi="楷体" w:eastAsia="楷体"/>
                <w:szCs w:val="21"/>
                <w:lang w:eastAsia="zh-CN"/>
              </w:rPr>
              <w:t>日</w:t>
            </w:r>
          </w:p>
        </w:tc>
        <w:tc>
          <w:tcPr>
            <w:tcW w:w="1871"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5</w:t>
            </w:r>
            <w:r>
              <w:rPr>
                <w:rFonts w:hint="eastAsia" w:ascii="楷体" w:hAnsi="楷体" w:eastAsia="楷体"/>
                <w:szCs w:val="21"/>
                <w:lang w:eastAsia="zh-CN"/>
              </w:rPr>
              <w:t>月</w:t>
            </w:r>
            <w:r>
              <w:rPr>
                <w:rFonts w:hint="eastAsia" w:ascii="楷体" w:hAnsi="楷体" w:eastAsia="楷体"/>
                <w:szCs w:val="21"/>
                <w:lang w:val="en-US" w:eastAsia="zh-CN"/>
              </w:rPr>
              <w:t>28</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 w:val="21"/>
                <w:szCs w:val="21"/>
                <w:lang w:val="en-US" w:eastAsia="zh-CN"/>
              </w:rPr>
              <w:t>2025年5月20日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eastAsia" w:ascii="楷体" w:hAnsi="楷体" w:eastAsia="楷体"/>
                <w:szCs w:val="21"/>
                <w:lang w:eastAsia="zh-CN"/>
              </w:rPr>
            </w:pPr>
            <w:r>
              <w:rPr>
                <w:rFonts w:hint="eastAsia" w:ascii="楷体" w:hAnsi="楷体" w:eastAsia="楷体"/>
                <w:sz w:val="21"/>
                <w:szCs w:val="21"/>
                <w:lang w:val="en-US" w:eastAsia="zh-CN"/>
              </w:rPr>
              <w:t>2025年5月28日</w:t>
            </w:r>
            <w:r>
              <w:rPr>
                <w:rFonts w:hint="eastAsia" w:ascii="楷体" w:hAnsi="楷体" w:eastAsia="楷体"/>
                <w:szCs w:val="21"/>
              </w:rPr>
              <w:t>17:00</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5</w:t>
            </w:r>
            <w:r>
              <w:rPr>
                <w:rFonts w:hint="eastAsia" w:ascii="楷体" w:hAnsi="楷体" w:eastAsia="楷体"/>
                <w:szCs w:val="21"/>
                <w:lang w:eastAsia="zh-CN"/>
              </w:rPr>
              <w:t>月</w:t>
            </w:r>
            <w:r>
              <w:rPr>
                <w:rFonts w:hint="eastAsia" w:ascii="楷体" w:hAnsi="楷体" w:eastAsia="楷体"/>
                <w:szCs w:val="21"/>
                <w:lang w:val="en-US" w:eastAsia="zh-CN"/>
              </w:rPr>
              <w:t>29</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kern w:val="2"/>
                <w:sz w:val="21"/>
                <w:szCs w:val="21"/>
                <w:lang w:val="en-US" w:eastAsia="zh-CN" w:bidi="ar-SA"/>
              </w:rPr>
            </w:pPr>
            <w:r>
              <w:rPr>
                <w:rFonts w:hint="eastAsia" w:ascii="楷体" w:hAnsi="楷体" w:eastAsia="楷体"/>
                <w:kern w:val="2"/>
                <w:sz w:val="21"/>
                <w:szCs w:val="21"/>
                <w:lang w:val="en-US" w:eastAsia="zh-CN" w:bidi="ar-SA"/>
              </w:rPr>
              <w:t>7</w:t>
            </w:r>
          </w:p>
        </w:tc>
        <w:tc>
          <w:tcPr>
            <w:tcW w:w="1871" w:type="dxa"/>
            <w:noWrap w:val="0"/>
            <w:vAlign w:val="center"/>
          </w:tcPr>
          <w:p>
            <w:pPr>
              <w:jc w:val="center"/>
              <w:rPr>
                <w:rFonts w:hint="eastAsia" w:ascii="楷体" w:hAnsi="楷体" w:eastAsia="楷体"/>
                <w:kern w:val="2"/>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5</w:t>
            </w:r>
            <w:r>
              <w:rPr>
                <w:rFonts w:hint="eastAsia" w:ascii="楷体" w:hAnsi="楷体" w:eastAsia="楷体"/>
                <w:szCs w:val="21"/>
                <w:lang w:eastAsia="zh-CN"/>
              </w:rPr>
              <w:t>月</w:t>
            </w:r>
            <w:r>
              <w:rPr>
                <w:rFonts w:hint="eastAsia" w:ascii="楷体" w:hAnsi="楷体" w:eastAsia="楷体"/>
                <w:szCs w:val="21"/>
                <w:lang w:val="en-US" w:eastAsia="zh-CN"/>
              </w:rPr>
              <w:t>29</w:t>
            </w:r>
            <w:r>
              <w:rPr>
                <w:rFonts w:hint="eastAsia" w:ascii="楷体" w:hAnsi="楷体" w:eastAsia="楷体"/>
                <w:szCs w:val="21"/>
                <w:lang w:eastAsia="zh-CN"/>
              </w:rPr>
              <w:t>日</w:t>
            </w:r>
          </w:p>
        </w:tc>
        <w:tc>
          <w:tcPr>
            <w:tcW w:w="1871" w:type="dxa"/>
            <w:noWrap w:val="0"/>
            <w:vAlign w:val="center"/>
          </w:tcPr>
          <w:p>
            <w:pPr>
              <w:jc w:val="center"/>
              <w:rPr>
                <w:rFonts w:hint="default" w:ascii="楷体" w:hAnsi="楷体" w:eastAsia="楷体"/>
                <w:kern w:val="2"/>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9</w:t>
            </w:r>
            <w:r>
              <w:rPr>
                <w:rFonts w:hint="eastAsia" w:ascii="楷体" w:hAnsi="楷体" w:eastAsia="楷体"/>
                <w:szCs w:val="21"/>
                <w:lang w:eastAsia="zh-CN"/>
              </w:rPr>
              <w:t>月</w:t>
            </w:r>
            <w:r>
              <w:rPr>
                <w:rFonts w:hint="eastAsia" w:ascii="楷体" w:hAnsi="楷体" w:eastAsia="楷体"/>
                <w:szCs w:val="21"/>
                <w:lang w:val="en-US" w:eastAsia="zh-CN"/>
              </w:rPr>
              <w:t>3</w:t>
            </w:r>
            <w:r>
              <w:rPr>
                <w:rFonts w:hint="eastAsia" w:ascii="楷体" w:hAnsi="楷体" w:eastAsia="楷体"/>
                <w:szCs w:val="21"/>
                <w:lang w:eastAsia="zh-CN"/>
              </w:rPr>
              <w:t>日</w:t>
            </w:r>
          </w:p>
        </w:tc>
        <w:tc>
          <w:tcPr>
            <w:tcW w:w="2381" w:type="dxa"/>
            <w:noWrap w:val="0"/>
            <w:vAlign w:val="center"/>
          </w:tcPr>
          <w:p>
            <w:pPr>
              <w:jc w:val="center"/>
              <w:rPr>
                <w:rFonts w:ascii="楷体" w:hAnsi="楷体" w:eastAsia="楷体"/>
                <w:szCs w:val="21"/>
              </w:rPr>
            </w:pPr>
            <w:r>
              <w:rPr>
                <w:rFonts w:hint="eastAsia" w:ascii="楷体" w:hAnsi="楷体" w:eastAsia="楷体"/>
                <w:sz w:val="21"/>
                <w:szCs w:val="21"/>
                <w:lang w:val="en-US" w:eastAsia="zh-CN"/>
              </w:rPr>
              <w:t>2025年8月26日</w:t>
            </w:r>
            <w:r>
              <w:rPr>
                <w:rFonts w:hint="eastAsia" w:ascii="楷体" w:hAnsi="楷体" w:eastAsia="楷体"/>
                <w:szCs w:val="21"/>
              </w:rPr>
              <w:t>9:00</w:t>
            </w:r>
          </w:p>
          <w:p>
            <w:pPr>
              <w:jc w:val="center"/>
              <w:rPr>
                <w:rFonts w:ascii="楷体" w:hAnsi="楷体" w:eastAsia="楷体"/>
                <w:szCs w:val="21"/>
              </w:rPr>
            </w:pPr>
            <w:r>
              <w:rPr>
                <w:rFonts w:hint="eastAsia" w:ascii="楷体" w:hAnsi="楷体" w:eastAsia="楷体"/>
                <w:szCs w:val="21"/>
              </w:rPr>
              <w:t>至</w:t>
            </w:r>
          </w:p>
          <w:p>
            <w:pPr>
              <w:jc w:val="center"/>
              <w:rPr>
                <w:rFonts w:hint="default" w:ascii="楷体" w:hAnsi="楷体" w:eastAsia="楷体"/>
                <w:kern w:val="2"/>
                <w:sz w:val="21"/>
                <w:szCs w:val="21"/>
                <w:lang w:val="en-US" w:eastAsia="zh-CN" w:bidi="ar-SA"/>
              </w:rPr>
            </w:pPr>
            <w:r>
              <w:rPr>
                <w:rFonts w:hint="eastAsia" w:ascii="楷体" w:hAnsi="楷体" w:eastAsia="楷体"/>
                <w:sz w:val="21"/>
                <w:szCs w:val="21"/>
                <w:lang w:val="en-US" w:eastAsia="zh-CN"/>
              </w:rPr>
              <w:t>2025年9月3日</w:t>
            </w:r>
            <w:r>
              <w:rPr>
                <w:rFonts w:hint="eastAsia" w:ascii="楷体" w:hAnsi="楷体" w:eastAsia="楷体"/>
                <w:szCs w:val="21"/>
              </w:rPr>
              <w:t>17:00</w:t>
            </w:r>
          </w:p>
        </w:tc>
        <w:tc>
          <w:tcPr>
            <w:tcW w:w="1871" w:type="dxa"/>
            <w:noWrap w:val="0"/>
            <w:vAlign w:val="center"/>
          </w:tcPr>
          <w:p>
            <w:pPr>
              <w:jc w:val="center"/>
              <w:rPr>
                <w:rFonts w:hint="default" w:ascii="楷体" w:hAnsi="楷体" w:eastAsia="楷体"/>
                <w:kern w:val="2"/>
                <w:sz w:val="21"/>
                <w:szCs w:val="21"/>
                <w:lang w:val="en-US" w:eastAsia="zh-CN" w:bidi="ar-SA"/>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9</w:t>
            </w:r>
            <w:r>
              <w:rPr>
                <w:rFonts w:hint="eastAsia" w:ascii="楷体" w:hAnsi="楷体" w:eastAsia="楷体"/>
                <w:szCs w:val="21"/>
                <w:lang w:eastAsia="zh-CN"/>
              </w:rPr>
              <w:t>月</w:t>
            </w:r>
            <w:r>
              <w:rPr>
                <w:rFonts w:hint="eastAsia" w:ascii="楷体" w:hAnsi="楷体" w:eastAsia="楷体"/>
                <w:szCs w:val="21"/>
                <w:lang w:val="en-US" w:eastAsia="zh-CN"/>
              </w:rPr>
              <w:t>4</w:t>
            </w:r>
            <w:r>
              <w:rPr>
                <w:rFonts w:hint="eastAsia" w:ascii="楷体" w:hAnsi="楷体" w:eastAsia="楷体"/>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noWrap w:val="0"/>
            <w:vAlign w:val="center"/>
          </w:tcPr>
          <w:p>
            <w:pPr>
              <w:jc w:val="center"/>
              <w:rPr>
                <w:rFonts w:hint="default" w:ascii="楷体" w:hAnsi="楷体" w:eastAsia="楷体"/>
                <w:kern w:val="2"/>
                <w:sz w:val="21"/>
                <w:szCs w:val="21"/>
                <w:lang w:val="en-US" w:eastAsia="zh-CN" w:bidi="ar-SA"/>
              </w:rPr>
            </w:pPr>
            <w:r>
              <w:rPr>
                <w:rFonts w:hint="eastAsia" w:ascii="楷体" w:hAnsi="楷体" w:eastAsia="楷体"/>
                <w:kern w:val="2"/>
                <w:sz w:val="21"/>
                <w:szCs w:val="21"/>
                <w:lang w:val="en-US" w:eastAsia="zh-CN" w:bidi="ar-SA"/>
              </w:rPr>
              <w:t>8</w:t>
            </w:r>
          </w:p>
        </w:tc>
        <w:tc>
          <w:tcPr>
            <w:tcW w:w="1871"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202</w:t>
            </w:r>
            <w:r>
              <w:rPr>
                <w:rFonts w:hint="eastAsia" w:ascii="楷体" w:hAnsi="楷体" w:eastAsia="楷体"/>
                <w:szCs w:val="21"/>
                <w:lang w:val="en-US" w:eastAsia="zh-CN"/>
              </w:rPr>
              <w:t>5</w:t>
            </w:r>
            <w:r>
              <w:rPr>
                <w:rFonts w:hint="eastAsia" w:ascii="楷体" w:hAnsi="楷体" w:eastAsia="楷体"/>
                <w:szCs w:val="21"/>
                <w:lang w:eastAsia="zh-CN"/>
              </w:rPr>
              <w:t>年</w:t>
            </w:r>
            <w:r>
              <w:rPr>
                <w:rFonts w:hint="eastAsia" w:ascii="楷体" w:hAnsi="楷体" w:eastAsia="楷体"/>
                <w:szCs w:val="21"/>
                <w:lang w:val="en-US" w:eastAsia="zh-CN"/>
              </w:rPr>
              <w:t>9</w:t>
            </w:r>
            <w:r>
              <w:rPr>
                <w:rFonts w:hint="eastAsia" w:ascii="楷体" w:hAnsi="楷体" w:eastAsia="楷体"/>
                <w:szCs w:val="21"/>
                <w:lang w:eastAsia="zh-CN"/>
              </w:rPr>
              <w:t>月</w:t>
            </w:r>
            <w:r>
              <w:rPr>
                <w:rFonts w:hint="eastAsia" w:ascii="楷体" w:hAnsi="楷体" w:eastAsia="楷体"/>
                <w:szCs w:val="21"/>
                <w:lang w:val="en-US" w:eastAsia="zh-CN"/>
              </w:rPr>
              <w:t>4</w:t>
            </w:r>
            <w:r>
              <w:rPr>
                <w:rFonts w:hint="eastAsia" w:ascii="楷体" w:hAnsi="楷体" w:eastAsia="楷体"/>
                <w:szCs w:val="21"/>
                <w:lang w:eastAsia="zh-CN"/>
              </w:rPr>
              <w:t>日</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Times New Roman" w:eastAsia="楷体" w:cs="楷体"/>
                <w:color w:val="000000"/>
                <w:kern w:val="0"/>
                <w:szCs w:val="21"/>
                <w:lang w:val="en-US" w:eastAsia="zh-CN"/>
              </w:rPr>
              <w:t>-</w:t>
            </w:r>
          </w:p>
        </w:tc>
        <w:tc>
          <w:tcPr>
            <w:tcW w:w="238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Times New Roman" w:eastAsia="楷体" w:cs="楷体"/>
                <w:color w:val="000000"/>
                <w:kern w:val="0"/>
                <w:szCs w:val="21"/>
                <w:lang w:val="en-US" w:eastAsia="zh-CN"/>
              </w:rPr>
              <w:t>-</w:t>
            </w:r>
          </w:p>
        </w:tc>
        <w:tc>
          <w:tcPr>
            <w:tcW w:w="1871" w:type="dxa"/>
            <w:noWrap w:val="0"/>
            <w:vAlign w:val="center"/>
          </w:tcPr>
          <w:p>
            <w:pPr>
              <w:jc w:val="center"/>
              <w:rPr>
                <w:rFonts w:hint="default" w:ascii="楷体" w:hAnsi="Times New Roman" w:eastAsia="楷体" w:cs="楷体"/>
                <w:color w:val="000000"/>
                <w:kern w:val="0"/>
                <w:szCs w:val="21"/>
                <w:lang w:val="en-US" w:eastAsia="zh-CN"/>
              </w:rPr>
            </w:pPr>
            <w:r>
              <w:rPr>
                <w:rFonts w:hint="eastAsia" w:ascii="楷体" w:hAnsi="Times New Roman" w:eastAsia="楷体" w:cs="楷体"/>
                <w:color w:val="000000"/>
                <w:kern w:val="0"/>
                <w:szCs w:val="21"/>
                <w:lang w:val="en-US" w:eastAsia="zh-CN"/>
              </w:rPr>
              <w:t>-</w:t>
            </w:r>
          </w:p>
        </w:tc>
      </w:tr>
    </w:tbl>
    <w:p>
      <w:pPr>
        <w:numPr>
          <w:ilvl w:val="0"/>
          <w:numId w:val="15"/>
        </w:numPr>
        <w:tabs>
          <w:tab w:val="left" w:pos="728"/>
        </w:tabs>
        <w:ind w:left="0" w:firstLine="480" w:firstLineChars="200"/>
        <w:rPr>
          <w:rFonts w:hint="eastAsia" w:ascii="楷体" w:hAnsi="楷体" w:eastAsia="楷体" w:cs="Calibri"/>
          <w:sz w:val="24"/>
          <w:szCs w:val="24"/>
        </w:rPr>
      </w:pPr>
      <w:r>
        <w:rPr>
          <w:rFonts w:ascii="楷体" w:hAnsi="楷体" w:eastAsia="楷体" w:cs="Calibri"/>
          <w:sz w:val="24"/>
          <w:szCs w:val="24"/>
        </w:rPr>
        <w:t>申购</w:t>
      </w:r>
      <w:r>
        <w:rPr>
          <w:rFonts w:hint="eastAsia" w:ascii="楷体" w:hAnsi="楷体" w:eastAsia="楷体" w:cs="Calibri"/>
          <w:sz w:val="24"/>
          <w:szCs w:val="24"/>
        </w:rPr>
        <w:t>、</w:t>
      </w:r>
      <w:r>
        <w:rPr>
          <w:rFonts w:ascii="楷体" w:hAnsi="楷体" w:eastAsia="楷体" w:cs="Calibri"/>
          <w:sz w:val="24"/>
          <w:szCs w:val="24"/>
        </w:rPr>
        <w:t>赎回的数额限制</w:t>
      </w:r>
      <w:r>
        <w:rPr>
          <w:rFonts w:hint="eastAsia" w:ascii="楷体" w:hAnsi="楷体" w:eastAsia="楷体" w:cs="Calibri"/>
          <w:sz w:val="24"/>
          <w:szCs w:val="24"/>
        </w:rPr>
        <w:t>：（以各销售机构设置为准）</w:t>
      </w:r>
    </w:p>
    <w:p>
      <w:pPr>
        <w:tabs>
          <w:tab w:val="left" w:pos="728"/>
        </w:tabs>
        <w:ind w:firstLine="486" w:firstLineChars="206"/>
        <w:rPr>
          <w:rFonts w:hint="eastAsia" w:ascii="楷体" w:hAnsi="楷体" w:eastAsia="楷体" w:cs="Calibri"/>
          <w:sz w:val="24"/>
          <w:szCs w:val="24"/>
        </w:rPr>
      </w:pPr>
      <w:r>
        <w:rPr>
          <w:rFonts w:hint="eastAsia" w:ascii="楷体" w:hAnsi="楷体" w:eastAsia="楷体" w:cs="宋体"/>
          <w:spacing w:val="-2"/>
          <w:sz w:val="24"/>
          <w:szCs w:val="24"/>
        </w:rPr>
        <w:t>A份额：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元，并以</w:t>
      </w:r>
      <w:r>
        <w:rPr>
          <w:rFonts w:ascii="楷体" w:hAnsi="楷体" w:eastAsia="楷体" w:cs="Calibri"/>
          <w:sz w:val="24"/>
          <w:szCs w:val="24"/>
        </w:rPr>
        <w:t>1</w:t>
      </w:r>
      <w:r>
        <w:rPr>
          <w:rFonts w:hint="eastAsia" w:ascii="楷体" w:hAnsi="楷体" w:eastAsia="楷体" w:cs="Calibri"/>
          <w:sz w:val="24"/>
          <w:szCs w:val="24"/>
        </w:rPr>
        <w:t>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86" w:firstLineChars="206"/>
        <w:rPr>
          <w:rFonts w:ascii="楷体" w:hAnsi="楷体" w:eastAsia="楷体" w:cs="Calibri"/>
          <w:sz w:val="24"/>
          <w:szCs w:val="24"/>
        </w:rPr>
      </w:pPr>
      <w:r>
        <w:rPr>
          <w:rFonts w:ascii="楷体" w:hAnsi="楷体" w:eastAsia="楷体" w:cs="宋体"/>
          <w:spacing w:val="-2"/>
          <w:sz w:val="24"/>
          <w:szCs w:val="24"/>
        </w:rPr>
        <w:t>C</w:t>
      </w:r>
      <w:r>
        <w:rPr>
          <w:rFonts w:hint="eastAsia" w:ascii="楷体" w:hAnsi="楷体" w:eastAsia="楷体" w:cs="宋体"/>
          <w:spacing w:val="-2"/>
          <w:sz w:val="24"/>
          <w:szCs w:val="24"/>
        </w:rPr>
        <w:t>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万元的整数倍递增，申购时若为首次投资，申购金额不得少于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万元，并以</w:t>
      </w:r>
      <w:r>
        <w:rPr>
          <w:rFonts w:ascii="楷体" w:hAnsi="楷体" w:eastAsia="楷体" w:cs="Calibri"/>
          <w:sz w:val="24"/>
          <w:szCs w:val="24"/>
        </w:rPr>
        <w:t>1</w:t>
      </w:r>
      <w:r>
        <w:rPr>
          <w:rFonts w:hint="eastAsia" w:ascii="楷体" w:hAnsi="楷体" w:eastAsia="楷体" w:cs="Calibri"/>
          <w:sz w:val="24"/>
          <w:szCs w:val="24"/>
        </w:rPr>
        <w:t>万元的整数倍递增；投资者每次赎回申请不得低于1份产品份额，赎回时或赎回后保留的产品份额余额不足1份的，在赎回时需一次全部赎回。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86" w:firstLineChars="206"/>
        <w:rPr>
          <w:rFonts w:hint="eastAsia" w:ascii="楷体" w:hAnsi="楷体" w:eastAsia="楷体"/>
          <w:sz w:val="24"/>
          <w:szCs w:val="24"/>
        </w:rPr>
      </w:pPr>
      <w:r>
        <w:rPr>
          <w:rFonts w:ascii="楷体" w:hAnsi="楷体" w:eastAsia="楷体" w:cs="宋体"/>
          <w:spacing w:val="-2"/>
          <w:sz w:val="24"/>
          <w:szCs w:val="24"/>
        </w:rPr>
        <w:t>D</w:t>
      </w:r>
      <w:r>
        <w:rPr>
          <w:rFonts w:hint="eastAsia" w:ascii="楷体" w:hAnsi="楷体" w:eastAsia="楷体" w:cs="宋体"/>
          <w:spacing w:val="-2"/>
          <w:sz w:val="24"/>
          <w:szCs w:val="24"/>
        </w:rPr>
        <w:t>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万元的整数倍递增，申购时若为首次投资，</w:t>
      </w:r>
      <w:r>
        <w:rPr>
          <w:rFonts w:hint="eastAsia" w:ascii="楷体" w:hAnsi="楷体" w:eastAsia="楷体" w:cs="Calibri"/>
          <w:sz w:val="24"/>
          <w:szCs w:val="24"/>
          <w:lang w:val="en-US" w:eastAsia="zh-CN"/>
        </w:rPr>
        <w:t>个人</w:t>
      </w:r>
      <w:r>
        <w:rPr>
          <w:rFonts w:hint="eastAsia" w:ascii="楷体" w:hAnsi="楷体" w:eastAsia="楷体" w:cs="Calibri"/>
          <w:sz w:val="24"/>
          <w:szCs w:val="24"/>
        </w:rPr>
        <w:t>投资者申购金额不得少于</w:t>
      </w:r>
      <w:r>
        <w:rPr>
          <w:rFonts w:ascii="楷体" w:hAnsi="楷体" w:eastAsia="楷体" w:cs="Calibri"/>
          <w:sz w:val="24"/>
          <w:szCs w:val="24"/>
        </w:rPr>
        <w:t>50</w:t>
      </w:r>
      <w:r>
        <w:rPr>
          <w:rFonts w:hint="eastAsia" w:ascii="楷体" w:hAnsi="楷体" w:eastAsia="楷体" w:cs="Calibri"/>
          <w:sz w:val="24"/>
          <w:szCs w:val="24"/>
        </w:rPr>
        <w:t>万元，并以</w:t>
      </w:r>
      <w:r>
        <w:rPr>
          <w:rFonts w:ascii="楷体" w:hAnsi="楷体" w:eastAsia="楷体" w:cs="Calibri"/>
          <w:sz w:val="24"/>
          <w:szCs w:val="24"/>
        </w:rPr>
        <w:t>1</w:t>
      </w:r>
      <w:r>
        <w:rPr>
          <w:rFonts w:hint="eastAsia" w:ascii="楷体" w:hAnsi="楷体" w:eastAsia="楷体" w:cs="Calibri"/>
          <w:sz w:val="24"/>
          <w:szCs w:val="24"/>
        </w:rPr>
        <w:t>万元的整数倍递增；</w:t>
      </w:r>
      <w:r>
        <w:rPr>
          <w:rFonts w:hint="eastAsia" w:ascii="楷体" w:hAnsi="楷体" w:eastAsia="楷体" w:cs="Calibri"/>
          <w:sz w:val="24"/>
          <w:szCs w:val="24"/>
          <w:lang w:val="en-US" w:eastAsia="zh-CN"/>
        </w:rPr>
        <w:t>机构</w:t>
      </w:r>
      <w:r>
        <w:rPr>
          <w:rFonts w:hint="eastAsia" w:ascii="楷体" w:hAnsi="楷体" w:eastAsia="楷体" w:cs="Calibri"/>
          <w:sz w:val="24"/>
          <w:szCs w:val="24"/>
        </w:rPr>
        <w:t>投资者申购金额不得少于</w:t>
      </w:r>
      <w:r>
        <w:rPr>
          <w:rFonts w:ascii="楷体" w:hAnsi="楷体" w:eastAsia="楷体" w:cs="Calibri"/>
          <w:sz w:val="24"/>
          <w:szCs w:val="24"/>
        </w:rPr>
        <w:t>50</w:t>
      </w:r>
      <w:r>
        <w:rPr>
          <w:rFonts w:hint="eastAsia" w:ascii="楷体" w:hAnsi="楷体" w:eastAsia="楷体" w:cs="Calibri"/>
          <w:sz w:val="24"/>
          <w:szCs w:val="24"/>
          <w:lang w:val="en-US" w:eastAsia="zh-CN"/>
        </w:rPr>
        <w:t>00</w:t>
      </w:r>
      <w:r>
        <w:rPr>
          <w:rFonts w:hint="eastAsia" w:ascii="楷体" w:hAnsi="楷体" w:eastAsia="楷体" w:cs="Calibri"/>
          <w:sz w:val="24"/>
          <w:szCs w:val="24"/>
        </w:rPr>
        <w:t>万元，并以</w:t>
      </w:r>
      <w:r>
        <w:rPr>
          <w:rFonts w:ascii="楷体" w:hAnsi="楷体" w:eastAsia="楷体" w:cs="Calibri"/>
          <w:sz w:val="24"/>
          <w:szCs w:val="24"/>
        </w:rPr>
        <w:t>1</w:t>
      </w:r>
      <w:r>
        <w:rPr>
          <w:rFonts w:hint="eastAsia" w:ascii="楷体" w:hAnsi="楷体" w:eastAsia="楷体" w:cs="Calibri"/>
          <w:sz w:val="24"/>
          <w:szCs w:val="24"/>
        </w:rPr>
        <w:t>万元的整数倍递增</w:t>
      </w:r>
      <w:r>
        <w:rPr>
          <w:rFonts w:hint="eastAsia" w:ascii="楷体" w:hAnsi="楷体" w:eastAsia="楷体" w:cs="Calibri"/>
          <w:sz w:val="24"/>
          <w:szCs w:val="24"/>
          <w:lang w:eastAsia="zh-CN"/>
        </w:rPr>
        <w:t>；</w:t>
      </w:r>
      <w:r>
        <w:rPr>
          <w:rFonts w:hint="eastAsia" w:ascii="楷体" w:hAnsi="楷体" w:eastAsia="楷体" w:cs="Calibri"/>
          <w:sz w:val="24"/>
          <w:szCs w:val="24"/>
        </w:rPr>
        <w:t>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86" w:firstLineChars="206"/>
        <w:rPr>
          <w:rFonts w:hint="eastAsia" w:ascii="楷体" w:hAnsi="楷体" w:eastAsia="楷体"/>
          <w:sz w:val="24"/>
          <w:szCs w:val="24"/>
        </w:rPr>
      </w:pPr>
      <w:r>
        <w:rPr>
          <w:rFonts w:hint="eastAsia" w:ascii="楷体" w:hAnsi="楷体" w:eastAsia="楷体" w:cs="宋体"/>
          <w:spacing w:val="-2"/>
          <w:sz w:val="24"/>
          <w:szCs w:val="24"/>
          <w:lang w:val="en-US" w:eastAsia="zh-CN"/>
        </w:rPr>
        <w:t>E</w:t>
      </w:r>
      <w:r>
        <w:rPr>
          <w:rFonts w:hint="eastAsia" w:ascii="楷体" w:hAnsi="楷体" w:eastAsia="楷体" w:cs="宋体"/>
          <w:spacing w:val="-2"/>
          <w:sz w:val="24"/>
          <w:szCs w:val="24"/>
        </w:rPr>
        <w:t>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万元的整数倍递增，申购时若为首次投资，申购金额不得少于</w:t>
      </w:r>
      <w:r>
        <w:rPr>
          <w:rFonts w:hint="eastAsia" w:ascii="楷体" w:hAnsi="楷体" w:eastAsia="楷体" w:cs="Calibri"/>
          <w:sz w:val="24"/>
          <w:szCs w:val="24"/>
          <w:lang w:val="en-US" w:eastAsia="zh-CN"/>
        </w:rPr>
        <w:t>100</w:t>
      </w:r>
      <w:r>
        <w:rPr>
          <w:rFonts w:hint="eastAsia" w:ascii="楷体" w:hAnsi="楷体" w:eastAsia="楷体" w:cs="Calibri"/>
          <w:sz w:val="24"/>
          <w:szCs w:val="24"/>
        </w:rPr>
        <w:t>万元，并以</w:t>
      </w:r>
      <w:r>
        <w:rPr>
          <w:rFonts w:ascii="楷体" w:hAnsi="楷体" w:eastAsia="楷体" w:cs="Calibri"/>
          <w:sz w:val="24"/>
          <w:szCs w:val="24"/>
        </w:rPr>
        <w:t>1</w:t>
      </w:r>
      <w:r>
        <w:rPr>
          <w:rFonts w:hint="eastAsia" w:ascii="楷体" w:hAnsi="楷体" w:eastAsia="楷体" w:cs="Calibri"/>
          <w:sz w:val="24"/>
          <w:szCs w:val="24"/>
        </w:rPr>
        <w:t>万元的整数倍递增；投资者每次赎回申请不得低于1份产品份额，赎回时或赎回后保留的产品份额余额不足1份的，在赎回时需一次全部赎回。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94" w:firstLineChars="206"/>
        <w:rPr>
          <w:rFonts w:hint="eastAsia" w:ascii="楷体" w:hAnsi="楷体" w:eastAsia="楷体"/>
          <w:sz w:val="24"/>
          <w:szCs w:val="24"/>
        </w:rPr>
      </w:pPr>
      <w:r>
        <w:rPr>
          <w:rFonts w:hint="eastAsia" w:ascii="楷体" w:hAnsi="楷体" w:eastAsia="楷体" w:cs="Calibri"/>
          <w:sz w:val="24"/>
          <w:szCs w:val="24"/>
          <w:lang w:val="en-US" w:eastAsia="zh-CN"/>
        </w:rPr>
        <w:t>F份额：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元，并以</w:t>
      </w:r>
      <w:r>
        <w:rPr>
          <w:rFonts w:ascii="楷体" w:hAnsi="楷体" w:eastAsia="楷体" w:cs="Calibri"/>
          <w:sz w:val="24"/>
          <w:szCs w:val="24"/>
        </w:rPr>
        <w:t>1</w:t>
      </w:r>
      <w:r>
        <w:rPr>
          <w:rFonts w:hint="eastAsia" w:ascii="楷体" w:hAnsi="楷体" w:eastAsia="楷体" w:cs="Calibri"/>
          <w:sz w:val="24"/>
          <w:szCs w:val="24"/>
        </w:rPr>
        <w:t>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94" w:firstLineChars="206"/>
        <w:rPr>
          <w:rFonts w:hint="eastAsia" w:ascii="楷体" w:hAnsi="楷体" w:eastAsia="楷体"/>
          <w:sz w:val="24"/>
          <w:szCs w:val="24"/>
        </w:rPr>
      </w:pPr>
      <w:r>
        <w:rPr>
          <w:rFonts w:hint="eastAsia" w:ascii="楷体" w:hAnsi="楷体" w:eastAsia="楷体" w:cs="Calibri"/>
          <w:sz w:val="24"/>
          <w:szCs w:val="24"/>
          <w:lang w:val="en-US" w:eastAsia="zh-CN"/>
        </w:rPr>
        <w:t>G份额：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元，并以</w:t>
      </w:r>
      <w:r>
        <w:rPr>
          <w:rFonts w:ascii="楷体" w:hAnsi="楷体" w:eastAsia="楷体" w:cs="Calibri"/>
          <w:sz w:val="24"/>
          <w:szCs w:val="24"/>
        </w:rPr>
        <w:t>1</w:t>
      </w:r>
      <w:r>
        <w:rPr>
          <w:rFonts w:hint="eastAsia" w:ascii="楷体" w:hAnsi="楷体" w:eastAsia="楷体" w:cs="Calibri"/>
          <w:sz w:val="24"/>
          <w:szCs w:val="24"/>
        </w:rPr>
        <w:t>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94" w:firstLineChars="206"/>
        <w:rPr>
          <w:rFonts w:hint="eastAsia" w:ascii="楷体" w:hAnsi="楷体" w:eastAsia="楷体"/>
          <w:sz w:val="24"/>
          <w:szCs w:val="24"/>
        </w:rPr>
      </w:pPr>
      <w:r>
        <w:rPr>
          <w:rFonts w:hint="eastAsia" w:ascii="楷体" w:hAnsi="楷体" w:eastAsia="楷体" w:cs="Calibri"/>
          <w:sz w:val="24"/>
          <w:szCs w:val="24"/>
          <w:lang w:val="en-US" w:eastAsia="zh-CN"/>
        </w:rPr>
        <w:t>W份额：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元，并以</w:t>
      </w:r>
      <w:r>
        <w:rPr>
          <w:rFonts w:ascii="楷体" w:hAnsi="楷体" w:eastAsia="楷体" w:cs="Calibri"/>
          <w:sz w:val="24"/>
          <w:szCs w:val="24"/>
        </w:rPr>
        <w:t>1</w:t>
      </w:r>
      <w:r>
        <w:rPr>
          <w:rFonts w:hint="eastAsia" w:ascii="楷体" w:hAnsi="楷体" w:eastAsia="楷体" w:cs="Calibri"/>
          <w:sz w:val="24"/>
          <w:szCs w:val="24"/>
        </w:rPr>
        <w:t>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tabs>
          <w:tab w:val="left" w:pos="728"/>
        </w:tabs>
        <w:ind w:firstLine="494" w:firstLineChars="206"/>
        <w:rPr>
          <w:rFonts w:hint="eastAsia" w:ascii="楷体" w:hAnsi="楷体" w:eastAsia="楷体"/>
          <w:sz w:val="24"/>
          <w:szCs w:val="24"/>
        </w:rPr>
      </w:pPr>
      <w:r>
        <w:rPr>
          <w:rFonts w:hint="eastAsia" w:ascii="楷体" w:hAnsi="楷体" w:eastAsia="楷体" w:cs="Calibri"/>
          <w:sz w:val="24"/>
          <w:szCs w:val="24"/>
          <w:lang w:val="en-US" w:eastAsia="zh-CN"/>
        </w:rPr>
        <w:t>S份额：</w:t>
      </w:r>
      <w:r>
        <w:rPr>
          <w:rFonts w:hint="eastAsia" w:ascii="楷体" w:hAnsi="楷体" w:eastAsia="楷体" w:cs="Calibri"/>
          <w:sz w:val="24"/>
          <w:szCs w:val="24"/>
        </w:rPr>
        <w:t>投资者每次申购金额以</w:t>
      </w:r>
      <w:r>
        <w:rPr>
          <w:rFonts w:ascii="楷体" w:hAnsi="楷体" w:eastAsia="楷体" w:cs="Calibri"/>
          <w:sz w:val="24"/>
          <w:szCs w:val="24"/>
        </w:rPr>
        <w:t>1</w:t>
      </w:r>
      <w:r>
        <w:rPr>
          <w:rFonts w:hint="eastAsia" w:ascii="楷体" w:hAnsi="楷体" w:eastAsia="楷体" w:cs="Calibri"/>
          <w:sz w:val="24"/>
          <w:szCs w:val="24"/>
        </w:rPr>
        <w:t>元的整数倍递增，申购时若为首次投资，申购金额不得少于</w:t>
      </w:r>
      <w:r>
        <w:rPr>
          <w:rFonts w:ascii="楷体" w:hAnsi="楷体" w:eastAsia="楷体" w:cs="Calibri"/>
          <w:sz w:val="24"/>
          <w:szCs w:val="24"/>
        </w:rPr>
        <w:t>1</w:t>
      </w:r>
      <w:r>
        <w:rPr>
          <w:rFonts w:hint="eastAsia" w:ascii="楷体" w:hAnsi="楷体" w:eastAsia="楷体" w:cs="Calibri"/>
          <w:sz w:val="24"/>
          <w:szCs w:val="24"/>
        </w:rPr>
        <w:t>元，并以</w:t>
      </w:r>
      <w:r>
        <w:rPr>
          <w:rFonts w:ascii="楷体" w:hAnsi="楷体" w:eastAsia="楷体" w:cs="Calibri"/>
          <w:sz w:val="24"/>
          <w:szCs w:val="24"/>
        </w:rPr>
        <w:t>1</w:t>
      </w:r>
      <w:r>
        <w:rPr>
          <w:rFonts w:hint="eastAsia" w:ascii="楷体" w:hAnsi="楷体" w:eastAsia="楷体" w:cs="Calibri"/>
          <w:sz w:val="24"/>
          <w:szCs w:val="24"/>
        </w:rPr>
        <w:t>元的整数倍递增；投资者每次赎回申请不得低于1份产品份额，赎回时或赎回后保留的产品份额余额不足1份的，在赎回时需一次全部赎回。</w:t>
      </w:r>
      <w:r>
        <w:rPr>
          <w:rFonts w:hint="eastAsia" w:ascii="楷体" w:hAnsi="楷体" w:eastAsia="楷体"/>
          <w:sz w:val="24"/>
          <w:szCs w:val="24"/>
        </w:rPr>
        <w:t>（以各销售机构设置为准）</w:t>
      </w:r>
    </w:p>
    <w:p>
      <w:pPr>
        <w:numPr>
          <w:ilvl w:val="0"/>
          <w:numId w:val="15"/>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撤单操作：在开放计划约定时间内提交的申购/赎回申请可以在产品开放日17:00前撤销，之后不得撤销。</w:t>
      </w:r>
      <w:r>
        <w:rPr>
          <w:rFonts w:hint="eastAsia" w:ascii="楷体" w:hAnsi="楷体" w:eastAsia="楷体"/>
          <w:sz w:val="24"/>
          <w:szCs w:val="24"/>
        </w:rPr>
        <w:t>（以各销售机构设置的撤单截止时间为准）</w:t>
      </w:r>
    </w:p>
    <w:p>
      <w:pPr>
        <w:numPr>
          <w:ilvl w:val="0"/>
          <w:numId w:val="15"/>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申购、赎回的确认：投资者申购/赎回本产品时采用“未知价”原则，投资者在开放计划时间内通过销售机构提出的申购/赎回申请，管理人于开放日后1个工作日按开放日单位净值对申购/赎回申请予以统一确认，未赎回的部分份额自动进入下一个投资周期。</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申购、赎回的操作</w:t>
      </w:r>
    </w:p>
    <w:p>
      <w:pPr>
        <w:numPr>
          <w:ilvl w:val="0"/>
          <w:numId w:val="1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提出申购、赎回申请</w:t>
      </w:r>
    </w:p>
    <w:p>
      <w:pPr>
        <w:ind w:firstLine="480" w:firstLineChars="200"/>
        <w:rPr>
          <w:rFonts w:hint="eastAsia" w:ascii="楷体" w:hAnsi="楷体" w:eastAsia="楷体"/>
          <w:sz w:val="24"/>
          <w:szCs w:val="24"/>
        </w:rPr>
      </w:pPr>
      <w:r>
        <w:rPr>
          <w:rFonts w:hint="eastAsia" w:ascii="楷体" w:hAnsi="楷体" w:eastAsia="楷体"/>
          <w:sz w:val="24"/>
          <w:szCs w:val="24"/>
        </w:rPr>
        <w:t>投资者必须在产品开放计划内提出申购、赎回申请。投资者提出申购申请时，须备足购买资金。投资者提出赎回申请时，须有足够的理财产品份额余额。</w:t>
      </w:r>
    </w:p>
    <w:p>
      <w:pPr>
        <w:numPr>
          <w:ilvl w:val="0"/>
          <w:numId w:val="1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申购、赎回的确认</w:t>
      </w:r>
    </w:p>
    <w:p>
      <w:pPr>
        <w:ind w:firstLine="480" w:firstLineChars="200"/>
        <w:rPr>
          <w:rFonts w:hint="eastAsia" w:ascii="楷体" w:hAnsi="楷体" w:eastAsia="楷体"/>
          <w:sz w:val="24"/>
          <w:szCs w:val="24"/>
        </w:rPr>
      </w:pPr>
      <w:r>
        <w:rPr>
          <w:rFonts w:hint="eastAsia" w:ascii="楷体" w:hAnsi="楷体" w:eastAsia="楷体"/>
          <w:sz w:val="24"/>
          <w:szCs w:val="24"/>
        </w:rPr>
        <w:t>管理人在每个开放日后的第1个工作日对投资者的申购、赎回申请的有效性进行登记并确认。</w:t>
      </w:r>
    </w:p>
    <w:p>
      <w:pPr>
        <w:numPr>
          <w:ilvl w:val="0"/>
          <w:numId w:val="1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申购、赎回的支付</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管理人在每个开放日后的第1个工作日对投资者的申购申请进行确认</w:t>
      </w:r>
      <w:r>
        <w:rPr>
          <w:rFonts w:hint="eastAsia" w:ascii="楷体" w:hAnsi="楷体" w:eastAsia="楷体"/>
          <w:sz w:val="24"/>
          <w:szCs w:val="24"/>
          <w:highlight w:val="none"/>
          <w:lang w:eastAsia="zh-CN"/>
        </w:rPr>
        <w:t>。</w:t>
      </w:r>
      <w:r>
        <w:rPr>
          <w:rFonts w:hint="eastAsia" w:ascii="楷体" w:hAnsi="楷体" w:eastAsia="楷体"/>
          <w:sz w:val="24"/>
          <w:szCs w:val="24"/>
          <w:highlight w:val="none"/>
        </w:rPr>
        <w:t>如投资者通过代销渠道购买，由销售机构扣划投资者资金账户资金；如投资者通过苏银理财直营</w:t>
      </w:r>
      <w:r>
        <w:rPr>
          <w:rFonts w:hint="eastAsia" w:ascii="楷体" w:hAnsi="楷体" w:eastAsia="楷体"/>
          <w:sz w:val="24"/>
          <w:szCs w:val="24"/>
          <w:highlight w:val="none"/>
          <w:lang w:val="en-US" w:eastAsia="zh-CN"/>
        </w:rPr>
        <w:t>渠道</w:t>
      </w:r>
      <w:r>
        <w:rPr>
          <w:rFonts w:hint="eastAsia" w:ascii="楷体" w:hAnsi="楷体" w:eastAsia="楷体"/>
          <w:sz w:val="24"/>
          <w:szCs w:val="24"/>
          <w:highlight w:val="none"/>
        </w:rPr>
        <w:t>购买</w:t>
      </w:r>
      <w:r>
        <w:rPr>
          <w:rFonts w:hint="eastAsia" w:ascii="楷体" w:hAnsi="楷体" w:eastAsia="楷体"/>
          <w:sz w:val="24"/>
          <w:szCs w:val="24"/>
          <w:highlight w:val="none"/>
          <w:lang w:eastAsia="zh-CN"/>
        </w:rPr>
        <w:t>，</w:t>
      </w:r>
      <w:r>
        <w:rPr>
          <w:rFonts w:hint="eastAsia" w:ascii="楷体" w:hAnsi="楷体" w:eastAsia="楷体"/>
          <w:sz w:val="24"/>
          <w:szCs w:val="24"/>
          <w:highlight w:val="none"/>
        </w:rPr>
        <w:t>资金清算以《理财产品销售协议书》约定为准。管理人在每个开放日后的第1个工作日对投资者的赎回申请进行确认，投资者赎回资金将在确认日后2个工作日内到达投资者资金账户。</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申购份额、赎回金额的计算</w:t>
      </w:r>
    </w:p>
    <w:p>
      <w:pPr>
        <w:ind w:firstLine="480" w:firstLineChars="200"/>
        <w:rPr>
          <w:rFonts w:hint="eastAsia" w:ascii="楷体" w:hAnsi="楷体" w:eastAsia="楷体"/>
          <w:sz w:val="24"/>
          <w:szCs w:val="24"/>
        </w:rPr>
      </w:pPr>
      <w:r>
        <w:rPr>
          <w:rFonts w:hint="eastAsia" w:ascii="楷体" w:hAnsi="楷体" w:eastAsia="楷体"/>
          <w:sz w:val="24"/>
          <w:szCs w:val="24"/>
        </w:rPr>
        <w:t>申购份额=申购金额/开放日产品单位净值</w:t>
      </w:r>
    </w:p>
    <w:p>
      <w:pPr>
        <w:ind w:firstLine="480" w:firstLineChars="200"/>
        <w:rPr>
          <w:rFonts w:hint="eastAsia" w:ascii="楷体" w:hAnsi="楷体" w:eastAsia="楷体"/>
          <w:sz w:val="24"/>
          <w:szCs w:val="24"/>
        </w:rPr>
      </w:pPr>
      <w:r>
        <w:rPr>
          <w:rFonts w:hint="eastAsia" w:ascii="楷体" w:hAnsi="楷体" w:eastAsia="楷体"/>
          <w:sz w:val="24"/>
          <w:szCs w:val="24"/>
        </w:rPr>
        <w:t>赎回金额=赎回份额*开放日产品单位净值</w:t>
      </w:r>
    </w:p>
    <w:p>
      <w:pPr>
        <w:ind w:firstLine="480" w:firstLineChars="200"/>
        <w:rPr>
          <w:rFonts w:hint="eastAsia" w:ascii="楷体" w:hAnsi="楷体" w:eastAsia="楷体"/>
          <w:sz w:val="24"/>
          <w:szCs w:val="24"/>
        </w:rPr>
      </w:pPr>
      <w:r>
        <w:rPr>
          <w:rFonts w:hint="eastAsia" w:ascii="楷体" w:hAnsi="楷体" w:eastAsia="楷体"/>
          <w:sz w:val="24"/>
          <w:szCs w:val="24"/>
        </w:rPr>
        <w:t>申购份额以四舍五入的方法保留到小数点后两位，赎回金额以四舍五入的方法保留到小数点后两位。</w:t>
      </w:r>
    </w:p>
    <w:p>
      <w:pPr>
        <w:tabs>
          <w:tab w:val="left" w:pos="993"/>
        </w:tabs>
        <w:ind w:left="420" w:leftChars="200"/>
        <w:rPr>
          <w:rFonts w:hint="eastAsia" w:ascii="楷体" w:hAnsi="楷体" w:eastAsia="楷体"/>
          <w:sz w:val="24"/>
          <w:szCs w:val="24"/>
          <w:u w:val="single"/>
        </w:rPr>
      </w:pPr>
      <w:r>
        <w:rPr>
          <w:rFonts w:hint="eastAsia" w:ascii="楷体" w:hAnsi="楷体" w:eastAsia="楷体"/>
          <w:sz w:val="24"/>
          <w:szCs w:val="24"/>
        </w:rPr>
        <w:t>计算示例：（</w:t>
      </w:r>
      <w:r>
        <w:rPr>
          <w:rFonts w:hint="eastAsia" w:ascii="楷体" w:hAnsi="楷体" w:eastAsia="楷体"/>
          <w:b/>
          <w:bCs/>
          <w:sz w:val="24"/>
          <w:szCs w:val="24"/>
          <w:u w:val="single"/>
        </w:rPr>
        <w:t>以下示例均为假设情况，不代表本产品实际投资业绩</w:t>
      </w:r>
      <w:r>
        <w:rPr>
          <w:rFonts w:hint="eastAsia" w:ascii="楷体" w:hAnsi="楷体" w:eastAsia="楷体"/>
          <w:sz w:val="24"/>
          <w:szCs w:val="24"/>
        </w:rPr>
        <w:t>）</w:t>
      </w:r>
    </w:p>
    <w:p>
      <w:pPr>
        <w:numPr>
          <w:ilvl w:val="0"/>
          <w:numId w:val="17"/>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情景一</w:t>
      </w:r>
    </w:p>
    <w:p>
      <w:pPr>
        <w:ind w:firstLine="480" w:firstLineChars="200"/>
        <w:rPr>
          <w:rFonts w:hint="eastAsia" w:ascii="楷体" w:hAnsi="楷体" w:eastAsia="楷体"/>
          <w:sz w:val="24"/>
          <w:szCs w:val="24"/>
        </w:rPr>
      </w:pPr>
      <w:r>
        <w:rPr>
          <w:rFonts w:ascii="楷体" w:hAnsi="楷体" w:eastAsia="楷体"/>
          <w:sz w:val="24"/>
          <w:szCs w:val="24"/>
        </w:rPr>
        <w:t>假定投资者</w:t>
      </w:r>
      <w:r>
        <w:rPr>
          <w:rFonts w:hint="eastAsia" w:ascii="楷体" w:hAnsi="楷体" w:eastAsia="楷体"/>
          <w:sz w:val="24"/>
          <w:szCs w:val="24"/>
        </w:rPr>
        <w:t>申购1</w:t>
      </w:r>
      <w:r>
        <w:rPr>
          <w:rFonts w:ascii="楷体" w:hAnsi="楷体" w:eastAsia="楷体"/>
          <w:sz w:val="24"/>
          <w:szCs w:val="24"/>
        </w:rPr>
        <w:t>0000元，</w:t>
      </w:r>
      <w:r>
        <w:rPr>
          <w:rFonts w:hint="eastAsia" w:ascii="楷体" w:hAnsi="楷体" w:eastAsia="楷体"/>
          <w:sz w:val="24"/>
          <w:szCs w:val="24"/>
        </w:rPr>
        <w:t>对应申购的开放日产品单位净值</w:t>
      </w:r>
      <w:r>
        <w:rPr>
          <w:rFonts w:ascii="楷体" w:hAnsi="楷体" w:eastAsia="楷体"/>
          <w:sz w:val="24"/>
          <w:szCs w:val="24"/>
        </w:rPr>
        <w:t>为1.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客户申购确认份额为9088.15份，投资者后续提交赎回申请，赎回其所持有全部份额，对应赎回开放日产品单位净值为1.120221。</w:t>
      </w:r>
    </w:p>
    <w:p>
      <w:pPr>
        <w:ind w:firstLine="480" w:firstLineChars="200"/>
        <w:rPr>
          <w:rFonts w:hint="eastAsia" w:ascii="楷体" w:hAnsi="楷体" w:eastAsia="楷体"/>
          <w:sz w:val="24"/>
          <w:szCs w:val="24"/>
        </w:rPr>
      </w:pPr>
      <w:r>
        <w:rPr>
          <w:rFonts w:hint="eastAsia" w:ascii="楷体" w:hAnsi="楷体" w:eastAsia="楷体"/>
          <w:sz w:val="24"/>
          <w:szCs w:val="24"/>
        </w:rPr>
        <w:t>投资者申购确认份额=1</w:t>
      </w:r>
      <w:r>
        <w:rPr>
          <w:rFonts w:ascii="楷体" w:hAnsi="楷体" w:eastAsia="楷体"/>
          <w:sz w:val="24"/>
          <w:szCs w:val="24"/>
        </w:rPr>
        <w:t>0000</w:t>
      </w: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=9088.15份</w:t>
      </w:r>
    </w:p>
    <w:p>
      <w:pPr>
        <w:ind w:firstLine="480" w:firstLineChars="200"/>
        <w:rPr>
          <w:rFonts w:hint="eastAsia" w:ascii="楷体" w:hAnsi="楷体" w:eastAsia="楷体"/>
          <w:sz w:val="24"/>
          <w:szCs w:val="24"/>
        </w:rPr>
      </w:pPr>
      <w:r>
        <w:rPr>
          <w:rFonts w:hint="eastAsia" w:ascii="楷体" w:hAnsi="楷体" w:eastAsia="楷体"/>
          <w:sz w:val="24"/>
          <w:szCs w:val="24"/>
        </w:rPr>
        <w:t>投资者赎回兑付金额=9088.15</w:t>
      </w:r>
      <w:r>
        <w:rPr>
          <w:rFonts w:ascii="楷体" w:hAnsi="楷体" w:eastAsia="楷体"/>
          <w:sz w:val="24"/>
          <w:szCs w:val="24"/>
        </w:rPr>
        <w:t>×</w:t>
      </w:r>
      <w:r>
        <w:rPr>
          <w:rFonts w:hint="eastAsia" w:ascii="楷体" w:hAnsi="楷体" w:eastAsia="楷体"/>
          <w:sz w:val="24"/>
          <w:szCs w:val="24"/>
        </w:rPr>
        <w:t>1.120221=10180.74元</w:t>
      </w:r>
    </w:p>
    <w:p>
      <w:pPr>
        <w:ind w:firstLine="480" w:firstLineChars="200"/>
        <w:rPr>
          <w:rFonts w:hint="eastAsia" w:ascii="楷体" w:hAnsi="楷体" w:eastAsia="楷体"/>
          <w:sz w:val="24"/>
          <w:szCs w:val="24"/>
        </w:rPr>
      </w:pPr>
      <w:r>
        <w:rPr>
          <w:rFonts w:hint="eastAsia" w:ascii="楷体" w:hAnsi="楷体" w:eastAsia="楷体"/>
          <w:sz w:val="24"/>
          <w:szCs w:val="24"/>
        </w:rPr>
        <w:t>投资者</w:t>
      </w:r>
      <w:r>
        <w:rPr>
          <w:rFonts w:ascii="楷体" w:hAnsi="楷体" w:eastAsia="楷体"/>
          <w:sz w:val="24"/>
          <w:szCs w:val="24"/>
        </w:rPr>
        <w:t>投资收益金额=</w:t>
      </w:r>
      <w:r>
        <w:rPr>
          <w:rFonts w:hint="eastAsia" w:ascii="楷体" w:hAnsi="楷体" w:eastAsia="楷体"/>
          <w:sz w:val="24"/>
          <w:szCs w:val="24"/>
        </w:rPr>
        <w:t>10180.74</w:t>
      </w:r>
      <w:r>
        <w:rPr>
          <w:rFonts w:ascii="楷体" w:hAnsi="楷体" w:eastAsia="楷体"/>
          <w:sz w:val="24"/>
          <w:szCs w:val="24"/>
        </w:rPr>
        <w:t>-</w:t>
      </w:r>
      <w:r>
        <w:rPr>
          <w:rFonts w:hint="eastAsia" w:ascii="楷体" w:hAnsi="楷体" w:eastAsia="楷体"/>
          <w:sz w:val="24"/>
          <w:szCs w:val="24"/>
        </w:rPr>
        <w:t>10000=180.74元</w:t>
      </w:r>
    </w:p>
    <w:p>
      <w:pPr>
        <w:numPr>
          <w:ilvl w:val="0"/>
          <w:numId w:val="17"/>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情景二</w:t>
      </w:r>
    </w:p>
    <w:p>
      <w:pPr>
        <w:ind w:firstLine="480" w:firstLineChars="200"/>
        <w:rPr>
          <w:rFonts w:hint="eastAsia" w:ascii="楷体" w:hAnsi="楷体" w:eastAsia="楷体"/>
          <w:sz w:val="24"/>
          <w:szCs w:val="24"/>
        </w:rPr>
      </w:pPr>
      <w:r>
        <w:rPr>
          <w:rFonts w:hint="eastAsia" w:ascii="楷体" w:hAnsi="楷体" w:eastAsia="楷体"/>
          <w:sz w:val="24"/>
          <w:szCs w:val="24"/>
        </w:rPr>
        <w:t>假定投资者申购10000元，对应申购的开放日产品单位净值为1.100334，客户申购确认份额为9088.15份，投资者后续提交赎回申请，赎回其所持有本产品全部份额，对应赎回开放日产品单位净值为1.094231。</w:t>
      </w:r>
    </w:p>
    <w:p>
      <w:pPr>
        <w:ind w:firstLine="480" w:firstLineChars="200"/>
        <w:rPr>
          <w:rFonts w:hint="eastAsia" w:ascii="楷体" w:hAnsi="楷体" w:eastAsia="楷体"/>
          <w:sz w:val="24"/>
          <w:szCs w:val="24"/>
        </w:rPr>
      </w:pPr>
      <w:r>
        <w:rPr>
          <w:rFonts w:hint="eastAsia" w:ascii="楷体" w:hAnsi="楷体" w:eastAsia="楷体"/>
          <w:sz w:val="24"/>
          <w:szCs w:val="24"/>
        </w:rPr>
        <w:t>投资者申购确认份额=1</w:t>
      </w:r>
      <w:r>
        <w:rPr>
          <w:rFonts w:ascii="楷体" w:hAnsi="楷体" w:eastAsia="楷体"/>
          <w:sz w:val="24"/>
          <w:szCs w:val="24"/>
        </w:rPr>
        <w:t>0000</w:t>
      </w: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=9088.15份</w:t>
      </w:r>
    </w:p>
    <w:p>
      <w:pPr>
        <w:ind w:firstLine="480" w:firstLineChars="200"/>
        <w:rPr>
          <w:rFonts w:hint="eastAsia" w:ascii="楷体" w:hAnsi="楷体" w:eastAsia="楷体"/>
          <w:sz w:val="24"/>
          <w:szCs w:val="24"/>
        </w:rPr>
      </w:pPr>
      <w:r>
        <w:rPr>
          <w:rFonts w:hint="eastAsia" w:ascii="楷体" w:hAnsi="楷体" w:eastAsia="楷体"/>
          <w:sz w:val="24"/>
          <w:szCs w:val="24"/>
        </w:rPr>
        <w:t>投资者赎回兑付金额=9088.15×1.094231=9944.54元</w:t>
      </w:r>
    </w:p>
    <w:p>
      <w:pPr>
        <w:ind w:firstLine="480" w:firstLineChars="200"/>
        <w:rPr>
          <w:rFonts w:hint="eastAsia" w:ascii="楷体" w:hAnsi="楷体" w:eastAsia="楷体"/>
          <w:sz w:val="24"/>
          <w:szCs w:val="24"/>
        </w:rPr>
      </w:pPr>
      <w:r>
        <w:rPr>
          <w:rFonts w:hint="eastAsia" w:ascii="楷体" w:hAnsi="楷体" w:eastAsia="楷体"/>
          <w:sz w:val="24"/>
          <w:szCs w:val="24"/>
        </w:rPr>
        <w:t>投资者投资收益金额=9944.54-10000=-55.46元</w:t>
      </w:r>
    </w:p>
    <w:p>
      <w:pPr>
        <w:ind w:firstLine="480" w:firstLineChars="200"/>
        <w:rPr>
          <w:rFonts w:hint="eastAsia" w:ascii="楷体" w:hAnsi="楷体" w:eastAsia="楷体"/>
          <w:sz w:val="24"/>
          <w:szCs w:val="24"/>
        </w:rPr>
      </w:pPr>
      <w:r>
        <w:rPr>
          <w:rFonts w:hint="eastAsia" w:ascii="楷体" w:hAnsi="楷体" w:eastAsia="楷体"/>
          <w:sz w:val="24"/>
          <w:szCs w:val="24"/>
        </w:rPr>
        <w:t>投资者投资本理财产品实际亏损55.46元，</w:t>
      </w:r>
      <w:r>
        <w:rPr>
          <w:rFonts w:hint="eastAsia" w:ascii="楷体" w:hAnsi="楷体" w:eastAsia="楷体"/>
          <w:b/>
          <w:sz w:val="24"/>
          <w:szCs w:val="24"/>
          <w:u w:val="single"/>
        </w:rPr>
        <w:t>在最不利的</w:t>
      </w:r>
      <w:r>
        <w:rPr>
          <w:rFonts w:hint="eastAsia" w:ascii="楷体" w:hAnsi="楷体" w:eastAsia="楷体"/>
          <w:b/>
          <w:sz w:val="24"/>
          <w:szCs w:val="24"/>
          <w:u w:val="single"/>
          <w:lang w:val="en-US" w:eastAsia="zh-CN"/>
        </w:rPr>
        <w:t>情形</w:t>
      </w:r>
      <w:r>
        <w:rPr>
          <w:rFonts w:hint="eastAsia" w:ascii="楷体" w:hAnsi="楷体" w:eastAsia="楷体"/>
          <w:b/>
          <w:sz w:val="24"/>
          <w:szCs w:val="24"/>
          <w:u w:val="single"/>
        </w:rPr>
        <w:t>下，投资者可能损失</w:t>
      </w:r>
      <w:r>
        <w:rPr>
          <w:rFonts w:ascii="楷体" w:hAnsi="楷体" w:eastAsia="楷体"/>
          <w:b/>
          <w:sz w:val="24"/>
          <w:szCs w:val="24"/>
          <w:u w:val="single"/>
        </w:rPr>
        <w:t>100%</w:t>
      </w:r>
      <w:r>
        <w:rPr>
          <w:rFonts w:hint="eastAsia" w:ascii="楷体" w:hAnsi="楷体" w:eastAsia="楷体"/>
          <w:b/>
          <w:sz w:val="24"/>
          <w:szCs w:val="24"/>
          <w:u w:val="single"/>
        </w:rPr>
        <w:t>本金。</w:t>
      </w:r>
    </w:p>
    <w:p>
      <w:pPr>
        <w:ind w:firstLine="482" w:firstLineChars="200"/>
        <w:rPr>
          <w:rFonts w:hint="eastAsia"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巨额赎回的认定及处理</w:t>
      </w:r>
    </w:p>
    <w:p>
      <w:pPr>
        <w:numPr>
          <w:ilvl w:val="0"/>
          <w:numId w:val="1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巨额赎回的认定</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理财产品每个开放日投资者净赎回额（赎回申请份额总数扣除申购申请份额总数）超过本产品上一工作日日终份额10%时，即为发生巨额赎回。</w:t>
      </w:r>
    </w:p>
    <w:p>
      <w:pPr>
        <w:numPr>
          <w:ilvl w:val="0"/>
          <w:numId w:val="18"/>
        </w:numPr>
        <w:tabs>
          <w:tab w:val="left" w:pos="728"/>
        </w:tabs>
        <w:ind w:left="0" w:firstLine="480" w:firstLineChars="200"/>
        <w:rPr>
          <w:rFonts w:hint="eastAsia" w:ascii="楷体" w:hAnsi="楷体" w:eastAsia="楷体"/>
          <w:sz w:val="24"/>
          <w:szCs w:val="24"/>
        </w:rPr>
      </w:pPr>
      <w:r>
        <w:rPr>
          <w:rFonts w:hint="eastAsia" w:ascii="楷体" w:hAnsi="楷体" w:eastAsia="楷体" w:cs="Calibri"/>
          <w:sz w:val="24"/>
          <w:szCs w:val="24"/>
        </w:rPr>
        <w:t>巨额赎回的处理</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产品管理人可以根据本产品当时的资产组合状况决定采取全额赎回、部分赎回、延期办理巨额赎回等措施，产品管理人将在采取相关措施后3个工作日内进行信息披露。</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1）</w:t>
      </w:r>
      <w:r>
        <w:rPr>
          <w:rFonts w:hint="eastAsia" w:ascii="楷体" w:hAnsi="楷体" w:eastAsia="楷体"/>
          <w:sz w:val="24"/>
          <w:szCs w:val="24"/>
          <w:highlight w:val="none"/>
        </w:rPr>
        <w:t>全额赎回：当产品管理人有能力兑付投资者的全部赎回申请时，将在申请确认日按投资者申请赎回份额执行正常赎回程序。</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2）</w:t>
      </w:r>
      <w:r>
        <w:rPr>
          <w:rFonts w:hint="eastAsia" w:ascii="楷体" w:hAnsi="楷体" w:eastAsia="楷体"/>
          <w:sz w:val="24"/>
          <w:szCs w:val="24"/>
          <w:highlight w:val="none"/>
        </w:rPr>
        <w:t>部分赎回：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3）</w:t>
      </w:r>
      <w:r>
        <w:rPr>
          <w:rFonts w:hint="eastAsia" w:ascii="楷体" w:hAnsi="楷体" w:eastAsia="楷体"/>
          <w:sz w:val="24"/>
          <w:szCs w:val="24"/>
          <w:highlight w:val="none"/>
        </w:rPr>
        <w:t>对于该开放日内净赎回额超过本产品上一工作日日终份额10%时，管理人有权拒绝超过10%以上部分的赎回申请。未确认受理的赎回申请份额，投资者可选择将当日未获受理部分予以撤销（巨额赎回处理方式具体以</w:t>
      </w:r>
      <w:r>
        <w:rPr>
          <w:rFonts w:hint="eastAsia" w:ascii="楷体" w:hAnsi="楷体" w:eastAsia="楷体"/>
          <w:sz w:val="24"/>
          <w:szCs w:val="24"/>
          <w:highlight w:val="none"/>
          <w:lang w:val="en-US" w:eastAsia="zh-CN"/>
        </w:rPr>
        <w:t>销售</w:t>
      </w:r>
      <w:r>
        <w:rPr>
          <w:rFonts w:hint="eastAsia" w:ascii="楷体" w:hAnsi="楷体" w:eastAsia="楷体"/>
          <w:sz w:val="24"/>
          <w:szCs w:val="24"/>
          <w:highlight w:val="none"/>
        </w:rPr>
        <w:t>机构展示为准），未选择撤销的赎回申请，产品管理人可以延迟至下一开放日处理，转入下一开放日的赎回申请不享有优先确认权。</w:t>
      </w:r>
    </w:p>
    <w:p>
      <w:pPr>
        <w:numPr>
          <w:ilvl w:val="0"/>
          <w:numId w:val="0"/>
        </w:numPr>
        <w:tabs>
          <w:tab w:val="left" w:pos="1092"/>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4</w:t>
      </w:r>
      <w:r>
        <w:rPr>
          <w:rFonts w:hint="eastAsia" w:ascii="楷体" w:hAnsi="楷体" w:eastAsia="楷体" w:cs="Calibri"/>
          <w:sz w:val="24"/>
          <w:szCs w:val="24"/>
          <w:lang w:eastAsia="zh-CN"/>
        </w:rPr>
        <w:t>）</w:t>
      </w:r>
      <w:r>
        <w:rPr>
          <w:rFonts w:hint="eastAsia" w:ascii="楷体" w:hAnsi="楷体" w:eastAsia="楷体" w:cs="Calibri"/>
          <w:sz w:val="24"/>
          <w:szCs w:val="24"/>
        </w:rPr>
        <w:t>连续2个以上开放日发生巨额赎回的，管理人除有权选择全额赎回或部分赎回等措施外，对于已经接受的赎回申请，管理人可以延缓支付赎回款项，但延缓期限不得超过20个工作日。</w:t>
      </w:r>
    </w:p>
    <w:p>
      <w:pPr>
        <w:numPr>
          <w:ilvl w:val="0"/>
          <w:numId w:val="0"/>
        </w:numPr>
        <w:tabs>
          <w:tab w:val="left" w:pos="1092"/>
        </w:tabs>
        <w:ind w:firstLine="480" w:firstLineChars="200"/>
        <w:rPr>
          <w:rFonts w:hint="eastAsia" w:ascii="楷体" w:hAnsi="楷体" w:eastAsia="楷体"/>
          <w:sz w:val="24"/>
          <w:szCs w:val="24"/>
          <w:highlight w:val="none"/>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5</w:t>
      </w:r>
      <w:r>
        <w:rPr>
          <w:rFonts w:hint="eastAsia" w:ascii="楷体" w:hAnsi="楷体" w:eastAsia="楷体" w:cs="Calibri"/>
          <w:sz w:val="24"/>
          <w:szCs w:val="24"/>
          <w:lang w:eastAsia="zh-CN"/>
        </w:rPr>
        <w:t>）</w:t>
      </w:r>
      <w:r>
        <w:rPr>
          <w:rFonts w:hint="eastAsia" w:ascii="楷体" w:hAnsi="楷体" w:eastAsia="楷体" w:cs="Calibri"/>
          <w:sz w:val="24"/>
          <w:szCs w:val="24"/>
        </w:rPr>
        <w:t>赎回资金到账：未发生</w:t>
      </w:r>
      <w:r>
        <w:rPr>
          <w:rFonts w:ascii="楷体" w:hAnsi="楷体" w:eastAsia="楷体" w:cs="Calibri"/>
          <w:sz w:val="24"/>
          <w:szCs w:val="24"/>
        </w:rPr>
        <w:t>巨额赎回的情况下，</w:t>
      </w:r>
      <w:r>
        <w:rPr>
          <w:rFonts w:hint="eastAsia" w:ascii="楷体" w:hAnsi="楷体" w:eastAsia="楷体" w:cs="Calibri"/>
          <w:sz w:val="24"/>
          <w:szCs w:val="24"/>
        </w:rPr>
        <w:t>实际赎回确认日后</w:t>
      </w:r>
      <w:r>
        <w:rPr>
          <w:rFonts w:hint="eastAsia" w:ascii="楷体" w:hAnsi="楷体" w:eastAsia="楷体" w:cs="Calibri"/>
          <w:sz w:val="24"/>
          <w:szCs w:val="24"/>
          <w:lang w:val="en-US" w:eastAsia="zh-CN"/>
        </w:rPr>
        <w:t>2</w:t>
      </w:r>
      <w:r>
        <w:rPr>
          <w:rFonts w:hint="eastAsia" w:ascii="楷体" w:hAnsi="楷体" w:eastAsia="楷体" w:cs="Calibri"/>
          <w:sz w:val="24"/>
          <w:szCs w:val="24"/>
        </w:rPr>
        <w:t>个工作日内到达投资者资金账户。</w:t>
      </w:r>
    </w:p>
    <w:p>
      <w:pPr>
        <w:numPr>
          <w:ilvl w:val="0"/>
          <w:numId w:val="14"/>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特殊情形及处理</w:t>
      </w:r>
    </w:p>
    <w:p>
      <w:pPr>
        <w:ind w:firstLine="482" w:firstLineChars="200"/>
        <w:rPr>
          <w:rFonts w:ascii="楷体" w:hAnsi="楷体" w:eastAsia="楷体"/>
          <w:b/>
          <w:bCs/>
          <w:sz w:val="24"/>
          <w:szCs w:val="24"/>
        </w:rPr>
      </w:pPr>
      <w:r>
        <w:rPr>
          <w:rFonts w:ascii="楷体" w:hAnsi="楷体" w:eastAsia="楷体"/>
          <w:b/>
          <w:bCs/>
          <w:sz w:val="24"/>
          <w:szCs w:val="24"/>
        </w:rPr>
        <w:t>1.</w:t>
      </w:r>
      <w:r>
        <w:rPr>
          <w:rFonts w:hint="eastAsia" w:ascii="楷体" w:hAnsi="楷体" w:eastAsia="楷体"/>
          <w:b/>
          <w:bCs/>
          <w:sz w:val="24"/>
          <w:szCs w:val="24"/>
        </w:rPr>
        <w:t>除以下情形外，管理人不得拒绝接受或暂停接受投资者的申购申请：</w:t>
      </w:r>
    </w:p>
    <w:p>
      <w:pPr>
        <w:numPr>
          <w:ilvl w:val="0"/>
          <w:numId w:val="0"/>
        </w:numPr>
        <w:tabs>
          <w:tab w:val="left" w:pos="728"/>
        </w:tabs>
        <w:ind w:left="0" w:leftChars="0" w:firstLine="480" w:firstLineChars="200"/>
        <w:rPr>
          <w:rFonts w:hint="eastAsia" w:ascii="楷体" w:hAnsi="楷体" w:eastAsia="楷体" w:cs="Calibri"/>
          <w:sz w:val="24"/>
          <w:szCs w:val="24"/>
          <w:lang w:eastAsia="zh-CN"/>
        </w:rPr>
      </w:pPr>
      <w:r>
        <w:rPr>
          <w:rFonts w:hint="eastAsia" w:ascii="楷体" w:hAnsi="楷体" w:eastAsia="楷体" w:cs="Calibri"/>
          <w:sz w:val="24"/>
          <w:szCs w:val="24"/>
        </w:rPr>
        <w:t>（1）不可抗力的原因导致产品无法正常运作</w:t>
      </w:r>
      <w:r>
        <w:rPr>
          <w:rFonts w:hint="eastAsia" w:ascii="楷体" w:hAnsi="楷体" w:eastAsia="楷体" w:cs="Calibri"/>
          <w:sz w:val="24"/>
          <w:szCs w:val="24"/>
          <w:lang w:eastAsia="zh-CN"/>
        </w:rPr>
        <w:t>。</w:t>
      </w:r>
    </w:p>
    <w:p>
      <w:pPr>
        <w:numPr>
          <w:ilvl w:val="0"/>
          <w:numId w:val="0"/>
        </w:numPr>
        <w:tabs>
          <w:tab w:val="left" w:pos="728"/>
        </w:tabs>
        <w:ind w:left="0" w:leftChars="0" w:firstLine="480" w:firstLineChars="200"/>
        <w:rPr>
          <w:rFonts w:hint="eastAsia" w:ascii="楷体" w:hAnsi="楷体" w:eastAsia="楷体" w:cs="Calibri"/>
          <w:sz w:val="24"/>
          <w:szCs w:val="24"/>
          <w:lang w:eastAsia="zh-CN"/>
        </w:rPr>
      </w:pPr>
      <w:r>
        <w:rPr>
          <w:rFonts w:hint="eastAsia" w:ascii="楷体" w:hAnsi="楷体" w:eastAsia="楷体" w:cs="Calibri"/>
          <w:sz w:val="24"/>
          <w:szCs w:val="24"/>
        </w:rPr>
        <w:t>（2）超出产品单一投资者持有上限</w:t>
      </w:r>
      <w:r>
        <w:rPr>
          <w:rFonts w:hint="eastAsia" w:ascii="楷体" w:hAnsi="楷体" w:eastAsia="楷体" w:cs="Calibri"/>
          <w:sz w:val="24"/>
          <w:szCs w:val="24"/>
          <w:lang w:eastAsia="zh-CN"/>
        </w:rPr>
        <w:t>。</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rPr>
        <w:t>（</w:t>
      </w:r>
      <w:r>
        <w:rPr>
          <w:rFonts w:hint="eastAsia" w:ascii="楷体" w:hAnsi="楷体" w:eastAsia="楷体" w:cs="Calibri"/>
          <w:sz w:val="24"/>
          <w:szCs w:val="24"/>
          <w:lang w:val="en-US" w:eastAsia="zh-CN"/>
        </w:rPr>
        <w:t>3</w:t>
      </w:r>
      <w:r>
        <w:rPr>
          <w:rFonts w:hint="eastAsia" w:ascii="楷体" w:hAnsi="楷体" w:eastAsia="楷体" w:cs="Calibri"/>
          <w:sz w:val="24"/>
          <w:szCs w:val="24"/>
        </w:rPr>
        <w:t>）发生《理财产品说明书》约定的暂停估值的情形。</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w:t>
      </w:r>
      <w:r>
        <w:rPr>
          <w:rFonts w:hint="eastAsia" w:ascii="楷体" w:hAnsi="楷体" w:eastAsia="楷体" w:cs="Calibri"/>
          <w:sz w:val="24"/>
          <w:szCs w:val="24"/>
          <w:lang w:val="en-US" w:eastAsia="zh-CN"/>
        </w:rPr>
        <w:t>4</w:t>
      </w:r>
      <w:r>
        <w:rPr>
          <w:rFonts w:hint="eastAsia" w:ascii="楷体" w:hAnsi="楷体" w:eastAsia="楷体" w:cs="Calibri"/>
          <w:sz w:val="24"/>
          <w:szCs w:val="24"/>
        </w:rPr>
        <w:t>）管理人接受某笔或者某些申购申请有可能导致单一投资者持有理财计划份额的比例达到或者超过50%的情形。</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w:t>
      </w:r>
      <w:r>
        <w:rPr>
          <w:rFonts w:hint="eastAsia" w:ascii="楷体" w:hAnsi="楷体" w:eastAsia="楷体" w:cs="Calibri"/>
          <w:sz w:val="24"/>
          <w:szCs w:val="24"/>
          <w:lang w:val="en-US" w:eastAsia="zh-CN"/>
        </w:rPr>
        <w:t>5</w:t>
      </w:r>
      <w:r>
        <w:rPr>
          <w:rFonts w:hint="eastAsia" w:ascii="楷体" w:hAnsi="楷体" w:eastAsia="楷体" w:cs="Calibri"/>
          <w:sz w:val="24"/>
          <w:szCs w:val="24"/>
        </w:rPr>
        <w:t>）当接受某笔或某些申购申请可能对存量理财计划份额持有人利益构成潜在重大不利影响时。</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w:t>
      </w:r>
      <w:r>
        <w:rPr>
          <w:rFonts w:hint="eastAsia" w:ascii="楷体" w:hAnsi="楷体" w:eastAsia="楷体" w:cs="Calibri"/>
          <w:sz w:val="24"/>
          <w:szCs w:val="24"/>
          <w:lang w:val="en-US" w:eastAsia="zh-CN"/>
        </w:rPr>
        <w:t>6</w:t>
      </w:r>
      <w:r>
        <w:rPr>
          <w:rFonts w:hint="eastAsia" w:ascii="楷体" w:hAnsi="楷体" w:eastAsia="楷体" w:cs="Calibri"/>
          <w:sz w:val="24"/>
          <w:szCs w:val="24"/>
        </w:rPr>
        <w:t>）法律、法规规定认定的其他情形。</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82" w:firstLineChars="200"/>
        <w:rPr>
          <w:rFonts w:ascii="楷体" w:hAnsi="楷体" w:eastAsia="楷体"/>
          <w:b/>
          <w:bCs/>
          <w:sz w:val="24"/>
          <w:szCs w:val="24"/>
        </w:rPr>
      </w:pPr>
      <w:r>
        <w:rPr>
          <w:rFonts w:ascii="楷体" w:hAnsi="楷体" w:eastAsia="楷体"/>
          <w:b/>
          <w:bCs/>
          <w:sz w:val="24"/>
          <w:szCs w:val="24"/>
        </w:rPr>
        <w:t>2.</w:t>
      </w:r>
      <w:r>
        <w:rPr>
          <w:rFonts w:hint="eastAsia" w:ascii="楷体" w:hAnsi="楷体" w:eastAsia="楷体"/>
          <w:b/>
          <w:bCs/>
          <w:sz w:val="24"/>
          <w:szCs w:val="24"/>
        </w:rPr>
        <w:t>除以下情形外，管理人不得暂停接受投资者的赎回申请或延缓支付赎回款项：</w:t>
      </w:r>
    </w:p>
    <w:p>
      <w:pPr>
        <w:numPr>
          <w:ilvl w:val="0"/>
          <w:numId w:val="0"/>
        </w:numPr>
        <w:tabs>
          <w:tab w:val="left" w:pos="728"/>
        </w:tabs>
        <w:ind w:firstLine="480" w:firstLineChars="200"/>
        <w:rPr>
          <w:rFonts w:hint="eastAsia" w:ascii="楷体" w:hAnsi="楷体" w:eastAsia="楷体" w:cs="Calibri"/>
          <w:sz w:val="24"/>
          <w:szCs w:val="24"/>
          <w:lang w:eastAsia="zh-CN"/>
        </w:rPr>
      </w:pPr>
      <w:r>
        <w:rPr>
          <w:rFonts w:hint="eastAsia" w:ascii="楷体" w:hAnsi="楷体" w:eastAsia="楷体" w:cs="Calibri"/>
          <w:sz w:val="24"/>
          <w:szCs w:val="24"/>
        </w:rPr>
        <w:t>（1）不可抗力的原因导致管理人不能支付赎回款项</w:t>
      </w:r>
      <w:r>
        <w:rPr>
          <w:rFonts w:hint="eastAsia" w:ascii="楷体" w:hAnsi="楷体" w:eastAsia="楷体" w:cs="Calibri"/>
          <w:sz w:val="24"/>
          <w:szCs w:val="24"/>
          <w:lang w:eastAsia="zh-CN"/>
        </w:rPr>
        <w:t>。</w:t>
      </w:r>
    </w:p>
    <w:p>
      <w:pPr>
        <w:numPr>
          <w:ilvl w:val="0"/>
          <w:numId w:val="0"/>
        </w:numPr>
        <w:tabs>
          <w:tab w:val="left" w:pos="728"/>
        </w:tabs>
        <w:ind w:firstLine="480" w:firstLineChars="200"/>
        <w:rPr>
          <w:rFonts w:hint="eastAsia" w:ascii="楷体" w:hAnsi="楷体" w:eastAsia="楷体" w:cs="Calibri"/>
          <w:sz w:val="24"/>
          <w:szCs w:val="24"/>
          <w:lang w:eastAsia="zh-CN"/>
        </w:rPr>
      </w:pPr>
      <w:r>
        <w:rPr>
          <w:rFonts w:hint="eastAsia" w:ascii="楷体" w:hAnsi="楷体" w:eastAsia="楷体" w:cs="Calibri"/>
          <w:sz w:val="24"/>
          <w:szCs w:val="24"/>
        </w:rPr>
        <w:t>（2）触发巨额赎回条款</w:t>
      </w:r>
      <w:r>
        <w:rPr>
          <w:rFonts w:hint="eastAsia" w:ascii="楷体" w:hAnsi="楷体" w:eastAsia="楷体" w:cs="Calibri"/>
          <w:sz w:val="24"/>
          <w:szCs w:val="24"/>
          <w:lang w:eastAsia="zh-CN"/>
        </w:rPr>
        <w:t>。</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（3）发生《理财产品说明书》约定的暂停估值的情形。</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（4）当接受某笔或某些赎回申请可能对存量理财计划份额持有人利益构成潜在重大不利影响时。</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（5）发生单个投资者单个开放日申请赎回理财计划份额超过理财产品总份额10%的情形。</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rPr>
        <w:t>（6）法律、法规规定认定的其他情形。</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rPr>
        <w:t>若管理人决定</w:t>
      </w:r>
      <w:r>
        <w:rPr>
          <w:rFonts w:hint="eastAsia" w:ascii="楷体" w:hAnsi="楷体" w:eastAsia="楷体"/>
          <w:sz w:val="24"/>
          <w:szCs w:val="24"/>
        </w:rPr>
        <w:t>暂停接受投资者的赎回申请或延缓支付赎回款项</w:t>
      </w:r>
      <w:r>
        <w:rPr>
          <w:rFonts w:hint="eastAsia" w:ascii="楷体" w:hAnsi="楷体" w:eastAsia="楷体" w:cs="Calibri"/>
          <w:sz w:val="24"/>
          <w:szCs w:val="24"/>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4"/>
          <w:szCs w:val="24"/>
        </w:rPr>
        <w:t>暂停接受投资者的赎回申请或延缓支付赎回款项的情况消除后</w:t>
      </w:r>
      <w:r>
        <w:rPr>
          <w:rFonts w:hint="eastAsia" w:ascii="楷体" w:hAnsi="楷体" w:eastAsia="楷体" w:cs="Calibri"/>
          <w:sz w:val="24"/>
          <w:szCs w:val="24"/>
        </w:rPr>
        <w:t>，管理人将及时恢复申购业务的办理。</w:t>
      </w:r>
    </w:p>
    <w:p>
      <w:pPr>
        <w:numPr>
          <w:ilvl w:val="0"/>
          <w:numId w:val="3"/>
        </w:numPr>
        <w:tabs>
          <w:tab w:val="left" w:pos="1428"/>
        </w:tabs>
        <w:ind w:firstLine="562" w:firstLineChars="200"/>
        <w:outlineLvl w:val="1"/>
        <w:rPr>
          <w:rFonts w:ascii="楷体" w:hAnsi="楷体" w:eastAsia="楷体"/>
          <w:b/>
          <w:sz w:val="28"/>
          <w:szCs w:val="28"/>
        </w:rPr>
      </w:pPr>
      <w:r>
        <w:rPr>
          <w:rFonts w:hint="eastAsia" w:ascii="楷体" w:hAnsi="楷体" w:eastAsia="楷体"/>
          <w:b/>
          <w:sz w:val="28"/>
          <w:szCs w:val="28"/>
        </w:rPr>
        <w:t>产品估值</w:t>
      </w:r>
    </w:p>
    <w:p>
      <w:pPr>
        <w:numPr>
          <w:ilvl w:val="0"/>
          <w:numId w:val="19"/>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1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估值要求</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w:t>
      </w:r>
      <w:r>
        <w:rPr>
          <w:rFonts w:hint="eastAsia" w:ascii="楷体" w:hAnsi="楷体" w:eastAsia="楷体" w:cs="Calibri"/>
          <w:sz w:val="24"/>
          <w:szCs w:val="24"/>
          <w:lang w:val="en-US" w:eastAsia="zh-CN"/>
        </w:rPr>
        <w:t>申购、赎回和</w:t>
      </w:r>
      <w:r>
        <w:rPr>
          <w:rFonts w:hint="eastAsia" w:ascii="楷体" w:hAnsi="楷体" w:eastAsia="楷体" w:cs="Calibri"/>
          <w:sz w:val="24"/>
          <w:szCs w:val="24"/>
        </w:rPr>
        <w:t>兑付提供计价依据。</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本产品每日估值，存续期内每周按说明书约定方式披露单位净值，每个开放日结束后2个工作日内通过本理财产品说明书约定方式披露上一投资周期终止日的单位净值、份额累计净值、认</w:t>
      </w:r>
      <w:r>
        <w:rPr>
          <w:rFonts w:hint="eastAsia" w:ascii="楷体" w:hAnsi="楷体" w:eastAsia="楷体" w:cs="Calibri"/>
          <w:sz w:val="24"/>
          <w:szCs w:val="24"/>
          <w:lang w:val="en-US" w:eastAsia="zh-CN"/>
        </w:rPr>
        <w:t>/申</w:t>
      </w:r>
      <w:r>
        <w:rPr>
          <w:rFonts w:hint="eastAsia" w:ascii="楷体" w:hAnsi="楷体" w:eastAsia="楷体" w:cs="Calibri"/>
          <w:sz w:val="24"/>
          <w:szCs w:val="24"/>
        </w:rPr>
        <w:t>购价格和赎回价格。</w:t>
      </w:r>
    </w:p>
    <w:p>
      <w:pPr>
        <w:numPr>
          <w:ilvl w:val="0"/>
          <w:numId w:val="1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估值方法</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存款类资产、货币市场工具：以本金列示，逐日计提利息。</w:t>
      </w:r>
    </w:p>
    <w:p>
      <w:pPr>
        <w:numPr>
          <w:ilvl w:val="0"/>
          <w:numId w:val="21"/>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货币市场基金：以估值截止时间点能够取得的最新每万份收益进行估值。</w:t>
      </w:r>
    </w:p>
    <w:p>
      <w:pPr>
        <w:numPr>
          <w:ilvl w:val="0"/>
          <w:numId w:val="21"/>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债券类资产：按公允价值进行估值，采用市价、第三方估值机构提供的估值价格、合理的估值技术或监管机构认可的其他估值方法进行估值。</w:t>
      </w:r>
    </w:p>
    <w:p>
      <w:pPr>
        <w:numPr>
          <w:ilvl w:val="0"/>
          <w:numId w:val="21"/>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债权类资产：按公允价值进行估值，采用合理的估值技术或监管机构认可的估值方法进行估值。</w:t>
      </w:r>
    </w:p>
    <w:p>
      <w:pPr>
        <w:numPr>
          <w:ilvl w:val="0"/>
          <w:numId w:val="21"/>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证券、基金、保险等资产管理计划和信托计划等资产（不含货币市场基金）：按照证券、基金、保险等资产管理计划和信托计划的管理人和托管人共同确认的最新净值或投资收益进行估值。</w:t>
      </w:r>
    </w:p>
    <w:p>
      <w:pPr>
        <w:numPr>
          <w:ilvl w:val="0"/>
          <w:numId w:val="21"/>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其他资产：按公允价值进行估值，采用合理的估值技术或监管机构认可的估值方法进行估值。</w:t>
      </w:r>
    </w:p>
    <w:p>
      <w:pPr>
        <w:ind w:firstLine="480" w:firstLineChars="200"/>
        <w:rPr>
          <w:rFonts w:hint="eastAsia" w:ascii="楷体" w:hAnsi="楷体" w:eastAsia="楷体"/>
          <w:sz w:val="24"/>
          <w:szCs w:val="24"/>
        </w:rPr>
      </w:pPr>
      <w:r>
        <w:rPr>
          <w:rFonts w:hint="eastAsia" w:ascii="楷体" w:hAnsi="楷体" w:eastAsia="楷体"/>
          <w:sz w:val="24"/>
          <w:szCs w:val="24"/>
        </w:rPr>
        <w:t>如有新增事项或变更事项，按国家最新规定或管理人最新约定进行估值。</w:t>
      </w:r>
    </w:p>
    <w:p>
      <w:pPr>
        <w:numPr>
          <w:ilvl w:val="0"/>
          <w:numId w:val="1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消除由此造成的影响</w:t>
      </w:r>
      <w:r>
        <w:rPr>
          <w:rFonts w:hint="eastAsia" w:ascii="楷体" w:hAnsi="楷体" w:eastAsia="楷体"/>
          <w:sz w:val="24"/>
          <w:szCs w:val="24"/>
        </w:rPr>
        <w:t>。</w:t>
      </w:r>
    </w:p>
    <w:p>
      <w:pPr>
        <w:numPr>
          <w:ilvl w:val="0"/>
          <w:numId w:val="1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暂停估值</w:t>
      </w:r>
    </w:p>
    <w:p>
      <w:pPr>
        <w:ind w:firstLine="480" w:firstLineChars="200"/>
        <w:rPr>
          <w:rFonts w:hint="eastAsia"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3"/>
        </w:numPr>
        <w:tabs>
          <w:tab w:val="left" w:pos="1428"/>
        </w:tabs>
        <w:ind w:firstLine="562" w:firstLineChars="200"/>
        <w:outlineLvl w:val="1"/>
        <w:rPr>
          <w:rFonts w:hint="eastAsia" w:ascii="楷体" w:hAnsi="楷体" w:eastAsia="楷体"/>
          <w:b/>
          <w:sz w:val="28"/>
          <w:szCs w:val="28"/>
        </w:rPr>
      </w:pPr>
      <w:r>
        <w:rPr>
          <w:rFonts w:hint="eastAsia" w:ascii="楷体" w:hAnsi="楷体" w:eastAsia="楷体"/>
          <w:b/>
          <w:sz w:val="28"/>
          <w:szCs w:val="28"/>
        </w:rPr>
        <w:t>产品的终止与清算</w:t>
      </w:r>
    </w:p>
    <w:p>
      <w:pPr>
        <w:numPr>
          <w:ilvl w:val="0"/>
          <w:numId w:val="22"/>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理财产品的终止</w:t>
      </w:r>
    </w:p>
    <w:p>
      <w:pPr>
        <w:numPr>
          <w:ilvl w:val="0"/>
          <w:numId w:val="2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hint="eastAsia"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在理财产品投资运作期间内，投资者无权要求提前终止该理财产品。在理财产品投资运作期间内，当出现下列情形之一时，产品管理人有权部分或全部终止本产品：</w:t>
      </w:r>
    </w:p>
    <w:p>
      <w:pPr>
        <w:numPr>
          <w:ilvl w:val="0"/>
          <w:numId w:val="24"/>
        </w:numPr>
        <w:tabs>
          <w:tab w:val="left" w:pos="1092"/>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24"/>
        </w:numPr>
        <w:tabs>
          <w:tab w:val="left" w:pos="1092"/>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24"/>
        </w:numPr>
        <w:tabs>
          <w:tab w:val="left" w:pos="1092"/>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法律法规规定或监管部门认定的其他情形。</w:t>
      </w:r>
    </w:p>
    <w:p>
      <w:pPr>
        <w:numPr>
          <w:ilvl w:val="0"/>
          <w:numId w:val="0"/>
        </w:numPr>
        <w:tabs>
          <w:tab w:val="left" w:pos="1092"/>
        </w:tabs>
        <w:ind w:firstLine="480" w:firstLineChars="200"/>
        <w:rPr>
          <w:rFonts w:hint="eastAsia" w:ascii="楷体" w:hAnsi="楷体" w:eastAsia="楷体" w:cs="Calibri"/>
          <w:sz w:val="24"/>
          <w:szCs w:val="24"/>
        </w:rPr>
      </w:pPr>
      <w:r>
        <w:rPr>
          <w:rFonts w:hint="eastAsia" w:ascii="楷体" w:hAnsi="楷体" w:eastAsia="楷体"/>
          <w:sz w:val="24"/>
          <w:szCs w:val="24"/>
          <w:lang w:val="en-US" w:eastAsia="zh-CN"/>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hint="eastAsia"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个工作日（含）按本理财产品说明书约定的信息披露方式予以披露。</w:t>
      </w:r>
    </w:p>
    <w:p>
      <w:pPr>
        <w:numPr>
          <w:ilvl w:val="0"/>
          <w:numId w:val="23"/>
        </w:numPr>
        <w:tabs>
          <w:tab w:val="left" w:pos="728"/>
        </w:tabs>
        <w:ind w:left="0" w:firstLine="480" w:firstLineChars="200"/>
        <w:rPr>
          <w:rFonts w:hint="eastAsia" w:ascii="楷体" w:hAnsi="楷体" w:eastAsia="楷体" w:cs="Calibri"/>
          <w:b w:val="0"/>
          <w:color w:val="auto"/>
          <w:sz w:val="24"/>
          <w:szCs w:val="24"/>
        </w:rPr>
      </w:pPr>
      <w:r>
        <w:rPr>
          <w:rFonts w:hint="eastAsia" w:ascii="楷体" w:hAnsi="楷体" w:eastAsia="楷体" w:cs="Calibri"/>
          <w:b w:val="0"/>
          <w:color w:val="auto"/>
          <w:sz w:val="24"/>
          <w:szCs w:val="24"/>
          <w:lang w:val="en-US" w:eastAsia="zh-CN"/>
        </w:rPr>
        <w:t>正常兑付</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2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25"/>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产品终止日遇非工作日则顺延至下一工作日，投资者清算资金到账日将相应调整；</w:t>
      </w:r>
    </w:p>
    <w:p>
      <w:pPr>
        <w:numPr>
          <w:ilvl w:val="0"/>
          <w:numId w:val="25"/>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25"/>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hint="eastAsia"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个工作日（含）按本理财产品说明书约定的信息披露方式予以披露。</w:t>
      </w:r>
    </w:p>
    <w:p>
      <w:pPr>
        <w:numPr>
          <w:ilvl w:val="0"/>
          <w:numId w:val="22"/>
        </w:numPr>
        <w:tabs>
          <w:tab w:val="left" w:pos="993"/>
        </w:tabs>
        <w:ind w:left="0" w:firstLine="482" w:firstLineChars="200"/>
        <w:outlineLvl w:val="2"/>
        <w:rPr>
          <w:rFonts w:hint="eastAsia" w:ascii="楷体" w:hAnsi="楷体" w:eastAsia="楷体" w:cs="Calibri"/>
          <w:b/>
          <w:sz w:val="24"/>
          <w:szCs w:val="24"/>
        </w:rPr>
      </w:pPr>
      <w:r>
        <w:rPr>
          <w:rFonts w:hint="eastAsia" w:ascii="楷体" w:hAnsi="楷体" w:eastAsia="楷体" w:cs="Calibri"/>
          <w:b/>
          <w:sz w:val="24"/>
          <w:szCs w:val="24"/>
        </w:rPr>
        <w:t>理财产品的清算</w:t>
      </w:r>
    </w:p>
    <w:p>
      <w:pPr>
        <w:numPr>
          <w:ilvl w:val="0"/>
          <w:numId w:val="2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6"/>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3"/>
        </w:numPr>
        <w:tabs>
          <w:tab w:val="left" w:pos="1428"/>
        </w:tabs>
        <w:ind w:firstLine="562" w:firstLineChars="200"/>
        <w:outlineLvl w:val="1"/>
        <w:rPr>
          <w:rFonts w:ascii="楷体" w:hAnsi="楷体" w:eastAsia="楷体"/>
          <w:b/>
          <w:sz w:val="28"/>
          <w:szCs w:val="28"/>
        </w:rPr>
      </w:pPr>
      <w:r>
        <w:rPr>
          <w:rFonts w:hint="eastAsia" w:ascii="楷体" w:hAnsi="楷体" w:eastAsia="楷体"/>
          <w:b/>
          <w:sz w:val="28"/>
          <w:szCs w:val="28"/>
        </w:rPr>
        <w:t>产品费用</w:t>
      </w:r>
    </w:p>
    <w:p>
      <w:pPr>
        <w:numPr>
          <w:ilvl w:val="0"/>
          <w:numId w:val="27"/>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27"/>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计提方法、计提标准和支付方式</w:t>
      </w:r>
    </w:p>
    <w:p>
      <w:pPr>
        <w:numPr>
          <w:ilvl w:val="0"/>
          <w:numId w:val="2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销售服务费：本产品的销售服务费每日计提，按季支付，由销售机构收取。计算方法如下：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每日应计提的销售服务费＝前一日的产品资产净值×销售服务费率÷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投资管理费：本产品的投资管理费每日计提，按</w:t>
      </w:r>
      <w:r>
        <w:rPr>
          <w:rFonts w:hint="eastAsia" w:ascii="楷体" w:hAnsi="楷体" w:eastAsia="楷体" w:cs="Calibri"/>
          <w:sz w:val="24"/>
          <w:szCs w:val="24"/>
          <w:lang w:val="en-US" w:eastAsia="zh-CN"/>
        </w:rPr>
        <w:t>月</w:t>
      </w:r>
      <w:r>
        <w:rPr>
          <w:rFonts w:hint="eastAsia" w:ascii="楷体" w:hAnsi="楷体" w:eastAsia="楷体" w:cs="Calibri"/>
          <w:sz w:val="24"/>
          <w:szCs w:val="24"/>
        </w:rPr>
        <w:t>支付，由管理人收取。计算方法如下：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超额业绩报酬：本产品设立业绩比较基准（产品管理人可根据市场情况等调整业绩比较基准，并至少于新的业绩比较基准启用日之前2个工作日进行公告），管理人按投资周期收取超额业绩报酬。若单一投资周期各份额实际投资收益在扣除托管费、销售服务费、投资管理费以及运作产品所必须缴纳的税费后超过各份额业绩比较基准</w:t>
      </w:r>
      <w:r>
        <w:rPr>
          <w:rFonts w:hint="eastAsia" w:ascii="楷体" w:hAnsi="楷体" w:eastAsia="楷体"/>
          <w:sz w:val="24"/>
          <w:szCs w:val="24"/>
          <w:lang w:val="en-US" w:eastAsia="zh-CN"/>
        </w:rPr>
        <w:t>上限</w:t>
      </w:r>
      <w:r>
        <w:rPr>
          <w:rFonts w:hint="eastAsia" w:ascii="楷体" w:hAnsi="楷体" w:eastAsia="楷体"/>
          <w:sz w:val="24"/>
          <w:szCs w:val="24"/>
        </w:rPr>
        <w:t>，则该投资周期终止日后管理人将按照超出部分的</w:t>
      </w:r>
      <w:r>
        <w:rPr>
          <w:rFonts w:hint="eastAsia" w:ascii="楷体" w:hAnsi="楷体" w:eastAsia="楷体"/>
          <w:sz w:val="24"/>
          <w:szCs w:val="24"/>
          <w:lang w:val="en-US" w:eastAsia="zh-CN"/>
        </w:rPr>
        <w:t>50</w:t>
      </w:r>
      <w:r>
        <w:rPr>
          <w:rFonts w:hint="eastAsia" w:ascii="楷体" w:hAnsi="楷体" w:eastAsia="楷体"/>
          <w:sz w:val="24"/>
          <w:szCs w:val="24"/>
        </w:rPr>
        <w:t>%收取超额业绩报酬。</w:t>
      </w:r>
    </w:p>
    <w:p>
      <w:pPr>
        <w:numPr>
          <w:ilvl w:val="0"/>
          <w:numId w:val="0"/>
        </w:numPr>
        <w:tabs>
          <w:tab w:val="left" w:pos="728"/>
        </w:tabs>
        <w:ind w:firstLine="480" w:firstLineChars="200"/>
        <w:rPr>
          <w:rFonts w:ascii="楷体" w:hAnsi="楷体" w:eastAsia="楷体"/>
          <w:sz w:val="24"/>
          <w:szCs w:val="24"/>
        </w:rPr>
      </w:pPr>
      <w:r>
        <w:rPr>
          <w:rFonts w:hint="eastAsia" w:ascii="楷体" w:hAnsi="楷体" w:eastAsia="楷体"/>
          <w:sz w:val="24"/>
          <w:szCs w:val="24"/>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numPr>
          <w:ilvl w:val="0"/>
          <w:numId w:val="28"/>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hint="eastAsia" w:ascii="楷体" w:hAnsi="楷体" w:eastAsia="楷体"/>
          <w:sz w:val="24"/>
          <w:szCs w:val="24"/>
        </w:rPr>
      </w:pPr>
      <w:r>
        <w:rPr>
          <w:rFonts w:hint="eastAsia" w:ascii="楷体" w:hAnsi="楷体" w:eastAsia="楷体"/>
          <w:sz w:val="24"/>
          <w:szCs w:val="24"/>
        </w:rPr>
        <w:t>产品管理人有权根据市场情况等调整上述各项费用费率和超额业绩报酬收取方式及比例，并至少于调整日之前2个工作日进行公告。</w:t>
      </w:r>
      <w:r>
        <w:rPr>
          <w:rFonts w:hint="eastAsia" w:ascii="楷体" w:hAnsi="楷体" w:eastAsia="楷体"/>
          <w:sz w:val="24"/>
          <w:szCs w:val="24"/>
          <w:lang w:eastAsia="zh-CN"/>
        </w:rPr>
        <w:t>产品管理人将通过短信及苏银理财有限责任公司官方网站（www.suyinwealth.com）、销售机构电子渠道和营业网点等方式进行信息披露</w:t>
      </w:r>
      <w:r>
        <w:rPr>
          <w:rFonts w:hint="eastAsia" w:ascii="楷体" w:hAnsi="楷体" w:eastAsia="楷体"/>
          <w:sz w:val="24"/>
          <w:szCs w:val="24"/>
        </w:rPr>
        <w:t>。如投资者不接受的，可在公告约定的期限内赎回本产品，此种情况下产品管理人将可能开放特殊赎回期间，具体以届时产品管理人公告为准；如投资者未赎回本产品，则视为本理财产品投资者对相关调整无异议且同意在调整后继续持有本理财产品。本产品不收取认购费用、申购费用、赎回费用。</w:t>
      </w:r>
    </w:p>
    <w:p>
      <w:pPr>
        <w:numPr>
          <w:ilvl w:val="0"/>
          <w:numId w:val="3"/>
        </w:numPr>
        <w:tabs>
          <w:tab w:val="left" w:pos="1428"/>
        </w:tabs>
        <w:ind w:firstLine="562" w:firstLineChars="200"/>
        <w:outlineLvl w:val="1"/>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3"/>
        </w:numPr>
        <w:tabs>
          <w:tab w:val="left" w:pos="1414"/>
        </w:tabs>
        <w:ind w:firstLine="562" w:firstLineChars="200"/>
        <w:outlineLvl w:val="1"/>
        <w:rPr>
          <w:rFonts w:ascii="楷体" w:hAnsi="楷体" w:eastAsia="楷体"/>
          <w:b/>
          <w:sz w:val="28"/>
          <w:szCs w:val="28"/>
        </w:rPr>
      </w:pPr>
      <w:r>
        <w:rPr>
          <w:rFonts w:hint="eastAsia" w:ascii="楷体" w:hAnsi="楷体" w:eastAsia="楷体"/>
          <w:b/>
          <w:sz w:val="28"/>
          <w:szCs w:val="28"/>
        </w:rPr>
        <w:t>产品托管人</w:t>
      </w:r>
    </w:p>
    <w:p>
      <w:pPr>
        <w:numPr>
          <w:ilvl w:val="0"/>
          <w:numId w:val="2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29"/>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托管人职责</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3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3"/>
        </w:numPr>
        <w:tabs>
          <w:tab w:val="left" w:pos="1428"/>
        </w:tabs>
        <w:ind w:firstLine="562" w:firstLineChars="200"/>
        <w:outlineLvl w:val="1"/>
        <w:rPr>
          <w:rFonts w:ascii="楷体" w:hAnsi="楷体" w:eastAsia="楷体"/>
          <w:b/>
          <w:sz w:val="28"/>
          <w:szCs w:val="28"/>
        </w:rPr>
      </w:pPr>
      <w:r>
        <w:rPr>
          <w:rFonts w:hint="eastAsia" w:ascii="楷体" w:hAnsi="楷体" w:eastAsia="楷体"/>
          <w:b/>
          <w:sz w:val="28"/>
          <w:szCs w:val="28"/>
        </w:rPr>
        <w:t>信息披露</w:t>
      </w:r>
    </w:p>
    <w:p>
      <w:pPr>
        <w:numPr>
          <w:ilvl w:val="0"/>
          <w:numId w:val="3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信息披露内容</w:t>
      </w:r>
    </w:p>
    <w:p>
      <w:pPr>
        <w:numPr>
          <w:ilvl w:val="0"/>
          <w:numId w:val="3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3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3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3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3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3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信息披露频率</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产品净值披露：本产品存续期内每周按说明书约定方式披露单位净值，每个开放日结束后2个工作日内通过本理财产品说明书约定方式披露上一投资周期终止日的单位净值、份额累计净值、认</w:t>
      </w:r>
      <w:r>
        <w:rPr>
          <w:rFonts w:hint="eastAsia" w:ascii="楷体" w:hAnsi="楷体" w:eastAsia="楷体" w:cs="Calibri"/>
          <w:sz w:val="24"/>
          <w:szCs w:val="24"/>
          <w:lang w:val="en-US" w:eastAsia="zh-CN"/>
        </w:rPr>
        <w:t>/申</w:t>
      </w:r>
      <w:r>
        <w:rPr>
          <w:rFonts w:hint="eastAsia" w:ascii="楷体" w:hAnsi="楷体" w:eastAsia="楷体" w:cs="Calibri"/>
          <w:sz w:val="24"/>
          <w:szCs w:val="24"/>
        </w:rPr>
        <w:t>购价格和赎回价格。</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33"/>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w:t>
      </w:r>
      <w:r>
        <w:rPr>
          <w:rFonts w:hint="eastAsia" w:ascii="楷体" w:hAnsi="楷体" w:eastAsia="楷体" w:cs="Calibri"/>
          <w:sz w:val="24"/>
          <w:szCs w:val="24"/>
          <w:lang w:val="en-US" w:eastAsia="zh-CN"/>
        </w:rPr>
        <w:t>份额单位</w:t>
      </w:r>
      <w:r>
        <w:rPr>
          <w:rFonts w:hint="eastAsia" w:ascii="楷体" w:hAnsi="楷体" w:eastAsia="楷体" w:cs="Calibri"/>
          <w:sz w:val="24"/>
          <w:szCs w:val="24"/>
        </w:rPr>
        <w:t>净值、份额累计净值、资产净值、收益情况、投资者理财交易账户发生的交易明细记录等信息。</w:t>
      </w:r>
    </w:p>
    <w:p>
      <w:pPr>
        <w:numPr>
          <w:ilvl w:val="0"/>
          <w:numId w:val="31"/>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信息披露方式</w:t>
      </w:r>
    </w:p>
    <w:p>
      <w:pPr>
        <w:ind w:firstLine="480" w:firstLineChars="200"/>
        <w:rPr>
          <w:rFonts w:hint="eastAsia"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34"/>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www.suyinwealth.com</w:t>
      </w:r>
      <w:r>
        <w:rPr>
          <w:rFonts w:hint="eastAsia" w:ascii="楷体" w:hAnsi="楷体" w:eastAsia="楷体" w:cs="Calibri"/>
          <w:sz w:val="24"/>
          <w:szCs w:val="24"/>
        </w:rPr>
        <w:t>）进行信息披露。</w:t>
      </w:r>
    </w:p>
    <w:p>
      <w:pPr>
        <w:numPr>
          <w:ilvl w:val="0"/>
          <w:numId w:val="34"/>
        </w:numPr>
        <w:tabs>
          <w:tab w:val="left" w:pos="728"/>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苏银理财将信息披露内容发送销售机构，由销售机构通过</w:t>
      </w:r>
      <w:r>
        <w:rPr>
          <w:rFonts w:hint="eastAsia" w:ascii="楷体" w:hAnsi="楷体" w:eastAsia="楷体" w:cs="Calibri"/>
          <w:sz w:val="24"/>
          <w:szCs w:val="24"/>
          <w:lang w:val="en-US" w:eastAsia="zh-CN"/>
        </w:rPr>
        <w:t>短信及</w:t>
      </w:r>
      <w:r>
        <w:rPr>
          <w:rFonts w:hint="eastAsia" w:ascii="楷体" w:hAnsi="楷体" w:eastAsia="楷体" w:cs="Calibri"/>
          <w:sz w:val="24"/>
          <w:szCs w:val="24"/>
        </w:rPr>
        <w:t>销售机构电子渠道和营业网点</w:t>
      </w:r>
      <w:r>
        <w:rPr>
          <w:rFonts w:hint="eastAsia" w:ascii="楷体" w:hAnsi="楷体" w:eastAsia="楷体" w:cs="Calibri"/>
          <w:sz w:val="24"/>
          <w:szCs w:val="24"/>
          <w:lang w:val="en-US" w:eastAsia="zh-CN"/>
        </w:rPr>
        <w:t>等方式</w:t>
      </w:r>
      <w:r>
        <w:rPr>
          <w:rFonts w:hint="eastAsia" w:ascii="楷体" w:hAnsi="楷体" w:eastAsia="楷体" w:cs="Calibri"/>
          <w:sz w:val="24"/>
          <w:szCs w:val="24"/>
        </w:rPr>
        <w:t>进行信息披露。</w:t>
      </w:r>
    </w:p>
    <w:p>
      <w:pPr>
        <w:ind w:firstLine="480" w:firstLineChars="200"/>
        <w:rPr>
          <w:rFonts w:hint="eastAsia" w:ascii="楷体" w:hAnsi="楷体" w:eastAsia="楷体"/>
          <w:sz w:val="24"/>
          <w:szCs w:val="24"/>
        </w:rPr>
      </w:pPr>
      <w:r>
        <w:rPr>
          <w:rFonts w:hint="eastAsia" w:ascii="楷体" w:hAnsi="楷体" w:eastAsia="楷体"/>
          <w:sz w:val="24"/>
          <w:szCs w:val="24"/>
        </w:rPr>
        <w:t>相关信息在发布或发出之日视为通知已送达投资者并生效，</w:t>
      </w:r>
      <w:r>
        <w:rPr>
          <w:rFonts w:hint="eastAsia" w:ascii="楷体" w:hAnsi="楷体" w:eastAsia="楷体"/>
          <w:sz w:val="24"/>
          <w:szCs w:val="24"/>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4"/>
          <w:szCs w:val="24"/>
        </w:rPr>
        <w:t>请</w:t>
      </w:r>
      <w:r>
        <w:rPr>
          <w:rFonts w:hint="eastAsia" w:ascii="楷体" w:hAnsi="楷体" w:eastAsia="楷体"/>
          <w:sz w:val="24"/>
          <w:szCs w:val="24"/>
          <w:lang w:val="en-US" w:eastAsia="zh-CN"/>
        </w:rPr>
        <w:t>投资者</w:t>
      </w:r>
      <w:r>
        <w:rPr>
          <w:rFonts w:hint="eastAsia" w:ascii="楷体" w:hAnsi="楷体" w:eastAsia="楷体"/>
          <w:sz w:val="24"/>
          <w:szCs w:val="24"/>
        </w:rPr>
        <w:t>及时登陆苏银理财有限责任</w:t>
      </w:r>
      <w:r>
        <w:rPr>
          <w:rFonts w:hint="eastAsia" w:ascii="楷体" w:hAnsi="楷体" w:eastAsia="楷体"/>
          <w:sz w:val="24"/>
          <w:szCs w:val="24"/>
          <w:lang w:val="en-US" w:eastAsia="zh-CN"/>
        </w:rPr>
        <w:t>公司</w:t>
      </w:r>
      <w:r>
        <w:rPr>
          <w:rFonts w:hint="eastAsia" w:ascii="楷体" w:hAnsi="楷体" w:eastAsia="楷体"/>
          <w:sz w:val="24"/>
          <w:szCs w:val="24"/>
        </w:rPr>
        <w:t>官方网站或者向销售机构查询获取披露信息。</w:t>
      </w:r>
    </w:p>
    <w:p>
      <w:pPr>
        <w:numPr>
          <w:ilvl w:val="0"/>
          <w:numId w:val="3"/>
        </w:numPr>
        <w:tabs>
          <w:tab w:val="left" w:pos="1428"/>
        </w:tabs>
        <w:ind w:firstLine="562" w:firstLineChars="200"/>
        <w:outlineLvl w:val="1"/>
        <w:rPr>
          <w:rFonts w:ascii="楷体" w:hAnsi="楷体" w:eastAsia="楷体"/>
          <w:b/>
          <w:sz w:val="28"/>
          <w:szCs w:val="28"/>
        </w:rPr>
      </w:pPr>
      <w:r>
        <w:rPr>
          <w:rFonts w:hint="eastAsia" w:ascii="楷体" w:hAnsi="楷体" w:eastAsia="楷体"/>
          <w:b/>
          <w:sz w:val="28"/>
          <w:szCs w:val="28"/>
        </w:rPr>
        <w:t>其他</w:t>
      </w:r>
    </w:p>
    <w:p>
      <w:pPr>
        <w:numPr>
          <w:ilvl w:val="0"/>
          <w:numId w:val="35"/>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35"/>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信息安全</w:t>
      </w:r>
    </w:p>
    <w:p>
      <w:pPr>
        <w:ind w:firstLine="480" w:firstLineChars="200"/>
        <w:rPr>
          <w:rFonts w:hint="eastAsia" w:ascii="楷体" w:hAnsi="楷体" w:eastAsia="楷体"/>
          <w:sz w:val="24"/>
          <w:szCs w:val="24"/>
        </w:rPr>
      </w:pPr>
      <w:r>
        <w:rPr>
          <w:rFonts w:hint="eastAsia" w:ascii="楷体" w:hAnsi="楷体" w:eastAsia="楷体"/>
          <w:sz w:val="24"/>
          <w:szCs w:val="24"/>
        </w:rPr>
        <w:t>苏银理财及</w:t>
      </w:r>
      <w:r>
        <w:rPr>
          <w:rFonts w:hint="eastAsia" w:ascii="楷体" w:hAnsi="楷体" w:eastAsia="楷体"/>
          <w:sz w:val="24"/>
          <w:szCs w:val="24"/>
          <w:lang w:val="en-US" w:eastAsia="zh-CN"/>
        </w:rPr>
        <w:t>销售</w:t>
      </w:r>
      <w:r>
        <w:rPr>
          <w:rFonts w:hint="eastAsia" w:ascii="楷体" w:hAnsi="楷体" w:eastAsia="楷体"/>
          <w:sz w:val="24"/>
          <w:szCs w:val="24"/>
        </w:rPr>
        <w:t>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hint="eastAsia"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w:t>
      </w:r>
      <w:r>
        <w:rPr>
          <w:rFonts w:hint="eastAsia" w:ascii="楷体" w:hAnsi="楷体" w:eastAsia="楷体"/>
          <w:sz w:val="24"/>
          <w:szCs w:val="24"/>
          <w:lang w:val="en-US" w:eastAsia="zh-CN"/>
        </w:rPr>
        <w:t>接触</w:t>
      </w:r>
      <w:r>
        <w:rPr>
          <w:rFonts w:hint="eastAsia" w:ascii="楷体" w:hAnsi="楷体" w:eastAsia="楷体"/>
          <w:sz w:val="24"/>
          <w:szCs w:val="24"/>
        </w:rPr>
        <w:t>并按照苏银理财的业务要求以及“最少必须”原则使用投资人个人信息。苏银理财承诺将向有关第三方明确其保护投资人信息的职责并要求第三方承担相应的保密义务。</w:t>
      </w:r>
    </w:p>
    <w:p>
      <w:pPr>
        <w:numPr>
          <w:ilvl w:val="0"/>
          <w:numId w:val="35"/>
        </w:numPr>
        <w:tabs>
          <w:tab w:val="left" w:pos="993"/>
        </w:tabs>
        <w:ind w:left="0" w:firstLine="482" w:firstLineChars="200"/>
        <w:outlineLvl w:val="2"/>
        <w:rPr>
          <w:rFonts w:ascii="楷体" w:hAnsi="楷体" w:eastAsia="楷体" w:cs="Calibri"/>
          <w:b/>
          <w:sz w:val="24"/>
          <w:szCs w:val="24"/>
        </w:rPr>
      </w:pPr>
      <w:r>
        <w:rPr>
          <w:rFonts w:hint="eastAsia" w:ascii="楷体" w:hAnsi="楷体" w:eastAsia="楷体" w:cs="Calibri"/>
          <w:b/>
          <w:sz w:val="24"/>
          <w:szCs w:val="24"/>
        </w:rPr>
        <w:t>争议解决</w:t>
      </w:r>
    </w:p>
    <w:p>
      <w:pPr>
        <w:ind w:firstLine="480" w:firstLineChars="200"/>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rPr>
          <w:rFonts w:hint="eastAsia" w:ascii="楷体" w:hAnsi="楷体" w:eastAsia="楷体"/>
          <w:sz w:val="24"/>
          <w:szCs w:val="24"/>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p>
    <w:p>
      <w:pPr>
        <w:rPr>
          <w:rFonts w:hint="eastAsia" w:ascii="楷体" w:hAnsi="楷体" w:eastAsia="楷体"/>
          <w:sz w:val="24"/>
          <w:szCs w:val="24"/>
        </w:rPr>
      </w:pPr>
    </w:p>
    <w:sectPr>
      <w:headerReference r:id="rId6" w:type="first"/>
      <w:headerReference r:id="rId4" w:type="default"/>
      <w:footerReference r:id="rId7" w:type="default"/>
      <w:head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23</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snapToGrid w:val="0"/>
      </w:pPr>
      <w:r>
        <w:rPr>
          <w:rStyle w:val="20"/>
        </w:rPr>
        <w:footnoteRef/>
      </w:r>
      <w:r>
        <w:rPr>
          <w:rFonts w:hint="eastAsia" w:ascii="楷体" w:hAnsi="楷体" w:eastAsia="楷体"/>
        </w:rPr>
        <w:t>注：</w:t>
      </w:r>
      <w:r>
        <w:rPr>
          <w:rFonts w:hint="eastAsia" w:ascii="楷体" w:hAnsi="楷体" w:eastAsia="楷体"/>
          <w:sz w:val="18"/>
          <w:szCs w:val="18"/>
          <w:lang w:eastAsia="zh-CN"/>
        </w:rPr>
        <w:t>投资者权益须知</w:t>
      </w:r>
      <w:r>
        <w:rPr>
          <w:rFonts w:hint="eastAsia" w:ascii="楷体" w:hAnsi="楷体" w:eastAsia="楷体"/>
        </w:rPr>
        <w:t>的名称和内容以销售机构实际使用为准。</w:t>
      </w:r>
    </w:p>
  </w:footnote>
  <w:footnote w:id="1">
    <w:p>
      <w:pPr>
        <w:pStyle w:val="11"/>
        <w:rPr>
          <w:rFonts w:hint="eastAsia" w:ascii="楷体" w:hAnsi="楷体" w:eastAsia="楷体"/>
        </w:rPr>
      </w:pPr>
      <w:r>
        <w:rPr>
          <w:rStyle w:val="20"/>
          <w:rFonts w:ascii="楷体" w:hAnsi="楷体" w:eastAsia="楷体"/>
        </w:rPr>
        <w:footnoteRef/>
      </w:r>
      <w:r>
        <w:rPr>
          <w:rFonts w:hint="eastAsia" w:ascii="楷体" w:hAnsi="楷体" w:eastAsia="楷体"/>
        </w:rPr>
        <w:t>注：</w:t>
      </w:r>
      <w:r>
        <w:rPr>
          <w:rFonts w:hint="eastAsia" w:ascii="楷体" w:hAnsi="楷体" w:eastAsia="楷体"/>
          <w:lang w:eastAsia="zh-CN"/>
        </w:rPr>
        <w:t>理财产品（代理）销售协议书</w:t>
      </w:r>
      <w:r>
        <w:rPr>
          <w:rFonts w:hint="eastAsia" w:ascii="楷体" w:hAnsi="楷体" w:eastAsia="楷体"/>
        </w:rPr>
        <w:t>的名称和内容以销售机构实际使用为准。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5"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B30410"/>
    <w:multiLevelType w:val="multilevel"/>
    <w:tmpl w:val="2CB304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266630"/>
    <w:multiLevelType w:val="multilevel"/>
    <w:tmpl w:val="3326663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C765AA"/>
    <w:multiLevelType w:val="multilevel"/>
    <w:tmpl w:val="3FC765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F440F1"/>
    <w:multiLevelType w:val="multilevel"/>
    <w:tmpl w:val="51F440F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C30213"/>
    <w:multiLevelType w:val="multilevel"/>
    <w:tmpl w:val="5BC302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D055B78"/>
    <w:multiLevelType w:val="multilevel"/>
    <w:tmpl w:val="5D055B7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05B5574"/>
    <w:multiLevelType w:val="multilevel"/>
    <w:tmpl w:val="605B55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C82A25"/>
    <w:multiLevelType w:val="multilevel"/>
    <w:tmpl w:val="67C82A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C3373F8"/>
    <w:multiLevelType w:val="multilevel"/>
    <w:tmpl w:val="7C3373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4"/>
  </w:num>
  <w:num w:numId="3">
    <w:abstractNumId w:val="5"/>
  </w:num>
  <w:num w:numId="4">
    <w:abstractNumId w:val="11"/>
  </w:num>
  <w:num w:numId="5">
    <w:abstractNumId w:val="26"/>
  </w:num>
  <w:num w:numId="6">
    <w:abstractNumId w:val="21"/>
  </w:num>
  <w:num w:numId="7">
    <w:abstractNumId w:val="29"/>
  </w:num>
  <w:num w:numId="8">
    <w:abstractNumId w:val="6"/>
  </w:num>
  <w:num w:numId="9">
    <w:abstractNumId w:val="13"/>
  </w:num>
  <w:num w:numId="10">
    <w:abstractNumId w:val="0"/>
  </w:num>
  <w:num w:numId="11">
    <w:abstractNumId w:val="32"/>
  </w:num>
  <w:num w:numId="12">
    <w:abstractNumId w:val="22"/>
  </w:num>
  <w:num w:numId="13">
    <w:abstractNumId w:val="16"/>
  </w:num>
  <w:num w:numId="14">
    <w:abstractNumId w:val="7"/>
  </w:num>
  <w:num w:numId="15">
    <w:abstractNumId w:val="4"/>
  </w:num>
  <w:num w:numId="16">
    <w:abstractNumId w:val="8"/>
  </w:num>
  <w:num w:numId="17">
    <w:abstractNumId w:val="27"/>
  </w:num>
  <w:num w:numId="18">
    <w:abstractNumId w:val="23"/>
  </w:num>
  <w:num w:numId="19">
    <w:abstractNumId w:val="20"/>
  </w:num>
  <w:num w:numId="20">
    <w:abstractNumId w:val="18"/>
  </w:num>
  <w:num w:numId="21">
    <w:abstractNumId w:val="3"/>
  </w:num>
  <w:num w:numId="22">
    <w:abstractNumId w:val="9"/>
  </w:num>
  <w:num w:numId="23">
    <w:abstractNumId w:val="28"/>
  </w:num>
  <w:num w:numId="24">
    <w:abstractNumId w:val="2"/>
  </w:num>
  <w:num w:numId="25">
    <w:abstractNumId w:val="30"/>
  </w:num>
  <w:num w:numId="26">
    <w:abstractNumId w:val="19"/>
  </w:num>
  <w:num w:numId="27">
    <w:abstractNumId w:val="17"/>
  </w:num>
  <w:num w:numId="28">
    <w:abstractNumId w:val="34"/>
  </w:num>
  <w:num w:numId="29">
    <w:abstractNumId w:val="25"/>
  </w:num>
  <w:num w:numId="30">
    <w:abstractNumId w:val="10"/>
  </w:num>
  <w:num w:numId="31">
    <w:abstractNumId w:val="33"/>
  </w:num>
  <w:num w:numId="32">
    <w:abstractNumId w:val="15"/>
  </w:num>
  <w:num w:numId="33">
    <w:abstractNumId w:val="31"/>
  </w:num>
  <w:num w:numId="34">
    <w:abstractNumId w:val="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3606"/>
    <w:rsid w:val="00003EE9"/>
    <w:rsid w:val="000048B0"/>
    <w:rsid w:val="00005B01"/>
    <w:rsid w:val="00006AFB"/>
    <w:rsid w:val="00006EAF"/>
    <w:rsid w:val="0000713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3BD1"/>
    <w:rsid w:val="00023E47"/>
    <w:rsid w:val="000247F9"/>
    <w:rsid w:val="00024A4A"/>
    <w:rsid w:val="000263ED"/>
    <w:rsid w:val="00026591"/>
    <w:rsid w:val="000275AC"/>
    <w:rsid w:val="000279D8"/>
    <w:rsid w:val="00027E61"/>
    <w:rsid w:val="00027F48"/>
    <w:rsid w:val="0003072E"/>
    <w:rsid w:val="00030D69"/>
    <w:rsid w:val="000315E6"/>
    <w:rsid w:val="00031806"/>
    <w:rsid w:val="000318DB"/>
    <w:rsid w:val="00031BAC"/>
    <w:rsid w:val="00031F80"/>
    <w:rsid w:val="00034890"/>
    <w:rsid w:val="000349C5"/>
    <w:rsid w:val="000375C2"/>
    <w:rsid w:val="0003796E"/>
    <w:rsid w:val="000401BF"/>
    <w:rsid w:val="000405B1"/>
    <w:rsid w:val="000420FE"/>
    <w:rsid w:val="00043555"/>
    <w:rsid w:val="00043D5F"/>
    <w:rsid w:val="00044C70"/>
    <w:rsid w:val="000469D0"/>
    <w:rsid w:val="00046AAA"/>
    <w:rsid w:val="00047201"/>
    <w:rsid w:val="0004768E"/>
    <w:rsid w:val="00050975"/>
    <w:rsid w:val="00051D94"/>
    <w:rsid w:val="00051DB3"/>
    <w:rsid w:val="000522EC"/>
    <w:rsid w:val="00054158"/>
    <w:rsid w:val="00054854"/>
    <w:rsid w:val="00055332"/>
    <w:rsid w:val="00055CB4"/>
    <w:rsid w:val="0005670B"/>
    <w:rsid w:val="000567FE"/>
    <w:rsid w:val="00060571"/>
    <w:rsid w:val="00061D74"/>
    <w:rsid w:val="000622F4"/>
    <w:rsid w:val="00062791"/>
    <w:rsid w:val="00063E49"/>
    <w:rsid w:val="00064F2B"/>
    <w:rsid w:val="00066944"/>
    <w:rsid w:val="00066A4B"/>
    <w:rsid w:val="00066F56"/>
    <w:rsid w:val="00066FC3"/>
    <w:rsid w:val="000677EE"/>
    <w:rsid w:val="00070C29"/>
    <w:rsid w:val="00071418"/>
    <w:rsid w:val="00071581"/>
    <w:rsid w:val="0007293A"/>
    <w:rsid w:val="00072D1F"/>
    <w:rsid w:val="00072EF5"/>
    <w:rsid w:val="000732F2"/>
    <w:rsid w:val="0007366C"/>
    <w:rsid w:val="00074189"/>
    <w:rsid w:val="00074306"/>
    <w:rsid w:val="000757BB"/>
    <w:rsid w:val="00076189"/>
    <w:rsid w:val="00077A9A"/>
    <w:rsid w:val="00077DDA"/>
    <w:rsid w:val="00080568"/>
    <w:rsid w:val="00080C2C"/>
    <w:rsid w:val="00081AD6"/>
    <w:rsid w:val="000820E2"/>
    <w:rsid w:val="00083319"/>
    <w:rsid w:val="000839AD"/>
    <w:rsid w:val="000853F6"/>
    <w:rsid w:val="00086585"/>
    <w:rsid w:val="000867A8"/>
    <w:rsid w:val="00087036"/>
    <w:rsid w:val="00087EDB"/>
    <w:rsid w:val="00091208"/>
    <w:rsid w:val="00091C44"/>
    <w:rsid w:val="00092843"/>
    <w:rsid w:val="000934F7"/>
    <w:rsid w:val="00093C11"/>
    <w:rsid w:val="000945CC"/>
    <w:rsid w:val="00094631"/>
    <w:rsid w:val="0009573A"/>
    <w:rsid w:val="000958D2"/>
    <w:rsid w:val="00096382"/>
    <w:rsid w:val="000972B0"/>
    <w:rsid w:val="0009795C"/>
    <w:rsid w:val="00097F80"/>
    <w:rsid w:val="000A0B14"/>
    <w:rsid w:val="000A2D2D"/>
    <w:rsid w:val="000A2E68"/>
    <w:rsid w:val="000A348F"/>
    <w:rsid w:val="000A45AB"/>
    <w:rsid w:val="000A5BF4"/>
    <w:rsid w:val="000B0078"/>
    <w:rsid w:val="000B0690"/>
    <w:rsid w:val="000B3B58"/>
    <w:rsid w:val="000B3EFD"/>
    <w:rsid w:val="000B5006"/>
    <w:rsid w:val="000B659B"/>
    <w:rsid w:val="000B6E9F"/>
    <w:rsid w:val="000C1F95"/>
    <w:rsid w:val="000C3DB1"/>
    <w:rsid w:val="000C54ED"/>
    <w:rsid w:val="000C5C02"/>
    <w:rsid w:val="000C6143"/>
    <w:rsid w:val="000C7382"/>
    <w:rsid w:val="000D1A22"/>
    <w:rsid w:val="000D1E06"/>
    <w:rsid w:val="000D35BD"/>
    <w:rsid w:val="000D5455"/>
    <w:rsid w:val="000D71CF"/>
    <w:rsid w:val="000D7225"/>
    <w:rsid w:val="000D722C"/>
    <w:rsid w:val="000D7277"/>
    <w:rsid w:val="000E0485"/>
    <w:rsid w:val="000E21D9"/>
    <w:rsid w:val="000E2E7D"/>
    <w:rsid w:val="000E34BA"/>
    <w:rsid w:val="000E34F3"/>
    <w:rsid w:val="000E3792"/>
    <w:rsid w:val="000E4205"/>
    <w:rsid w:val="000E5598"/>
    <w:rsid w:val="000E7CF6"/>
    <w:rsid w:val="000E7D1B"/>
    <w:rsid w:val="000E7DF4"/>
    <w:rsid w:val="000F0433"/>
    <w:rsid w:val="000F19D4"/>
    <w:rsid w:val="000F1D3C"/>
    <w:rsid w:val="000F2BB5"/>
    <w:rsid w:val="000F3D5D"/>
    <w:rsid w:val="000F4243"/>
    <w:rsid w:val="000F4811"/>
    <w:rsid w:val="000F4ABF"/>
    <w:rsid w:val="000F510B"/>
    <w:rsid w:val="000F5B66"/>
    <w:rsid w:val="000F5BE5"/>
    <w:rsid w:val="000F5FF6"/>
    <w:rsid w:val="000F65C5"/>
    <w:rsid w:val="000F6A6E"/>
    <w:rsid w:val="000F7056"/>
    <w:rsid w:val="000F7D2C"/>
    <w:rsid w:val="00100EB5"/>
    <w:rsid w:val="00100F0C"/>
    <w:rsid w:val="001025A3"/>
    <w:rsid w:val="00103497"/>
    <w:rsid w:val="001036A0"/>
    <w:rsid w:val="0010457E"/>
    <w:rsid w:val="00105BD7"/>
    <w:rsid w:val="001065F5"/>
    <w:rsid w:val="00110417"/>
    <w:rsid w:val="0011103A"/>
    <w:rsid w:val="00111E3E"/>
    <w:rsid w:val="001121A0"/>
    <w:rsid w:val="0011258E"/>
    <w:rsid w:val="001126F6"/>
    <w:rsid w:val="00112880"/>
    <w:rsid w:val="00112D64"/>
    <w:rsid w:val="00112F03"/>
    <w:rsid w:val="00112F3F"/>
    <w:rsid w:val="00115E7F"/>
    <w:rsid w:val="0011696D"/>
    <w:rsid w:val="0011782F"/>
    <w:rsid w:val="0012104D"/>
    <w:rsid w:val="00121681"/>
    <w:rsid w:val="00122F58"/>
    <w:rsid w:val="0012352A"/>
    <w:rsid w:val="00123BCB"/>
    <w:rsid w:val="0012411A"/>
    <w:rsid w:val="001242DE"/>
    <w:rsid w:val="00125B66"/>
    <w:rsid w:val="00125B8C"/>
    <w:rsid w:val="0012647A"/>
    <w:rsid w:val="00126EE1"/>
    <w:rsid w:val="00127044"/>
    <w:rsid w:val="001303B2"/>
    <w:rsid w:val="00130EED"/>
    <w:rsid w:val="00130F7B"/>
    <w:rsid w:val="00131F1B"/>
    <w:rsid w:val="0013364F"/>
    <w:rsid w:val="00133AAF"/>
    <w:rsid w:val="00133B98"/>
    <w:rsid w:val="0013472F"/>
    <w:rsid w:val="00134733"/>
    <w:rsid w:val="00134B7E"/>
    <w:rsid w:val="0013526A"/>
    <w:rsid w:val="001359ED"/>
    <w:rsid w:val="00140B25"/>
    <w:rsid w:val="0014427A"/>
    <w:rsid w:val="00144304"/>
    <w:rsid w:val="001450DF"/>
    <w:rsid w:val="001450E0"/>
    <w:rsid w:val="0014734D"/>
    <w:rsid w:val="00151CC7"/>
    <w:rsid w:val="00151ED4"/>
    <w:rsid w:val="00152B36"/>
    <w:rsid w:val="001530B2"/>
    <w:rsid w:val="001542A4"/>
    <w:rsid w:val="001543E7"/>
    <w:rsid w:val="00154F7A"/>
    <w:rsid w:val="00155B77"/>
    <w:rsid w:val="00157DE3"/>
    <w:rsid w:val="00160569"/>
    <w:rsid w:val="00160CEC"/>
    <w:rsid w:val="00161000"/>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84C45"/>
    <w:rsid w:val="0019333A"/>
    <w:rsid w:val="00194E69"/>
    <w:rsid w:val="00194F44"/>
    <w:rsid w:val="00195ECF"/>
    <w:rsid w:val="00197DD9"/>
    <w:rsid w:val="001A059E"/>
    <w:rsid w:val="001A05F5"/>
    <w:rsid w:val="001A1C12"/>
    <w:rsid w:val="001A2434"/>
    <w:rsid w:val="001A422B"/>
    <w:rsid w:val="001A502C"/>
    <w:rsid w:val="001A57DB"/>
    <w:rsid w:val="001A586B"/>
    <w:rsid w:val="001A72FD"/>
    <w:rsid w:val="001A73F1"/>
    <w:rsid w:val="001B1D26"/>
    <w:rsid w:val="001B1E1E"/>
    <w:rsid w:val="001B25A3"/>
    <w:rsid w:val="001B272C"/>
    <w:rsid w:val="001B2F76"/>
    <w:rsid w:val="001B2F82"/>
    <w:rsid w:val="001B396B"/>
    <w:rsid w:val="001B413E"/>
    <w:rsid w:val="001B4B9C"/>
    <w:rsid w:val="001B57A4"/>
    <w:rsid w:val="001B72EB"/>
    <w:rsid w:val="001B7D0D"/>
    <w:rsid w:val="001C03B1"/>
    <w:rsid w:val="001C0516"/>
    <w:rsid w:val="001C13E9"/>
    <w:rsid w:val="001C26FF"/>
    <w:rsid w:val="001C4148"/>
    <w:rsid w:val="001C44B5"/>
    <w:rsid w:val="001C469F"/>
    <w:rsid w:val="001C6116"/>
    <w:rsid w:val="001C6DD2"/>
    <w:rsid w:val="001C78FF"/>
    <w:rsid w:val="001D0014"/>
    <w:rsid w:val="001D0B29"/>
    <w:rsid w:val="001D1C27"/>
    <w:rsid w:val="001D1D40"/>
    <w:rsid w:val="001D1F28"/>
    <w:rsid w:val="001D2A8B"/>
    <w:rsid w:val="001D3518"/>
    <w:rsid w:val="001D48EE"/>
    <w:rsid w:val="001D49AC"/>
    <w:rsid w:val="001D4BC9"/>
    <w:rsid w:val="001D4FE1"/>
    <w:rsid w:val="001D78FF"/>
    <w:rsid w:val="001E0062"/>
    <w:rsid w:val="001E0387"/>
    <w:rsid w:val="001E138F"/>
    <w:rsid w:val="001E1C4D"/>
    <w:rsid w:val="001E223F"/>
    <w:rsid w:val="001E4374"/>
    <w:rsid w:val="001E4A82"/>
    <w:rsid w:val="001E4C0D"/>
    <w:rsid w:val="001E4D03"/>
    <w:rsid w:val="001E4E95"/>
    <w:rsid w:val="001E55CB"/>
    <w:rsid w:val="001E57B9"/>
    <w:rsid w:val="001E6078"/>
    <w:rsid w:val="001E631F"/>
    <w:rsid w:val="001E6A8F"/>
    <w:rsid w:val="001F0A69"/>
    <w:rsid w:val="001F170E"/>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590E"/>
    <w:rsid w:val="0020639A"/>
    <w:rsid w:val="002078BE"/>
    <w:rsid w:val="00210857"/>
    <w:rsid w:val="002119A2"/>
    <w:rsid w:val="00213632"/>
    <w:rsid w:val="002158C4"/>
    <w:rsid w:val="00215F66"/>
    <w:rsid w:val="00220657"/>
    <w:rsid w:val="0022162D"/>
    <w:rsid w:val="002222A4"/>
    <w:rsid w:val="002239BC"/>
    <w:rsid w:val="0022633B"/>
    <w:rsid w:val="00226F9D"/>
    <w:rsid w:val="0022731F"/>
    <w:rsid w:val="002276FA"/>
    <w:rsid w:val="00227C4F"/>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189"/>
    <w:rsid w:val="00241423"/>
    <w:rsid w:val="0024212E"/>
    <w:rsid w:val="002425DE"/>
    <w:rsid w:val="002436C1"/>
    <w:rsid w:val="00243DF5"/>
    <w:rsid w:val="00244895"/>
    <w:rsid w:val="00245106"/>
    <w:rsid w:val="00245D03"/>
    <w:rsid w:val="0024748B"/>
    <w:rsid w:val="002477F3"/>
    <w:rsid w:val="00247A7D"/>
    <w:rsid w:val="00250C6A"/>
    <w:rsid w:val="0025150E"/>
    <w:rsid w:val="0025159B"/>
    <w:rsid w:val="0025240A"/>
    <w:rsid w:val="00252B51"/>
    <w:rsid w:val="00253997"/>
    <w:rsid w:val="0025423C"/>
    <w:rsid w:val="00254A3C"/>
    <w:rsid w:val="00254A8B"/>
    <w:rsid w:val="00254D59"/>
    <w:rsid w:val="00255480"/>
    <w:rsid w:val="00255ECB"/>
    <w:rsid w:val="00256119"/>
    <w:rsid w:val="00256E57"/>
    <w:rsid w:val="0025744E"/>
    <w:rsid w:val="002579CC"/>
    <w:rsid w:val="00262279"/>
    <w:rsid w:val="0026261B"/>
    <w:rsid w:val="00263007"/>
    <w:rsid w:val="002644DA"/>
    <w:rsid w:val="0026641B"/>
    <w:rsid w:val="00266A6A"/>
    <w:rsid w:val="00266E3B"/>
    <w:rsid w:val="002672C8"/>
    <w:rsid w:val="00267465"/>
    <w:rsid w:val="00270665"/>
    <w:rsid w:val="0027128B"/>
    <w:rsid w:val="00271F27"/>
    <w:rsid w:val="00272261"/>
    <w:rsid w:val="00272C53"/>
    <w:rsid w:val="00272E20"/>
    <w:rsid w:val="00273681"/>
    <w:rsid w:val="002747E8"/>
    <w:rsid w:val="00274FAF"/>
    <w:rsid w:val="0027510A"/>
    <w:rsid w:val="002765F4"/>
    <w:rsid w:val="00276883"/>
    <w:rsid w:val="00277728"/>
    <w:rsid w:val="00277C1F"/>
    <w:rsid w:val="00277CC3"/>
    <w:rsid w:val="002817EA"/>
    <w:rsid w:val="002821D7"/>
    <w:rsid w:val="002824BB"/>
    <w:rsid w:val="00282F20"/>
    <w:rsid w:val="00283C4B"/>
    <w:rsid w:val="00285867"/>
    <w:rsid w:val="0029004F"/>
    <w:rsid w:val="00291A31"/>
    <w:rsid w:val="00291B84"/>
    <w:rsid w:val="00292B19"/>
    <w:rsid w:val="00292B5E"/>
    <w:rsid w:val="002932FC"/>
    <w:rsid w:val="00293B59"/>
    <w:rsid w:val="00294431"/>
    <w:rsid w:val="0029474A"/>
    <w:rsid w:val="00294B49"/>
    <w:rsid w:val="0029526F"/>
    <w:rsid w:val="00295538"/>
    <w:rsid w:val="00296EB4"/>
    <w:rsid w:val="00297034"/>
    <w:rsid w:val="00297598"/>
    <w:rsid w:val="002A046A"/>
    <w:rsid w:val="002A13F4"/>
    <w:rsid w:val="002A23E0"/>
    <w:rsid w:val="002A2E20"/>
    <w:rsid w:val="002A2FFA"/>
    <w:rsid w:val="002A32DF"/>
    <w:rsid w:val="002A46D7"/>
    <w:rsid w:val="002A6980"/>
    <w:rsid w:val="002A7DF5"/>
    <w:rsid w:val="002A7E94"/>
    <w:rsid w:val="002B064E"/>
    <w:rsid w:val="002B0795"/>
    <w:rsid w:val="002B0AC9"/>
    <w:rsid w:val="002B2620"/>
    <w:rsid w:val="002B3225"/>
    <w:rsid w:val="002B5694"/>
    <w:rsid w:val="002B659F"/>
    <w:rsid w:val="002B7037"/>
    <w:rsid w:val="002C021F"/>
    <w:rsid w:val="002C1C54"/>
    <w:rsid w:val="002C2056"/>
    <w:rsid w:val="002C23F7"/>
    <w:rsid w:val="002C275F"/>
    <w:rsid w:val="002C2ADA"/>
    <w:rsid w:val="002C3367"/>
    <w:rsid w:val="002C478A"/>
    <w:rsid w:val="002C50C0"/>
    <w:rsid w:val="002C513A"/>
    <w:rsid w:val="002C6302"/>
    <w:rsid w:val="002C7117"/>
    <w:rsid w:val="002C7CB4"/>
    <w:rsid w:val="002D0706"/>
    <w:rsid w:val="002D29FD"/>
    <w:rsid w:val="002D2AEC"/>
    <w:rsid w:val="002D2B97"/>
    <w:rsid w:val="002D2C1F"/>
    <w:rsid w:val="002E1382"/>
    <w:rsid w:val="002E32E2"/>
    <w:rsid w:val="002E4F2A"/>
    <w:rsid w:val="002E6AD0"/>
    <w:rsid w:val="002E6F55"/>
    <w:rsid w:val="002F04F4"/>
    <w:rsid w:val="002F0920"/>
    <w:rsid w:val="002F0E4E"/>
    <w:rsid w:val="002F344B"/>
    <w:rsid w:val="002F3FBD"/>
    <w:rsid w:val="002F606F"/>
    <w:rsid w:val="002F6956"/>
    <w:rsid w:val="002F709A"/>
    <w:rsid w:val="002F77A8"/>
    <w:rsid w:val="0030035F"/>
    <w:rsid w:val="00301619"/>
    <w:rsid w:val="00301AD3"/>
    <w:rsid w:val="00301E80"/>
    <w:rsid w:val="003025CE"/>
    <w:rsid w:val="00302755"/>
    <w:rsid w:val="00303458"/>
    <w:rsid w:val="003039FF"/>
    <w:rsid w:val="00304375"/>
    <w:rsid w:val="00304D18"/>
    <w:rsid w:val="003050A7"/>
    <w:rsid w:val="00305A15"/>
    <w:rsid w:val="00305F8C"/>
    <w:rsid w:val="00306353"/>
    <w:rsid w:val="00306D41"/>
    <w:rsid w:val="00307094"/>
    <w:rsid w:val="00307342"/>
    <w:rsid w:val="00310A72"/>
    <w:rsid w:val="00311C18"/>
    <w:rsid w:val="0031298C"/>
    <w:rsid w:val="00313619"/>
    <w:rsid w:val="00313D52"/>
    <w:rsid w:val="00313E33"/>
    <w:rsid w:val="00314235"/>
    <w:rsid w:val="00314E35"/>
    <w:rsid w:val="00320186"/>
    <w:rsid w:val="003206F0"/>
    <w:rsid w:val="00321DFA"/>
    <w:rsid w:val="003222FC"/>
    <w:rsid w:val="00324EC0"/>
    <w:rsid w:val="00325665"/>
    <w:rsid w:val="00325D85"/>
    <w:rsid w:val="0032607C"/>
    <w:rsid w:val="00326E7B"/>
    <w:rsid w:val="003305DB"/>
    <w:rsid w:val="0033166C"/>
    <w:rsid w:val="0033271D"/>
    <w:rsid w:val="0033358A"/>
    <w:rsid w:val="00333937"/>
    <w:rsid w:val="003342B8"/>
    <w:rsid w:val="0033504B"/>
    <w:rsid w:val="003362C7"/>
    <w:rsid w:val="00336A5A"/>
    <w:rsid w:val="00337043"/>
    <w:rsid w:val="00337AA0"/>
    <w:rsid w:val="00341B50"/>
    <w:rsid w:val="00342745"/>
    <w:rsid w:val="00342ADB"/>
    <w:rsid w:val="00343AA6"/>
    <w:rsid w:val="00343B0F"/>
    <w:rsid w:val="00344A27"/>
    <w:rsid w:val="00347006"/>
    <w:rsid w:val="00347D0D"/>
    <w:rsid w:val="003503AE"/>
    <w:rsid w:val="00351D7D"/>
    <w:rsid w:val="00351D8C"/>
    <w:rsid w:val="0035213A"/>
    <w:rsid w:val="00353419"/>
    <w:rsid w:val="00353D23"/>
    <w:rsid w:val="003555D3"/>
    <w:rsid w:val="00355D35"/>
    <w:rsid w:val="00356BEA"/>
    <w:rsid w:val="00360094"/>
    <w:rsid w:val="00361697"/>
    <w:rsid w:val="003627FB"/>
    <w:rsid w:val="00362826"/>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73E"/>
    <w:rsid w:val="003749F9"/>
    <w:rsid w:val="00375BEB"/>
    <w:rsid w:val="00375BF0"/>
    <w:rsid w:val="00376D78"/>
    <w:rsid w:val="0037725D"/>
    <w:rsid w:val="00377A25"/>
    <w:rsid w:val="00377B13"/>
    <w:rsid w:val="003800B4"/>
    <w:rsid w:val="003809E0"/>
    <w:rsid w:val="003814E2"/>
    <w:rsid w:val="00381E88"/>
    <w:rsid w:val="003821F9"/>
    <w:rsid w:val="00382548"/>
    <w:rsid w:val="003827CD"/>
    <w:rsid w:val="00382CF6"/>
    <w:rsid w:val="00383A99"/>
    <w:rsid w:val="00383D6D"/>
    <w:rsid w:val="00384713"/>
    <w:rsid w:val="00384D2B"/>
    <w:rsid w:val="003852EF"/>
    <w:rsid w:val="003870EE"/>
    <w:rsid w:val="00387750"/>
    <w:rsid w:val="00387A01"/>
    <w:rsid w:val="00387FA9"/>
    <w:rsid w:val="0039016C"/>
    <w:rsid w:val="003904B4"/>
    <w:rsid w:val="00393452"/>
    <w:rsid w:val="00394AD3"/>
    <w:rsid w:val="00394C2C"/>
    <w:rsid w:val="00395441"/>
    <w:rsid w:val="003964A0"/>
    <w:rsid w:val="00396F85"/>
    <w:rsid w:val="0039723A"/>
    <w:rsid w:val="003A1CB9"/>
    <w:rsid w:val="003A254C"/>
    <w:rsid w:val="003A27B8"/>
    <w:rsid w:val="003A3D8C"/>
    <w:rsid w:val="003A539D"/>
    <w:rsid w:val="003A5FA1"/>
    <w:rsid w:val="003A6074"/>
    <w:rsid w:val="003A7623"/>
    <w:rsid w:val="003B1725"/>
    <w:rsid w:val="003B242C"/>
    <w:rsid w:val="003B324C"/>
    <w:rsid w:val="003B43EE"/>
    <w:rsid w:val="003B4D64"/>
    <w:rsid w:val="003B531F"/>
    <w:rsid w:val="003B5CA2"/>
    <w:rsid w:val="003B5DFB"/>
    <w:rsid w:val="003B6220"/>
    <w:rsid w:val="003B636C"/>
    <w:rsid w:val="003B64ED"/>
    <w:rsid w:val="003B6F1F"/>
    <w:rsid w:val="003B76DC"/>
    <w:rsid w:val="003C09CF"/>
    <w:rsid w:val="003C1725"/>
    <w:rsid w:val="003C1E93"/>
    <w:rsid w:val="003C2161"/>
    <w:rsid w:val="003C3FAC"/>
    <w:rsid w:val="003C596C"/>
    <w:rsid w:val="003C68CB"/>
    <w:rsid w:val="003C7751"/>
    <w:rsid w:val="003C7D92"/>
    <w:rsid w:val="003D03AF"/>
    <w:rsid w:val="003D07CA"/>
    <w:rsid w:val="003D1FE5"/>
    <w:rsid w:val="003D2F54"/>
    <w:rsid w:val="003D3735"/>
    <w:rsid w:val="003D5148"/>
    <w:rsid w:val="003D6081"/>
    <w:rsid w:val="003D6720"/>
    <w:rsid w:val="003D6B3F"/>
    <w:rsid w:val="003D7951"/>
    <w:rsid w:val="003E030F"/>
    <w:rsid w:val="003E1EFB"/>
    <w:rsid w:val="003E263D"/>
    <w:rsid w:val="003E2B26"/>
    <w:rsid w:val="003E4299"/>
    <w:rsid w:val="003E4F77"/>
    <w:rsid w:val="003E52BE"/>
    <w:rsid w:val="003E6D92"/>
    <w:rsid w:val="003E6F85"/>
    <w:rsid w:val="003E70B9"/>
    <w:rsid w:val="003E7812"/>
    <w:rsid w:val="003F182B"/>
    <w:rsid w:val="003F1FE7"/>
    <w:rsid w:val="003F2136"/>
    <w:rsid w:val="003F277A"/>
    <w:rsid w:val="003F3190"/>
    <w:rsid w:val="003F31E6"/>
    <w:rsid w:val="003F40F9"/>
    <w:rsid w:val="003F4C40"/>
    <w:rsid w:val="003F52FE"/>
    <w:rsid w:val="003F580D"/>
    <w:rsid w:val="003F61D7"/>
    <w:rsid w:val="00401F3A"/>
    <w:rsid w:val="0040272E"/>
    <w:rsid w:val="00402A2A"/>
    <w:rsid w:val="00402EA0"/>
    <w:rsid w:val="00403387"/>
    <w:rsid w:val="004041C9"/>
    <w:rsid w:val="004062A5"/>
    <w:rsid w:val="00406A47"/>
    <w:rsid w:val="004079CC"/>
    <w:rsid w:val="004106A7"/>
    <w:rsid w:val="00410F85"/>
    <w:rsid w:val="00412823"/>
    <w:rsid w:val="0041382E"/>
    <w:rsid w:val="00413D00"/>
    <w:rsid w:val="00414410"/>
    <w:rsid w:val="00414992"/>
    <w:rsid w:val="00415186"/>
    <w:rsid w:val="00415386"/>
    <w:rsid w:val="00415413"/>
    <w:rsid w:val="00416ED0"/>
    <w:rsid w:val="004175B0"/>
    <w:rsid w:val="00421C9B"/>
    <w:rsid w:val="00422686"/>
    <w:rsid w:val="00422B8E"/>
    <w:rsid w:val="004233D8"/>
    <w:rsid w:val="0042438A"/>
    <w:rsid w:val="00426041"/>
    <w:rsid w:val="0042620B"/>
    <w:rsid w:val="00426CBC"/>
    <w:rsid w:val="00426FE6"/>
    <w:rsid w:val="00427756"/>
    <w:rsid w:val="00427CC0"/>
    <w:rsid w:val="0043002F"/>
    <w:rsid w:val="004302AA"/>
    <w:rsid w:val="004303B3"/>
    <w:rsid w:val="00430927"/>
    <w:rsid w:val="0043134E"/>
    <w:rsid w:val="0043162A"/>
    <w:rsid w:val="00432AFE"/>
    <w:rsid w:val="0043308A"/>
    <w:rsid w:val="00433113"/>
    <w:rsid w:val="004340D6"/>
    <w:rsid w:val="00434262"/>
    <w:rsid w:val="00436062"/>
    <w:rsid w:val="0043673C"/>
    <w:rsid w:val="00436801"/>
    <w:rsid w:val="00437DA0"/>
    <w:rsid w:val="00440ACF"/>
    <w:rsid w:val="004412CE"/>
    <w:rsid w:val="00441877"/>
    <w:rsid w:val="00442603"/>
    <w:rsid w:val="00442B95"/>
    <w:rsid w:val="00444898"/>
    <w:rsid w:val="004457E4"/>
    <w:rsid w:val="00445E88"/>
    <w:rsid w:val="004469BC"/>
    <w:rsid w:val="0044781C"/>
    <w:rsid w:val="004509F6"/>
    <w:rsid w:val="00453254"/>
    <w:rsid w:val="004532CC"/>
    <w:rsid w:val="0045366F"/>
    <w:rsid w:val="00453749"/>
    <w:rsid w:val="004539F0"/>
    <w:rsid w:val="00453F4D"/>
    <w:rsid w:val="00455D49"/>
    <w:rsid w:val="00455DF1"/>
    <w:rsid w:val="00456A0F"/>
    <w:rsid w:val="0046092C"/>
    <w:rsid w:val="00460F22"/>
    <w:rsid w:val="0046446A"/>
    <w:rsid w:val="004645D0"/>
    <w:rsid w:val="00464A97"/>
    <w:rsid w:val="00464FA6"/>
    <w:rsid w:val="004651E5"/>
    <w:rsid w:val="0046607F"/>
    <w:rsid w:val="00466B93"/>
    <w:rsid w:val="00467543"/>
    <w:rsid w:val="004676E4"/>
    <w:rsid w:val="0046796E"/>
    <w:rsid w:val="00467E09"/>
    <w:rsid w:val="004707EC"/>
    <w:rsid w:val="00470F11"/>
    <w:rsid w:val="0047173F"/>
    <w:rsid w:val="00471C45"/>
    <w:rsid w:val="00472203"/>
    <w:rsid w:val="004722FE"/>
    <w:rsid w:val="00472A2C"/>
    <w:rsid w:val="004739B2"/>
    <w:rsid w:val="00473DED"/>
    <w:rsid w:val="00473ED0"/>
    <w:rsid w:val="00474070"/>
    <w:rsid w:val="00474ADA"/>
    <w:rsid w:val="004761F8"/>
    <w:rsid w:val="0047624F"/>
    <w:rsid w:val="00476551"/>
    <w:rsid w:val="00476764"/>
    <w:rsid w:val="00477506"/>
    <w:rsid w:val="00477994"/>
    <w:rsid w:val="00480ED0"/>
    <w:rsid w:val="004815FB"/>
    <w:rsid w:val="00481CB0"/>
    <w:rsid w:val="00482251"/>
    <w:rsid w:val="00482CC2"/>
    <w:rsid w:val="004835E4"/>
    <w:rsid w:val="004838F5"/>
    <w:rsid w:val="00483A00"/>
    <w:rsid w:val="00483D82"/>
    <w:rsid w:val="00484CF0"/>
    <w:rsid w:val="0048562B"/>
    <w:rsid w:val="004856F7"/>
    <w:rsid w:val="00485E98"/>
    <w:rsid w:val="00485EE5"/>
    <w:rsid w:val="00487169"/>
    <w:rsid w:val="00490539"/>
    <w:rsid w:val="00490732"/>
    <w:rsid w:val="004907EE"/>
    <w:rsid w:val="00490BAF"/>
    <w:rsid w:val="00490BBC"/>
    <w:rsid w:val="004910C2"/>
    <w:rsid w:val="00491342"/>
    <w:rsid w:val="00491B25"/>
    <w:rsid w:val="004923DC"/>
    <w:rsid w:val="004925DF"/>
    <w:rsid w:val="0049285A"/>
    <w:rsid w:val="004929D1"/>
    <w:rsid w:val="004939CA"/>
    <w:rsid w:val="004945C5"/>
    <w:rsid w:val="0049607E"/>
    <w:rsid w:val="00497D5C"/>
    <w:rsid w:val="004A114E"/>
    <w:rsid w:val="004A1D81"/>
    <w:rsid w:val="004A237A"/>
    <w:rsid w:val="004A243A"/>
    <w:rsid w:val="004A2756"/>
    <w:rsid w:val="004A49CD"/>
    <w:rsid w:val="004A4AED"/>
    <w:rsid w:val="004A58D1"/>
    <w:rsid w:val="004A5CB2"/>
    <w:rsid w:val="004A5E88"/>
    <w:rsid w:val="004A65C0"/>
    <w:rsid w:val="004A6C11"/>
    <w:rsid w:val="004B1E66"/>
    <w:rsid w:val="004B35AE"/>
    <w:rsid w:val="004B3D0B"/>
    <w:rsid w:val="004B4001"/>
    <w:rsid w:val="004B44B5"/>
    <w:rsid w:val="004B48C5"/>
    <w:rsid w:val="004B4B39"/>
    <w:rsid w:val="004B6EA9"/>
    <w:rsid w:val="004B735F"/>
    <w:rsid w:val="004B77FF"/>
    <w:rsid w:val="004C03A8"/>
    <w:rsid w:val="004C0BA0"/>
    <w:rsid w:val="004C0F0C"/>
    <w:rsid w:val="004C18BE"/>
    <w:rsid w:val="004C1C90"/>
    <w:rsid w:val="004C49FA"/>
    <w:rsid w:val="004C4C9B"/>
    <w:rsid w:val="004C4EA4"/>
    <w:rsid w:val="004C7C47"/>
    <w:rsid w:val="004D0388"/>
    <w:rsid w:val="004D0478"/>
    <w:rsid w:val="004D0A93"/>
    <w:rsid w:val="004D20F5"/>
    <w:rsid w:val="004D2AAB"/>
    <w:rsid w:val="004D34C0"/>
    <w:rsid w:val="004D34DD"/>
    <w:rsid w:val="004D382B"/>
    <w:rsid w:val="004D3B10"/>
    <w:rsid w:val="004D40AF"/>
    <w:rsid w:val="004D49D8"/>
    <w:rsid w:val="004D5256"/>
    <w:rsid w:val="004D6E8F"/>
    <w:rsid w:val="004D73A7"/>
    <w:rsid w:val="004D7BA3"/>
    <w:rsid w:val="004E1BE8"/>
    <w:rsid w:val="004E3B6D"/>
    <w:rsid w:val="004E3C6A"/>
    <w:rsid w:val="004E46B0"/>
    <w:rsid w:val="004E5024"/>
    <w:rsid w:val="004E5512"/>
    <w:rsid w:val="004E645B"/>
    <w:rsid w:val="004E71DE"/>
    <w:rsid w:val="004F1A36"/>
    <w:rsid w:val="004F3AC9"/>
    <w:rsid w:val="004F3E60"/>
    <w:rsid w:val="004F46F0"/>
    <w:rsid w:val="004F4F78"/>
    <w:rsid w:val="004F55EC"/>
    <w:rsid w:val="004F5841"/>
    <w:rsid w:val="005013A2"/>
    <w:rsid w:val="005019F1"/>
    <w:rsid w:val="0050209F"/>
    <w:rsid w:val="00502451"/>
    <w:rsid w:val="00502ABF"/>
    <w:rsid w:val="00502B15"/>
    <w:rsid w:val="0050386F"/>
    <w:rsid w:val="00503B71"/>
    <w:rsid w:val="00503D3F"/>
    <w:rsid w:val="005041D5"/>
    <w:rsid w:val="005071D2"/>
    <w:rsid w:val="00510526"/>
    <w:rsid w:val="00510823"/>
    <w:rsid w:val="00511063"/>
    <w:rsid w:val="005113A6"/>
    <w:rsid w:val="0051208D"/>
    <w:rsid w:val="00512AC8"/>
    <w:rsid w:val="00514D9A"/>
    <w:rsid w:val="00515789"/>
    <w:rsid w:val="00516DA1"/>
    <w:rsid w:val="005173BF"/>
    <w:rsid w:val="005201F1"/>
    <w:rsid w:val="00520ACC"/>
    <w:rsid w:val="00520B0B"/>
    <w:rsid w:val="005212D4"/>
    <w:rsid w:val="00522AA1"/>
    <w:rsid w:val="005230EF"/>
    <w:rsid w:val="0052415B"/>
    <w:rsid w:val="0052533C"/>
    <w:rsid w:val="00525CA0"/>
    <w:rsid w:val="00526313"/>
    <w:rsid w:val="005266CB"/>
    <w:rsid w:val="00526EBD"/>
    <w:rsid w:val="00527941"/>
    <w:rsid w:val="00527FBD"/>
    <w:rsid w:val="0053052D"/>
    <w:rsid w:val="0053069A"/>
    <w:rsid w:val="005308B0"/>
    <w:rsid w:val="005309DB"/>
    <w:rsid w:val="00530E1F"/>
    <w:rsid w:val="00533FCE"/>
    <w:rsid w:val="0053444E"/>
    <w:rsid w:val="005350FA"/>
    <w:rsid w:val="0053510C"/>
    <w:rsid w:val="005352C6"/>
    <w:rsid w:val="00535C8A"/>
    <w:rsid w:val="00535CD5"/>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3857"/>
    <w:rsid w:val="00554430"/>
    <w:rsid w:val="00555DCF"/>
    <w:rsid w:val="00555F85"/>
    <w:rsid w:val="00560551"/>
    <w:rsid w:val="00560B05"/>
    <w:rsid w:val="00561FE9"/>
    <w:rsid w:val="00562804"/>
    <w:rsid w:val="00562DC7"/>
    <w:rsid w:val="00564093"/>
    <w:rsid w:val="00564F46"/>
    <w:rsid w:val="005659B2"/>
    <w:rsid w:val="00566CB6"/>
    <w:rsid w:val="00567AAC"/>
    <w:rsid w:val="00572A2F"/>
    <w:rsid w:val="00572C28"/>
    <w:rsid w:val="00572D91"/>
    <w:rsid w:val="00574893"/>
    <w:rsid w:val="00575E03"/>
    <w:rsid w:val="00576B9E"/>
    <w:rsid w:val="005774E9"/>
    <w:rsid w:val="00577555"/>
    <w:rsid w:val="005803FA"/>
    <w:rsid w:val="005806F8"/>
    <w:rsid w:val="00583A5E"/>
    <w:rsid w:val="005856D2"/>
    <w:rsid w:val="005864BB"/>
    <w:rsid w:val="005909A0"/>
    <w:rsid w:val="00590CD8"/>
    <w:rsid w:val="00591904"/>
    <w:rsid w:val="00593310"/>
    <w:rsid w:val="005939E4"/>
    <w:rsid w:val="0059593D"/>
    <w:rsid w:val="00595C4D"/>
    <w:rsid w:val="005960D5"/>
    <w:rsid w:val="00597142"/>
    <w:rsid w:val="00597498"/>
    <w:rsid w:val="0059767A"/>
    <w:rsid w:val="00597B28"/>
    <w:rsid w:val="005A0462"/>
    <w:rsid w:val="005A43FC"/>
    <w:rsid w:val="005A4F64"/>
    <w:rsid w:val="005A6007"/>
    <w:rsid w:val="005A6752"/>
    <w:rsid w:val="005A6DE4"/>
    <w:rsid w:val="005A7236"/>
    <w:rsid w:val="005A7777"/>
    <w:rsid w:val="005B08B3"/>
    <w:rsid w:val="005B0F07"/>
    <w:rsid w:val="005B16D7"/>
    <w:rsid w:val="005B1BB5"/>
    <w:rsid w:val="005B37DB"/>
    <w:rsid w:val="005B3AC2"/>
    <w:rsid w:val="005B439F"/>
    <w:rsid w:val="005B49CC"/>
    <w:rsid w:val="005B52A5"/>
    <w:rsid w:val="005B5BFA"/>
    <w:rsid w:val="005B62FA"/>
    <w:rsid w:val="005B6576"/>
    <w:rsid w:val="005C0395"/>
    <w:rsid w:val="005C09F1"/>
    <w:rsid w:val="005C0B01"/>
    <w:rsid w:val="005C1934"/>
    <w:rsid w:val="005C1CF3"/>
    <w:rsid w:val="005C24A3"/>
    <w:rsid w:val="005C2FE8"/>
    <w:rsid w:val="005C37A8"/>
    <w:rsid w:val="005C3B0D"/>
    <w:rsid w:val="005C4B2D"/>
    <w:rsid w:val="005C5BC2"/>
    <w:rsid w:val="005C6152"/>
    <w:rsid w:val="005C72E9"/>
    <w:rsid w:val="005C79F4"/>
    <w:rsid w:val="005D163E"/>
    <w:rsid w:val="005D2986"/>
    <w:rsid w:val="005D2D0B"/>
    <w:rsid w:val="005D33A6"/>
    <w:rsid w:val="005D3D8D"/>
    <w:rsid w:val="005D4199"/>
    <w:rsid w:val="005D4B30"/>
    <w:rsid w:val="005D4D03"/>
    <w:rsid w:val="005D5292"/>
    <w:rsid w:val="005D5470"/>
    <w:rsid w:val="005D637B"/>
    <w:rsid w:val="005D6C4A"/>
    <w:rsid w:val="005D6FD2"/>
    <w:rsid w:val="005E0829"/>
    <w:rsid w:val="005E0C6F"/>
    <w:rsid w:val="005E14F6"/>
    <w:rsid w:val="005E162C"/>
    <w:rsid w:val="005E26A1"/>
    <w:rsid w:val="005E2D33"/>
    <w:rsid w:val="005E34BF"/>
    <w:rsid w:val="005E46AD"/>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477"/>
    <w:rsid w:val="00602794"/>
    <w:rsid w:val="00604135"/>
    <w:rsid w:val="006058CB"/>
    <w:rsid w:val="00605ED2"/>
    <w:rsid w:val="00606E54"/>
    <w:rsid w:val="0060733C"/>
    <w:rsid w:val="0061140B"/>
    <w:rsid w:val="00613453"/>
    <w:rsid w:val="0061470B"/>
    <w:rsid w:val="00615D22"/>
    <w:rsid w:val="00616AE1"/>
    <w:rsid w:val="00617F6B"/>
    <w:rsid w:val="0062067C"/>
    <w:rsid w:val="006214AD"/>
    <w:rsid w:val="0062541F"/>
    <w:rsid w:val="00625863"/>
    <w:rsid w:val="006260E5"/>
    <w:rsid w:val="00627A9B"/>
    <w:rsid w:val="00627B69"/>
    <w:rsid w:val="00631631"/>
    <w:rsid w:val="00633754"/>
    <w:rsid w:val="00633D08"/>
    <w:rsid w:val="00635E85"/>
    <w:rsid w:val="00636D8C"/>
    <w:rsid w:val="006371FF"/>
    <w:rsid w:val="00643DD9"/>
    <w:rsid w:val="006444CA"/>
    <w:rsid w:val="0064466B"/>
    <w:rsid w:val="00644A75"/>
    <w:rsid w:val="00645B41"/>
    <w:rsid w:val="00646CF1"/>
    <w:rsid w:val="006472A0"/>
    <w:rsid w:val="00650768"/>
    <w:rsid w:val="00651512"/>
    <w:rsid w:val="00653665"/>
    <w:rsid w:val="00653E27"/>
    <w:rsid w:val="00653F0A"/>
    <w:rsid w:val="00654956"/>
    <w:rsid w:val="00654DE7"/>
    <w:rsid w:val="0065533C"/>
    <w:rsid w:val="00656A9D"/>
    <w:rsid w:val="00656F5E"/>
    <w:rsid w:val="00657991"/>
    <w:rsid w:val="00660D19"/>
    <w:rsid w:val="0066229E"/>
    <w:rsid w:val="00662CBC"/>
    <w:rsid w:val="00663A09"/>
    <w:rsid w:val="006673C9"/>
    <w:rsid w:val="0067038D"/>
    <w:rsid w:val="00671A6A"/>
    <w:rsid w:val="006729D2"/>
    <w:rsid w:val="00673ABF"/>
    <w:rsid w:val="00673F0C"/>
    <w:rsid w:val="00674B4E"/>
    <w:rsid w:val="00675531"/>
    <w:rsid w:val="00676223"/>
    <w:rsid w:val="006764FB"/>
    <w:rsid w:val="00676A38"/>
    <w:rsid w:val="0067775E"/>
    <w:rsid w:val="00680098"/>
    <w:rsid w:val="00680957"/>
    <w:rsid w:val="00682081"/>
    <w:rsid w:val="00682CFC"/>
    <w:rsid w:val="00683B13"/>
    <w:rsid w:val="00684C2D"/>
    <w:rsid w:val="00686325"/>
    <w:rsid w:val="00686EC4"/>
    <w:rsid w:val="00687063"/>
    <w:rsid w:val="0069086C"/>
    <w:rsid w:val="00691425"/>
    <w:rsid w:val="00695591"/>
    <w:rsid w:val="00695AF8"/>
    <w:rsid w:val="00695E17"/>
    <w:rsid w:val="00696763"/>
    <w:rsid w:val="00696C78"/>
    <w:rsid w:val="00696CDA"/>
    <w:rsid w:val="0069734A"/>
    <w:rsid w:val="00697B2E"/>
    <w:rsid w:val="006A0614"/>
    <w:rsid w:val="006A139A"/>
    <w:rsid w:val="006A1939"/>
    <w:rsid w:val="006A303A"/>
    <w:rsid w:val="006A45A4"/>
    <w:rsid w:val="006A51F2"/>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B7F36"/>
    <w:rsid w:val="006C07FE"/>
    <w:rsid w:val="006C42CE"/>
    <w:rsid w:val="006C4A33"/>
    <w:rsid w:val="006C5486"/>
    <w:rsid w:val="006C592D"/>
    <w:rsid w:val="006C5D93"/>
    <w:rsid w:val="006C74B3"/>
    <w:rsid w:val="006C7EF9"/>
    <w:rsid w:val="006D0796"/>
    <w:rsid w:val="006D17F4"/>
    <w:rsid w:val="006D209C"/>
    <w:rsid w:val="006D34E4"/>
    <w:rsid w:val="006D3791"/>
    <w:rsid w:val="006D39EB"/>
    <w:rsid w:val="006D465F"/>
    <w:rsid w:val="006D46A6"/>
    <w:rsid w:val="006D4B56"/>
    <w:rsid w:val="006D5027"/>
    <w:rsid w:val="006D7209"/>
    <w:rsid w:val="006E0637"/>
    <w:rsid w:val="006E11C9"/>
    <w:rsid w:val="006E17E3"/>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6F659B"/>
    <w:rsid w:val="00700449"/>
    <w:rsid w:val="00700A73"/>
    <w:rsid w:val="007015E9"/>
    <w:rsid w:val="00701DF9"/>
    <w:rsid w:val="0070238A"/>
    <w:rsid w:val="00702886"/>
    <w:rsid w:val="00702A10"/>
    <w:rsid w:val="0070394A"/>
    <w:rsid w:val="007040A1"/>
    <w:rsid w:val="0070484E"/>
    <w:rsid w:val="007049E5"/>
    <w:rsid w:val="00704ED8"/>
    <w:rsid w:val="007054F6"/>
    <w:rsid w:val="00705AE8"/>
    <w:rsid w:val="0070601C"/>
    <w:rsid w:val="0070630B"/>
    <w:rsid w:val="00706B2A"/>
    <w:rsid w:val="00707008"/>
    <w:rsid w:val="00710993"/>
    <w:rsid w:val="00710AA5"/>
    <w:rsid w:val="00712884"/>
    <w:rsid w:val="0071356B"/>
    <w:rsid w:val="00713C6D"/>
    <w:rsid w:val="00715090"/>
    <w:rsid w:val="00715379"/>
    <w:rsid w:val="0071587A"/>
    <w:rsid w:val="007159EB"/>
    <w:rsid w:val="007160E0"/>
    <w:rsid w:val="00716CDF"/>
    <w:rsid w:val="00716E3F"/>
    <w:rsid w:val="00717CB0"/>
    <w:rsid w:val="00717DE7"/>
    <w:rsid w:val="00720629"/>
    <w:rsid w:val="00720B16"/>
    <w:rsid w:val="007219C5"/>
    <w:rsid w:val="007223FC"/>
    <w:rsid w:val="00722613"/>
    <w:rsid w:val="0072277B"/>
    <w:rsid w:val="00723E51"/>
    <w:rsid w:val="00725CF6"/>
    <w:rsid w:val="00725F23"/>
    <w:rsid w:val="007267EB"/>
    <w:rsid w:val="0072737A"/>
    <w:rsid w:val="00730159"/>
    <w:rsid w:val="00730C0D"/>
    <w:rsid w:val="0073129C"/>
    <w:rsid w:val="00731C60"/>
    <w:rsid w:val="00731D68"/>
    <w:rsid w:val="007339DB"/>
    <w:rsid w:val="007340ED"/>
    <w:rsid w:val="007356FC"/>
    <w:rsid w:val="00735A44"/>
    <w:rsid w:val="00735CE3"/>
    <w:rsid w:val="00736DD5"/>
    <w:rsid w:val="00737253"/>
    <w:rsid w:val="007372BE"/>
    <w:rsid w:val="0073765E"/>
    <w:rsid w:val="007407D3"/>
    <w:rsid w:val="0074101E"/>
    <w:rsid w:val="0074150A"/>
    <w:rsid w:val="00741FEC"/>
    <w:rsid w:val="007433D3"/>
    <w:rsid w:val="00743939"/>
    <w:rsid w:val="00743A86"/>
    <w:rsid w:val="00743F1B"/>
    <w:rsid w:val="0074430F"/>
    <w:rsid w:val="007448B9"/>
    <w:rsid w:val="007461C3"/>
    <w:rsid w:val="007468E9"/>
    <w:rsid w:val="00746BED"/>
    <w:rsid w:val="00746E9B"/>
    <w:rsid w:val="00747D71"/>
    <w:rsid w:val="00750288"/>
    <w:rsid w:val="00751BF1"/>
    <w:rsid w:val="00752F14"/>
    <w:rsid w:val="007537F1"/>
    <w:rsid w:val="00755C58"/>
    <w:rsid w:val="00756643"/>
    <w:rsid w:val="007567FF"/>
    <w:rsid w:val="00756DA9"/>
    <w:rsid w:val="0075794D"/>
    <w:rsid w:val="007608C8"/>
    <w:rsid w:val="00761696"/>
    <w:rsid w:val="00761834"/>
    <w:rsid w:val="00761D56"/>
    <w:rsid w:val="007620D8"/>
    <w:rsid w:val="00762A26"/>
    <w:rsid w:val="007631A8"/>
    <w:rsid w:val="007641E3"/>
    <w:rsid w:val="0076420A"/>
    <w:rsid w:val="0076492F"/>
    <w:rsid w:val="00764D0F"/>
    <w:rsid w:val="00764E6F"/>
    <w:rsid w:val="00764ED5"/>
    <w:rsid w:val="007665AE"/>
    <w:rsid w:val="007665E7"/>
    <w:rsid w:val="00767776"/>
    <w:rsid w:val="00767809"/>
    <w:rsid w:val="007714AE"/>
    <w:rsid w:val="00773845"/>
    <w:rsid w:val="0077605D"/>
    <w:rsid w:val="00776AC8"/>
    <w:rsid w:val="0077746C"/>
    <w:rsid w:val="007806D6"/>
    <w:rsid w:val="00780896"/>
    <w:rsid w:val="00780E48"/>
    <w:rsid w:val="00780FF2"/>
    <w:rsid w:val="007815A1"/>
    <w:rsid w:val="00783BF6"/>
    <w:rsid w:val="00783F46"/>
    <w:rsid w:val="007845D3"/>
    <w:rsid w:val="0078501F"/>
    <w:rsid w:val="00785229"/>
    <w:rsid w:val="007905BD"/>
    <w:rsid w:val="0079186B"/>
    <w:rsid w:val="007919EE"/>
    <w:rsid w:val="00793312"/>
    <w:rsid w:val="0079391A"/>
    <w:rsid w:val="00794B5C"/>
    <w:rsid w:val="00796A9E"/>
    <w:rsid w:val="00796D05"/>
    <w:rsid w:val="007970C0"/>
    <w:rsid w:val="00797687"/>
    <w:rsid w:val="007A0BE3"/>
    <w:rsid w:val="007A1ABD"/>
    <w:rsid w:val="007A25AF"/>
    <w:rsid w:val="007A302A"/>
    <w:rsid w:val="007A30A5"/>
    <w:rsid w:val="007A3335"/>
    <w:rsid w:val="007A3DCF"/>
    <w:rsid w:val="007A462C"/>
    <w:rsid w:val="007A4C40"/>
    <w:rsid w:val="007A53B6"/>
    <w:rsid w:val="007A5FB9"/>
    <w:rsid w:val="007A664A"/>
    <w:rsid w:val="007A70C6"/>
    <w:rsid w:val="007B0CF1"/>
    <w:rsid w:val="007B11B5"/>
    <w:rsid w:val="007B11D0"/>
    <w:rsid w:val="007B1CB5"/>
    <w:rsid w:val="007B27E9"/>
    <w:rsid w:val="007B2987"/>
    <w:rsid w:val="007B40EF"/>
    <w:rsid w:val="007B5FDA"/>
    <w:rsid w:val="007B6132"/>
    <w:rsid w:val="007B6A8F"/>
    <w:rsid w:val="007B6E43"/>
    <w:rsid w:val="007B70D3"/>
    <w:rsid w:val="007B7835"/>
    <w:rsid w:val="007C0C5F"/>
    <w:rsid w:val="007C1116"/>
    <w:rsid w:val="007C3596"/>
    <w:rsid w:val="007C3AA6"/>
    <w:rsid w:val="007C495E"/>
    <w:rsid w:val="007C4B93"/>
    <w:rsid w:val="007C4C25"/>
    <w:rsid w:val="007C4EF2"/>
    <w:rsid w:val="007C55D4"/>
    <w:rsid w:val="007C708E"/>
    <w:rsid w:val="007C76DD"/>
    <w:rsid w:val="007D093F"/>
    <w:rsid w:val="007D0BE8"/>
    <w:rsid w:val="007D0D6D"/>
    <w:rsid w:val="007D2DCB"/>
    <w:rsid w:val="007D36CA"/>
    <w:rsid w:val="007D4C02"/>
    <w:rsid w:val="007D510B"/>
    <w:rsid w:val="007D5920"/>
    <w:rsid w:val="007D6496"/>
    <w:rsid w:val="007D6731"/>
    <w:rsid w:val="007D6837"/>
    <w:rsid w:val="007D7001"/>
    <w:rsid w:val="007D782F"/>
    <w:rsid w:val="007D79B4"/>
    <w:rsid w:val="007D7E87"/>
    <w:rsid w:val="007E0FEC"/>
    <w:rsid w:val="007E1666"/>
    <w:rsid w:val="007E1DC4"/>
    <w:rsid w:val="007E1ECC"/>
    <w:rsid w:val="007E29A8"/>
    <w:rsid w:val="007E2A09"/>
    <w:rsid w:val="007E2A1D"/>
    <w:rsid w:val="007E3676"/>
    <w:rsid w:val="007E40DD"/>
    <w:rsid w:val="007E4D5F"/>
    <w:rsid w:val="007E5A59"/>
    <w:rsid w:val="007E6702"/>
    <w:rsid w:val="007E7C73"/>
    <w:rsid w:val="007F0225"/>
    <w:rsid w:val="007F0AC8"/>
    <w:rsid w:val="007F10CE"/>
    <w:rsid w:val="007F167C"/>
    <w:rsid w:val="007F2054"/>
    <w:rsid w:val="007F2066"/>
    <w:rsid w:val="007F2B93"/>
    <w:rsid w:val="007F4005"/>
    <w:rsid w:val="007F44BC"/>
    <w:rsid w:val="007F64E9"/>
    <w:rsid w:val="007F7EFE"/>
    <w:rsid w:val="007F7F51"/>
    <w:rsid w:val="008004E5"/>
    <w:rsid w:val="00800B11"/>
    <w:rsid w:val="0080100B"/>
    <w:rsid w:val="00801BBC"/>
    <w:rsid w:val="00801E06"/>
    <w:rsid w:val="00802558"/>
    <w:rsid w:val="00802684"/>
    <w:rsid w:val="008032B2"/>
    <w:rsid w:val="00804380"/>
    <w:rsid w:val="00804490"/>
    <w:rsid w:val="00805F5F"/>
    <w:rsid w:val="00806016"/>
    <w:rsid w:val="00806655"/>
    <w:rsid w:val="00806B2A"/>
    <w:rsid w:val="008071EA"/>
    <w:rsid w:val="00810DA4"/>
    <w:rsid w:val="00813597"/>
    <w:rsid w:val="0081432B"/>
    <w:rsid w:val="008146A2"/>
    <w:rsid w:val="00814A29"/>
    <w:rsid w:val="00816975"/>
    <w:rsid w:val="008252B0"/>
    <w:rsid w:val="008259B8"/>
    <w:rsid w:val="00825ADA"/>
    <w:rsid w:val="00825DEA"/>
    <w:rsid w:val="0082667C"/>
    <w:rsid w:val="008269BB"/>
    <w:rsid w:val="00826C36"/>
    <w:rsid w:val="00827362"/>
    <w:rsid w:val="008279A8"/>
    <w:rsid w:val="00827E59"/>
    <w:rsid w:val="00830FC0"/>
    <w:rsid w:val="00831376"/>
    <w:rsid w:val="0083160C"/>
    <w:rsid w:val="0083338A"/>
    <w:rsid w:val="00833923"/>
    <w:rsid w:val="00833DAD"/>
    <w:rsid w:val="0083465D"/>
    <w:rsid w:val="00834CDA"/>
    <w:rsid w:val="00835131"/>
    <w:rsid w:val="008362EF"/>
    <w:rsid w:val="008367C0"/>
    <w:rsid w:val="00840DE1"/>
    <w:rsid w:val="00840F68"/>
    <w:rsid w:val="00843CA3"/>
    <w:rsid w:val="00843EBB"/>
    <w:rsid w:val="008443EB"/>
    <w:rsid w:val="00844E1C"/>
    <w:rsid w:val="00844FB1"/>
    <w:rsid w:val="00847A9C"/>
    <w:rsid w:val="00850D95"/>
    <w:rsid w:val="00852DCB"/>
    <w:rsid w:val="00854477"/>
    <w:rsid w:val="00855674"/>
    <w:rsid w:val="00855ED4"/>
    <w:rsid w:val="00856A85"/>
    <w:rsid w:val="00861F9F"/>
    <w:rsid w:val="0086291A"/>
    <w:rsid w:val="00862D4F"/>
    <w:rsid w:val="00863036"/>
    <w:rsid w:val="008642AC"/>
    <w:rsid w:val="00865150"/>
    <w:rsid w:val="008657B6"/>
    <w:rsid w:val="008657C0"/>
    <w:rsid w:val="00870406"/>
    <w:rsid w:val="0087108B"/>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5AF7"/>
    <w:rsid w:val="00885EAF"/>
    <w:rsid w:val="008862BD"/>
    <w:rsid w:val="008863E8"/>
    <w:rsid w:val="00887A74"/>
    <w:rsid w:val="008917E7"/>
    <w:rsid w:val="00891802"/>
    <w:rsid w:val="00892AA0"/>
    <w:rsid w:val="0089626D"/>
    <w:rsid w:val="008962E9"/>
    <w:rsid w:val="0089653C"/>
    <w:rsid w:val="00896CA9"/>
    <w:rsid w:val="00896DD8"/>
    <w:rsid w:val="008A0DE6"/>
    <w:rsid w:val="008A16A9"/>
    <w:rsid w:val="008A1FF5"/>
    <w:rsid w:val="008A233D"/>
    <w:rsid w:val="008A237E"/>
    <w:rsid w:val="008A2CFF"/>
    <w:rsid w:val="008A3BD1"/>
    <w:rsid w:val="008A447D"/>
    <w:rsid w:val="008A4AF5"/>
    <w:rsid w:val="008A4EFA"/>
    <w:rsid w:val="008A62A5"/>
    <w:rsid w:val="008A7E2E"/>
    <w:rsid w:val="008B04D8"/>
    <w:rsid w:val="008B266F"/>
    <w:rsid w:val="008B3124"/>
    <w:rsid w:val="008B5749"/>
    <w:rsid w:val="008B6744"/>
    <w:rsid w:val="008B72A5"/>
    <w:rsid w:val="008B7762"/>
    <w:rsid w:val="008B7E82"/>
    <w:rsid w:val="008C0421"/>
    <w:rsid w:val="008C1918"/>
    <w:rsid w:val="008C1A51"/>
    <w:rsid w:val="008C283D"/>
    <w:rsid w:val="008C2A4A"/>
    <w:rsid w:val="008C2F29"/>
    <w:rsid w:val="008C3202"/>
    <w:rsid w:val="008C4AD0"/>
    <w:rsid w:val="008C6B30"/>
    <w:rsid w:val="008D3033"/>
    <w:rsid w:val="008D4091"/>
    <w:rsid w:val="008D493B"/>
    <w:rsid w:val="008D4A7C"/>
    <w:rsid w:val="008D51DA"/>
    <w:rsid w:val="008D53A9"/>
    <w:rsid w:val="008D5615"/>
    <w:rsid w:val="008D59CC"/>
    <w:rsid w:val="008D5C71"/>
    <w:rsid w:val="008D5F0D"/>
    <w:rsid w:val="008D683A"/>
    <w:rsid w:val="008E0359"/>
    <w:rsid w:val="008E05D2"/>
    <w:rsid w:val="008E0805"/>
    <w:rsid w:val="008E08ED"/>
    <w:rsid w:val="008E0FFB"/>
    <w:rsid w:val="008E25B1"/>
    <w:rsid w:val="008E2B4D"/>
    <w:rsid w:val="008E3094"/>
    <w:rsid w:val="008E3295"/>
    <w:rsid w:val="008E4A5F"/>
    <w:rsid w:val="008E536D"/>
    <w:rsid w:val="008E55EA"/>
    <w:rsid w:val="008E5926"/>
    <w:rsid w:val="008E5AAE"/>
    <w:rsid w:val="008E637E"/>
    <w:rsid w:val="008E6C15"/>
    <w:rsid w:val="008E75C5"/>
    <w:rsid w:val="008E7887"/>
    <w:rsid w:val="008E7922"/>
    <w:rsid w:val="008E7E6E"/>
    <w:rsid w:val="008F007E"/>
    <w:rsid w:val="008F0671"/>
    <w:rsid w:val="008F08D7"/>
    <w:rsid w:val="008F1194"/>
    <w:rsid w:val="008F1884"/>
    <w:rsid w:val="008F206D"/>
    <w:rsid w:val="008F237A"/>
    <w:rsid w:val="008F2796"/>
    <w:rsid w:val="008F34D3"/>
    <w:rsid w:val="008F3BD8"/>
    <w:rsid w:val="008F603A"/>
    <w:rsid w:val="008F6A2F"/>
    <w:rsid w:val="008F6B5E"/>
    <w:rsid w:val="008F6FA1"/>
    <w:rsid w:val="008F755E"/>
    <w:rsid w:val="008F79D0"/>
    <w:rsid w:val="009008B1"/>
    <w:rsid w:val="00901F58"/>
    <w:rsid w:val="00902015"/>
    <w:rsid w:val="00903531"/>
    <w:rsid w:val="00904A65"/>
    <w:rsid w:val="00904DC3"/>
    <w:rsid w:val="00904E2E"/>
    <w:rsid w:val="00905728"/>
    <w:rsid w:val="00905793"/>
    <w:rsid w:val="00907263"/>
    <w:rsid w:val="0090729C"/>
    <w:rsid w:val="00907E8B"/>
    <w:rsid w:val="009123F6"/>
    <w:rsid w:val="00913E2A"/>
    <w:rsid w:val="0091468D"/>
    <w:rsid w:val="0091475E"/>
    <w:rsid w:val="009163B6"/>
    <w:rsid w:val="00916B61"/>
    <w:rsid w:val="00916DC0"/>
    <w:rsid w:val="00917091"/>
    <w:rsid w:val="0091716A"/>
    <w:rsid w:val="00917D6C"/>
    <w:rsid w:val="00917ED2"/>
    <w:rsid w:val="00917F42"/>
    <w:rsid w:val="009202F4"/>
    <w:rsid w:val="009205E3"/>
    <w:rsid w:val="009217A9"/>
    <w:rsid w:val="00922F29"/>
    <w:rsid w:val="009231E6"/>
    <w:rsid w:val="00924303"/>
    <w:rsid w:val="00924926"/>
    <w:rsid w:val="00924ED9"/>
    <w:rsid w:val="0092594C"/>
    <w:rsid w:val="009277E9"/>
    <w:rsid w:val="00927BBC"/>
    <w:rsid w:val="0093042C"/>
    <w:rsid w:val="00931316"/>
    <w:rsid w:val="00932818"/>
    <w:rsid w:val="00933086"/>
    <w:rsid w:val="0093478E"/>
    <w:rsid w:val="00934A0F"/>
    <w:rsid w:val="00937ED6"/>
    <w:rsid w:val="009406E7"/>
    <w:rsid w:val="00940B04"/>
    <w:rsid w:val="00944AB3"/>
    <w:rsid w:val="009465F6"/>
    <w:rsid w:val="009469A2"/>
    <w:rsid w:val="00950141"/>
    <w:rsid w:val="00950FC7"/>
    <w:rsid w:val="00951D07"/>
    <w:rsid w:val="00952A3E"/>
    <w:rsid w:val="00953FB3"/>
    <w:rsid w:val="0095455D"/>
    <w:rsid w:val="0095475B"/>
    <w:rsid w:val="0095482D"/>
    <w:rsid w:val="00955459"/>
    <w:rsid w:val="009563AA"/>
    <w:rsid w:val="00957B91"/>
    <w:rsid w:val="0096004E"/>
    <w:rsid w:val="009623A4"/>
    <w:rsid w:val="00963229"/>
    <w:rsid w:val="009637F5"/>
    <w:rsid w:val="00963D51"/>
    <w:rsid w:val="0096515A"/>
    <w:rsid w:val="0096573E"/>
    <w:rsid w:val="00965C79"/>
    <w:rsid w:val="00966491"/>
    <w:rsid w:val="00966601"/>
    <w:rsid w:val="00967094"/>
    <w:rsid w:val="00970079"/>
    <w:rsid w:val="009700A9"/>
    <w:rsid w:val="009703C9"/>
    <w:rsid w:val="00970A79"/>
    <w:rsid w:val="00971E20"/>
    <w:rsid w:val="009721C8"/>
    <w:rsid w:val="00973C9C"/>
    <w:rsid w:val="00974726"/>
    <w:rsid w:val="009752BD"/>
    <w:rsid w:val="009758CF"/>
    <w:rsid w:val="00975C56"/>
    <w:rsid w:val="00976D44"/>
    <w:rsid w:val="009835C4"/>
    <w:rsid w:val="00983D02"/>
    <w:rsid w:val="0098672A"/>
    <w:rsid w:val="009868F8"/>
    <w:rsid w:val="00986DB7"/>
    <w:rsid w:val="00987B88"/>
    <w:rsid w:val="00987E24"/>
    <w:rsid w:val="00990141"/>
    <w:rsid w:val="00990D6F"/>
    <w:rsid w:val="0099157D"/>
    <w:rsid w:val="00993A67"/>
    <w:rsid w:val="009946F1"/>
    <w:rsid w:val="00994D7F"/>
    <w:rsid w:val="009962A0"/>
    <w:rsid w:val="0099644E"/>
    <w:rsid w:val="00996F8C"/>
    <w:rsid w:val="00997CB3"/>
    <w:rsid w:val="009A0627"/>
    <w:rsid w:val="009A0778"/>
    <w:rsid w:val="009A0F14"/>
    <w:rsid w:val="009A32CB"/>
    <w:rsid w:val="009A44CB"/>
    <w:rsid w:val="009A454D"/>
    <w:rsid w:val="009A472B"/>
    <w:rsid w:val="009A4F50"/>
    <w:rsid w:val="009A542D"/>
    <w:rsid w:val="009A5983"/>
    <w:rsid w:val="009A5C14"/>
    <w:rsid w:val="009A6DC0"/>
    <w:rsid w:val="009A7763"/>
    <w:rsid w:val="009A7A9E"/>
    <w:rsid w:val="009A7B95"/>
    <w:rsid w:val="009B05E8"/>
    <w:rsid w:val="009B05F1"/>
    <w:rsid w:val="009B126C"/>
    <w:rsid w:val="009B1592"/>
    <w:rsid w:val="009B1936"/>
    <w:rsid w:val="009B19B4"/>
    <w:rsid w:val="009B23A7"/>
    <w:rsid w:val="009B2CF2"/>
    <w:rsid w:val="009B45E7"/>
    <w:rsid w:val="009B493A"/>
    <w:rsid w:val="009B4DE3"/>
    <w:rsid w:val="009B62CB"/>
    <w:rsid w:val="009B6612"/>
    <w:rsid w:val="009B6A55"/>
    <w:rsid w:val="009B778D"/>
    <w:rsid w:val="009C0652"/>
    <w:rsid w:val="009C0F3B"/>
    <w:rsid w:val="009C158C"/>
    <w:rsid w:val="009C196E"/>
    <w:rsid w:val="009C2D0F"/>
    <w:rsid w:val="009C364A"/>
    <w:rsid w:val="009C3B52"/>
    <w:rsid w:val="009C4A6F"/>
    <w:rsid w:val="009C55EA"/>
    <w:rsid w:val="009C55F9"/>
    <w:rsid w:val="009C6025"/>
    <w:rsid w:val="009C69DB"/>
    <w:rsid w:val="009C6F99"/>
    <w:rsid w:val="009D15B3"/>
    <w:rsid w:val="009D161B"/>
    <w:rsid w:val="009D18A0"/>
    <w:rsid w:val="009D1EF0"/>
    <w:rsid w:val="009D4328"/>
    <w:rsid w:val="009D478F"/>
    <w:rsid w:val="009D479C"/>
    <w:rsid w:val="009D47CA"/>
    <w:rsid w:val="009D4C48"/>
    <w:rsid w:val="009D5125"/>
    <w:rsid w:val="009D545D"/>
    <w:rsid w:val="009D6583"/>
    <w:rsid w:val="009D65C9"/>
    <w:rsid w:val="009D6CA6"/>
    <w:rsid w:val="009D705F"/>
    <w:rsid w:val="009D7772"/>
    <w:rsid w:val="009D7E79"/>
    <w:rsid w:val="009E0EA4"/>
    <w:rsid w:val="009E1143"/>
    <w:rsid w:val="009E165F"/>
    <w:rsid w:val="009E26F3"/>
    <w:rsid w:val="009E2925"/>
    <w:rsid w:val="009E409E"/>
    <w:rsid w:val="009E63C4"/>
    <w:rsid w:val="009E7131"/>
    <w:rsid w:val="009F0065"/>
    <w:rsid w:val="009F0651"/>
    <w:rsid w:val="009F0908"/>
    <w:rsid w:val="009F1B15"/>
    <w:rsid w:val="009F1BCB"/>
    <w:rsid w:val="009F2488"/>
    <w:rsid w:val="009F3650"/>
    <w:rsid w:val="009F428F"/>
    <w:rsid w:val="009F5FB6"/>
    <w:rsid w:val="009F6362"/>
    <w:rsid w:val="009F6E81"/>
    <w:rsid w:val="009F7321"/>
    <w:rsid w:val="009F7500"/>
    <w:rsid w:val="009F7667"/>
    <w:rsid w:val="009F7E0C"/>
    <w:rsid w:val="00A00194"/>
    <w:rsid w:val="00A001C6"/>
    <w:rsid w:val="00A00244"/>
    <w:rsid w:val="00A02BF2"/>
    <w:rsid w:val="00A031F9"/>
    <w:rsid w:val="00A042BB"/>
    <w:rsid w:val="00A04A63"/>
    <w:rsid w:val="00A05A0B"/>
    <w:rsid w:val="00A05E0C"/>
    <w:rsid w:val="00A10299"/>
    <w:rsid w:val="00A116C9"/>
    <w:rsid w:val="00A12B43"/>
    <w:rsid w:val="00A12FE6"/>
    <w:rsid w:val="00A134BC"/>
    <w:rsid w:val="00A1446C"/>
    <w:rsid w:val="00A14857"/>
    <w:rsid w:val="00A14944"/>
    <w:rsid w:val="00A17F32"/>
    <w:rsid w:val="00A2017E"/>
    <w:rsid w:val="00A2337E"/>
    <w:rsid w:val="00A23EB7"/>
    <w:rsid w:val="00A24A28"/>
    <w:rsid w:val="00A24FA6"/>
    <w:rsid w:val="00A2547A"/>
    <w:rsid w:val="00A261BA"/>
    <w:rsid w:val="00A32AE5"/>
    <w:rsid w:val="00A3367C"/>
    <w:rsid w:val="00A343D4"/>
    <w:rsid w:val="00A370F2"/>
    <w:rsid w:val="00A403A8"/>
    <w:rsid w:val="00A404B2"/>
    <w:rsid w:val="00A406CF"/>
    <w:rsid w:val="00A406D2"/>
    <w:rsid w:val="00A40D2D"/>
    <w:rsid w:val="00A41901"/>
    <w:rsid w:val="00A41B44"/>
    <w:rsid w:val="00A41CE3"/>
    <w:rsid w:val="00A428F3"/>
    <w:rsid w:val="00A431F8"/>
    <w:rsid w:val="00A433CC"/>
    <w:rsid w:val="00A44630"/>
    <w:rsid w:val="00A446D4"/>
    <w:rsid w:val="00A4582E"/>
    <w:rsid w:val="00A466C5"/>
    <w:rsid w:val="00A472C5"/>
    <w:rsid w:val="00A5050B"/>
    <w:rsid w:val="00A50A0F"/>
    <w:rsid w:val="00A50CD1"/>
    <w:rsid w:val="00A513F1"/>
    <w:rsid w:val="00A51902"/>
    <w:rsid w:val="00A528CC"/>
    <w:rsid w:val="00A52EF0"/>
    <w:rsid w:val="00A5472F"/>
    <w:rsid w:val="00A54C4F"/>
    <w:rsid w:val="00A560DE"/>
    <w:rsid w:val="00A565E9"/>
    <w:rsid w:val="00A56F02"/>
    <w:rsid w:val="00A570F1"/>
    <w:rsid w:val="00A5721B"/>
    <w:rsid w:val="00A57EF6"/>
    <w:rsid w:val="00A57FD5"/>
    <w:rsid w:val="00A60463"/>
    <w:rsid w:val="00A60D31"/>
    <w:rsid w:val="00A61B87"/>
    <w:rsid w:val="00A62028"/>
    <w:rsid w:val="00A62A2F"/>
    <w:rsid w:val="00A62FE0"/>
    <w:rsid w:val="00A6320B"/>
    <w:rsid w:val="00A6397B"/>
    <w:rsid w:val="00A6444C"/>
    <w:rsid w:val="00A64491"/>
    <w:rsid w:val="00A64CBD"/>
    <w:rsid w:val="00A65141"/>
    <w:rsid w:val="00A6534F"/>
    <w:rsid w:val="00A66DA4"/>
    <w:rsid w:val="00A70638"/>
    <w:rsid w:val="00A71053"/>
    <w:rsid w:val="00A7176E"/>
    <w:rsid w:val="00A71B13"/>
    <w:rsid w:val="00A74126"/>
    <w:rsid w:val="00A742A4"/>
    <w:rsid w:val="00A7441C"/>
    <w:rsid w:val="00A745D2"/>
    <w:rsid w:val="00A74951"/>
    <w:rsid w:val="00A75036"/>
    <w:rsid w:val="00A7606A"/>
    <w:rsid w:val="00A7612D"/>
    <w:rsid w:val="00A76C4C"/>
    <w:rsid w:val="00A7702A"/>
    <w:rsid w:val="00A80332"/>
    <w:rsid w:val="00A80D18"/>
    <w:rsid w:val="00A82048"/>
    <w:rsid w:val="00A83402"/>
    <w:rsid w:val="00A84413"/>
    <w:rsid w:val="00A85069"/>
    <w:rsid w:val="00A851D3"/>
    <w:rsid w:val="00A85C99"/>
    <w:rsid w:val="00A85E54"/>
    <w:rsid w:val="00A86059"/>
    <w:rsid w:val="00A8667F"/>
    <w:rsid w:val="00A8682A"/>
    <w:rsid w:val="00A877EA"/>
    <w:rsid w:val="00A90434"/>
    <w:rsid w:val="00A90848"/>
    <w:rsid w:val="00A90D5D"/>
    <w:rsid w:val="00A919A8"/>
    <w:rsid w:val="00A943CD"/>
    <w:rsid w:val="00A94817"/>
    <w:rsid w:val="00A95E04"/>
    <w:rsid w:val="00A9702D"/>
    <w:rsid w:val="00AA0847"/>
    <w:rsid w:val="00AA09CE"/>
    <w:rsid w:val="00AA0DAC"/>
    <w:rsid w:val="00AA109A"/>
    <w:rsid w:val="00AA184D"/>
    <w:rsid w:val="00AA21D4"/>
    <w:rsid w:val="00AA2273"/>
    <w:rsid w:val="00AA3ADF"/>
    <w:rsid w:val="00AA4064"/>
    <w:rsid w:val="00AA4180"/>
    <w:rsid w:val="00AA41D9"/>
    <w:rsid w:val="00AA4411"/>
    <w:rsid w:val="00AA4945"/>
    <w:rsid w:val="00AA4CB2"/>
    <w:rsid w:val="00AA4D15"/>
    <w:rsid w:val="00AA4F18"/>
    <w:rsid w:val="00AA7124"/>
    <w:rsid w:val="00AA7490"/>
    <w:rsid w:val="00AA7EB9"/>
    <w:rsid w:val="00AB0321"/>
    <w:rsid w:val="00AB1B43"/>
    <w:rsid w:val="00AB21EA"/>
    <w:rsid w:val="00AB29DA"/>
    <w:rsid w:val="00AB2D5C"/>
    <w:rsid w:val="00AB3BFD"/>
    <w:rsid w:val="00AB516D"/>
    <w:rsid w:val="00AB51C0"/>
    <w:rsid w:val="00AB538D"/>
    <w:rsid w:val="00AB70F7"/>
    <w:rsid w:val="00AC078F"/>
    <w:rsid w:val="00AC12F5"/>
    <w:rsid w:val="00AC2A9D"/>
    <w:rsid w:val="00AC56CE"/>
    <w:rsid w:val="00AC59CF"/>
    <w:rsid w:val="00AC604F"/>
    <w:rsid w:val="00AC71B2"/>
    <w:rsid w:val="00AC7414"/>
    <w:rsid w:val="00AC79C0"/>
    <w:rsid w:val="00AD1227"/>
    <w:rsid w:val="00AD21DC"/>
    <w:rsid w:val="00AD2321"/>
    <w:rsid w:val="00AD240B"/>
    <w:rsid w:val="00AD2F15"/>
    <w:rsid w:val="00AD34FD"/>
    <w:rsid w:val="00AD4224"/>
    <w:rsid w:val="00AD4E75"/>
    <w:rsid w:val="00AD6DC7"/>
    <w:rsid w:val="00AD74C8"/>
    <w:rsid w:val="00AD7FF6"/>
    <w:rsid w:val="00AE047F"/>
    <w:rsid w:val="00AE2F67"/>
    <w:rsid w:val="00AE3181"/>
    <w:rsid w:val="00AE357C"/>
    <w:rsid w:val="00AE4CB1"/>
    <w:rsid w:val="00AE6795"/>
    <w:rsid w:val="00AE6D50"/>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1969"/>
    <w:rsid w:val="00B03AE6"/>
    <w:rsid w:val="00B04BED"/>
    <w:rsid w:val="00B05204"/>
    <w:rsid w:val="00B06A7F"/>
    <w:rsid w:val="00B10470"/>
    <w:rsid w:val="00B10AEC"/>
    <w:rsid w:val="00B12515"/>
    <w:rsid w:val="00B1367C"/>
    <w:rsid w:val="00B15453"/>
    <w:rsid w:val="00B15D86"/>
    <w:rsid w:val="00B16963"/>
    <w:rsid w:val="00B1774E"/>
    <w:rsid w:val="00B17E9C"/>
    <w:rsid w:val="00B2044E"/>
    <w:rsid w:val="00B2285C"/>
    <w:rsid w:val="00B22942"/>
    <w:rsid w:val="00B23368"/>
    <w:rsid w:val="00B234B3"/>
    <w:rsid w:val="00B23BB3"/>
    <w:rsid w:val="00B23C9D"/>
    <w:rsid w:val="00B24FA2"/>
    <w:rsid w:val="00B250AC"/>
    <w:rsid w:val="00B26121"/>
    <w:rsid w:val="00B266B6"/>
    <w:rsid w:val="00B267B6"/>
    <w:rsid w:val="00B2696E"/>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10F6"/>
    <w:rsid w:val="00B42F46"/>
    <w:rsid w:val="00B4322A"/>
    <w:rsid w:val="00B432A2"/>
    <w:rsid w:val="00B43D87"/>
    <w:rsid w:val="00B45440"/>
    <w:rsid w:val="00B4580B"/>
    <w:rsid w:val="00B4724A"/>
    <w:rsid w:val="00B50405"/>
    <w:rsid w:val="00B51977"/>
    <w:rsid w:val="00B53BE1"/>
    <w:rsid w:val="00B54266"/>
    <w:rsid w:val="00B5466A"/>
    <w:rsid w:val="00B546E5"/>
    <w:rsid w:val="00B54E07"/>
    <w:rsid w:val="00B565C8"/>
    <w:rsid w:val="00B56CE1"/>
    <w:rsid w:val="00B575ED"/>
    <w:rsid w:val="00B5785B"/>
    <w:rsid w:val="00B57F78"/>
    <w:rsid w:val="00B61952"/>
    <w:rsid w:val="00B625E0"/>
    <w:rsid w:val="00B62F9E"/>
    <w:rsid w:val="00B6326B"/>
    <w:rsid w:val="00B64124"/>
    <w:rsid w:val="00B64B57"/>
    <w:rsid w:val="00B65A04"/>
    <w:rsid w:val="00B66F7A"/>
    <w:rsid w:val="00B67ED0"/>
    <w:rsid w:val="00B7010C"/>
    <w:rsid w:val="00B704AF"/>
    <w:rsid w:val="00B708EA"/>
    <w:rsid w:val="00B70ABC"/>
    <w:rsid w:val="00B70E53"/>
    <w:rsid w:val="00B71451"/>
    <w:rsid w:val="00B74278"/>
    <w:rsid w:val="00B74705"/>
    <w:rsid w:val="00B74730"/>
    <w:rsid w:val="00B75149"/>
    <w:rsid w:val="00B75F1C"/>
    <w:rsid w:val="00B803D6"/>
    <w:rsid w:val="00B81460"/>
    <w:rsid w:val="00B819B6"/>
    <w:rsid w:val="00B83257"/>
    <w:rsid w:val="00B83A93"/>
    <w:rsid w:val="00B86B21"/>
    <w:rsid w:val="00B87871"/>
    <w:rsid w:val="00B903E3"/>
    <w:rsid w:val="00B911C2"/>
    <w:rsid w:val="00B9179C"/>
    <w:rsid w:val="00B91DF8"/>
    <w:rsid w:val="00B930D6"/>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57F4"/>
    <w:rsid w:val="00BB64DA"/>
    <w:rsid w:val="00BB7712"/>
    <w:rsid w:val="00BC177D"/>
    <w:rsid w:val="00BC1A41"/>
    <w:rsid w:val="00BC2114"/>
    <w:rsid w:val="00BC2908"/>
    <w:rsid w:val="00BC3FC3"/>
    <w:rsid w:val="00BC49C9"/>
    <w:rsid w:val="00BC5224"/>
    <w:rsid w:val="00BC6BAB"/>
    <w:rsid w:val="00BC6E0A"/>
    <w:rsid w:val="00BC6FDF"/>
    <w:rsid w:val="00BC7725"/>
    <w:rsid w:val="00BC7AE4"/>
    <w:rsid w:val="00BC7D79"/>
    <w:rsid w:val="00BC7D81"/>
    <w:rsid w:val="00BD02DD"/>
    <w:rsid w:val="00BD09E2"/>
    <w:rsid w:val="00BD2234"/>
    <w:rsid w:val="00BD38DF"/>
    <w:rsid w:val="00BD4A4B"/>
    <w:rsid w:val="00BD4C27"/>
    <w:rsid w:val="00BD626E"/>
    <w:rsid w:val="00BD6E92"/>
    <w:rsid w:val="00BD759F"/>
    <w:rsid w:val="00BD7A22"/>
    <w:rsid w:val="00BE05BB"/>
    <w:rsid w:val="00BE0F25"/>
    <w:rsid w:val="00BE207E"/>
    <w:rsid w:val="00BE274E"/>
    <w:rsid w:val="00BE2B1B"/>
    <w:rsid w:val="00BE336C"/>
    <w:rsid w:val="00BE3FEB"/>
    <w:rsid w:val="00BE4B81"/>
    <w:rsid w:val="00BE4C01"/>
    <w:rsid w:val="00BE4D2C"/>
    <w:rsid w:val="00BE74DF"/>
    <w:rsid w:val="00BE7988"/>
    <w:rsid w:val="00BE7F6B"/>
    <w:rsid w:val="00BF0382"/>
    <w:rsid w:val="00BF082E"/>
    <w:rsid w:val="00BF0FC4"/>
    <w:rsid w:val="00BF1E0A"/>
    <w:rsid w:val="00BF2568"/>
    <w:rsid w:val="00BF27E9"/>
    <w:rsid w:val="00BF2D62"/>
    <w:rsid w:val="00BF4212"/>
    <w:rsid w:val="00BF5F68"/>
    <w:rsid w:val="00BF694E"/>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3FCB"/>
    <w:rsid w:val="00C15CA6"/>
    <w:rsid w:val="00C16807"/>
    <w:rsid w:val="00C2025F"/>
    <w:rsid w:val="00C214FA"/>
    <w:rsid w:val="00C2167D"/>
    <w:rsid w:val="00C21BCC"/>
    <w:rsid w:val="00C224D4"/>
    <w:rsid w:val="00C228FA"/>
    <w:rsid w:val="00C23390"/>
    <w:rsid w:val="00C23C07"/>
    <w:rsid w:val="00C2403A"/>
    <w:rsid w:val="00C24CC2"/>
    <w:rsid w:val="00C250F4"/>
    <w:rsid w:val="00C25E2D"/>
    <w:rsid w:val="00C260F7"/>
    <w:rsid w:val="00C266D3"/>
    <w:rsid w:val="00C266DA"/>
    <w:rsid w:val="00C26FE9"/>
    <w:rsid w:val="00C27941"/>
    <w:rsid w:val="00C27BD3"/>
    <w:rsid w:val="00C27D03"/>
    <w:rsid w:val="00C31095"/>
    <w:rsid w:val="00C31607"/>
    <w:rsid w:val="00C31721"/>
    <w:rsid w:val="00C32321"/>
    <w:rsid w:val="00C32332"/>
    <w:rsid w:val="00C349F0"/>
    <w:rsid w:val="00C34A1E"/>
    <w:rsid w:val="00C34C4A"/>
    <w:rsid w:val="00C3720B"/>
    <w:rsid w:val="00C3793F"/>
    <w:rsid w:val="00C37982"/>
    <w:rsid w:val="00C37D20"/>
    <w:rsid w:val="00C41423"/>
    <w:rsid w:val="00C41D5D"/>
    <w:rsid w:val="00C43335"/>
    <w:rsid w:val="00C4334F"/>
    <w:rsid w:val="00C44253"/>
    <w:rsid w:val="00C4434A"/>
    <w:rsid w:val="00C44974"/>
    <w:rsid w:val="00C44E9E"/>
    <w:rsid w:val="00C45259"/>
    <w:rsid w:val="00C46098"/>
    <w:rsid w:val="00C46439"/>
    <w:rsid w:val="00C46750"/>
    <w:rsid w:val="00C46B32"/>
    <w:rsid w:val="00C4743D"/>
    <w:rsid w:val="00C47A26"/>
    <w:rsid w:val="00C50E1F"/>
    <w:rsid w:val="00C516EC"/>
    <w:rsid w:val="00C517E3"/>
    <w:rsid w:val="00C52DA5"/>
    <w:rsid w:val="00C53DC9"/>
    <w:rsid w:val="00C54100"/>
    <w:rsid w:val="00C563AB"/>
    <w:rsid w:val="00C569A6"/>
    <w:rsid w:val="00C571A9"/>
    <w:rsid w:val="00C57A73"/>
    <w:rsid w:val="00C615A7"/>
    <w:rsid w:val="00C616BF"/>
    <w:rsid w:val="00C62C5D"/>
    <w:rsid w:val="00C62FD6"/>
    <w:rsid w:val="00C64873"/>
    <w:rsid w:val="00C64E82"/>
    <w:rsid w:val="00C65374"/>
    <w:rsid w:val="00C65A0A"/>
    <w:rsid w:val="00C66628"/>
    <w:rsid w:val="00C70578"/>
    <w:rsid w:val="00C72223"/>
    <w:rsid w:val="00C734C0"/>
    <w:rsid w:val="00C73966"/>
    <w:rsid w:val="00C7422F"/>
    <w:rsid w:val="00C751BF"/>
    <w:rsid w:val="00C762C7"/>
    <w:rsid w:val="00C7651A"/>
    <w:rsid w:val="00C77280"/>
    <w:rsid w:val="00C7772C"/>
    <w:rsid w:val="00C812AA"/>
    <w:rsid w:val="00C81AD1"/>
    <w:rsid w:val="00C83111"/>
    <w:rsid w:val="00C84265"/>
    <w:rsid w:val="00C84ED5"/>
    <w:rsid w:val="00C9070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FF"/>
    <w:rsid w:val="00CB6B46"/>
    <w:rsid w:val="00CB77CB"/>
    <w:rsid w:val="00CB7C81"/>
    <w:rsid w:val="00CC0334"/>
    <w:rsid w:val="00CC1692"/>
    <w:rsid w:val="00CC1B8B"/>
    <w:rsid w:val="00CC1DF5"/>
    <w:rsid w:val="00CC3A59"/>
    <w:rsid w:val="00CC4253"/>
    <w:rsid w:val="00CC4804"/>
    <w:rsid w:val="00CC5133"/>
    <w:rsid w:val="00CC51CA"/>
    <w:rsid w:val="00CC5361"/>
    <w:rsid w:val="00CC5F27"/>
    <w:rsid w:val="00CC63FE"/>
    <w:rsid w:val="00CC661E"/>
    <w:rsid w:val="00CC6760"/>
    <w:rsid w:val="00CC7437"/>
    <w:rsid w:val="00CD1841"/>
    <w:rsid w:val="00CD20E1"/>
    <w:rsid w:val="00CD2951"/>
    <w:rsid w:val="00CD2ABD"/>
    <w:rsid w:val="00CD3BBB"/>
    <w:rsid w:val="00CD3C54"/>
    <w:rsid w:val="00CD6CCD"/>
    <w:rsid w:val="00CE106C"/>
    <w:rsid w:val="00CE3521"/>
    <w:rsid w:val="00CE3BC2"/>
    <w:rsid w:val="00CE5723"/>
    <w:rsid w:val="00CE6ED8"/>
    <w:rsid w:val="00CE74C3"/>
    <w:rsid w:val="00CF0EFF"/>
    <w:rsid w:val="00CF1168"/>
    <w:rsid w:val="00CF1C88"/>
    <w:rsid w:val="00CF3FC7"/>
    <w:rsid w:val="00CF407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5CD5"/>
    <w:rsid w:val="00D15E15"/>
    <w:rsid w:val="00D160C0"/>
    <w:rsid w:val="00D174F0"/>
    <w:rsid w:val="00D175B7"/>
    <w:rsid w:val="00D17707"/>
    <w:rsid w:val="00D20C87"/>
    <w:rsid w:val="00D21DD1"/>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27"/>
    <w:rsid w:val="00D4229B"/>
    <w:rsid w:val="00D42F0B"/>
    <w:rsid w:val="00D42F78"/>
    <w:rsid w:val="00D43A3F"/>
    <w:rsid w:val="00D44B7B"/>
    <w:rsid w:val="00D45C32"/>
    <w:rsid w:val="00D462AD"/>
    <w:rsid w:val="00D46E69"/>
    <w:rsid w:val="00D46FF7"/>
    <w:rsid w:val="00D47AD5"/>
    <w:rsid w:val="00D518C3"/>
    <w:rsid w:val="00D51C09"/>
    <w:rsid w:val="00D532C6"/>
    <w:rsid w:val="00D5426B"/>
    <w:rsid w:val="00D55932"/>
    <w:rsid w:val="00D5599A"/>
    <w:rsid w:val="00D55B21"/>
    <w:rsid w:val="00D569AD"/>
    <w:rsid w:val="00D605E5"/>
    <w:rsid w:val="00D6090E"/>
    <w:rsid w:val="00D60FEA"/>
    <w:rsid w:val="00D62A8B"/>
    <w:rsid w:val="00D63043"/>
    <w:rsid w:val="00D63B87"/>
    <w:rsid w:val="00D67005"/>
    <w:rsid w:val="00D67843"/>
    <w:rsid w:val="00D7037D"/>
    <w:rsid w:val="00D71595"/>
    <w:rsid w:val="00D71741"/>
    <w:rsid w:val="00D71B33"/>
    <w:rsid w:val="00D72122"/>
    <w:rsid w:val="00D72158"/>
    <w:rsid w:val="00D721A5"/>
    <w:rsid w:val="00D73025"/>
    <w:rsid w:val="00D740F4"/>
    <w:rsid w:val="00D75943"/>
    <w:rsid w:val="00D802FD"/>
    <w:rsid w:val="00D824F2"/>
    <w:rsid w:val="00D82CD4"/>
    <w:rsid w:val="00D833A1"/>
    <w:rsid w:val="00D847A7"/>
    <w:rsid w:val="00D84A02"/>
    <w:rsid w:val="00D857E5"/>
    <w:rsid w:val="00D869C5"/>
    <w:rsid w:val="00D932E1"/>
    <w:rsid w:val="00D937A6"/>
    <w:rsid w:val="00D94A5A"/>
    <w:rsid w:val="00D97721"/>
    <w:rsid w:val="00D97B6A"/>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1B33"/>
    <w:rsid w:val="00DB3CEF"/>
    <w:rsid w:val="00DB47D6"/>
    <w:rsid w:val="00DB4FFA"/>
    <w:rsid w:val="00DB65DC"/>
    <w:rsid w:val="00DB6650"/>
    <w:rsid w:val="00DB6664"/>
    <w:rsid w:val="00DB73FB"/>
    <w:rsid w:val="00DB7B75"/>
    <w:rsid w:val="00DB7CD4"/>
    <w:rsid w:val="00DC0DBE"/>
    <w:rsid w:val="00DC2BD5"/>
    <w:rsid w:val="00DC429D"/>
    <w:rsid w:val="00DC4ACC"/>
    <w:rsid w:val="00DC5146"/>
    <w:rsid w:val="00DC62D9"/>
    <w:rsid w:val="00DC6512"/>
    <w:rsid w:val="00DC6E17"/>
    <w:rsid w:val="00DC6F8F"/>
    <w:rsid w:val="00DD26B7"/>
    <w:rsid w:val="00DD32D3"/>
    <w:rsid w:val="00DD35D4"/>
    <w:rsid w:val="00DD3E76"/>
    <w:rsid w:val="00DD4A1A"/>
    <w:rsid w:val="00DD4C4B"/>
    <w:rsid w:val="00DD4DCA"/>
    <w:rsid w:val="00DD5001"/>
    <w:rsid w:val="00DD5181"/>
    <w:rsid w:val="00DD5CCB"/>
    <w:rsid w:val="00DD6003"/>
    <w:rsid w:val="00DD668A"/>
    <w:rsid w:val="00DD7A51"/>
    <w:rsid w:val="00DD7B1D"/>
    <w:rsid w:val="00DE1A4C"/>
    <w:rsid w:val="00DE1EC5"/>
    <w:rsid w:val="00DE285A"/>
    <w:rsid w:val="00DE288C"/>
    <w:rsid w:val="00DE2F3F"/>
    <w:rsid w:val="00DE3AB1"/>
    <w:rsid w:val="00DE505B"/>
    <w:rsid w:val="00DE51AF"/>
    <w:rsid w:val="00DE5417"/>
    <w:rsid w:val="00DE5630"/>
    <w:rsid w:val="00DE5A55"/>
    <w:rsid w:val="00DE7227"/>
    <w:rsid w:val="00DE76FC"/>
    <w:rsid w:val="00DF0F94"/>
    <w:rsid w:val="00DF136E"/>
    <w:rsid w:val="00DF2934"/>
    <w:rsid w:val="00DF3789"/>
    <w:rsid w:val="00DF3F22"/>
    <w:rsid w:val="00DF4241"/>
    <w:rsid w:val="00DF45B4"/>
    <w:rsid w:val="00DF4BAB"/>
    <w:rsid w:val="00DF4E86"/>
    <w:rsid w:val="00DF5D14"/>
    <w:rsid w:val="00DF5E0F"/>
    <w:rsid w:val="00DF608E"/>
    <w:rsid w:val="00DF6CC5"/>
    <w:rsid w:val="00DF6FF1"/>
    <w:rsid w:val="00DF76E0"/>
    <w:rsid w:val="00E0139A"/>
    <w:rsid w:val="00E015A9"/>
    <w:rsid w:val="00E016B1"/>
    <w:rsid w:val="00E02883"/>
    <w:rsid w:val="00E03889"/>
    <w:rsid w:val="00E04029"/>
    <w:rsid w:val="00E04242"/>
    <w:rsid w:val="00E06496"/>
    <w:rsid w:val="00E06F81"/>
    <w:rsid w:val="00E0785F"/>
    <w:rsid w:val="00E07DFA"/>
    <w:rsid w:val="00E10861"/>
    <w:rsid w:val="00E10E63"/>
    <w:rsid w:val="00E120BC"/>
    <w:rsid w:val="00E1376C"/>
    <w:rsid w:val="00E15635"/>
    <w:rsid w:val="00E16BEE"/>
    <w:rsid w:val="00E17373"/>
    <w:rsid w:val="00E21914"/>
    <w:rsid w:val="00E21B02"/>
    <w:rsid w:val="00E22D70"/>
    <w:rsid w:val="00E23869"/>
    <w:rsid w:val="00E251B1"/>
    <w:rsid w:val="00E26156"/>
    <w:rsid w:val="00E27323"/>
    <w:rsid w:val="00E3099D"/>
    <w:rsid w:val="00E32786"/>
    <w:rsid w:val="00E333FB"/>
    <w:rsid w:val="00E3345C"/>
    <w:rsid w:val="00E335BB"/>
    <w:rsid w:val="00E33B57"/>
    <w:rsid w:val="00E34598"/>
    <w:rsid w:val="00E35822"/>
    <w:rsid w:val="00E36150"/>
    <w:rsid w:val="00E36F7B"/>
    <w:rsid w:val="00E37DF6"/>
    <w:rsid w:val="00E40778"/>
    <w:rsid w:val="00E41642"/>
    <w:rsid w:val="00E4174E"/>
    <w:rsid w:val="00E41FE9"/>
    <w:rsid w:val="00E4501A"/>
    <w:rsid w:val="00E45786"/>
    <w:rsid w:val="00E4586E"/>
    <w:rsid w:val="00E45DEB"/>
    <w:rsid w:val="00E464B9"/>
    <w:rsid w:val="00E46BFA"/>
    <w:rsid w:val="00E477BE"/>
    <w:rsid w:val="00E47B62"/>
    <w:rsid w:val="00E51517"/>
    <w:rsid w:val="00E51F74"/>
    <w:rsid w:val="00E52E39"/>
    <w:rsid w:val="00E54533"/>
    <w:rsid w:val="00E55868"/>
    <w:rsid w:val="00E561EB"/>
    <w:rsid w:val="00E60C14"/>
    <w:rsid w:val="00E61815"/>
    <w:rsid w:val="00E63FC6"/>
    <w:rsid w:val="00E65D86"/>
    <w:rsid w:val="00E66967"/>
    <w:rsid w:val="00E67E1C"/>
    <w:rsid w:val="00E7052A"/>
    <w:rsid w:val="00E70E2A"/>
    <w:rsid w:val="00E71A18"/>
    <w:rsid w:val="00E721D3"/>
    <w:rsid w:val="00E726B9"/>
    <w:rsid w:val="00E72C1A"/>
    <w:rsid w:val="00E74BBE"/>
    <w:rsid w:val="00E763CD"/>
    <w:rsid w:val="00E76A0F"/>
    <w:rsid w:val="00E7711B"/>
    <w:rsid w:val="00E807D4"/>
    <w:rsid w:val="00E80A66"/>
    <w:rsid w:val="00E8114F"/>
    <w:rsid w:val="00E817AA"/>
    <w:rsid w:val="00E828F9"/>
    <w:rsid w:val="00E82B64"/>
    <w:rsid w:val="00E83E08"/>
    <w:rsid w:val="00E850A3"/>
    <w:rsid w:val="00E8528B"/>
    <w:rsid w:val="00E859BA"/>
    <w:rsid w:val="00E862E2"/>
    <w:rsid w:val="00E86A15"/>
    <w:rsid w:val="00E86C41"/>
    <w:rsid w:val="00E87034"/>
    <w:rsid w:val="00E870B0"/>
    <w:rsid w:val="00E90733"/>
    <w:rsid w:val="00E90F26"/>
    <w:rsid w:val="00E92A06"/>
    <w:rsid w:val="00E92F4A"/>
    <w:rsid w:val="00E931A2"/>
    <w:rsid w:val="00E93D9A"/>
    <w:rsid w:val="00E93F41"/>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3FE4"/>
    <w:rsid w:val="00EB5A57"/>
    <w:rsid w:val="00EB62A2"/>
    <w:rsid w:val="00EB64FC"/>
    <w:rsid w:val="00EB777A"/>
    <w:rsid w:val="00EB7B3E"/>
    <w:rsid w:val="00EC0FC7"/>
    <w:rsid w:val="00EC2254"/>
    <w:rsid w:val="00EC2329"/>
    <w:rsid w:val="00EC3466"/>
    <w:rsid w:val="00EC37C6"/>
    <w:rsid w:val="00EC38C9"/>
    <w:rsid w:val="00EC3CEA"/>
    <w:rsid w:val="00EC4ACC"/>
    <w:rsid w:val="00EC4F16"/>
    <w:rsid w:val="00EC5998"/>
    <w:rsid w:val="00EC6291"/>
    <w:rsid w:val="00EC730F"/>
    <w:rsid w:val="00EC744B"/>
    <w:rsid w:val="00EC778D"/>
    <w:rsid w:val="00EC7B5A"/>
    <w:rsid w:val="00ED1151"/>
    <w:rsid w:val="00ED1573"/>
    <w:rsid w:val="00ED1966"/>
    <w:rsid w:val="00ED1D0F"/>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533"/>
    <w:rsid w:val="00EF277C"/>
    <w:rsid w:val="00EF2D5D"/>
    <w:rsid w:val="00EF39FC"/>
    <w:rsid w:val="00EF449C"/>
    <w:rsid w:val="00EF4CEE"/>
    <w:rsid w:val="00EF54DB"/>
    <w:rsid w:val="00EF5638"/>
    <w:rsid w:val="00EF6801"/>
    <w:rsid w:val="00EF7890"/>
    <w:rsid w:val="00EF79CC"/>
    <w:rsid w:val="00EF7C0F"/>
    <w:rsid w:val="00EF7D54"/>
    <w:rsid w:val="00EF7F09"/>
    <w:rsid w:val="00F0059C"/>
    <w:rsid w:val="00F016CA"/>
    <w:rsid w:val="00F01BF9"/>
    <w:rsid w:val="00F01E4F"/>
    <w:rsid w:val="00F02C3D"/>
    <w:rsid w:val="00F04143"/>
    <w:rsid w:val="00F0482C"/>
    <w:rsid w:val="00F05994"/>
    <w:rsid w:val="00F07279"/>
    <w:rsid w:val="00F0740D"/>
    <w:rsid w:val="00F07750"/>
    <w:rsid w:val="00F07756"/>
    <w:rsid w:val="00F07780"/>
    <w:rsid w:val="00F0785B"/>
    <w:rsid w:val="00F07C31"/>
    <w:rsid w:val="00F106C0"/>
    <w:rsid w:val="00F10988"/>
    <w:rsid w:val="00F10A7A"/>
    <w:rsid w:val="00F10A86"/>
    <w:rsid w:val="00F1110C"/>
    <w:rsid w:val="00F11550"/>
    <w:rsid w:val="00F12149"/>
    <w:rsid w:val="00F12E25"/>
    <w:rsid w:val="00F13587"/>
    <w:rsid w:val="00F13834"/>
    <w:rsid w:val="00F16387"/>
    <w:rsid w:val="00F2036A"/>
    <w:rsid w:val="00F2038F"/>
    <w:rsid w:val="00F203C7"/>
    <w:rsid w:val="00F20E47"/>
    <w:rsid w:val="00F210E0"/>
    <w:rsid w:val="00F21646"/>
    <w:rsid w:val="00F21917"/>
    <w:rsid w:val="00F25CBF"/>
    <w:rsid w:val="00F27A4B"/>
    <w:rsid w:val="00F27BB1"/>
    <w:rsid w:val="00F3088C"/>
    <w:rsid w:val="00F312AF"/>
    <w:rsid w:val="00F31BEE"/>
    <w:rsid w:val="00F32B0E"/>
    <w:rsid w:val="00F33DC4"/>
    <w:rsid w:val="00F34495"/>
    <w:rsid w:val="00F35946"/>
    <w:rsid w:val="00F359C0"/>
    <w:rsid w:val="00F37DBE"/>
    <w:rsid w:val="00F40203"/>
    <w:rsid w:val="00F40E32"/>
    <w:rsid w:val="00F410B7"/>
    <w:rsid w:val="00F41778"/>
    <w:rsid w:val="00F421EA"/>
    <w:rsid w:val="00F430AC"/>
    <w:rsid w:val="00F44E9D"/>
    <w:rsid w:val="00F462D5"/>
    <w:rsid w:val="00F46975"/>
    <w:rsid w:val="00F477B9"/>
    <w:rsid w:val="00F50794"/>
    <w:rsid w:val="00F516B5"/>
    <w:rsid w:val="00F516F6"/>
    <w:rsid w:val="00F52F08"/>
    <w:rsid w:val="00F53604"/>
    <w:rsid w:val="00F54A39"/>
    <w:rsid w:val="00F54B2D"/>
    <w:rsid w:val="00F54BBB"/>
    <w:rsid w:val="00F55625"/>
    <w:rsid w:val="00F55D59"/>
    <w:rsid w:val="00F55EC6"/>
    <w:rsid w:val="00F55FAE"/>
    <w:rsid w:val="00F5704C"/>
    <w:rsid w:val="00F571C3"/>
    <w:rsid w:val="00F60171"/>
    <w:rsid w:val="00F603C9"/>
    <w:rsid w:val="00F6086F"/>
    <w:rsid w:val="00F613FA"/>
    <w:rsid w:val="00F62FDA"/>
    <w:rsid w:val="00F6631F"/>
    <w:rsid w:val="00F6634B"/>
    <w:rsid w:val="00F7059C"/>
    <w:rsid w:val="00F71C7D"/>
    <w:rsid w:val="00F72112"/>
    <w:rsid w:val="00F723D6"/>
    <w:rsid w:val="00F724AB"/>
    <w:rsid w:val="00F7325B"/>
    <w:rsid w:val="00F7338C"/>
    <w:rsid w:val="00F757A1"/>
    <w:rsid w:val="00F7798C"/>
    <w:rsid w:val="00F77E87"/>
    <w:rsid w:val="00F806A9"/>
    <w:rsid w:val="00F81620"/>
    <w:rsid w:val="00F82107"/>
    <w:rsid w:val="00F8217F"/>
    <w:rsid w:val="00F83113"/>
    <w:rsid w:val="00F83C22"/>
    <w:rsid w:val="00F84521"/>
    <w:rsid w:val="00F84BDC"/>
    <w:rsid w:val="00F86B61"/>
    <w:rsid w:val="00F86CF5"/>
    <w:rsid w:val="00F87451"/>
    <w:rsid w:val="00F874EE"/>
    <w:rsid w:val="00F8785D"/>
    <w:rsid w:val="00F906AB"/>
    <w:rsid w:val="00F91766"/>
    <w:rsid w:val="00F91A6E"/>
    <w:rsid w:val="00F924B3"/>
    <w:rsid w:val="00F9355B"/>
    <w:rsid w:val="00F94E4E"/>
    <w:rsid w:val="00F96B7D"/>
    <w:rsid w:val="00F96F74"/>
    <w:rsid w:val="00FA0537"/>
    <w:rsid w:val="00FA07C3"/>
    <w:rsid w:val="00FA0F24"/>
    <w:rsid w:val="00FA1D08"/>
    <w:rsid w:val="00FA25EA"/>
    <w:rsid w:val="00FA2ECA"/>
    <w:rsid w:val="00FA2FA8"/>
    <w:rsid w:val="00FA5F04"/>
    <w:rsid w:val="00FA65E5"/>
    <w:rsid w:val="00FA65E6"/>
    <w:rsid w:val="00FA6A63"/>
    <w:rsid w:val="00FA74C0"/>
    <w:rsid w:val="00FB1348"/>
    <w:rsid w:val="00FB1B83"/>
    <w:rsid w:val="00FB1EA0"/>
    <w:rsid w:val="00FB2144"/>
    <w:rsid w:val="00FB2DA4"/>
    <w:rsid w:val="00FB39B1"/>
    <w:rsid w:val="00FB45C2"/>
    <w:rsid w:val="00FB6B51"/>
    <w:rsid w:val="00FB7A2C"/>
    <w:rsid w:val="00FC1C91"/>
    <w:rsid w:val="00FC2786"/>
    <w:rsid w:val="00FC36CB"/>
    <w:rsid w:val="00FC3779"/>
    <w:rsid w:val="00FC400D"/>
    <w:rsid w:val="00FC58AA"/>
    <w:rsid w:val="00FC5AD5"/>
    <w:rsid w:val="00FC6359"/>
    <w:rsid w:val="00FC6B40"/>
    <w:rsid w:val="00FC6F54"/>
    <w:rsid w:val="00FC74ED"/>
    <w:rsid w:val="00FC7979"/>
    <w:rsid w:val="00FC7CE2"/>
    <w:rsid w:val="00FD1489"/>
    <w:rsid w:val="00FD15A5"/>
    <w:rsid w:val="00FD2169"/>
    <w:rsid w:val="00FD245E"/>
    <w:rsid w:val="00FD24D9"/>
    <w:rsid w:val="00FD2B4A"/>
    <w:rsid w:val="00FD43CA"/>
    <w:rsid w:val="00FD4B6C"/>
    <w:rsid w:val="00FD6225"/>
    <w:rsid w:val="00FD6598"/>
    <w:rsid w:val="00FD760A"/>
    <w:rsid w:val="00FD7787"/>
    <w:rsid w:val="00FD7C6C"/>
    <w:rsid w:val="00FE01F1"/>
    <w:rsid w:val="00FE0E33"/>
    <w:rsid w:val="00FE1A5C"/>
    <w:rsid w:val="00FE1CB9"/>
    <w:rsid w:val="00FE2B98"/>
    <w:rsid w:val="00FE3040"/>
    <w:rsid w:val="00FE4FE0"/>
    <w:rsid w:val="00FE54A8"/>
    <w:rsid w:val="00FE5E25"/>
    <w:rsid w:val="00FE6741"/>
    <w:rsid w:val="00FE6B1A"/>
    <w:rsid w:val="00FF06F9"/>
    <w:rsid w:val="00FF0FB4"/>
    <w:rsid w:val="00FF1A88"/>
    <w:rsid w:val="00FF260E"/>
    <w:rsid w:val="00FF2B2A"/>
    <w:rsid w:val="00FF2B97"/>
    <w:rsid w:val="00FF47D8"/>
    <w:rsid w:val="00FF4EE6"/>
    <w:rsid w:val="00FF683E"/>
    <w:rsid w:val="00FF7E53"/>
    <w:rsid w:val="01017C4C"/>
    <w:rsid w:val="01125275"/>
    <w:rsid w:val="01692607"/>
    <w:rsid w:val="01A404E3"/>
    <w:rsid w:val="01BD44F5"/>
    <w:rsid w:val="020874E3"/>
    <w:rsid w:val="020D40B4"/>
    <w:rsid w:val="02121F29"/>
    <w:rsid w:val="02437D0C"/>
    <w:rsid w:val="02442C1F"/>
    <w:rsid w:val="02BD5872"/>
    <w:rsid w:val="032A7E2C"/>
    <w:rsid w:val="033753DC"/>
    <w:rsid w:val="0374190D"/>
    <w:rsid w:val="039E0B4E"/>
    <w:rsid w:val="044F5401"/>
    <w:rsid w:val="04825F32"/>
    <w:rsid w:val="048B3EF4"/>
    <w:rsid w:val="048C3744"/>
    <w:rsid w:val="04AD4C6B"/>
    <w:rsid w:val="04AD6172"/>
    <w:rsid w:val="051E5CB0"/>
    <w:rsid w:val="05AA1E2F"/>
    <w:rsid w:val="05C24554"/>
    <w:rsid w:val="05E565EA"/>
    <w:rsid w:val="061606D5"/>
    <w:rsid w:val="061A2F20"/>
    <w:rsid w:val="062A44D1"/>
    <w:rsid w:val="065B5A42"/>
    <w:rsid w:val="06763BE5"/>
    <w:rsid w:val="07264310"/>
    <w:rsid w:val="07690C89"/>
    <w:rsid w:val="076F40B3"/>
    <w:rsid w:val="07731EDA"/>
    <w:rsid w:val="08461D62"/>
    <w:rsid w:val="084B6744"/>
    <w:rsid w:val="08540DD2"/>
    <w:rsid w:val="08C124FC"/>
    <w:rsid w:val="08F80683"/>
    <w:rsid w:val="09014C79"/>
    <w:rsid w:val="09020038"/>
    <w:rsid w:val="09157676"/>
    <w:rsid w:val="095A7944"/>
    <w:rsid w:val="09B853C9"/>
    <w:rsid w:val="09D377A4"/>
    <w:rsid w:val="0A173570"/>
    <w:rsid w:val="0AD63DB4"/>
    <w:rsid w:val="0B2D0CE3"/>
    <w:rsid w:val="0B68555C"/>
    <w:rsid w:val="0B707790"/>
    <w:rsid w:val="0B721E65"/>
    <w:rsid w:val="0B8D331C"/>
    <w:rsid w:val="0C2B4859"/>
    <w:rsid w:val="0C45445B"/>
    <w:rsid w:val="0C944AE0"/>
    <w:rsid w:val="0C973E26"/>
    <w:rsid w:val="0CD7229F"/>
    <w:rsid w:val="0CFA7036"/>
    <w:rsid w:val="0D0230E3"/>
    <w:rsid w:val="0D2A2C71"/>
    <w:rsid w:val="0DAF4280"/>
    <w:rsid w:val="0E09186A"/>
    <w:rsid w:val="0E15040C"/>
    <w:rsid w:val="0E4427F6"/>
    <w:rsid w:val="0EE14842"/>
    <w:rsid w:val="0EF57358"/>
    <w:rsid w:val="0F54176A"/>
    <w:rsid w:val="0F654FB0"/>
    <w:rsid w:val="100F298C"/>
    <w:rsid w:val="109B7D77"/>
    <w:rsid w:val="10E55ACF"/>
    <w:rsid w:val="11703FDD"/>
    <w:rsid w:val="11901742"/>
    <w:rsid w:val="11A021F8"/>
    <w:rsid w:val="11AB24C0"/>
    <w:rsid w:val="11CF7FD4"/>
    <w:rsid w:val="11EC350B"/>
    <w:rsid w:val="120B3A4B"/>
    <w:rsid w:val="13403EA3"/>
    <w:rsid w:val="136369E3"/>
    <w:rsid w:val="13A4655C"/>
    <w:rsid w:val="13BE4771"/>
    <w:rsid w:val="13EB4DC2"/>
    <w:rsid w:val="14287802"/>
    <w:rsid w:val="14363136"/>
    <w:rsid w:val="14510BA6"/>
    <w:rsid w:val="1484371C"/>
    <w:rsid w:val="149E4339"/>
    <w:rsid w:val="14E94D9C"/>
    <w:rsid w:val="15722EBE"/>
    <w:rsid w:val="158E7E44"/>
    <w:rsid w:val="15CF287D"/>
    <w:rsid w:val="15D2501B"/>
    <w:rsid w:val="15DA15E8"/>
    <w:rsid w:val="161A3B4F"/>
    <w:rsid w:val="16424436"/>
    <w:rsid w:val="16431650"/>
    <w:rsid w:val="165E2AEE"/>
    <w:rsid w:val="16625F66"/>
    <w:rsid w:val="16C12DFE"/>
    <w:rsid w:val="16D34A53"/>
    <w:rsid w:val="1700085B"/>
    <w:rsid w:val="170B51DD"/>
    <w:rsid w:val="175F5C40"/>
    <w:rsid w:val="1767076E"/>
    <w:rsid w:val="17791C41"/>
    <w:rsid w:val="17CF7053"/>
    <w:rsid w:val="17DD217F"/>
    <w:rsid w:val="18130D9D"/>
    <w:rsid w:val="18485B9A"/>
    <w:rsid w:val="185B5E04"/>
    <w:rsid w:val="192B2CC4"/>
    <w:rsid w:val="19446AE4"/>
    <w:rsid w:val="19A02C18"/>
    <w:rsid w:val="19C932B6"/>
    <w:rsid w:val="1A190213"/>
    <w:rsid w:val="1A2F4A85"/>
    <w:rsid w:val="1A5255EA"/>
    <w:rsid w:val="1AB57F79"/>
    <w:rsid w:val="1AC90C8B"/>
    <w:rsid w:val="1B081AAC"/>
    <w:rsid w:val="1B1644A1"/>
    <w:rsid w:val="1B5015DA"/>
    <w:rsid w:val="1B9D0D7A"/>
    <w:rsid w:val="1C706A45"/>
    <w:rsid w:val="1D340687"/>
    <w:rsid w:val="1D9F141F"/>
    <w:rsid w:val="1DB54174"/>
    <w:rsid w:val="1E2B689A"/>
    <w:rsid w:val="1E7F5D1F"/>
    <w:rsid w:val="1E842C58"/>
    <w:rsid w:val="1E8865C2"/>
    <w:rsid w:val="1EAE1EFC"/>
    <w:rsid w:val="1EE76CC2"/>
    <w:rsid w:val="1EE84F14"/>
    <w:rsid w:val="1F016CAD"/>
    <w:rsid w:val="1F5E32BF"/>
    <w:rsid w:val="1F9C77A9"/>
    <w:rsid w:val="1FBC37D3"/>
    <w:rsid w:val="1FE01350"/>
    <w:rsid w:val="1FE84CAF"/>
    <w:rsid w:val="1FF07889"/>
    <w:rsid w:val="20071C4E"/>
    <w:rsid w:val="20464D73"/>
    <w:rsid w:val="205D43E9"/>
    <w:rsid w:val="208C27F0"/>
    <w:rsid w:val="20997A75"/>
    <w:rsid w:val="20AB4024"/>
    <w:rsid w:val="20C10025"/>
    <w:rsid w:val="20C813D6"/>
    <w:rsid w:val="215522BF"/>
    <w:rsid w:val="21965E5F"/>
    <w:rsid w:val="21994ACB"/>
    <w:rsid w:val="224E1196"/>
    <w:rsid w:val="225459BF"/>
    <w:rsid w:val="227A0A46"/>
    <w:rsid w:val="22F4252B"/>
    <w:rsid w:val="235B6EB4"/>
    <w:rsid w:val="23A83B1A"/>
    <w:rsid w:val="23B11417"/>
    <w:rsid w:val="23CE59DC"/>
    <w:rsid w:val="23DE761C"/>
    <w:rsid w:val="23E21B3B"/>
    <w:rsid w:val="23E21C4E"/>
    <w:rsid w:val="23E23B1D"/>
    <w:rsid w:val="23FD6057"/>
    <w:rsid w:val="247058DA"/>
    <w:rsid w:val="24AE36B3"/>
    <w:rsid w:val="24CF1893"/>
    <w:rsid w:val="250768AC"/>
    <w:rsid w:val="253C6E23"/>
    <w:rsid w:val="2563165F"/>
    <w:rsid w:val="259E41D1"/>
    <w:rsid w:val="25AB0BC2"/>
    <w:rsid w:val="26930344"/>
    <w:rsid w:val="27865F67"/>
    <w:rsid w:val="278957FE"/>
    <w:rsid w:val="279B384F"/>
    <w:rsid w:val="27C17BB1"/>
    <w:rsid w:val="27EA1183"/>
    <w:rsid w:val="27F667BB"/>
    <w:rsid w:val="2846151A"/>
    <w:rsid w:val="284A238D"/>
    <w:rsid w:val="284D27E8"/>
    <w:rsid w:val="286279B0"/>
    <w:rsid w:val="28893793"/>
    <w:rsid w:val="28A904E4"/>
    <w:rsid w:val="28F42A33"/>
    <w:rsid w:val="2929562D"/>
    <w:rsid w:val="29374942"/>
    <w:rsid w:val="29745EA6"/>
    <w:rsid w:val="29D60CAE"/>
    <w:rsid w:val="2A084196"/>
    <w:rsid w:val="2A58320D"/>
    <w:rsid w:val="2A6956F3"/>
    <w:rsid w:val="2A8B7836"/>
    <w:rsid w:val="2A9F304A"/>
    <w:rsid w:val="2AFD63B6"/>
    <w:rsid w:val="2B462518"/>
    <w:rsid w:val="2B573EC3"/>
    <w:rsid w:val="2B8A310F"/>
    <w:rsid w:val="2BA858AF"/>
    <w:rsid w:val="2C1E56F0"/>
    <w:rsid w:val="2C816910"/>
    <w:rsid w:val="2C92734F"/>
    <w:rsid w:val="2C9F7A9F"/>
    <w:rsid w:val="2CA03B11"/>
    <w:rsid w:val="2CA704E8"/>
    <w:rsid w:val="2D0D29D3"/>
    <w:rsid w:val="2D283647"/>
    <w:rsid w:val="2D2C1113"/>
    <w:rsid w:val="2D2F78E9"/>
    <w:rsid w:val="2D563332"/>
    <w:rsid w:val="2DB23EAD"/>
    <w:rsid w:val="2E204DE0"/>
    <w:rsid w:val="2EC333C5"/>
    <w:rsid w:val="2EF4761B"/>
    <w:rsid w:val="2F2F0392"/>
    <w:rsid w:val="2FA318F0"/>
    <w:rsid w:val="2FC31E94"/>
    <w:rsid w:val="2FE73A50"/>
    <w:rsid w:val="30BE3F50"/>
    <w:rsid w:val="313A5F04"/>
    <w:rsid w:val="31A326AD"/>
    <w:rsid w:val="31B70DF7"/>
    <w:rsid w:val="321229BC"/>
    <w:rsid w:val="327D3801"/>
    <w:rsid w:val="32E06116"/>
    <w:rsid w:val="32E13316"/>
    <w:rsid w:val="3301632F"/>
    <w:rsid w:val="3302137C"/>
    <w:rsid w:val="33076D69"/>
    <w:rsid w:val="33125A14"/>
    <w:rsid w:val="333373CC"/>
    <w:rsid w:val="333D1021"/>
    <w:rsid w:val="336B039B"/>
    <w:rsid w:val="33B51F64"/>
    <w:rsid w:val="340121F5"/>
    <w:rsid w:val="340D75AE"/>
    <w:rsid w:val="34260F9E"/>
    <w:rsid w:val="344B6252"/>
    <w:rsid w:val="3465048D"/>
    <w:rsid w:val="348555E9"/>
    <w:rsid w:val="348F359B"/>
    <w:rsid w:val="34A623E5"/>
    <w:rsid w:val="34F33587"/>
    <w:rsid w:val="351C08D6"/>
    <w:rsid w:val="351F2788"/>
    <w:rsid w:val="353B7940"/>
    <w:rsid w:val="356B450D"/>
    <w:rsid w:val="35903E59"/>
    <w:rsid w:val="35974425"/>
    <w:rsid w:val="359B6761"/>
    <w:rsid w:val="35AA0E18"/>
    <w:rsid w:val="35FC4BAE"/>
    <w:rsid w:val="36144F46"/>
    <w:rsid w:val="36433849"/>
    <w:rsid w:val="364A5848"/>
    <w:rsid w:val="365D339C"/>
    <w:rsid w:val="367E3075"/>
    <w:rsid w:val="368A2ACE"/>
    <w:rsid w:val="376A1906"/>
    <w:rsid w:val="377473F2"/>
    <w:rsid w:val="37917650"/>
    <w:rsid w:val="37C97304"/>
    <w:rsid w:val="37E62C43"/>
    <w:rsid w:val="38563E9E"/>
    <w:rsid w:val="38932D52"/>
    <w:rsid w:val="38F84B4A"/>
    <w:rsid w:val="39236D04"/>
    <w:rsid w:val="392D49BE"/>
    <w:rsid w:val="39511E7F"/>
    <w:rsid w:val="39EB3D75"/>
    <w:rsid w:val="3A457E4C"/>
    <w:rsid w:val="3A7007EE"/>
    <w:rsid w:val="3A7163A1"/>
    <w:rsid w:val="3A8C01CB"/>
    <w:rsid w:val="3AD20E64"/>
    <w:rsid w:val="3B5B2C90"/>
    <w:rsid w:val="3B9519DF"/>
    <w:rsid w:val="3BE57419"/>
    <w:rsid w:val="3BFC1327"/>
    <w:rsid w:val="3C0F5D6D"/>
    <w:rsid w:val="3C7C6038"/>
    <w:rsid w:val="3C83745D"/>
    <w:rsid w:val="3CA277C0"/>
    <w:rsid w:val="3CEF30A7"/>
    <w:rsid w:val="3D153712"/>
    <w:rsid w:val="3D205CE9"/>
    <w:rsid w:val="3D2233FB"/>
    <w:rsid w:val="3D950FD6"/>
    <w:rsid w:val="3D9931DB"/>
    <w:rsid w:val="3DDD5D91"/>
    <w:rsid w:val="3E2D678E"/>
    <w:rsid w:val="3E335F6C"/>
    <w:rsid w:val="3E4F4BAB"/>
    <w:rsid w:val="3F1A0084"/>
    <w:rsid w:val="3FBE4A8F"/>
    <w:rsid w:val="3FDD0FD4"/>
    <w:rsid w:val="400A5756"/>
    <w:rsid w:val="40227C45"/>
    <w:rsid w:val="40735C87"/>
    <w:rsid w:val="40CE75B7"/>
    <w:rsid w:val="40EA2039"/>
    <w:rsid w:val="41317736"/>
    <w:rsid w:val="41401B50"/>
    <w:rsid w:val="416A4344"/>
    <w:rsid w:val="42143C58"/>
    <w:rsid w:val="42667F40"/>
    <w:rsid w:val="43293980"/>
    <w:rsid w:val="43331418"/>
    <w:rsid w:val="43365054"/>
    <w:rsid w:val="434628B6"/>
    <w:rsid w:val="437A2EF6"/>
    <w:rsid w:val="439F5067"/>
    <w:rsid w:val="43E1358B"/>
    <w:rsid w:val="43E1401D"/>
    <w:rsid w:val="43FC77B9"/>
    <w:rsid w:val="44417D28"/>
    <w:rsid w:val="44A97134"/>
    <w:rsid w:val="44DF4FDA"/>
    <w:rsid w:val="450066A1"/>
    <w:rsid w:val="45500126"/>
    <w:rsid w:val="462A64E8"/>
    <w:rsid w:val="465E26CD"/>
    <w:rsid w:val="46603A7C"/>
    <w:rsid w:val="46996AFD"/>
    <w:rsid w:val="46E83978"/>
    <w:rsid w:val="473E12E9"/>
    <w:rsid w:val="475B335F"/>
    <w:rsid w:val="47665A62"/>
    <w:rsid w:val="47930985"/>
    <w:rsid w:val="47DF749A"/>
    <w:rsid w:val="48076A88"/>
    <w:rsid w:val="48496FA0"/>
    <w:rsid w:val="48DA7951"/>
    <w:rsid w:val="492C007A"/>
    <w:rsid w:val="494A7C4C"/>
    <w:rsid w:val="496C5599"/>
    <w:rsid w:val="4A120FE1"/>
    <w:rsid w:val="4A9D0981"/>
    <w:rsid w:val="4AE64D55"/>
    <w:rsid w:val="4B281141"/>
    <w:rsid w:val="4B7249DF"/>
    <w:rsid w:val="4BB80046"/>
    <w:rsid w:val="4BC471B8"/>
    <w:rsid w:val="4BC722F8"/>
    <w:rsid w:val="4C0E5BAD"/>
    <w:rsid w:val="4C0F6683"/>
    <w:rsid w:val="4C170B63"/>
    <w:rsid w:val="4C207BF0"/>
    <w:rsid w:val="4C2819E5"/>
    <w:rsid w:val="4C6843B9"/>
    <w:rsid w:val="4C77159D"/>
    <w:rsid w:val="4CAB4420"/>
    <w:rsid w:val="4CAC15F2"/>
    <w:rsid w:val="4CCE4482"/>
    <w:rsid w:val="4CE93476"/>
    <w:rsid w:val="4DB908E0"/>
    <w:rsid w:val="4E044007"/>
    <w:rsid w:val="4E33263C"/>
    <w:rsid w:val="4E96120B"/>
    <w:rsid w:val="4EB23DF4"/>
    <w:rsid w:val="4EF71347"/>
    <w:rsid w:val="4F6C7648"/>
    <w:rsid w:val="4FBE7A50"/>
    <w:rsid w:val="50062B08"/>
    <w:rsid w:val="50233033"/>
    <w:rsid w:val="502E27B1"/>
    <w:rsid w:val="509513C3"/>
    <w:rsid w:val="50975EFF"/>
    <w:rsid w:val="50CC48E8"/>
    <w:rsid w:val="50FF23E2"/>
    <w:rsid w:val="51164004"/>
    <w:rsid w:val="51212F21"/>
    <w:rsid w:val="51603484"/>
    <w:rsid w:val="518566CD"/>
    <w:rsid w:val="51BA2535"/>
    <w:rsid w:val="523C2582"/>
    <w:rsid w:val="5271353A"/>
    <w:rsid w:val="52756E32"/>
    <w:rsid w:val="52AF617F"/>
    <w:rsid w:val="52B325AA"/>
    <w:rsid w:val="5306399E"/>
    <w:rsid w:val="534F781C"/>
    <w:rsid w:val="53653159"/>
    <w:rsid w:val="53C90C15"/>
    <w:rsid w:val="53CF76BD"/>
    <w:rsid w:val="53E64A5C"/>
    <w:rsid w:val="53F520EF"/>
    <w:rsid w:val="53F9098C"/>
    <w:rsid w:val="541933E7"/>
    <w:rsid w:val="54235856"/>
    <w:rsid w:val="5445447C"/>
    <w:rsid w:val="54B81946"/>
    <w:rsid w:val="54CF5831"/>
    <w:rsid w:val="55221270"/>
    <w:rsid w:val="55683FFB"/>
    <w:rsid w:val="55B56202"/>
    <w:rsid w:val="55D6017A"/>
    <w:rsid w:val="55EC24F6"/>
    <w:rsid w:val="565F02BC"/>
    <w:rsid w:val="567468CD"/>
    <w:rsid w:val="574D1453"/>
    <w:rsid w:val="57694C63"/>
    <w:rsid w:val="577B3BA6"/>
    <w:rsid w:val="57B367E3"/>
    <w:rsid w:val="57B92B69"/>
    <w:rsid w:val="57F24C5E"/>
    <w:rsid w:val="58177413"/>
    <w:rsid w:val="58191749"/>
    <w:rsid w:val="59AB3818"/>
    <w:rsid w:val="59AD4F06"/>
    <w:rsid w:val="5A2E41BB"/>
    <w:rsid w:val="5A594CC3"/>
    <w:rsid w:val="5AAA5AF1"/>
    <w:rsid w:val="5AD44461"/>
    <w:rsid w:val="5B187075"/>
    <w:rsid w:val="5BDC705A"/>
    <w:rsid w:val="5BFA5773"/>
    <w:rsid w:val="5C784816"/>
    <w:rsid w:val="5C8A5234"/>
    <w:rsid w:val="5CC31B57"/>
    <w:rsid w:val="5D691CBB"/>
    <w:rsid w:val="5D7A0F3F"/>
    <w:rsid w:val="5D885833"/>
    <w:rsid w:val="5DB74F9B"/>
    <w:rsid w:val="5E1D030A"/>
    <w:rsid w:val="5E5025C9"/>
    <w:rsid w:val="5E7A4240"/>
    <w:rsid w:val="5E8E7EB0"/>
    <w:rsid w:val="5EDC564E"/>
    <w:rsid w:val="5EE00BB3"/>
    <w:rsid w:val="5EE058E8"/>
    <w:rsid w:val="5EF066DB"/>
    <w:rsid w:val="5F4A0338"/>
    <w:rsid w:val="5F4B6306"/>
    <w:rsid w:val="5F813FB4"/>
    <w:rsid w:val="60157F0E"/>
    <w:rsid w:val="602729FA"/>
    <w:rsid w:val="607940A4"/>
    <w:rsid w:val="6089323F"/>
    <w:rsid w:val="60C522F4"/>
    <w:rsid w:val="60F67612"/>
    <w:rsid w:val="610F77FA"/>
    <w:rsid w:val="61186932"/>
    <w:rsid w:val="613B57ED"/>
    <w:rsid w:val="6194690C"/>
    <w:rsid w:val="626112AE"/>
    <w:rsid w:val="628778FD"/>
    <w:rsid w:val="6298317C"/>
    <w:rsid w:val="62D61745"/>
    <w:rsid w:val="63531402"/>
    <w:rsid w:val="63B04E11"/>
    <w:rsid w:val="63F8368E"/>
    <w:rsid w:val="641F5B3D"/>
    <w:rsid w:val="64202DD0"/>
    <w:rsid w:val="64A13F1F"/>
    <w:rsid w:val="64DE5FDC"/>
    <w:rsid w:val="64E01134"/>
    <w:rsid w:val="65EC217F"/>
    <w:rsid w:val="66076538"/>
    <w:rsid w:val="66651C8A"/>
    <w:rsid w:val="668734C3"/>
    <w:rsid w:val="668757D1"/>
    <w:rsid w:val="670B2782"/>
    <w:rsid w:val="67177E21"/>
    <w:rsid w:val="672D5701"/>
    <w:rsid w:val="67A46E8F"/>
    <w:rsid w:val="67D033F0"/>
    <w:rsid w:val="67E9230E"/>
    <w:rsid w:val="67EC2CFC"/>
    <w:rsid w:val="68024255"/>
    <w:rsid w:val="68103D21"/>
    <w:rsid w:val="683E50DD"/>
    <w:rsid w:val="689414BE"/>
    <w:rsid w:val="68C84C8D"/>
    <w:rsid w:val="6912754D"/>
    <w:rsid w:val="69203ACC"/>
    <w:rsid w:val="69464539"/>
    <w:rsid w:val="6952043D"/>
    <w:rsid w:val="698719E7"/>
    <w:rsid w:val="699F3FEA"/>
    <w:rsid w:val="69C04ABB"/>
    <w:rsid w:val="69C8489A"/>
    <w:rsid w:val="6A1914BA"/>
    <w:rsid w:val="6A2F5934"/>
    <w:rsid w:val="6A3A36EC"/>
    <w:rsid w:val="6A4D4BD5"/>
    <w:rsid w:val="6A5247FE"/>
    <w:rsid w:val="6A7D6AC8"/>
    <w:rsid w:val="6A970C0E"/>
    <w:rsid w:val="6AB3359E"/>
    <w:rsid w:val="6ACE4D37"/>
    <w:rsid w:val="6B7A28CD"/>
    <w:rsid w:val="6BD01383"/>
    <w:rsid w:val="6C50402F"/>
    <w:rsid w:val="6C534188"/>
    <w:rsid w:val="6CC13F64"/>
    <w:rsid w:val="6CDB178F"/>
    <w:rsid w:val="6D0A6F75"/>
    <w:rsid w:val="6D1228E7"/>
    <w:rsid w:val="6D4B40C0"/>
    <w:rsid w:val="6DDB768F"/>
    <w:rsid w:val="6E6D6FEA"/>
    <w:rsid w:val="6EB1256B"/>
    <w:rsid w:val="6EB64A32"/>
    <w:rsid w:val="6EC82FBB"/>
    <w:rsid w:val="6F7E447B"/>
    <w:rsid w:val="6FAE3061"/>
    <w:rsid w:val="6FD57A77"/>
    <w:rsid w:val="6FED1910"/>
    <w:rsid w:val="703F3DA5"/>
    <w:rsid w:val="709A6812"/>
    <w:rsid w:val="70F2045B"/>
    <w:rsid w:val="71084330"/>
    <w:rsid w:val="710F71D0"/>
    <w:rsid w:val="715A6C9A"/>
    <w:rsid w:val="71652472"/>
    <w:rsid w:val="71E35062"/>
    <w:rsid w:val="720F2076"/>
    <w:rsid w:val="722B08AE"/>
    <w:rsid w:val="727160C2"/>
    <w:rsid w:val="728F7281"/>
    <w:rsid w:val="72BD48CD"/>
    <w:rsid w:val="72D967C4"/>
    <w:rsid w:val="73096F4B"/>
    <w:rsid w:val="735601E0"/>
    <w:rsid w:val="7396760B"/>
    <w:rsid w:val="73A56C56"/>
    <w:rsid w:val="73D33EF5"/>
    <w:rsid w:val="73E24C64"/>
    <w:rsid w:val="74966354"/>
    <w:rsid w:val="749E4112"/>
    <w:rsid w:val="751B0501"/>
    <w:rsid w:val="752F30C8"/>
    <w:rsid w:val="755D7996"/>
    <w:rsid w:val="75626B88"/>
    <w:rsid w:val="75784475"/>
    <w:rsid w:val="75B30892"/>
    <w:rsid w:val="75B708C9"/>
    <w:rsid w:val="75DF6B89"/>
    <w:rsid w:val="75EB601A"/>
    <w:rsid w:val="763900A2"/>
    <w:rsid w:val="76660B4B"/>
    <w:rsid w:val="766C04B8"/>
    <w:rsid w:val="767E6C03"/>
    <w:rsid w:val="76AB7D98"/>
    <w:rsid w:val="76D16F69"/>
    <w:rsid w:val="7744581F"/>
    <w:rsid w:val="77571758"/>
    <w:rsid w:val="77667C2A"/>
    <w:rsid w:val="776B49CE"/>
    <w:rsid w:val="77911234"/>
    <w:rsid w:val="786D6001"/>
    <w:rsid w:val="790A4622"/>
    <w:rsid w:val="794569C4"/>
    <w:rsid w:val="79647B21"/>
    <w:rsid w:val="79CF4503"/>
    <w:rsid w:val="7A8D3063"/>
    <w:rsid w:val="7B1066C6"/>
    <w:rsid w:val="7B54390E"/>
    <w:rsid w:val="7B5974FC"/>
    <w:rsid w:val="7B7A442C"/>
    <w:rsid w:val="7C020026"/>
    <w:rsid w:val="7C254D3D"/>
    <w:rsid w:val="7C254F63"/>
    <w:rsid w:val="7C57093F"/>
    <w:rsid w:val="7D085F7C"/>
    <w:rsid w:val="7D223E01"/>
    <w:rsid w:val="7D691A59"/>
    <w:rsid w:val="7D6E4856"/>
    <w:rsid w:val="7DC96A3D"/>
    <w:rsid w:val="7DDE03B7"/>
    <w:rsid w:val="7E3329FD"/>
    <w:rsid w:val="7E34652C"/>
    <w:rsid w:val="7E445010"/>
    <w:rsid w:val="7E5E3BE4"/>
    <w:rsid w:val="7E7A32C5"/>
    <w:rsid w:val="7EA74C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3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annotation text"/>
    <w:basedOn w:val="1"/>
    <w:link w:val="35"/>
    <w:unhideWhenUsed/>
    <w:uiPriority w:val="99"/>
    <w:pPr>
      <w:jc w:val="left"/>
    </w:pPr>
  </w:style>
  <w:style w:type="paragraph" w:styleId="6">
    <w:name w:val="Body Text"/>
    <w:basedOn w:val="1"/>
    <w:link w:val="36"/>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37"/>
    <w:unhideWhenUsed/>
    <w:uiPriority w:val="99"/>
    <w:pPr>
      <w:ind w:left="100" w:leftChars="2500"/>
    </w:pPr>
  </w:style>
  <w:style w:type="paragraph" w:styleId="8">
    <w:name w:val="Balloon Text"/>
    <w:basedOn w:val="1"/>
    <w:link w:val="38"/>
    <w:unhideWhenUsed/>
    <w:uiPriority w:val="99"/>
    <w:rPr>
      <w:kern w:val="0"/>
      <w:sz w:val="18"/>
      <w:szCs w:val="18"/>
    </w:rPr>
  </w:style>
  <w:style w:type="paragraph" w:styleId="9">
    <w:name w:val="footer"/>
    <w:basedOn w:val="1"/>
    <w:link w:val="39"/>
    <w:unhideWhenUsed/>
    <w:uiPriority w:val="99"/>
    <w:pPr>
      <w:tabs>
        <w:tab w:val="center" w:pos="4153"/>
        <w:tab w:val="right" w:pos="8306"/>
      </w:tabs>
      <w:snapToGrid w:val="0"/>
      <w:jc w:val="left"/>
    </w:pPr>
    <w:rPr>
      <w:kern w:val="0"/>
      <w:sz w:val="18"/>
      <w:szCs w:val="18"/>
    </w:rPr>
  </w:style>
  <w:style w:type="paragraph" w:styleId="10">
    <w:name w:val="header"/>
    <w:basedOn w:val="1"/>
    <w:link w:val="40"/>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uiPriority w:val="99"/>
    <w:pPr>
      <w:snapToGrid w:val="0"/>
      <w:jc w:val="left"/>
    </w:pPr>
    <w:rPr>
      <w:sz w:val="18"/>
      <w:szCs w:val="18"/>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41"/>
    <w:unhideWhenUsed/>
    <w:uiPriority w:val="99"/>
    <w:rPr>
      <w:b/>
      <w:bCs/>
    </w:rPr>
  </w:style>
  <w:style w:type="table" w:styleId="15">
    <w:name w:val="Table Grid"/>
    <w:basedOn w:val="14"/>
    <w:uiPriority w:val="59"/>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字符"/>
    <w:link w:val="2"/>
    <w:uiPriority w:val="1"/>
    <w:rPr>
      <w:rFonts w:ascii="黑体" w:hAnsi="Times New Roman" w:eastAsia="黑体" w:cs="黑体"/>
      <w:b/>
      <w:bCs/>
      <w:kern w:val="0"/>
      <w:sz w:val="36"/>
      <w:szCs w:val="36"/>
    </w:rPr>
  </w:style>
  <w:style w:type="character" w:customStyle="1" w:styleId="22">
    <w:name w:val="标题 2 字符"/>
    <w:link w:val="3"/>
    <w:uiPriority w:val="9"/>
    <w:rPr>
      <w:rFonts w:ascii="Cambria" w:hAnsi="Cambria" w:eastAsia="宋体" w:cs="Times New Roman"/>
      <w:b/>
      <w:bCs/>
      <w:sz w:val="32"/>
      <w:szCs w:val="32"/>
    </w:rPr>
  </w:style>
  <w:style w:type="character" w:customStyle="1" w:styleId="23">
    <w:name w:val="标题 3 字符"/>
    <w:link w:val="4"/>
    <w:uiPriority w:val="1"/>
    <w:rPr>
      <w:rFonts w:ascii="宋体" w:hAnsi="Times New Roman" w:eastAsia="宋体" w:cs="宋体"/>
      <w:b/>
      <w:bCs/>
      <w:kern w:val="0"/>
      <w:szCs w:val="21"/>
    </w:rPr>
  </w:style>
  <w:style w:type="character" w:customStyle="1" w:styleId="24">
    <w:name w:val="批注文字 字符"/>
    <w:link w:val="5"/>
    <w:uiPriority w:val="99"/>
    <w:rPr>
      <w:kern w:val="2"/>
      <w:sz w:val="21"/>
      <w:szCs w:val="22"/>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日期 字符"/>
    <w:basedOn w:val="16"/>
    <w:link w:val="7"/>
    <w:semiHidden/>
    <w:uiPriority w:val="99"/>
  </w:style>
  <w:style w:type="character" w:customStyle="1" w:styleId="27">
    <w:name w:val="批注框文本 字符"/>
    <w:link w:val="8"/>
    <w:semiHidden/>
    <w:uiPriority w:val="99"/>
    <w:rPr>
      <w:sz w:val="18"/>
      <w:szCs w:val="18"/>
    </w:rPr>
  </w:style>
  <w:style w:type="character" w:customStyle="1" w:styleId="28">
    <w:name w:val="页脚 字符"/>
    <w:link w:val="9"/>
    <w:uiPriority w:val="99"/>
    <w:rPr>
      <w:sz w:val="18"/>
      <w:szCs w:val="18"/>
    </w:rPr>
  </w:style>
  <w:style w:type="character" w:customStyle="1" w:styleId="29">
    <w:name w:val="页眉 字符"/>
    <w:link w:val="10"/>
    <w:uiPriority w:val="99"/>
    <w:rPr>
      <w:sz w:val="18"/>
      <w:szCs w:val="18"/>
    </w:rPr>
  </w:style>
  <w:style w:type="character" w:customStyle="1" w:styleId="30">
    <w:name w:val="脚注文本 字符1"/>
    <w:link w:val="11"/>
    <w:uiPriority w:val="99"/>
    <w:rPr>
      <w:kern w:val="2"/>
      <w:sz w:val="18"/>
      <w:szCs w:val="18"/>
    </w:rPr>
  </w:style>
  <w:style w:type="character" w:customStyle="1" w:styleId="31">
    <w:name w:val="批注主题 字符"/>
    <w:link w:val="13"/>
    <w:semiHidden/>
    <w:uiPriority w:val="99"/>
    <w:rPr>
      <w:b/>
      <w:bCs/>
      <w:kern w:val="2"/>
      <w:sz w:val="21"/>
      <w:szCs w:val="22"/>
    </w:rPr>
  </w:style>
  <w:style w:type="character" w:customStyle="1" w:styleId="32">
    <w:name w:val="标题 1 Char"/>
    <w:link w:val="2"/>
    <w:uiPriority w:val="1"/>
    <w:rPr>
      <w:rFonts w:ascii="黑体" w:hAnsi="Times New Roman" w:eastAsia="黑体" w:cs="黑体"/>
      <w:b/>
      <w:bCs/>
      <w:kern w:val="0"/>
      <w:sz w:val="36"/>
      <w:szCs w:val="36"/>
    </w:rPr>
  </w:style>
  <w:style w:type="character" w:customStyle="1" w:styleId="33">
    <w:name w:val="标题 2 Char"/>
    <w:link w:val="3"/>
    <w:uiPriority w:val="9"/>
    <w:rPr>
      <w:rFonts w:ascii="Cambria" w:hAnsi="Cambria" w:eastAsia="宋体" w:cs="Times New Roman"/>
      <w:b/>
      <w:bCs/>
      <w:sz w:val="32"/>
      <w:szCs w:val="32"/>
    </w:rPr>
  </w:style>
  <w:style w:type="character" w:customStyle="1" w:styleId="34">
    <w:name w:val="标题 3 Char"/>
    <w:link w:val="4"/>
    <w:uiPriority w:val="1"/>
    <w:rPr>
      <w:rFonts w:ascii="宋体" w:hAnsi="Times New Roman" w:eastAsia="宋体" w:cs="宋体"/>
      <w:b/>
      <w:bCs/>
      <w:kern w:val="0"/>
      <w:szCs w:val="21"/>
    </w:rPr>
  </w:style>
  <w:style w:type="character" w:customStyle="1" w:styleId="35">
    <w:name w:val="批注文字 Char"/>
    <w:link w:val="5"/>
    <w:uiPriority w:val="99"/>
    <w:rPr>
      <w:rFonts w:ascii="Times New Roman" w:hAnsi="Times New Roman" w:eastAsia="宋体" w:cs="Times New Roman"/>
      <w:kern w:val="2"/>
      <w:sz w:val="21"/>
      <w:szCs w:val="22"/>
    </w:rPr>
  </w:style>
  <w:style w:type="character" w:customStyle="1" w:styleId="36">
    <w:name w:val="正文文本 Char"/>
    <w:link w:val="6"/>
    <w:uiPriority w:val="1"/>
    <w:rPr>
      <w:rFonts w:ascii="宋体" w:hAnsi="Times New Roman" w:eastAsia="宋体" w:cs="宋体"/>
      <w:kern w:val="0"/>
      <w:szCs w:val="21"/>
    </w:rPr>
  </w:style>
  <w:style w:type="character" w:customStyle="1" w:styleId="37">
    <w:name w:val="日期 Char"/>
    <w:basedOn w:val="16"/>
    <w:link w:val="7"/>
    <w:semiHidden/>
    <w:uiPriority w:val="99"/>
    <w:rPr>
      <w:rFonts w:ascii="Times New Roman" w:hAnsi="Times New Roman" w:eastAsia="宋体" w:cs="Times New Roman"/>
    </w:rPr>
  </w:style>
  <w:style w:type="character" w:customStyle="1" w:styleId="38">
    <w:name w:val="批注框文本 Char"/>
    <w:link w:val="8"/>
    <w:semiHidden/>
    <w:uiPriority w:val="99"/>
    <w:rPr>
      <w:rFonts w:ascii="Times New Roman" w:hAnsi="Times New Roman" w:eastAsia="宋体" w:cs="Times New Roman"/>
      <w:sz w:val="18"/>
      <w:szCs w:val="18"/>
    </w:rPr>
  </w:style>
  <w:style w:type="character" w:customStyle="1" w:styleId="39">
    <w:name w:val="页脚 Char"/>
    <w:link w:val="9"/>
    <w:uiPriority w:val="99"/>
    <w:rPr>
      <w:rFonts w:ascii="Times New Roman" w:hAnsi="Times New Roman" w:eastAsia="宋体" w:cs="Times New Roman"/>
      <w:sz w:val="18"/>
      <w:szCs w:val="18"/>
    </w:rPr>
  </w:style>
  <w:style w:type="character" w:customStyle="1" w:styleId="40">
    <w:name w:val="页眉 Char"/>
    <w:link w:val="10"/>
    <w:uiPriority w:val="99"/>
    <w:rPr>
      <w:rFonts w:ascii="Times New Roman" w:hAnsi="Times New Roman" w:eastAsia="宋体" w:cs="Times New Roman"/>
      <w:sz w:val="18"/>
      <w:szCs w:val="18"/>
    </w:rPr>
  </w:style>
  <w:style w:type="character" w:customStyle="1" w:styleId="41">
    <w:name w:val="批注主题 Char"/>
    <w:link w:val="13"/>
    <w:semiHidden/>
    <w:uiPriority w:val="99"/>
    <w:rPr>
      <w:rFonts w:ascii="Times New Roman" w:hAnsi="Times New Roman" w:eastAsia="宋体" w:cs="Times New Roman"/>
      <w:b/>
      <w:bCs/>
      <w:kern w:val="2"/>
      <w:sz w:val="21"/>
      <w:szCs w:val="22"/>
    </w:rPr>
  </w:style>
  <w:style w:type="character" w:customStyle="1" w:styleId="42">
    <w:name w:val="脚注文本 字符"/>
    <w:semiHidden/>
    <w:uiPriority w:val="99"/>
    <w:rPr>
      <w:kern w:val="2"/>
      <w:sz w:val="18"/>
      <w:szCs w:val="18"/>
    </w:rPr>
  </w:style>
  <w:style w:type="paragraph" w:styleId="43">
    <w:name w:val="List Paragraph"/>
    <w:basedOn w:val="1"/>
    <w:qFormat/>
    <w:uiPriority w:val="72"/>
    <w:pPr>
      <w:ind w:firstLine="420" w:firstLineChars="200"/>
    </w:pPr>
  </w:style>
  <w:style w:type="paragraph" w:styleId="44">
    <w:name w:val=""/>
    <w:semiHidden/>
    <w:uiPriority w:val="99"/>
    <w:rPr>
      <w:kern w:val="2"/>
      <w:sz w:val="21"/>
      <w:szCs w:val="22"/>
      <w:lang w:val="en-US" w:eastAsia="zh-CN" w:bidi="ar-SA"/>
    </w:rPr>
  </w:style>
  <w:style w:type="paragraph" w:customStyle="1" w:styleId="4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46">
    <w:name w:val="Default"/>
    <w:uiPriority w:val="0"/>
    <w:pPr>
      <w:widowControl w:val="0"/>
      <w:autoSpaceDE w:val="0"/>
      <w:autoSpaceDN w:val="0"/>
      <w:adjustRightInd w:val="0"/>
    </w:pPr>
    <w:rPr>
      <w:rFonts w:ascii="宋体" w:hAns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24081</Words>
  <Characters>25391</Characters>
  <Lines>41</Lines>
  <Paragraphs>11</Paragraphs>
  <TotalTime>0</TotalTime>
  <ScaleCrop>false</ScaleCrop>
  <LinksUpToDate>false</LinksUpToDate>
  <CharactersWithSpaces>25393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2020-12-23T08:08:00Z</dcterms:created>
  <dc:creator>JSYH</dc:creator>
  <cp:lastModifiedBy>adm</cp:lastModifiedBy>
  <cp:lastPrinted>2021-03-22T08:30:00Z</cp:lastPrinted>
  <dcterms:modified xsi:type="dcterms:W3CDTF">2025-05-14T11:08:55Z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65B35DE0E6344119BF0652017E114D5B</vt:lpwstr>
  </property>
</Properties>
</file>