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05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【稳利恒盈封闭式固收类】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【稳利恒盈封闭式固收类】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【稳利恒盈封闭式固收类】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【稳利恒盈封闭式固收类】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【稳利恒盈封闭式固收类】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【稳利恒盈封闭式固收类】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【稳利恒盈封闭式固收类】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156" w:name="_GoBack"/>
      <w:bookmarkEnd w:id="156"/>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vAlign w:val="top"/>
          </w:tcPr>
          <w:p>
            <w:pPr>
              <w:spacing w:line="360" w:lineRule="auto"/>
              <w:jc w:val="left"/>
              <w:rPr>
                <w:rFonts w:ascii="宋体" w:hAnsi="宋体" w:eastAsia="宋体" w:cs="宋体"/>
                <w:bCs/>
                <w:color w:val="auto"/>
                <w:kern w:val="2"/>
                <w:sz w:val="18"/>
                <w:szCs w:val="18"/>
                <w:lang w:val="en-US" w:eastAsia="zh-CN" w:bidi="ar-SA"/>
              </w:rPr>
            </w:pPr>
            <w:r>
              <w:rPr>
                <w:rFonts w:hint="eastAsia" w:asciiTheme="majorEastAsia" w:hAnsiTheme="majorEastAsia" w:eastAsiaTheme="majorEastAsia"/>
                <w:bCs/>
                <w:color w:val="auto"/>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期</w:t>
            </w:r>
            <w:r>
              <w:rPr>
                <w:rFonts w:hint="eastAsia" w:ascii="宋体" w:hAnsi="宋体"/>
                <w:bCs/>
                <w:color w:val="auto"/>
                <w:sz w:val="18"/>
                <w:szCs w:val="18"/>
              </w:rPr>
              <w:t>固收类理财产品</w:t>
            </w:r>
            <w:r>
              <w:rPr>
                <w:rFonts w:hint="eastAsia" w:asciiTheme="majorEastAsia" w:hAnsiTheme="majorEastAsia" w:eastAsiaTheme="majorEastAsia"/>
                <w:bCs/>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(纯盈颐养款)A】</w:t>
            </w:r>
            <w:r>
              <w:rPr>
                <w:rFonts w:hint="eastAsia" w:hAnsi="宋体"/>
                <w:color w:val="auto"/>
                <w:sz w:val="18"/>
                <w:szCs w:val="18"/>
              </w:rPr>
              <w:t>（适用【A】类份额）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widowControl/>
              <w:spacing w:line="360" w:lineRule="auto"/>
              <w:jc w:val="left"/>
              <w:rPr>
                <w:rFonts w:ascii="宋体" w:hAnsi="宋体"/>
                <w:kern w:val="0"/>
                <w:sz w:val="22"/>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color w:val="auto"/>
                <w:sz w:val="18"/>
                <w:szCs w:val="18"/>
                <w:lang w:val="en-US" w:eastAsia="zh-CN"/>
              </w:rPr>
              <w:t>Z7002025000811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A</w:t>
            </w:r>
            <w:r>
              <w:rPr>
                <w:rFonts w:hint="eastAsia" w:hAnsi="宋体"/>
                <w:color w:val="auto"/>
                <w:sz w:val="18"/>
                <w:szCs w:val="18"/>
              </w:rPr>
              <w:t>】（适用【A】类份额）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spacing w:line="360" w:lineRule="auto"/>
              <w:jc w:val="left"/>
              <w:rPr>
                <w:rFonts w:hAnsi="宋体"/>
                <w:sz w:val="18"/>
                <w:szCs w:val="18"/>
              </w:rPr>
            </w:pPr>
            <w:r>
              <w:rPr>
                <w:rFonts w:hint="eastAsia" w:hAnsi="宋体"/>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hint="eastAsia" w:asciiTheme="majorEastAsia" w:hAnsiTheme="majorEastAsia" w:eastAsiaTheme="majorEastAsia"/>
                <w:bCs/>
                <w:sz w:val="18"/>
                <w:szCs w:val="18"/>
                <w:lang w:val="en-US" w:eastAsia="zh-CN"/>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167</w:t>
            </w:r>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37"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hint="eastAsia" w:cs="Times New Roman" w:asciiTheme="minorEastAsia" w:hAnsiTheme="minorEastAsia"/>
                <w:color w:val="auto"/>
                <w:sz w:val="18"/>
                <w:szCs w:val="18"/>
                <w:lang w:val="en-US" w:eastAsia="zh-CN"/>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月【14】日【9:00】至【2025】年【05】月【21】日【17:00】。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22</w:t>
            </w:r>
            <w:r>
              <w:rPr>
                <w:rFonts w:hint="eastAsia" w:cs="Times New Roman" w:asciiTheme="minorEastAsia" w:hAnsiTheme="minorEastAsia"/>
                <w:color w:val="auto"/>
                <w:sz w:val="18"/>
                <w:szCs w:val="18"/>
              </w:rPr>
              <w:t>】日（遇节</w:t>
            </w:r>
            <w:r>
              <w:rPr>
                <w:rFonts w:hint="eastAsia" w:cs="Times New Roman" w:asciiTheme="minorEastAsia" w:hAnsiTheme="minorEastAsia"/>
                <w:sz w:val="18"/>
                <w:szCs w:val="18"/>
              </w:rPr>
              <w:t>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auto"/>
                <w:sz w:val="18"/>
                <w:szCs w:val="18"/>
              </w:rPr>
              <w:t>【2025】年【</w:t>
            </w:r>
            <w:r>
              <w:rPr>
                <w:rFonts w:hint="eastAsia" w:cs="Times New Roman" w:asciiTheme="minorEastAsia" w:hAnsiTheme="minorEastAsia"/>
                <w:color w:val="auto"/>
                <w:sz w:val="18"/>
                <w:szCs w:val="18"/>
                <w:lang w:val="en-US" w:eastAsia="zh-CN"/>
              </w:rPr>
              <w:t>11</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int="eastAsia" w:hAnsi="宋体"/>
                <w:sz w:val="18"/>
                <w:szCs w:val="18"/>
              </w:rPr>
              <w:t>（适用【</w:t>
            </w:r>
            <w:r>
              <w:rPr>
                <w:rFonts w:hint="eastAsia" w:hAnsi="宋体"/>
                <w:sz w:val="18"/>
                <w:szCs w:val="18"/>
                <w:lang w:val="en-US" w:eastAsia="zh-CN"/>
              </w:rPr>
              <w:t>/</w:t>
            </w:r>
            <w:r>
              <w:rPr>
                <w:rFonts w:hint="eastAsia" w:hAnsi="宋体"/>
                <w:sz w:val="18"/>
                <w:szCs w:val="18"/>
              </w:rPr>
              <w:t>】类份额）</w:t>
            </w:r>
          </w:p>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【根据本产品各类资产的拟投资比例、资产信用利差、久期敞口以及流动性溢价，结合当前宏观环境和各类资产价格所处的位置，参考历史经验和回测结果，设定业绩基准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hint="eastAsia" w:ascii="宋体" w:hAnsi="宋体"/>
                <w:bCs/>
                <w:sz w:val="18"/>
                <w:szCs w:val="18"/>
              </w:rPr>
            </w:pPr>
            <w:r>
              <w:rPr>
                <w:rFonts w:hint="eastAsia" w:ascii="宋体" w:hAnsi="宋体"/>
                <w:bCs/>
                <w:sz w:val="18"/>
                <w:szCs w:val="18"/>
              </w:rPr>
              <w:t>A类份额：年化【2.</w:t>
            </w:r>
            <w:r>
              <w:rPr>
                <w:rFonts w:hint="eastAsia" w:ascii="宋体" w:hAnsi="宋体"/>
                <w:bCs/>
                <w:sz w:val="18"/>
                <w:szCs w:val="18"/>
                <w:lang w:val="en-US" w:eastAsia="zh-CN"/>
              </w:rPr>
              <w:t>37%</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B</w:t>
            </w:r>
            <w:r>
              <w:rPr>
                <w:rFonts w:hint="eastAsia" w:ascii="宋体" w:hAnsi="宋体"/>
                <w:bCs/>
                <w:sz w:val="18"/>
                <w:szCs w:val="18"/>
              </w:rPr>
              <w:t>类份额：年化【2.</w:t>
            </w:r>
            <w:r>
              <w:rPr>
                <w:rFonts w:hint="eastAsia" w:ascii="宋体" w:hAnsi="宋体"/>
                <w:bCs/>
                <w:sz w:val="18"/>
                <w:szCs w:val="18"/>
                <w:lang w:val="en-US" w:eastAsia="zh-CN"/>
              </w:rPr>
              <w:t>32</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C</w:t>
            </w:r>
            <w:r>
              <w:rPr>
                <w:rFonts w:hint="eastAsia" w:ascii="宋体" w:hAnsi="宋体"/>
                <w:bCs/>
                <w:sz w:val="18"/>
                <w:szCs w:val="18"/>
              </w:rPr>
              <w:t>类份额：年化【2.</w:t>
            </w:r>
            <w:r>
              <w:rPr>
                <w:rFonts w:hint="eastAsia" w:ascii="宋体" w:hAnsi="宋体"/>
                <w:bCs/>
                <w:sz w:val="18"/>
                <w:szCs w:val="18"/>
                <w:lang w:val="en-US" w:eastAsia="zh-CN"/>
              </w:rPr>
              <w:t>22</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宋体" w:hAnsi="宋体"/>
                <w:bCs/>
                <w:sz w:val="18"/>
                <w:szCs w:val="18"/>
                <w:lang w:val="en-US" w:eastAsia="zh-CN"/>
              </w:rPr>
              <w:t>D</w:t>
            </w:r>
            <w:r>
              <w:rPr>
                <w:rFonts w:hint="eastAsia" w:ascii="宋体" w:hAnsi="宋体"/>
                <w:bCs/>
                <w:sz w:val="18"/>
                <w:szCs w:val="18"/>
              </w:rPr>
              <w:t>类份额：年化【2.</w:t>
            </w:r>
            <w:r>
              <w:rPr>
                <w:rFonts w:hint="eastAsia" w:ascii="宋体" w:hAnsi="宋体"/>
                <w:bCs/>
                <w:sz w:val="18"/>
                <w:szCs w:val="18"/>
                <w:lang w:val="en-US" w:eastAsia="zh-CN"/>
              </w:rPr>
              <w:t>12</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hint="eastAsia"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jc w:val="left"/>
              <w:rPr>
                <w:rFonts w:hint="eastAsia" w:ascii="宋体" w:hAnsi="宋体"/>
                <w:bCs/>
                <w:sz w:val="18"/>
                <w:szCs w:val="18"/>
              </w:rPr>
            </w:pPr>
            <w:r>
              <w:rPr>
                <w:rFonts w:hint="eastAsia" w:ascii="宋体" w:hAnsi="宋体"/>
                <w:bCs/>
                <w:sz w:val="18"/>
                <w:szCs w:val="18"/>
              </w:rPr>
              <w:t>A类份额：年化【2.37%】。</w:t>
            </w:r>
          </w:p>
          <w:p>
            <w:pPr>
              <w:spacing w:line="360" w:lineRule="auto"/>
              <w:jc w:val="left"/>
              <w:rPr>
                <w:rFonts w:hint="eastAsia" w:ascii="宋体" w:hAnsi="宋体"/>
                <w:bCs/>
                <w:sz w:val="18"/>
                <w:szCs w:val="18"/>
              </w:rPr>
            </w:pPr>
            <w:r>
              <w:rPr>
                <w:rFonts w:hint="eastAsia" w:ascii="宋体" w:hAnsi="宋体"/>
                <w:bCs/>
                <w:sz w:val="18"/>
                <w:szCs w:val="18"/>
              </w:rPr>
              <w:t>B类份额：年化【2.32%】。</w:t>
            </w:r>
          </w:p>
          <w:p>
            <w:pPr>
              <w:spacing w:line="360" w:lineRule="auto"/>
              <w:jc w:val="left"/>
              <w:rPr>
                <w:rFonts w:hint="eastAsia" w:ascii="宋体" w:hAnsi="宋体"/>
                <w:bCs/>
                <w:sz w:val="18"/>
                <w:szCs w:val="18"/>
              </w:rPr>
            </w:pPr>
            <w:r>
              <w:rPr>
                <w:rFonts w:hint="eastAsia" w:ascii="宋体" w:hAnsi="宋体"/>
                <w:bCs/>
                <w:sz w:val="18"/>
                <w:szCs w:val="18"/>
              </w:rPr>
              <w:t>C类份额：年化【2.22%】。</w:t>
            </w:r>
          </w:p>
          <w:p>
            <w:pPr>
              <w:spacing w:line="360" w:lineRule="auto"/>
              <w:jc w:val="left"/>
              <w:rPr>
                <w:rFonts w:hint="eastAsia" w:ascii="宋体" w:hAnsi="宋体"/>
                <w:bCs/>
                <w:sz w:val="18"/>
                <w:szCs w:val="18"/>
              </w:rPr>
            </w:pPr>
            <w:r>
              <w:rPr>
                <w:rFonts w:hint="eastAsia" w:ascii="宋体" w:hAnsi="宋体"/>
                <w:bCs/>
                <w:sz w:val="18"/>
                <w:szCs w:val="18"/>
              </w:rPr>
              <w:t>D类份额：年化【2.12%】。</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A类份额：年化费率【0.0</w:t>
            </w:r>
            <w:r>
              <w:rPr>
                <w:rFonts w:hint="eastAsia" w:ascii="黑体" w:hAnsi="黑体" w:eastAsia="黑体"/>
                <w:bCs/>
                <w:sz w:val="18"/>
                <w:szCs w:val="18"/>
                <w:lang w:val="en-US" w:eastAsia="zh-CN"/>
              </w:rPr>
              <w:t>5</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B</w:t>
            </w:r>
            <w:r>
              <w:rPr>
                <w:rFonts w:hint="eastAsia" w:ascii="黑体" w:hAnsi="黑体" w:eastAsia="黑体"/>
                <w:bCs/>
                <w:sz w:val="18"/>
                <w:szCs w:val="18"/>
              </w:rPr>
              <w:t>类份额：年化费率【0.1</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C</w:t>
            </w:r>
            <w:r>
              <w:rPr>
                <w:rFonts w:hint="eastAsia" w:ascii="黑体" w:hAnsi="黑体" w:eastAsia="黑体"/>
                <w:bCs/>
                <w:sz w:val="18"/>
                <w:szCs w:val="18"/>
              </w:rPr>
              <w:t>类份额：年化费率【0.2</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lang w:val="en-US" w:eastAsia="zh-CN"/>
              </w:rPr>
              <w:t>D</w:t>
            </w:r>
            <w:r>
              <w:rPr>
                <w:rFonts w:hint="eastAsia" w:ascii="黑体" w:hAnsi="黑体" w:eastAsia="黑体"/>
                <w:bCs/>
                <w:sz w:val="18"/>
                <w:szCs w:val="18"/>
              </w:rPr>
              <w:t>类份额：年化费率【0.</w:t>
            </w:r>
            <w:r>
              <w:rPr>
                <w:rFonts w:hint="eastAsia" w:ascii="黑体" w:hAnsi="黑体" w:eastAsia="黑体"/>
                <w:bCs/>
                <w:sz w:val="18"/>
                <w:szCs w:val="18"/>
                <w:lang w:val="en-US" w:eastAsia="zh-CN"/>
              </w:rPr>
              <w:t>30</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29948"/>
      <w:bookmarkStart w:id="12" w:name="_Toc6714"/>
      <w:bookmarkStart w:id="13" w:name="_Toc90742688"/>
      <w:bookmarkStart w:id="14" w:name="_Toc27189"/>
      <w:bookmarkStart w:id="15" w:name="_Toc3266"/>
      <w:bookmarkStart w:id="16" w:name="_Toc79154668"/>
      <w:bookmarkStart w:id="17" w:name="_Toc16265"/>
      <w:bookmarkStart w:id="18" w:name="_Toc74065741"/>
      <w:bookmarkStart w:id="19" w:name="_Toc22074"/>
      <w:bookmarkStart w:id="20" w:name="_Toc29784"/>
      <w:bookmarkStart w:id="21" w:name="_Toc27226"/>
      <w:bookmarkStart w:id="22" w:name="_Toc15203"/>
      <w:bookmarkStart w:id="23" w:name="_Toc90742390"/>
      <w:bookmarkStart w:id="24" w:name="_Toc90742321"/>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（4）以套期保值为目的的国债期货、利率互换、信用风险缓释工具、债券借贷。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（5）优先股。</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投资于（1）-（5）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（8）其他风险不高于前述资产的资产。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（1）本产品投资于债权类资产的比例不低于产品总资产的80%。</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（2）国债期货、利率互换、信用风险缓释工具等衍生品占产品总资产比例低于20%。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（3）投资于权益类资产的比例不高于产品总资产的10%，权益类资产仅限于投资于优先股和结构化资产管理产品的优先级份额。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（4）符合监管要求的非标准化债权类资产低于产品净资产的50%。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ermEnd w:id="18"/>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18329"/>
      <w:bookmarkStart w:id="29" w:name="_Toc18797"/>
      <w:bookmarkStart w:id="30" w:name="_Toc79154669"/>
      <w:bookmarkStart w:id="31" w:name="_Toc74065742"/>
      <w:bookmarkStart w:id="32" w:name="_Toc4741"/>
      <w:bookmarkStart w:id="33" w:name="_Toc176189758"/>
      <w:bookmarkStart w:id="34" w:name="_Toc139991735"/>
      <w:bookmarkStart w:id="35" w:name="_Toc1823"/>
      <w:bookmarkStart w:id="36" w:name="_Toc14893"/>
      <w:bookmarkStart w:id="37" w:name="_Toc18526"/>
      <w:bookmarkStart w:id="38" w:name="_Toc26986"/>
      <w:bookmarkStart w:id="39" w:name="_Toc17912"/>
      <w:bookmarkStart w:id="40" w:name="_Toc21988"/>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0733"/>
      <w:bookmarkStart w:id="44" w:name="_Toc610"/>
      <w:bookmarkStart w:id="45" w:name="_Toc17244"/>
      <w:bookmarkStart w:id="46" w:name="_Toc123112234"/>
      <w:bookmarkStart w:id="47" w:name="_Toc79392606"/>
      <w:bookmarkStart w:id="48" w:name="_Toc48649707"/>
      <w:bookmarkStart w:id="49" w:name="_Toc123102453"/>
      <w:bookmarkStart w:id="50" w:name="_Toc176189759"/>
      <w:bookmarkStart w:id="51" w:name="_Toc74065743"/>
      <w:bookmarkStart w:id="52" w:name="_Toc79154670"/>
      <w:bookmarkStart w:id="53" w:name="_Toc139991736"/>
      <w:bookmarkStart w:id="54" w:name="_Toc1270"/>
      <w:bookmarkStart w:id="55" w:name="_Toc98560352"/>
      <w:bookmarkStart w:id="56" w:name="_Toc123051452"/>
      <w:bookmarkStart w:id="57" w:name="_Toc23261"/>
      <w:bookmarkStart w:id="58" w:name="_Toc141703886"/>
      <w:bookmarkStart w:id="59" w:name="_Toc1427"/>
      <w:bookmarkStart w:id="60" w:name="_Toc7920"/>
      <w:bookmarkStart w:id="61" w:name="_Toc4003"/>
      <w:bookmarkStart w:id="62" w:name="_Toc23822"/>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29251"/>
      <w:bookmarkStart w:id="67" w:name="_Toc31653"/>
      <w:bookmarkStart w:id="68" w:name="_Toc98560353"/>
      <w:bookmarkStart w:id="69" w:name="_Toc123112235"/>
      <w:bookmarkStart w:id="70" w:name="_Toc14835"/>
      <w:bookmarkStart w:id="71" w:name="_Toc15143"/>
      <w:bookmarkStart w:id="72" w:name="_Toc31235"/>
      <w:bookmarkStart w:id="73" w:name="_Toc26207"/>
      <w:bookmarkStart w:id="74" w:name="_Toc141703887"/>
      <w:bookmarkStart w:id="75" w:name="_Toc31644"/>
      <w:bookmarkStart w:id="76" w:name="_Toc123051453"/>
      <w:bookmarkStart w:id="77" w:name="_Toc139991737"/>
      <w:bookmarkStart w:id="78" w:name="_Toc3601"/>
      <w:bookmarkStart w:id="79" w:name="_Toc6405"/>
      <w:bookmarkStart w:id="80" w:name="_Toc12245"/>
      <w:bookmarkStart w:id="81" w:name="_Toc74065744"/>
      <w:bookmarkStart w:id="82" w:name="_Toc79154671"/>
      <w:bookmarkStart w:id="83" w:name="_Toc176189760"/>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15118234"/>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0650"/>
      <w:bookmarkStart w:id="92" w:name="_Toc123102455"/>
      <w:bookmarkStart w:id="93" w:name="_Toc141703888"/>
      <w:bookmarkStart w:id="94" w:name="_Toc9706"/>
      <w:bookmarkStart w:id="95" w:name="_Toc98560354"/>
      <w:bookmarkStart w:id="96" w:name="_Toc79392583"/>
      <w:bookmarkStart w:id="97" w:name="_Toc176189761"/>
      <w:bookmarkStart w:id="98" w:name="_Toc25783"/>
      <w:bookmarkStart w:id="99" w:name="_Toc7058"/>
      <w:bookmarkStart w:id="100" w:name="_Toc11030"/>
      <w:bookmarkStart w:id="101" w:name="_Toc18567"/>
      <w:bookmarkStart w:id="102" w:name="_Toc123051454"/>
      <w:bookmarkStart w:id="103" w:name="_Toc74065745"/>
      <w:bookmarkStart w:id="104" w:name="_Toc3321"/>
      <w:bookmarkStart w:id="105" w:name="_Toc3771"/>
      <w:bookmarkStart w:id="106" w:name="_Toc6447"/>
      <w:bookmarkStart w:id="107" w:name="_Toc79154672"/>
      <w:bookmarkStart w:id="108" w:name="_Toc123112236"/>
      <w:bookmarkStart w:id="109" w:name="_Toc139991738"/>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051455"/>
      <w:bookmarkStart w:id="114" w:name="_Toc98560355"/>
      <w:bookmarkStart w:id="115" w:name="_Toc725"/>
      <w:bookmarkStart w:id="116" w:name="_Toc139991739"/>
      <w:bookmarkStart w:id="117" w:name="_Toc31821"/>
      <w:bookmarkStart w:id="118" w:name="_Toc79154673"/>
      <w:bookmarkStart w:id="119" w:name="_Toc141703889"/>
      <w:bookmarkStart w:id="120" w:name="_Toc176189762"/>
      <w:bookmarkStart w:id="121" w:name="_Toc18206"/>
      <w:bookmarkStart w:id="122" w:name="_Toc3572"/>
      <w:bookmarkStart w:id="123" w:name="_Toc16164"/>
      <w:bookmarkStart w:id="124" w:name="_Toc123102456"/>
      <w:bookmarkStart w:id="125" w:name="_Toc10398"/>
      <w:bookmarkStart w:id="126" w:name="_Toc21735"/>
      <w:bookmarkStart w:id="127" w:name="_Toc123112237"/>
      <w:bookmarkStart w:id="128" w:name="_Toc74065746"/>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3329"/>
      <w:bookmarkStart w:id="135" w:name="_Toc74065747"/>
      <w:bookmarkStart w:id="136" w:name="_Toc123051456"/>
      <w:bookmarkStart w:id="137" w:name="_Toc141703890"/>
      <w:bookmarkStart w:id="138" w:name="_Toc123112238"/>
      <w:bookmarkStart w:id="139" w:name="_Toc32092"/>
      <w:bookmarkStart w:id="140" w:name="_Toc79392622"/>
      <w:bookmarkStart w:id="141" w:name="_Toc29408"/>
      <w:bookmarkStart w:id="142" w:name="_Toc98560356"/>
      <w:bookmarkStart w:id="143" w:name="_Toc17920"/>
      <w:bookmarkStart w:id="144" w:name="_Toc5170"/>
      <w:bookmarkStart w:id="145" w:name="_Toc739"/>
      <w:bookmarkStart w:id="146" w:name="_Toc32584"/>
      <w:bookmarkStart w:id="147" w:name="_Toc139991740"/>
      <w:bookmarkStart w:id="148" w:name="_Toc8791"/>
      <w:bookmarkStart w:id="149" w:name="_Toc17198"/>
      <w:bookmarkStart w:id="150" w:name="_Toc123102457"/>
      <w:bookmarkStart w:id="151" w:name="_Toc79154674"/>
      <w:bookmarkStart w:id="152" w:name="_Toc176189763"/>
      <w:bookmarkStart w:id="153" w:name="_Toc2123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13696D"/>
    <w:rsid w:val="0356786B"/>
    <w:rsid w:val="03B127FB"/>
    <w:rsid w:val="046E31C1"/>
    <w:rsid w:val="04D50C63"/>
    <w:rsid w:val="056C4F65"/>
    <w:rsid w:val="069B1798"/>
    <w:rsid w:val="06F4696E"/>
    <w:rsid w:val="07245E56"/>
    <w:rsid w:val="072779FF"/>
    <w:rsid w:val="09291D16"/>
    <w:rsid w:val="094304F8"/>
    <w:rsid w:val="0B2C02BE"/>
    <w:rsid w:val="0C023D8C"/>
    <w:rsid w:val="0C4340BB"/>
    <w:rsid w:val="0D7A5E66"/>
    <w:rsid w:val="0E94232E"/>
    <w:rsid w:val="0F1306D5"/>
    <w:rsid w:val="0F1B182E"/>
    <w:rsid w:val="0F7524FE"/>
    <w:rsid w:val="11295396"/>
    <w:rsid w:val="159578AA"/>
    <w:rsid w:val="163E2FB7"/>
    <w:rsid w:val="16D37992"/>
    <w:rsid w:val="17EB1986"/>
    <w:rsid w:val="196F76B3"/>
    <w:rsid w:val="1995508E"/>
    <w:rsid w:val="1A1405BC"/>
    <w:rsid w:val="1A48157B"/>
    <w:rsid w:val="1ABE2ED9"/>
    <w:rsid w:val="1BD70953"/>
    <w:rsid w:val="1BF87698"/>
    <w:rsid w:val="1C0A7DEA"/>
    <w:rsid w:val="1C1612B8"/>
    <w:rsid w:val="1C78144D"/>
    <w:rsid w:val="1E585AB7"/>
    <w:rsid w:val="1EB160C2"/>
    <w:rsid w:val="1F174784"/>
    <w:rsid w:val="1FF145B9"/>
    <w:rsid w:val="2193546F"/>
    <w:rsid w:val="22A22BAE"/>
    <w:rsid w:val="23083986"/>
    <w:rsid w:val="23AF29A3"/>
    <w:rsid w:val="242B5943"/>
    <w:rsid w:val="257428CD"/>
    <w:rsid w:val="259E00AD"/>
    <w:rsid w:val="25D94DAB"/>
    <w:rsid w:val="26123FD6"/>
    <w:rsid w:val="26AF599B"/>
    <w:rsid w:val="26F50BA9"/>
    <w:rsid w:val="28FE1A1C"/>
    <w:rsid w:val="29026D00"/>
    <w:rsid w:val="2A642791"/>
    <w:rsid w:val="2B0F0A06"/>
    <w:rsid w:val="2BBF0D83"/>
    <w:rsid w:val="2C4B7555"/>
    <w:rsid w:val="2EA644DF"/>
    <w:rsid w:val="2ED94F47"/>
    <w:rsid w:val="2FB532A0"/>
    <w:rsid w:val="307A4C39"/>
    <w:rsid w:val="319C4BEA"/>
    <w:rsid w:val="324676C3"/>
    <w:rsid w:val="32E50D3F"/>
    <w:rsid w:val="33DA2E89"/>
    <w:rsid w:val="34675E80"/>
    <w:rsid w:val="34C829B2"/>
    <w:rsid w:val="35381804"/>
    <w:rsid w:val="370426EF"/>
    <w:rsid w:val="370642C1"/>
    <w:rsid w:val="373F6109"/>
    <w:rsid w:val="375B40C2"/>
    <w:rsid w:val="37D24F96"/>
    <w:rsid w:val="386A3F56"/>
    <w:rsid w:val="396945EC"/>
    <w:rsid w:val="3A806899"/>
    <w:rsid w:val="3A810EF7"/>
    <w:rsid w:val="3B923CBD"/>
    <w:rsid w:val="3BDD43D5"/>
    <w:rsid w:val="3C3802E9"/>
    <w:rsid w:val="3C977763"/>
    <w:rsid w:val="3DED2CF5"/>
    <w:rsid w:val="3DF77591"/>
    <w:rsid w:val="3E0C1771"/>
    <w:rsid w:val="3E586AB8"/>
    <w:rsid w:val="3E5C1B1D"/>
    <w:rsid w:val="3EAE14E9"/>
    <w:rsid w:val="3EC7045E"/>
    <w:rsid w:val="3EDB68D7"/>
    <w:rsid w:val="3F4B4596"/>
    <w:rsid w:val="3FD261A6"/>
    <w:rsid w:val="40C011C7"/>
    <w:rsid w:val="4140692B"/>
    <w:rsid w:val="42753818"/>
    <w:rsid w:val="429916AD"/>
    <w:rsid w:val="42A432C7"/>
    <w:rsid w:val="42EB2F9C"/>
    <w:rsid w:val="45226963"/>
    <w:rsid w:val="45910151"/>
    <w:rsid w:val="469F5C49"/>
    <w:rsid w:val="487C218A"/>
    <w:rsid w:val="4A102A7D"/>
    <w:rsid w:val="4CAD50FA"/>
    <w:rsid w:val="4CE82BC8"/>
    <w:rsid w:val="4D39606F"/>
    <w:rsid w:val="4E051676"/>
    <w:rsid w:val="4F8E3D4D"/>
    <w:rsid w:val="4FA308F4"/>
    <w:rsid w:val="4FAC5385"/>
    <w:rsid w:val="51714C72"/>
    <w:rsid w:val="5256160F"/>
    <w:rsid w:val="53A92289"/>
    <w:rsid w:val="53AE2368"/>
    <w:rsid w:val="53B3493A"/>
    <w:rsid w:val="5537323C"/>
    <w:rsid w:val="55855837"/>
    <w:rsid w:val="56503211"/>
    <w:rsid w:val="56CD368A"/>
    <w:rsid w:val="56CE728A"/>
    <w:rsid w:val="57BD5DAE"/>
    <w:rsid w:val="584C6D4F"/>
    <w:rsid w:val="58C7013F"/>
    <w:rsid w:val="593E2486"/>
    <w:rsid w:val="598B567E"/>
    <w:rsid w:val="5A7B263E"/>
    <w:rsid w:val="5B88506C"/>
    <w:rsid w:val="5BA577EB"/>
    <w:rsid w:val="5BE34EF7"/>
    <w:rsid w:val="5C624734"/>
    <w:rsid w:val="5CE52FD5"/>
    <w:rsid w:val="5D38517C"/>
    <w:rsid w:val="5EFA3925"/>
    <w:rsid w:val="5FC30BF0"/>
    <w:rsid w:val="5FE91ABC"/>
    <w:rsid w:val="60D42826"/>
    <w:rsid w:val="60F77A13"/>
    <w:rsid w:val="622F43A7"/>
    <w:rsid w:val="626D201B"/>
    <w:rsid w:val="628E734C"/>
    <w:rsid w:val="63C208C3"/>
    <w:rsid w:val="6580603B"/>
    <w:rsid w:val="65940100"/>
    <w:rsid w:val="667D24F2"/>
    <w:rsid w:val="66E94F15"/>
    <w:rsid w:val="66FE469F"/>
    <w:rsid w:val="67CC074D"/>
    <w:rsid w:val="68B96EA7"/>
    <w:rsid w:val="68C7223A"/>
    <w:rsid w:val="68EF6886"/>
    <w:rsid w:val="694A7300"/>
    <w:rsid w:val="699457CF"/>
    <w:rsid w:val="69A11E78"/>
    <w:rsid w:val="6C066D47"/>
    <w:rsid w:val="6CBC2C46"/>
    <w:rsid w:val="6D7F71AA"/>
    <w:rsid w:val="6E076984"/>
    <w:rsid w:val="6EAC7F28"/>
    <w:rsid w:val="6F987DA5"/>
    <w:rsid w:val="6FDD1093"/>
    <w:rsid w:val="709C0126"/>
    <w:rsid w:val="712267BC"/>
    <w:rsid w:val="719B4A06"/>
    <w:rsid w:val="73D974B7"/>
    <w:rsid w:val="73EB7F47"/>
    <w:rsid w:val="75256860"/>
    <w:rsid w:val="76022652"/>
    <w:rsid w:val="768501BE"/>
    <w:rsid w:val="76C8601E"/>
    <w:rsid w:val="7A1A1AC2"/>
    <w:rsid w:val="7CC80BA0"/>
    <w:rsid w:val="7D4731DB"/>
    <w:rsid w:val="7D80556D"/>
    <w:rsid w:val="7ED86E63"/>
    <w:rsid w:val="7F715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9B37214-9E52-4241-8DD2-9E9CD9442006}">
  <ds:schemaRefs/>
</ds:datastoreItem>
</file>

<file path=customXml/itemProps11.xml><?xml version="1.0" encoding="utf-8"?>
<ds:datastoreItem xmlns:ds="http://schemas.openxmlformats.org/officeDocument/2006/customXml" ds:itemID="{1EEDD527-97BA-47F6-B37E-95B51416FA3B}">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D902962D-C8CC-43BF-804A-CD60AE6D7475}">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BEEE0313-55EB-45FA-BBBD-C0232D367255}">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2108FF18-8EC8-4170-A536-1AA8E39CC797}">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15</TotalTime>
  <ScaleCrop>false</ScaleCrop>
  <LinksUpToDate>false</LinksUpToDate>
  <CharactersWithSpaces>23786</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2025-05-06T05:53:46Z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