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270F5">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【稳利恒盈封闭式固收类】</w:t>
      </w:r>
      <w:permEnd w:id="0"/>
      <w:r>
        <w:rPr>
          <w:rFonts w:ascii="黑体" w:hAnsi="黑体" w:eastAsia="黑体"/>
          <w:b/>
          <w:bCs/>
          <w:sz w:val="28"/>
          <w:szCs w:val="28"/>
        </w:rPr>
        <w:t>理财产品</w:t>
      </w:r>
    </w:p>
    <w:p w14:paraId="197966DC">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4A9FB0C4">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25A2CBC0">
      <w:pPr>
        <w:rPr>
          <w:rFonts w:ascii="宋体" w:hAnsi="宋体" w:cs="仿宋_GB2312"/>
          <w:b/>
          <w:kern w:val="0"/>
          <w:sz w:val="18"/>
          <w:szCs w:val="18"/>
        </w:rPr>
      </w:pPr>
      <w:r>
        <w:rPr>
          <w:rFonts w:hint="eastAsia" w:ascii="宋体" w:hAnsi="宋体" w:cs="仿宋_GB2312"/>
          <w:b/>
          <w:kern w:val="0"/>
          <w:sz w:val="18"/>
          <w:szCs w:val="18"/>
        </w:rPr>
        <w:t>尊敬的投资者：</w:t>
      </w:r>
    </w:p>
    <w:p w14:paraId="2DCBE967">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3ABC2017">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A2CAA0E">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6F498CB9">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0018095B">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【兴银理财稳利恒盈封闭式2025年69期固收类理财产品</w:t>
      </w:r>
      <w:r>
        <w:rPr>
          <w:rFonts w:hint="eastAsia" w:asciiTheme="majorEastAsia" w:hAnsiTheme="majorEastAsia" w:eastAsiaTheme="majorEastAsia"/>
          <w:bCs/>
          <w:kern w:val="0"/>
          <w:sz w:val="18"/>
          <w:szCs w:val="18"/>
        </w:rPr>
        <w:t>】</w:t>
      </w:r>
      <w:permEnd w:id="1"/>
    </w:p>
    <w:p w14:paraId="24BB7E4E">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【稳利恒盈封闭式2025年69期A(纯盈款)】（适用【</w:t>
      </w:r>
      <w:r>
        <w:rPr>
          <w:rFonts w:hint="eastAsia" w:ascii="宋体" w:hAnsi="宋体" w:cs="仿宋_GB2312"/>
          <w:kern w:val="0"/>
          <w:sz w:val="18"/>
          <w:szCs w:val="18"/>
          <w:lang w:val="en-US" w:eastAsia="zh-CN"/>
        </w:rPr>
        <w:t>A</w:t>
      </w:r>
      <w:r>
        <w:rPr>
          <w:rFonts w:hint="eastAsia" w:ascii="宋体" w:hAnsi="宋体" w:cs="仿宋_GB2312"/>
          <w:kern w:val="0"/>
          <w:sz w:val="18"/>
          <w:szCs w:val="18"/>
        </w:rPr>
        <w:t>】类份额）</w:t>
      </w:r>
    </w:p>
    <w:p w14:paraId="4E6C83EC">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【稳利恒盈封闭式2025年69期B(纯盈颐养款)】（适用【</w:t>
      </w:r>
      <w:r>
        <w:rPr>
          <w:rFonts w:hint="eastAsia" w:ascii="宋体" w:hAnsi="宋体" w:cs="仿宋_GB2312"/>
          <w:kern w:val="0"/>
          <w:sz w:val="18"/>
          <w:szCs w:val="18"/>
          <w:lang w:val="en-US" w:eastAsia="zh-CN"/>
        </w:rPr>
        <w:t>B</w:t>
      </w:r>
      <w:r>
        <w:rPr>
          <w:rFonts w:hint="eastAsia" w:ascii="宋体" w:hAnsi="宋体" w:cs="仿宋_GB2312"/>
          <w:kern w:val="0"/>
          <w:sz w:val="18"/>
          <w:szCs w:val="18"/>
        </w:rPr>
        <w:t>】类份额）</w:t>
      </w:r>
    </w:p>
    <w:p w14:paraId="22F26B67">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【稳利恒盈封闭式2025年69期C(纯盈颐养款)】（适用【</w:t>
      </w:r>
      <w:r>
        <w:rPr>
          <w:rFonts w:hint="eastAsia" w:ascii="宋体" w:hAnsi="宋体" w:cs="仿宋_GB2312"/>
          <w:kern w:val="0"/>
          <w:sz w:val="18"/>
          <w:szCs w:val="18"/>
          <w:lang w:val="en-US" w:eastAsia="zh-CN"/>
        </w:rPr>
        <w:t>C</w:t>
      </w:r>
      <w:r>
        <w:rPr>
          <w:rFonts w:hint="eastAsia" w:ascii="宋体" w:hAnsi="宋体" w:cs="仿宋_GB2312"/>
          <w:kern w:val="0"/>
          <w:sz w:val="18"/>
          <w:szCs w:val="18"/>
        </w:rPr>
        <w:t>】类份额）</w:t>
      </w:r>
    </w:p>
    <w:p w14:paraId="122F7802">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【稳利恒盈封闭式2025年69期D(纯盈颐养款)】（适用【</w:t>
      </w:r>
      <w:r>
        <w:rPr>
          <w:rFonts w:hint="eastAsia" w:ascii="宋体" w:hAnsi="宋体" w:cs="仿宋_GB2312"/>
          <w:kern w:val="0"/>
          <w:sz w:val="18"/>
          <w:szCs w:val="18"/>
          <w:lang w:val="en-US" w:eastAsia="zh-CN"/>
        </w:rPr>
        <w:t>D</w:t>
      </w:r>
      <w:r>
        <w:rPr>
          <w:rFonts w:hint="eastAsia" w:ascii="宋体" w:hAnsi="宋体" w:cs="仿宋_GB2312"/>
          <w:kern w:val="0"/>
          <w:sz w:val="18"/>
          <w:szCs w:val="18"/>
        </w:rPr>
        <w:t>】类份额）</w:t>
      </w:r>
    </w:p>
    <w:p w14:paraId="60770FC5">
      <w:pPr>
        <w:ind w:firstLine="1346" w:firstLineChars="748"/>
        <w:rPr>
          <w:rFonts w:hint="eastAsia" w:ascii="宋体" w:hAnsi="宋体" w:cs="仿宋_GB2312"/>
          <w:kern w:val="0"/>
          <w:sz w:val="18"/>
          <w:szCs w:val="18"/>
        </w:rPr>
      </w:pPr>
      <w:r>
        <w:rPr>
          <w:rFonts w:hint="eastAsia" w:ascii="宋体" w:hAnsi="宋体" w:cs="仿宋_GB2312"/>
          <w:kern w:val="0"/>
          <w:sz w:val="18"/>
          <w:szCs w:val="18"/>
        </w:rPr>
        <w:t>【稳利恒盈封闭式2025年69期E(纯盈颐养款)】（适用【</w:t>
      </w:r>
      <w:r>
        <w:rPr>
          <w:rFonts w:hint="eastAsia" w:ascii="宋体" w:hAnsi="宋体" w:cs="仿宋_GB2312"/>
          <w:kern w:val="0"/>
          <w:sz w:val="18"/>
          <w:szCs w:val="18"/>
          <w:lang w:val="en-US" w:eastAsia="zh-CN"/>
        </w:rPr>
        <w:t>E</w:t>
      </w:r>
      <w:r>
        <w:rPr>
          <w:rFonts w:hint="eastAsia" w:ascii="宋体" w:hAnsi="宋体" w:cs="仿宋_GB2312"/>
          <w:kern w:val="0"/>
          <w:sz w:val="18"/>
          <w:szCs w:val="18"/>
        </w:rPr>
        <w:t>】类份额）</w:t>
      </w:r>
    </w:p>
    <w:p w14:paraId="7DCDB526">
      <w:pPr>
        <w:ind w:firstLine="448" w:firstLineChars="249"/>
        <w:rPr>
          <w:rFonts w:ascii="宋体" w:hAnsi="宋体" w:cs="仿宋_GB2312"/>
          <w:kern w:val="0"/>
          <w:sz w:val="18"/>
          <w:szCs w:val="18"/>
        </w:rPr>
      </w:pPr>
      <w:r>
        <w:rPr>
          <w:rFonts w:hint="eastAsia" w:ascii="宋体" w:hAnsi="宋体" w:cs="仿宋_GB2312"/>
          <w:kern w:val="0"/>
          <w:sz w:val="18"/>
          <w:szCs w:val="18"/>
          <w:lang w:val="en-US" w:eastAsia="zh-CN"/>
        </w:rPr>
        <w:t xml:space="preserve">          【稳利恒盈封闭式2025年69期F(纯盈颐养款)</w:t>
      </w:r>
      <w:r>
        <w:rPr>
          <w:rFonts w:hint="eastAsia" w:ascii="宋体" w:hAnsi="宋体" w:cs="仿宋_GB2312"/>
          <w:kern w:val="0"/>
          <w:sz w:val="18"/>
          <w:szCs w:val="18"/>
        </w:rPr>
        <w:t>】（适用【</w:t>
      </w:r>
      <w:r>
        <w:rPr>
          <w:rFonts w:hint="eastAsia" w:ascii="宋体" w:hAnsi="宋体" w:cs="仿宋_GB2312"/>
          <w:kern w:val="0"/>
          <w:sz w:val="18"/>
          <w:szCs w:val="18"/>
          <w:lang w:val="en-US" w:eastAsia="zh-CN"/>
        </w:rPr>
        <w:t>F</w:t>
      </w:r>
      <w:r>
        <w:rPr>
          <w:rFonts w:hint="eastAsia" w:ascii="宋体" w:hAnsi="宋体" w:cs="仿宋_GB2312"/>
          <w:kern w:val="0"/>
          <w:sz w:val="18"/>
          <w:szCs w:val="18"/>
        </w:rPr>
        <w:t>】类份额）</w:t>
      </w:r>
      <w:permEnd w:id="2"/>
    </w:p>
    <w:p w14:paraId="7A63DBD1">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Z7002025000656</w:t>
      </w:r>
      <w:r>
        <w:rPr>
          <w:rFonts w:ascii="宋体" w:hAnsi="宋体" w:cs="仿宋_GB2312"/>
          <w:kern w:val="0"/>
          <w:sz w:val="18"/>
          <w:szCs w:val="18"/>
        </w:rPr>
        <w:t>】</w:t>
      </w:r>
      <w:permEnd w:id="3"/>
    </w:p>
    <w:p w14:paraId="6EAC0A4E">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28773DD7">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6C03D8CF">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0F288C0A">
      <w:pPr>
        <w:ind w:firstLine="448" w:firstLineChars="249"/>
        <w:rPr>
          <w:rFonts w:ascii="宋体" w:hAnsi="宋体" w:cs="仿宋_GB2312"/>
          <w:kern w:val="0"/>
          <w:sz w:val="18"/>
          <w:szCs w:val="18"/>
        </w:rPr>
      </w:pPr>
      <w:permStart w:id="5"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181天</w:t>
      </w:r>
      <w:r>
        <w:rPr>
          <w:rFonts w:hint="eastAsia" w:ascii="宋体" w:hAnsi="宋体" w:cs="仿宋_GB2312"/>
          <w:kern w:val="0"/>
          <w:sz w:val="18"/>
          <w:szCs w:val="18"/>
        </w:rPr>
        <w:t>】</w:t>
      </w:r>
      <w:permEnd w:id="5"/>
      <w:r>
        <w:rPr>
          <w:rFonts w:ascii="宋体" w:hAnsi="宋体" w:cs="仿宋_GB2312"/>
          <w:kern w:val="0"/>
          <w:sz w:val="18"/>
          <w:szCs w:val="18"/>
        </w:rPr>
        <w:t>。</w:t>
      </w:r>
    </w:p>
    <w:p w14:paraId="0AD40B08">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26D50B06">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38B2A953">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289C0179">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618E87F5">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R2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11F1AB81">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2C089B07">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343C52A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lang w:eastAsia="zh-CN"/>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14:paraId="696704C0">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sz w:val="18"/>
          <w:szCs w:val="18"/>
          <w:lang w:val="en-US" w:eastAsia="zh-CN"/>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5C5F9E29">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64834474">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3002B6A3">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47FFD3F9">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07D97E27">
      <w:pPr>
        <w:spacing w:line="360" w:lineRule="auto"/>
        <w:ind w:firstLine="360" w:firstLineChars="20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2918FD43">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14:paraId="3ECF97E6">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14:paraId="74D6F091">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DD82ABB">
      <w:pPr>
        <w:spacing w:line="360" w:lineRule="auto"/>
        <w:ind w:firstLine="360" w:firstLineChars="200"/>
        <w:rPr>
          <w:rFonts w:ascii="宋体" w:hAnsi="宋体"/>
          <w:bCs/>
          <w:sz w:val="18"/>
          <w:szCs w:val="18"/>
        </w:rPr>
      </w:pPr>
      <w:r>
        <w:rPr>
          <w:rFonts w:hint="eastAsia" w:ascii="宋体" w:hAnsi="宋体"/>
          <w:bCs/>
          <w:sz w:val="18"/>
          <w:szCs w:val="18"/>
        </w:rPr>
        <w:t>2）投资非标准化债权类资产的风险</w:t>
      </w:r>
    </w:p>
    <w:p w14:paraId="2ED05F23">
      <w:pPr>
        <w:spacing w:line="360" w:lineRule="auto"/>
        <w:ind w:firstLine="360" w:firstLineChars="200"/>
        <w:rPr>
          <w:rFonts w:ascii="宋体" w:hAnsi="宋体"/>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1CF59EE9">
      <w:pPr>
        <w:ind w:firstLine="360" w:firstLineChars="200"/>
        <w:rPr>
          <w:rFonts w:ascii="宋体" w:hAnsi="宋体"/>
          <w:sz w:val="18"/>
          <w:szCs w:val="18"/>
        </w:rPr>
      </w:pPr>
      <w:r>
        <w:rPr>
          <w:rFonts w:hint="eastAsia" w:ascii="宋体" w:hAnsi="宋体"/>
          <w:sz w:val="18"/>
          <w:szCs w:val="18"/>
        </w:rPr>
        <w:t>】</w:t>
      </w:r>
    </w:p>
    <w:permEnd w:id="10"/>
    <w:p w14:paraId="2ED36674">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4CF47F0F">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2576708C">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46EFA741">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4131CFA">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3BA0A6A1">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6FE199B">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5FFBC15C">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F57BCC4">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7CC2C83B">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08BED331">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02A97BBE">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1D55731A">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7B3E890C">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26F05704">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39DE7EBF">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FD324DA">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75CA67B6">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72E3F93">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03C6999B">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07304146">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0622D69D">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15DD35C9">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309949E8">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405B24EB">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3B6A4024">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388AC9A0">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5C9AFF6B">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30435441">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32A36E1F">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23BD829F">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75179E09">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4C167CAE">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E10B211">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48C24AA5">
      <w:pPr>
        <w:pStyle w:val="13"/>
        <w:ind w:firstLineChars="0"/>
        <w:rPr>
          <w:rFonts w:ascii="宋体" w:hAnsi="宋体"/>
          <w:b/>
          <w:bCs/>
          <w:sz w:val="18"/>
          <w:szCs w:val="18"/>
        </w:rPr>
      </w:pPr>
      <w:r>
        <w:rPr>
          <w:rFonts w:hint="eastAsia" w:ascii="宋体" w:hAnsi="宋体"/>
          <w:b/>
          <w:bCs/>
          <w:sz w:val="18"/>
          <w:szCs w:val="18"/>
        </w:rPr>
        <w:t>17.关联交易风险</w:t>
      </w:r>
    </w:p>
    <w:p w14:paraId="00BB6B97">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29D7C4E2">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73514A8F">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5A290F0B">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497C0F50">
      <w:pPr>
        <w:ind w:left="540"/>
        <w:jc w:val="right"/>
        <w:rPr>
          <w:rFonts w:ascii="宋体" w:hAnsi="宋体"/>
          <w:sz w:val="18"/>
          <w:szCs w:val="18"/>
        </w:rPr>
      </w:pPr>
    </w:p>
    <w:p w14:paraId="5B5A2061">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1781CAE8">
      <w:pPr>
        <w:widowControl/>
        <w:jc w:val="right"/>
        <w:rPr>
          <w:rFonts w:hint="eastAsia" w:ascii="宋体" w:hAnsi="宋体"/>
          <w:sz w:val="18"/>
          <w:szCs w:val="18"/>
          <w:lang w:eastAsia="zh-CN"/>
        </w:rPr>
      </w:pPr>
      <w:permStart w:id="11" w:edGrp="everyone"/>
      <w:r>
        <w:rPr>
          <w:rFonts w:hint="eastAsia" w:ascii="宋体" w:hAnsi="宋体"/>
          <w:sz w:val="18"/>
          <w:szCs w:val="18"/>
          <w:lang w:eastAsia="zh-CN"/>
        </w:rPr>
        <w:t>销售机构（【浙江新昌农村商业银行股份有限公司</w:t>
      </w:r>
      <w:bookmarkStart w:id="0" w:name="_GoBack"/>
      <w:bookmarkEnd w:id="0"/>
      <w:r>
        <w:rPr>
          <w:rFonts w:hint="eastAsia" w:ascii="宋体" w:hAnsi="宋体"/>
          <w:sz w:val="18"/>
          <w:szCs w:val="18"/>
          <w:lang w:eastAsia="zh-CN"/>
        </w:rPr>
        <w:t>】）</w:t>
      </w:r>
    </w:p>
    <w:permEnd w:id="11"/>
    <w:p w14:paraId="4A6DE353">
      <w:pPr>
        <w:widowControl/>
        <w:jc w:val="left"/>
        <w:rPr>
          <w:rFonts w:ascii="宋体" w:hAnsi="宋体"/>
          <w:sz w:val="18"/>
          <w:szCs w:val="18"/>
        </w:rPr>
      </w:pPr>
      <w:r>
        <w:rPr>
          <w:rFonts w:ascii="宋体" w:hAnsi="宋体"/>
          <w:sz w:val="18"/>
          <w:szCs w:val="18"/>
        </w:rPr>
        <w:br w:type="page"/>
      </w:r>
    </w:p>
    <w:p w14:paraId="060B401F">
      <w:pPr>
        <w:ind w:left="540"/>
        <w:jc w:val="right"/>
        <w:rPr>
          <w:rFonts w:ascii="宋体" w:hAnsi="宋体"/>
          <w:sz w:val="18"/>
          <w:szCs w:val="18"/>
        </w:rPr>
      </w:pPr>
    </w:p>
    <w:p w14:paraId="49E97632">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08FAD635">
        <w:trPr>
          <w:trHeight w:val="627" w:hRule="atLeast"/>
        </w:trPr>
        <w:tc>
          <w:tcPr>
            <w:tcW w:w="8371" w:type="dxa"/>
          </w:tcPr>
          <w:p w14:paraId="062B1364">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EE86DAF">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2D6A7D4F">
        <w:trPr>
          <w:trHeight w:val="6283" w:hRule="atLeast"/>
        </w:trPr>
        <w:tc>
          <w:tcPr>
            <w:tcW w:w="8371" w:type="dxa"/>
          </w:tcPr>
          <w:p w14:paraId="7244F871">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3632CC4">
            <w:pPr>
              <w:spacing w:line="280" w:lineRule="atLeast"/>
              <w:jc w:val="left"/>
              <w:rPr>
                <w:rFonts w:ascii="宋体" w:hAnsi="宋体" w:cs="Arial"/>
                <w:sz w:val="18"/>
                <w:szCs w:val="18"/>
              </w:rPr>
            </w:pPr>
          </w:p>
          <w:p w14:paraId="7E939A4B">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BCB6D20">
            <w:pPr>
              <w:spacing w:line="280" w:lineRule="atLeast"/>
              <w:jc w:val="left"/>
              <w:rPr>
                <w:rFonts w:ascii="宋体" w:hAnsi="宋体" w:cs="Arial"/>
                <w:kern w:val="0"/>
                <w:sz w:val="18"/>
                <w:szCs w:val="18"/>
              </w:rPr>
            </w:pPr>
          </w:p>
          <w:p w14:paraId="18386E7B">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7BB80DED">
            <w:pPr>
              <w:spacing w:line="280" w:lineRule="atLeast"/>
              <w:jc w:val="left"/>
              <w:rPr>
                <w:rFonts w:ascii="宋体" w:hAnsi="宋体" w:cs="Arial"/>
                <w:kern w:val="0"/>
                <w:sz w:val="18"/>
                <w:szCs w:val="18"/>
              </w:rPr>
            </w:pPr>
          </w:p>
          <w:p w14:paraId="4FB8F630">
            <w:pPr>
              <w:spacing w:line="280" w:lineRule="atLeast"/>
              <w:jc w:val="left"/>
              <w:rPr>
                <w:kern w:val="0"/>
                <w:sz w:val="18"/>
                <w:szCs w:val="18"/>
                <w:u w:val="single"/>
              </w:rPr>
            </w:pPr>
            <w:r>
              <w:rPr>
                <w:rFonts w:hint="eastAsia" w:ascii="宋体" w:hAnsi="宋体" w:cs="Arial"/>
                <w:kern w:val="0"/>
                <w:sz w:val="18"/>
                <w:szCs w:val="18"/>
              </w:rPr>
              <w:t>请投资者在此抄录：</w:t>
            </w:r>
          </w:p>
          <w:p w14:paraId="127F2FAB">
            <w:pPr>
              <w:spacing w:line="280" w:lineRule="atLeast"/>
              <w:jc w:val="left"/>
              <w:rPr>
                <w:kern w:val="0"/>
                <w:sz w:val="18"/>
                <w:szCs w:val="18"/>
                <w:u w:val="single"/>
              </w:rPr>
            </w:pPr>
          </w:p>
          <w:p w14:paraId="33555E2A">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0D86380D">
            <w:pPr>
              <w:spacing w:line="280" w:lineRule="atLeast"/>
              <w:ind w:left="4200" w:firstLine="1080" w:firstLineChars="600"/>
              <w:jc w:val="left"/>
              <w:rPr>
                <w:rFonts w:ascii="宋体" w:hAnsi="宋体" w:cs="Arial"/>
                <w:kern w:val="0"/>
                <w:sz w:val="18"/>
                <w:szCs w:val="18"/>
              </w:rPr>
            </w:pPr>
          </w:p>
          <w:p w14:paraId="178925CE">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089AF0F0">
            <w:pPr>
              <w:spacing w:line="280" w:lineRule="atLeast"/>
              <w:ind w:left="4200" w:firstLine="1080" w:firstLineChars="600"/>
              <w:jc w:val="left"/>
              <w:rPr>
                <w:rFonts w:ascii="宋体" w:hAnsi="宋体" w:cs="Arial"/>
                <w:kern w:val="0"/>
                <w:sz w:val="18"/>
                <w:szCs w:val="18"/>
              </w:rPr>
            </w:pPr>
          </w:p>
          <w:p w14:paraId="5877F15C">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7F71069A">
            <w:pPr>
              <w:spacing w:line="280" w:lineRule="atLeast"/>
              <w:jc w:val="right"/>
              <w:rPr>
                <w:rFonts w:ascii="宋体" w:hAnsi="宋体"/>
                <w:kern w:val="0"/>
                <w:sz w:val="18"/>
                <w:szCs w:val="18"/>
              </w:rPr>
            </w:pPr>
          </w:p>
        </w:tc>
      </w:tr>
    </w:tbl>
    <w:p w14:paraId="1F9C1612">
      <w:pPr>
        <w:autoSpaceDE w:val="0"/>
        <w:autoSpaceDN w:val="0"/>
        <w:adjustRightInd w:val="0"/>
        <w:spacing w:line="360" w:lineRule="auto"/>
        <w:ind w:firstLine="420"/>
        <w:jc w:val="left"/>
        <w:rPr>
          <w:rFonts w:ascii="宋体" w:hAnsi="宋体"/>
          <w:sz w:val="24"/>
        </w:rPr>
      </w:pPr>
    </w:p>
    <w:p w14:paraId="1F755707">
      <w:pPr>
        <w:rPr>
          <w:rFonts w:ascii="宋体" w:hAnsi="宋体" w:cs="Arial"/>
          <w:sz w:val="24"/>
        </w:rPr>
      </w:pPr>
    </w:p>
    <w:p w14:paraId="4682B404">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77EFE52D">
        <w:trPr>
          <w:trHeight w:val="823" w:hRule="atLeast"/>
        </w:trPr>
        <w:tc>
          <w:tcPr>
            <w:tcW w:w="8413" w:type="dxa"/>
          </w:tcPr>
          <w:p w14:paraId="614BF26F">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41052FDC">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60166015">
        <w:trPr>
          <w:trHeight w:val="7355" w:hRule="atLeast"/>
        </w:trPr>
        <w:tc>
          <w:tcPr>
            <w:tcW w:w="8413" w:type="dxa"/>
          </w:tcPr>
          <w:p w14:paraId="0FA9D735">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10D4B49">
            <w:pPr>
              <w:spacing w:line="280" w:lineRule="atLeast"/>
              <w:ind w:firstLine="360" w:firstLineChars="200"/>
              <w:jc w:val="left"/>
              <w:rPr>
                <w:rFonts w:ascii="宋体" w:hAnsi="宋体" w:cs="Arial"/>
                <w:kern w:val="0"/>
                <w:sz w:val="18"/>
                <w:szCs w:val="18"/>
              </w:rPr>
            </w:pPr>
          </w:p>
          <w:p w14:paraId="5AF19CA2">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062C909">
            <w:pPr>
              <w:spacing w:line="280" w:lineRule="atLeast"/>
              <w:ind w:firstLine="360" w:firstLineChars="200"/>
              <w:jc w:val="left"/>
              <w:rPr>
                <w:rFonts w:ascii="宋体" w:hAnsi="宋体" w:cs="Arial"/>
                <w:kern w:val="0"/>
                <w:sz w:val="18"/>
                <w:szCs w:val="18"/>
              </w:rPr>
            </w:pPr>
          </w:p>
          <w:p w14:paraId="6A91494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4E1F1FAA">
            <w:pPr>
              <w:spacing w:line="280" w:lineRule="atLeast"/>
              <w:jc w:val="left"/>
              <w:rPr>
                <w:rFonts w:ascii="宋体" w:hAnsi="宋体" w:cs="Arial"/>
                <w:kern w:val="0"/>
                <w:sz w:val="18"/>
                <w:szCs w:val="18"/>
              </w:rPr>
            </w:pPr>
          </w:p>
          <w:p w14:paraId="54E77D63">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7002DBBF">
            <w:pPr>
              <w:spacing w:line="280" w:lineRule="atLeast"/>
              <w:jc w:val="left"/>
              <w:rPr>
                <w:rFonts w:ascii="宋体" w:hAnsi="宋体" w:cs="Arial"/>
                <w:kern w:val="0"/>
                <w:sz w:val="18"/>
                <w:szCs w:val="18"/>
              </w:rPr>
            </w:pPr>
          </w:p>
          <w:p w14:paraId="4F10143B">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49B81DD6">
            <w:pPr>
              <w:spacing w:line="280" w:lineRule="atLeast"/>
              <w:jc w:val="left"/>
              <w:rPr>
                <w:rFonts w:ascii="宋体" w:hAnsi="宋体" w:cs="Arial"/>
                <w:kern w:val="0"/>
                <w:sz w:val="18"/>
                <w:szCs w:val="18"/>
              </w:rPr>
            </w:pPr>
          </w:p>
          <w:p w14:paraId="117C559A">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22799D2D">
            <w:pPr>
              <w:spacing w:line="280" w:lineRule="atLeast"/>
              <w:ind w:left="4200" w:firstLine="1080" w:firstLineChars="600"/>
              <w:jc w:val="left"/>
              <w:rPr>
                <w:rFonts w:ascii="宋体" w:hAnsi="宋体" w:cs="Arial"/>
                <w:kern w:val="0"/>
                <w:sz w:val="18"/>
                <w:szCs w:val="18"/>
              </w:rPr>
            </w:pPr>
          </w:p>
          <w:p w14:paraId="7D66819D">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D83D262">
            <w:pPr>
              <w:spacing w:line="280" w:lineRule="atLeast"/>
              <w:rPr>
                <w:kern w:val="0"/>
                <w:sz w:val="20"/>
                <w:szCs w:val="20"/>
              </w:rPr>
            </w:pPr>
          </w:p>
          <w:p w14:paraId="17F2B5D4">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285DEC4">
      <w:pPr>
        <w:widowControl/>
        <w:jc w:val="left"/>
        <w:rPr>
          <w:rFonts w:hint="eastAsia"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2C176D69">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EB8E9">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56D46A52">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F75B3"/>
    <w:rsid w:val="01540E14"/>
    <w:rsid w:val="01843270"/>
    <w:rsid w:val="063D1DB2"/>
    <w:rsid w:val="06527A92"/>
    <w:rsid w:val="08536A6B"/>
    <w:rsid w:val="093C4710"/>
    <w:rsid w:val="0BA36B7B"/>
    <w:rsid w:val="0BCF6878"/>
    <w:rsid w:val="123D1F82"/>
    <w:rsid w:val="19E2779D"/>
    <w:rsid w:val="1DAC4488"/>
    <w:rsid w:val="1DF50E50"/>
    <w:rsid w:val="23024B39"/>
    <w:rsid w:val="23CF43CE"/>
    <w:rsid w:val="26BA33DB"/>
    <w:rsid w:val="2C4D2387"/>
    <w:rsid w:val="31091A76"/>
    <w:rsid w:val="32CF08C6"/>
    <w:rsid w:val="354D3BA6"/>
    <w:rsid w:val="3A2C6785"/>
    <w:rsid w:val="3BE75E85"/>
    <w:rsid w:val="3F3E25B3"/>
    <w:rsid w:val="47F3238B"/>
    <w:rsid w:val="4A283C2F"/>
    <w:rsid w:val="4D172A63"/>
    <w:rsid w:val="4D8A0CC0"/>
    <w:rsid w:val="4EEE53D9"/>
    <w:rsid w:val="53B3330B"/>
    <w:rsid w:val="54722529"/>
    <w:rsid w:val="5D3338C2"/>
    <w:rsid w:val="601969DF"/>
    <w:rsid w:val="62837E65"/>
    <w:rsid w:val="659C2FA3"/>
    <w:rsid w:val="66211AF2"/>
    <w:rsid w:val="71B92A81"/>
    <w:rsid w:val="72082C73"/>
    <w:rsid w:val="7CFB2476"/>
    <w:rsid w:val="FED4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文字 Char"/>
    <w:basedOn w:val="9"/>
    <w:link w:val="2"/>
    <w:qFormat/>
    <w:uiPriority w:val="99"/>
    <w:rPr>
      <w:rFonts w:ascii="Calibri" w:hAnsi="Calibri" w:eastAsia="宋体" w:cs="宋体"/>
    </w:rPr>
  </w:style>
  <w:style w:type="character" w:customStyle="1" w:styleId="15">
    <w:name w:val="批注主题 Char"/>
    <w:basedOn w:val="14"/>
    <w:link w:val="6"/>
    <w:semiHidden/>
    <w:qFormat/>
    <w:uiPriority w:val="99"/>
    <w:rPr>
      <w:rFonts w:ascii="Calibri" w:hAnsi="Calibri" w:eastAsia="宋体" w:cs="宋体"/>
      <w:b/>
      <w:bCs/>
    </w:rPr>
  </w:style>
  <w:style w:type="character" w:customStyle="1" w:styleId="16">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685</Words>
  <Characters>3906</Characters>
  <Lines>32</Lines>
  <Paragraphs>9</Paragraphs>
  <TotalTime>2</TotalTime>
  <ScaleCrop>false</ScaleCrop>
  <LinksUpToDate>false</LinksUpToDate>
  <CharactersWithSpaces>4582</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2024-03-04T09:44:00Z</dcterms:created>
  <dc:creator>胡骁潇</dc:creator>
  <cp:lastModifiedBy>Lee</cp:lastModifiedBy>
  <dcterms:modified xsi:type="dcterms:W3CDTF">2025-04-24T11:03:29Z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