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eastAsia" w:ascii="宋体" w:hAnsi="宋体" w:cs="宋体"/>
          <w:b/>
          <w:bCs/>
          <w:sz w:val="44"/>
          <w:szCs w:val="44"/>
          <w:highlight w:val="none"/>
        </w:rPr>
      </w:pPr>
      <w:bookmarkStart w:id="0" w:name="_GoBack"/>
      <w:bookmarkEnd w:id="0"/>
      <w:r>
        <w:rPr>
          <w:rFonts w:hint="eastAsia" w:ascii="宋体" w:hAnsi="宋体" w:cs="宋体"/>
          <w:b/>
          <w:bCs/>
          <w:sz w:val="44"/>
          <w:szCs w:val="44"/>
          <w:highlight w:val="none"/>
        </w:rPr>
        <w:t>杭银理财幸福99</w:t>
      </w:r>
      <w:r>
        <w:rPr>
          <w:rFonts w:hint="eastAsia" w:ascii="宋体" w:hAnsi="宋体" w:cs="宋体"/>
          <w:b/>
          <w:bCs/>
          <w:sz w:val="44"/>
          <w:szCs w:val="44"/>
          <w:highlight w:val="none"/>
          <w:lang w:eastAsia="zh-CN"/>
        </w:rPr>
        <w:t>半年添益2008期理财</w:t>
      </w:r>
      <w:r>
        <w:rPr>
          <w:rFonts w:hint="eastAsia" w:ascii="宋体" w:hAnsi="宋体" w:cs="宋体"/>
          <w:b/>
          <w:bCs/>
          <w:sz w:val="44"/>
          <w:szCs w:val="44"/>
          <w:highlight w:val="none"/>
        </w:rPr>
        <w:t>产品说明书</w:t>
      </w:r>
    </w:p>
    <w:p>
      <w:pPr>
        <w:jc w:val="center"/>
        <w:rPr>
          <w:rFonts w:hint="eastAsia" w:ascii="宋体" w:hAnsi="宋体" w:cs="宋体"/>
          <w:b/>
          <w:bCs/>
          <w:sz w:val="44"/>
          <w:szCs w:val="44"/>
          <w:highlight w:val="none"/>
        </w:rPr>
      </w:pPr>
      <w:r>
        <w:rPr>
          <w:rFonts w:hint="eastAsia" w:ascii="宋体" w:hAnsi="宋体" w:cs="宋体"/>
          <w:sz w:val="28"/>
          <w:szCs w:val="28"/>
          <w:highlight w:val="none"/>
        </w:rPr>
        <w:t>（202</w:t>
      </w:r>
      <w:r>
        <w:rPr>
          <w:rFonts w:hint="eastAsia" w:ascii="宋体" w:hAnsi="宋体" w:cs="宋体"/>
          <w:sz w:val="28"/>
          <w:szCs w:val="28"/>
          <w:highlight w:val="none"/>
          <w:lang w:val="en-US" w:eastAsia="zh-CN"/>
        </w:rPr>
        <w:t>2</w:t>
      </w:r>
      <w:r>
        <w:rPr>
          <w:rFonts w:hint="eastAsia" w:ascii="宋体" w:hAnsi="宋体" w:cs="宋体"/>
          <w:sz w:val="28"/>
          <w:szCs w:val="28"/>
          <w:highlight w:val="none"/>
        </w:rPr>
        <w:t>01版）</w:t>
      </w:r>
    </w:p>
    <w:p>
      <w:pPr>
        <w:spacing w:line="360" w:lineRule="auto"/>
        <w:jc w:val="right"/>
        <w:rPr>
          <w:rFonts w:hint="eastAsia"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〖Z7002221000092〗</w:t>
      </w:r>
    </w:p>
    <w:p>
      <w:pPr>
        <w:spacing w:line="360" w:lineRule="auto"/>
        <w:jc w:val="center"/>
        <w:rPr>
          <w:rFonts w:hint="eastAsia" w:ascii="宋体" w:hAnsi="宋体" w:cs="宋体"/>
          <w:bCs/>
          <w:sz w:val="24"/>
          <w:highlight w:val="none"/>
        </w:rPr>
      </w:pPr>
    </w:p>
    <w:p>
      <w:pPr>
        <w:numPr>
          <w:ilvl w:val="0"/>
          <w:numId w:val="1"/>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ind w:firstLine="482" w:firstLineChars="200"/>
        <w:jc w:val="left"/>
        <w:outlineLvl w:val="2"/>
        <w:rPr>
          <w:rFonts w:hint="eastAsia"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rPr>
        <w:t>《</w:t>
      </w:r>
      <w:r>
        <w:rPr>
          <w:rFonts w:hint="eastAsia" w:ascii="宋体" w:hAnsi="宋体" w:cs="宋体"/>
          <w:bCs/>
          <w:sz w:val="24"/>
          <w:highlight w:val="none"/>
          <w:lang w:eastAsia="zh-CN"/>
        </w:rPr>
        <w:t>理财计划</w:t>
      </w:r>
      <w:r>
        <w:rPr>
          <w:rFonts w:hint="eastAsia" w:ascii="宋体" w:hAnsi="宋体" w:cs="宋体"/>
          <w:bCs/>
          <w:sz w:val="24"/>
          <w:highlight w:val="none"/>
        </w:rPr>
        <w:t>风险揭示书》《投资者权益须知》</w:t>
      </w:r>
      <w:r>
        <w:rPr>
          <w:rFonts w:hint="eastAsia" w:ascii="宋体" w:hAnsi="宋体" w:cs="宋体"/>
          <w:bCs/>
          <w:sz w:val="24"/>
          <w:highlight w:val="none"/>
        </w:rPr>
        <w:t>《理财计划投资协议书》</w:t>
      </w:r>
      <w:r>
        <w:rPr>
          <w:rFonts w:hint="eastAsia" w:ascii="宋体" w:hAnsi="宋体" w:cs="宋体"/>
          <w:bCs/>
          <w:sz w:val="24"/>
          <w:highlight w:val="none"/>
          <w:lang w:eastAsia="zh-CN"/>
        </w:rPr>
        <w:t>《理财计划销售协议书》</w:t>
      </w:r>
      <w:r>
        <w:rPr>
          <w:rFonts w:hint="eastAsia" w:ascii="宋体" w:hAnsi="宋体" w:cs="宋体"/>
          <w:bCs/>
          <w:sz w:val="24"/>
          <w:highlight w:val="none"/>
        </w:rPr>
        <w:t>，将共同构成投资者与管理人之间的理财计划交易合同。</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ind w:firstLine="480" w:firstLineChars="200"/>
        <w:jc w:val="left"/>
        <w:outlineLvl w:val="2"/>
        <w:rPr>
          <w:rFonts w:hint="eastAsia" w:ascii="宋体" w:hAnsi="宋体" w:cs="宋体"/>
          <w:bCs/>
          <w:sz w:val="24"/>
          <w:highlight w:val="none"/>
        </w:rPr>
      </w:pPr>
      <w:r>
        <w:rPr>
          <w:rFonts w:hint="eastAsia" w:ascii="宋体" w:hAnsi="宋体" w:cs="宋体"/>
          <w:bCs/>
          <w:sz w:val="24"/>
          <w:highlight w:val="none"/>
        </w:rPr>
        <w:t>管理人有权依法对本理财计划产品说明书进行解释。</w:t>
      </w:r>
    </w:p>
    <w:p>
      <w:pPr>
        <w:numPr>
          <w:ilvl w:val="0"/>
          <w:numId w:val="0"/>
        </w:numPr>
        <w:spacing w:line="360" w:lineRule="auto"/>
        <w:jc w:val="left"/>
        <w:rPr>
          <w:rFonts w:hint="eastAsia" w:ascii="宋体" w:hAnsi="宋体" w:cs="宋体"/>
          <w:bCs/>
          <w:sz w:val="24"/>
          <w:highlight w:val="none"/>
        </w:rPr>
      </w:pPr>
    </w:p>
    <w:p>
      <w:pPr>
        <w:numPr>
          <w:ilvl w:val="0"/>
          <w:numId w:val="3"/>
        </w:numPr>
        <w:spacing w:line="360" w:lineRule="auto"/>
        <w:ind w:firstLine="482" w:firstLineChars="200"/>
        <w:jc w:val="left"/>
        <w:outlineLvl w:val="1"/>
        <w:rPr>
          <w:rFonts w:ascii="宋体" w:hAnsi="宋体" w:cs="宋体"/>
          <w:b/>
          <w:sz w:val="24"/>
          <w:highlight w:val="none"/>
        </w:rPr>
      </w:pPr>
      <w:r>
        <w:rPr>
          <w:rFonts w:hint="eastAsia" w:ascii="宋体" w:hAnsi="宋体" w:cs="宋体"/>
          <w:b/>
          <w:sz w:val="24"/>
          <w:highlight w:val="none"/>
        </w:rPr>
        <w:t>释义</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8"/>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参与主体用语</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lang w:eastAsia="zh-CN"/>
        </w:rPr>
        <w:t>杭银理财有限责任公司简称杭银理财，官网网站为</w:t>
      </w:r>
      <w:r>
        <w:rPr>
          <w:rFonts w:hint="eastAsia" w:ascii="宋体" w:hAnsi="宋体" w:cs="宋体"/>
          <w:bCs/>
          <w:color w:val="auto"/>
          <w:kern w:val="2"/>
          <w:highlight w:val="none"/>
          <w:u w:val="none"/>
          <w:lang w:val="en-US" w:eastAsia="zh-CN"/>
        </w:rPr>
        <w:t>https://</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w:t>
      </w:r>
      <w:r>
        <w:rPr>
          <w:rFonts w:hint="eastAsia" w:ascii="宋体" w:hAnsi="宋体" w:cs="宋体"/>
          <w:bCs/>
          <w:color w:val="auto"/>
          <w:kern w:val="2"/>
          <w:highlight w:val="none"/>
          <w:u w:val="none"/>
          <w:lang w:val="en-US" w:eastAsia="zh-CN"/>
        </w:rPr>
        <w:t>wealth</w:t>
      </w:r>
      <w:r>
        <w:rPr>
          <w:rFonts w:hint="eastAsia" w:ascii="宋体" w:hAnsi="宋体" w:cs="宋体"/>
          <w:bCs/>
          <w:color w:val="auto"/>
          <w:kern w:val="2"/>
          <w:highlight w:val="none"/>
          <w:u w:val="none"/>
        </w:rPr>
        <w:t>.com.cn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u w:val="none"/>
        </w:rPr>
        <w:t>。</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auto"/>
          <w:kern w:val="2"/>
          <w:highlight w:val="none"/>
          <w:u w:val="none"/>
        </w:rPr>
        <w:fldChar w:fldCharType="begin"/>
      </w:r>
      <w:r>
        <w:rPr>
          <w:rFonts w:hint="eastAsia" w:ascii="宋体" w:hAnsi="宋体" w:cs="宋体"/>
          <w:bCs/>
          <w:color w:val="auto"/>
          <w:kern w:val="2"/>
          <w:highlight w:val="none"/>
          <w:u w:val="none"/>
        </w:rPr>
        <w:instrText xml:space="preserve"> HYPERLINK "http://www.hzbank.com.cn" </w:instrText>
      </w:r>
      <w:r>
        <w:rPr>
          <w:rFonts w:hint="eastAsia" w:ascii="宋体" w:hAnsi="宋体" w:cs="宋体"/>
          <w:bCs/>
          <w:color w:val="auto"/>
          <w:kern w:val="2"/>
          <w:highlight w:val="none"/>
          <w:u w:val="none"/>
        </w:rPr>
        <w:fldChar w:fldCharType="separate"/>
      </w:r>
      <w:r>
        <w:rPr>
          <w:rFonts w:hint="eastAsia" w:ascii="宋体" w:hAnsi="宋体" w:cs="宋体"/>
          <w:bCs/>
          <w:color w:val="auto"/>
          <w:kern w:val="2"/>
          <w:highlight w:val="none"/>
          <w:u w:val="none"/>
        </w:rPr>
        <w:t>www.hzbank.com.cn</w:t>
      </w:r>
      <w:r>
        <w:rPr>
          <w:rFonts w:hint="eastAsia" w:ascii="宋体" w:hAnsi="宋体" w:cs="宋体"/>
          <w:bCs/>
          <w:color w:val="auto"/>
          <w:kern w:val="2"/>
          <w:highlight w:val="none"/>
          <w:u w:val="none"/>
        </w:rPr>
        <w:fldChar w:fldCharType="end"/>
      </w:r>
      <w:r>
        <w:rPr>
          <w:rFonts w:hint="eastAsia" w:ascii="宋体" w:hAnsi="宋体" w:cs="宋体"/>
          <w:bCs/>
          <w:color w:val="auto"/>
          <w:kern w:val="2"/>
          <w:highlight w:val="none"/>
        </w:rPr>
        <w:t>，客服热线为95398。</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sz w:val="24"/>
          <w:szCs w:val="24"/>
          <w:highlight w:val="none"/>
        </w:rPr>
        <w:t>〖</w:t>
      </w:r>
      <w:r>
        <w:rPr>
          <w:rFonts w:hint="eastAsia" w:ascii="宋体" w:hAnsi="宋体" w:cs="宋体"/>
          <w:bCs/>
          <w:color w:val="auto"/>
          <w:kern w:val="2"/>
          <w:highlight w:val="none"/>
        </w:rPr>
        <w:t>杭州银行股份有限公司</w:t>
      </w:r>
      <w:r>
        <w:rPr>
          <w:rFonts w:hint="eastAsia" w:ascii="宋体" w:hAnsi="宋体" w:cs="宋体"/>
          <w:sz w:val="24"/>
          <w:szCs w:val="24"/>
          <w:highlight w:val="none"/>
        </w:rPr>
        <w:t>〗</w:t>
      </w:r>
      <w:r>
        <w:rPr>
          <w:rFonts w:hint="eastAsia" w:ascii="宋体" w:hAnsi="宋体" w:cs="宋体"/>
          <w:bCs/>
          <w:color w:val="auto"/>
          <w:kern w:val="2"/>
          <w:highlight w:val="none"/>
        </w:rPr>
        <w:t>。</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8"/>
        <w:numPr>
          <w:ilvl w:val="0"/>
          <w:numId w:val="5"/>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指对管理人（包括本理财计划管理人、所投资的的信托计划/资管计划的管理人/受托人、相关投资顾问等）实施监督管理的机构，包括但不限于中国人民银行、</w:t>
      </w:r>
      <w:r>
        <w:rPr>
          <w:rFonts w:hint="eastAsia" w:ascii="宋体" w:hAnsi="宋体" w:cs="宋体"/>
          <w:bCs/>
          <w:sz w:val="24"/>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8"/>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法律文件用语</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半年添益2008期理财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半年添益2008期理财</w:t>
      </w:r>
      <w:r>
        <w:rPr>
          <w:rFonts w:hint="eastAsia" w:ascii="宋体" w:hAnsi="宋体" w:cs="宋体"/>
          <w:bCs/>
          <w:highlight w:val="none"/>
        </w:rPr>
        <w:t>合同不可分割组成部分的风险揭示书，</w:t>
      </w:r>
      <w:r>
        <w:rPr>
          <w:rFonts w:hint="eastAsia" w:ascii="宋体" w:hAnsi="宋体" w:cs="宋体"/>
          <w:bCs/>
          <w:color w:val="auto"/>
          <w:kern w:val="2"/>
          <w:highlight w:val="none"/>
        </w:rPr>
        <w:t>以及对该文件的有效修改与补充。</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半年添益2008期理财</w:t>
      </w:r>
      <w:r>
        <w:rPr>
          <w:rFonts w:hint="eastAsia" w:ascii="宋体" w:hAnsi="宋体" w:cs="宋体"/>
          <w:bCs/>
          <w:highlight w:val="none"/>
        </w:rPr>
        <w:t>合同不可分割组成部分的投资者权益须知，</w:t>
      </w:r>
      <w:r>
        <w:rPr>
          <w:rFonts w:hint="eastAsia" w:ascii="宋体" w:hAnsi="宋体" w:cs="宋体"/>
          <w:bCs/>
          <w:color w:val="auto"/>
          <w:kern w:val="2"/>
          <w:highlight w:val="none"/>
        </w:rPr>
        <w:t>以及对该文件的有效修改与补充。</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指作为杭银理财幸福99</w:t>
      </w:r>
      <w:r>
        <w:rPr>
          <w:rFonts w:hint="eastAsia" w:ascii="宋体" w:hAnsi="宋体" w:cs="宋体"/>
          <w:bCs/>
          <w:highlight w:val="none"/>
          <w:lang w:eastAsia="zh-CN"/>
        </w:rPr>
        <w:t>半年添益2008期理财</w:t>
      </w:r>
      <w:r>
        <w:rPr>
          <w:rFonts w:hint="eastAsia" w:ascii="宋体" w:hAnsi="宋体" w:cs="宋体"/>
          <w:bCs/>
          <w:highlight w:val="none"/>
        </w:rPr>
        <w:t>合同不可分割组成部分的理财计划投资协议书，</w:t>
      </w:r>
      <w:r>
        <w:rPr>
          <w:rFonts w:hint="eastAsia" w:ascii="宋体" w:hAnsi="宋体" w:cs="宋体"/>
          <w:bCs/>
          <w:color w:val="auto"/>
          <w:kern w:val="2"/>
          <w:highlight w:val="none"/>
        </w:rPr>
        <w:t>以及对该文件的有效修改与补充。</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理财计划销售协议书：</w:t>
      </w:r>
      <w:r>
        <w:rPr>
          <w:rFonts w:hint="eastAsia" w:ascii="宋体" w:hAnsi="宋体" w:cs="宋体"/>
          <w:bCs/>
          <w:color w:val="auto"/>
          <w:kern w:val="2"/>
          <w:highlight w:val="none"/>
          <w:lang w:eastAsia="zh-CN"/>
        </w:rPr>
        <w:t>指作为杭银理财幸福</w:t>
      </w:r>
      <w:r>
        <w:rPr>
          <w:rFonts w:hint="eastAsia" w:ascii="宋体" w:hAnsi="宋体" w:cs="宋体"/>
          <w:bCs/>
          <w:color w:val="auto"/>
          <w:kern w:val="2"/>
          <w:highlight w:val="none"/>
          <w:lang w:val="en-US" w:eastAsia="zh-CN"/>
        </w:rPr>
        <w:t>99</w:t>
      </w:r>
      <w:r>
        <w:rPr>
          <w:rFonts w:hint="eastAsia" w:ascii="宋体" w:hAnsi="宋体" w:cs="宋体"/>
          <w:bCs/>
          <w:highlight w:val="none"/>
          <w:lang w:eastAsia="zh-CN"/>
        </w:rPr>
        <w:t>半年添益2008期理财</w:t>
      </w:r>
      <w:r>
        <w:rPr>
          <w:rFonts w:hint="eastAsia" w:ascii="宋体" w:hAnsi="宋体" w:cs="宋体"/>
          <w:bCs/>
          <w:color w:val="auto"/>
          <w:kern w:val="2"/>
          <w:highlight w:val="none"/>
          <w:lang w:val="en-US" w:eastAsia="zh-CN"/>
        </w:rPr>
        <w:t>合同不可分割组成部分的理财计划销售协议书，以及对该文件的有效修改与补充。</w:t>
      </w:r>
    </w:p>
    <w:p>
      <w:pPr>
        <w:pStyle w:val="18"/>
        <w:numPr>
          <w:ilvl w:val="0"/>
          <w:numId w:val="6"/>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w:t>
      </w:r>
      <w:r>
        <w:rPr>
          <w:rFonts w:hint="eastAsia" w:ascii="宋体" w:hAnsi="宋体" w:cs="宋体"/>
          <w:bCs/>
          <w:color w:val="auto"/>
          <w:kern w:val="2"/>
          <w:highlight w:val="none"/>
        </w:rPr>
        <w:t>《理财计划</w:t>
      </w:r>
      <w:r>
        <w:rPr>
          <w:rFonts w:hint="eastAsia" w:ascii="宋体" w:hAnsi="宋体" w:cs="宋体"/>
          <w:bCs/>
          <w:color w:val="auto"/>
          <w:kern w:val="2"/>
          <w:highlight w:val="none"/>
          <w:lang w:eastAsia="zh-CN"/>
        </w:rPr>
        <w:t>风险揭示书</w:t>
      </w:r>
      <w:r>
        <w:rPr>
          <w:rFonts w:hint="eastAsia" w:ascii="宋体" w:hAnsi="宋体" w:cs="宋体"/>
          <w:bCs/>
          <w:color w:val="auto"/>
          <w:kern w:val="2"/>
          <w:highlight w:val="none"/>
        </w:rPr>
        <w:t>》《</w:t>
      </w:r>
      <w:r>
        <w:rPr>
          <w:rFonts w:hint="eastAsia" w:ascii="宋体" w:hAnsi="宋体" w:cs="宋体"/>
          <w:bCs/>
          <w:color w:val="auto"/>
          <w:kern w:val="2"/>
          <w:highlight w:val="none"/>
          <w:lang w:eastAsia="zh-CN"/>
        </w:rPr>
        <w:t>理财计划产品说明书</w:t>
      </w:r>
      <w:r>
        <w:rPr>
          <w:rFonts w:hint="eastAsia" w:ascii="宋体" w:hAnsi="宋体" w:cs="宋体"/>
          <w:bCs/>
          <w:color w:val="auto"/>
          <w:kern w:val="2"/>
          <w:highlight w:val="none"/>
        </w:rPr>
        <w:t>》《投资者权益须知》《理财计划投资协议书》</w:t>
      </w:r>
      <w:r>
        <w:rPr>
          <w:rFonts w:hint="eastAsia" w:ascii="宋体" w:hAnsi="宋体" w:cs="宋体"/>
          <w:bCs/>
          <w:color w:val="auto"/>
          <w:kern w:val="2"/>
          <w:highlight w:val="none"/>
          <w:lang w:eastAsia="zh-CN"/>
        </w:rPr>
        <w:t>《理财计划</w:t>
      </w:r>
      <w:r>
        <w:rPr>
          <w:rFonts w:hint="eastAsia" w:ascii="宋体" w:hAnsi="宋体" w:cs="宋体"/>
          <w:bCs/>
          <w:color w:val="auto"/>
          <w:kern w:val="2"/>
          <w:highlight w:val="none"/>
          <w:lang w:eastAsia="zh-CN"/>
        </w:rPr>
        <w:t>销售协议书》五</w:t>
      </w:r>
      <w:r>
        <w:rPr>
          <w:rFonts w:hint="eastAsia" w:ascii="宋体" w:hAnsi="宋体" w:cs="宋体"/>
          <w:bCs/>
          <w:color w:val="auto"/>
          <w:kern w:val="2"/>
          <w:highlight w:val="none"/>
        </w:rPr>
        <w:t>个部分。</w:t>
      </w:r>
    </w:p>
    <w:p>
      <w:pPr>
        <w:pStyle w:val="18"/>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理财产品用语</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指杭银理财幸福99</w:t>
      </w:r>
      <w:r>
        <w:rPr>
          <w:rFonts w:hint="eastAsia" w:ascii="宋体" w:hAnsi="宋体" w:cs="宋体"/>
          <w:bCs/>
          <w:highlight w:val="none"/>
          <w:lang w:eastAsia="zh-CN"/>
        </w:rPr>
        <w:t>半年添益2008期理财</w:t>
      </w:r>
      <w:r>
        <w:rPr>
          <w:rFonts w:hint="eastAsia" w:ascii="宋体" w:hAnsi="宋体" w:cs="宋体"/>
          <w:bCs/>
          <w:highlight w:val="none"/>
        </w:rPr>
        <w:t>。</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8"/>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8"/>
        <w:numPr>
          <w:ilvl w:val="0"/>
          <w:numId w:val="7"/>
        </w:numPr>
        <w:adjustRightInd/>
        <w:spacing w:line="360" w:lineRule="auto"/>
        <w:ind w:firstLine="482" w:firstLineChars="200"/>
        <w:rPr>
          <w:rFonts w:hint="eastAsia"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w:t>
      </w:r>
      <w:r>
        <w:rPr>
          <w:rFonts w:hint="eastAsia" w:ascii="宋体" w:hAnsi="宋体" w:cs="宋体"/>
          <w:bCs/>
          <w:color w:val="auto"/>
          <w:kern w:val="2"/>
          <w:highlight w:val="none"/>
          <w:lang w:eastAsia="zh-CN"/>
        </w:rPr>
        <w:t>计划</w:t>
      </w:r>
      <w:r>
        <w:rPr>
          <w:rFonts w:hint="eastAsia" w:ascii="宋体" w:hAnsi="宋体" w:cs="宋体"/>
          <w:bCs/>
          <w:color w:val="auto"/>
          <w:kern w:val="2"/>
          <w:highlight w:val="none"/>
        </w:rPr>
        <w:t>成立后，理财计划不接受投资者申购赎回的时间。</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8"/>
        <w:numPr>
          <w:ilvl w:val="0"/>
          <w:numId w:val="7"/>
        </w:numPr>
        <w:adjustRightInd/>
        <w:spacing w:line="360" w:lineRule="auto"/>
        <w:ind w:left="0"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投资周期</w:t>
      </w:r>
      <w:r>
        <w:rPr>
          <w:rFonts w:hint="eastAsia" w:ascii="宋体" w:hAnsi="宋体" w:cs="宋体"/>
          <w:b/>
          <w:color w:val="auto"/>
          <w:kern w:val="2"/>
          <w:highlight w:val="none"/>
          <w:lang w:eastAsia="zh-CN"/>
        </w:rPr>
        <w:t>：</w:t>
      </w:r>
      <w:r>
        <w:rPr>
          <w:rFonts w:hint="eastAsia" w:ascii="宋体" w:hAnsi="宋体" w:cs="宋体"/>
          <w:b w:val="0"/>
          <w:bCs/>
          <w:color w:val="auto"/>
          <w:kern w:val="2"/>
          <w:highlight w:val="none"/>
          <w:lang w:eastAsia="zh-CN"/>
        </w:rPr>
        <w:t>指理财计划成立或申购</w:t>
      </w:r>
      <w:r>
        <w:rPr>
          <w:rFonts w:hint="eastAsia" w:ascii="宋体" w:hAnsi="宋体" w:cs="宋体"/>
          <w:b w:val="0"/>
          <w:bCs/>
          <w:color w:val="auto"/>
          <w:kern w:val="2"/>
          <w:highlight w:val="none"/>
          <w:lang w:val="en-US" w:eastAsia="zh-CN"/>
        </w:rPr>
        <w:t>/赎回</w:t>
      </w:r>
      <w:r>
        <w:rPr>
          <w:rFonts w:hint="eastAsia" w:ascii="宋体" w:hAnsi="宋体" w:cs="宋体"/>
          <w:b w:val="0"/>
          <w:bCs/>
          <w:color w:val="auto"/>
          <w:kern w:val="2"/>
          <w:highlight w:val="none"/>
          <w:lang w:eastAsia="zh-CN"/>
        </w:rPr>
        <w:t>开放期确认后，至下一个申购</w:t>
      </w:r>
      <w:r>
        <w:rPr>
          <w:rFonts w:hint="eastAsia" w:ascii="宋体" w:hAnsi="宋体" w:cs="宋体"/>
          <w:b w:val="0"/>
          <w:bCs/>
          <w:color w:val="auto"/>
          <w:kern w:val="2"/>
          <w:highlight w:val="none"/>
          <w:lang w:val="en-US" w:eastAsia="zh-CN"/>
        </w:rPr>
        <w:t>/赎回开放期确认前的时间。如申购和赎回开放期确认时间不一致，应明确以申购投资周期或赎回投资周期作为理财计划的投资周期。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w:t>
      </w:r>
      <w:r>
        <w:rPr>
          <w:rFonts w:hint="eastAsia" w:ascii="宋体" w:hAnsi="宋体" w:cs="宋体"/>
          <w:bCs/>
          <w:color w:val="auto"/>
          <w:kern w:val="2"/>
          <w:highlight w:val="none"/>
          <w:lang w:eastAsia="zh-CN"/>
        </w:rPr>
        <w:t>赎回</w:t>
      </w:r>
      <w:r>
        <w:rPr>
          <w:rFonts w:hint="eastAsia" w:ascii="宋体" w:hAnsi="宋体" w:cs="宋体"/>
          <w:bCs/>
          <w:color w:val="auto"/>
          <w:kern w:val="2"/>
          <w:highlight w:val="none"/>
        </w:rPr>
        <w:t>开放期内，投资者向管理人进行理财计划份额卖出的行为。</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w:t>
      </w:r>
      <w:r>
        <w:rPr>
          <w:rFonts w:hint="eastAsia" w:ascii="宋体" w:hAnsi="宋体" w:cs="宋体"/>
          <w:bCs/>
          <w:highlight w:val="none"/>
          <w:lang w:eastAsia="zh-CN"/>
        </w:rPr>
        <w:t>销售服务费</w:t>
      </w:r>
      <w:r>
        <w:rPr>
          <w:rFonts w:hint="eastAsia" w:ascii="宋体" w:hAnsi="宋体" w:cs="宋体"/>
          <w:bCs/>
          <w:highlight w:val="none"/>
        </w:rPr>
        <w:t>、托管人收取的托管费、交易费用、执行费用等相关费用，具体以</w:t>
      </w:r>
      <w:r>
        <w:rPr>
          <w:rFonts w:hint="eastAsia" w:ascii="宋体" w:hAnsi="宋体" w:cs="宋体"/>
          <w:bCs/>
          <w:highlight w:val="none"/>
          <w:lang w:eastAsia="zh-CN"/>
        </w:rPr>
        <w:t>实际发生</w:t>
      </w:r>
      <w:r>
        <w:rPr>
          <w:rFonts w:hint="eastAsia" w:ascii="宋体" w:hAnsi="宋体" w:cs="宋体"/>
          <w:bCs/>
          <w:highlight w:val="none"/>
        </w:rPr>
        <w:t>为准。</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highlight w:val="none"/>
          <w:lang w:eastAsia="zh-CN"/>
        </w:rPr>
        <w:t>其他费用：</w:t>
      </w:r>
      <w:r>
        <w:rPr>
          <w:rFonts w:hint="eastAsia" w:ascii="宋体" w:hAnsi="宋体" w:cs="宋体"/>
          <w:b w:val="0"/>
          <w:bCs/>
          <w:highlight w:val="none"/>
          <w:lang w:eastAsia="zh-CN"/>
        </w:rPr>
        <w:t>指除理财计划费用以外，理财计划涉及的其他相关费用，包括但不限于认购费、申购费、赎回费、投顾费等，具体以</w:t>
      </w:r>
      <w:r>
        <w:rPr>
          <w:rFonts w:hint="eastAsia" w:ascii="宋体" w:hAnsi="宋体" w:cs="宋体"/>
          <w:bCs/>
          <w:highlight w:val="none"/>
        </w:rPr>
        <w:t>本说明书第八条约定</w:t>
      </w:r>
      <w:r>
        <w:rPr>
          <w:rFonts w:hint="eastAsia" w:ascii="宋体" w:hAnsi="宋体" w:cs="宋体"/>
          <w:b w:val="0"/>
          <w:bCs/>
          <w:highlight w:val="none"/>
          <w:lang w:eastAsia="zh-CN"/>
        </w:rPr>
        <w:t>为准。</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bCs w:val="0"/>
          <w:color w:val="auto"/>
          <w:kern w:val="2"/>
          <w:highlight w:val="none"/>
          <w:lang w:eastAsia="zh-CN"/>
        </w:rPr>
        <w:t>流</w:t>
      </w:r>
      <w:r>
        <w:rPr>
          <w:rFonts w:hint="eastAsia"/>
          <w:b/>
          <w:bCs w:val="0"/>
          <w:highlight w:val="none"/>
          <w:lang w:val="en-US" w:eastAsia="zh-CN"/>
        </w:rPr>
        <w:t>动性受限资产：</w:t>
      </w:r>
      <w:r>
        <w:rPr>
          <w:rFonts w:hint="eastAsia"/>
          <w:highlight w:val="none"/>
          <w:lang w:val="en-US" w:eastAsia="zh-CN"/>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8"/>
        <w:numPr>
          <w:ilvl w:val="0"/>
          <w:numId w:val="7"/>
        </w:numPr>
        <w:adjustRightInd/>
        <w:spacing w:line="360" w:lineRule="auto"/>
        <w:ind w:firstLine="482" w:firstLineChars="200"/>
        <w:rPr>
          <w:rFonts w:hint="eastAsia" w:ascii="宋体" w:hAnsi="宋体" w:cs="宋体"/>
          <w:b/>
          <w:color w:val="auto"/>
          <w:kern w:val="2"/>
          <w:highlight w:val="none"/>
        </w:rPr>
      </w:pPr>
      <w:r>
        <w:rPr>
          <w:rFonts w:hint="eastAsia"/>
          <w:b/>
          <w:bCs/>
          <w:highlight w:val="none"/>
          <w:lang w:val="en-US" w:eastAsia="zh-CN"/>
        </w:rPr>
        <w:t>7个工作日可变现资产：</w:t>
      </w:r>
      <w:r>
        <w:rPr>
          <w:rFonts w:hint="eastAsia"/>
          <w:highlight w:val="none"/>
          <w:lang w:val="en-US" w:eastAsia="zh-CN"/>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8"/>
        <w:numPr>
          <w:ilvl w:val="0"/>
          <w:numId w:val="4"/>
        </w:numPr>
        <w:adjustRightInd/>
        <w:spacing w:line="360" w:lineRule="auto"/>
        <w:ind w:firstLine="482" w:firstLineChars="200"/>
        <w:outlineLvl w:val="2"/>
        <w:rPr>
          <w:rFonts w:hint="eastAsia" w:ascii="宋体" w:hAnsi="宋体" w:cs="宋体"/>
          <w:b/>
          <w:color w:val="auto"/>
          <w:kern w:val="2"/>
          <w:highlight w:val="none"/>
        </w:rPr>
      </w:pPr>
      <w:r>
        <w:rPr>
          <w:rFonts w:hint="eastAsia" w:ascii="宋体" w:hAnsi="宋体" w:cs="宋体"/>
          <w:b/>
          <w:color w:val="auto"/>
          <w:kern w:val="2"/>
          <w:highlight w:val="none"/>
        </w:rPr>
        <w:t>相关事件用语</w:t>
      </w:r>
    </w:p>
    <w:p>
      <w:pPr>
        <w:pStyle w:val="18"/>
        <w:numPr>
          <w:ilvl w:val="0"/>
          <w:numId w:val="8"/>
        </w:numPr>
        <w:adjustRightInd/>
        <w:spacing w:line="360" w:lineRule="auto"/>
        <w:ind w:firstLine="482" w:firstLineChars="200"/>
        <w:rPr>
          <w:rFonts w:hint="eastAsia"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8"/>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8"/>
        <w:numPr>
          <w:ilvl w:val="0"/>
          <w:numId w:val="9"/>
        </w:numPr>
        <w:adjustRightInd/>
        <w:spacing w:line="360" w:lineRule="auto"/>
        <w:ind w:firstLine="482" w:firstLineChars="200"/>
        <w:rPr>
          <w:rFonts w:hint="eastAsia" w:ascii="宋体" w:hAnsi="宋体" w:cs="宋体"/>
          <w:b/>
          <w:color w:val="auto"/>
          <w:kern w:val="2"/>
          <w:highlight w:val="none"/>
        </w:rPr>
      </w:pPr>
      <w:r>
        <w:rPr>
          <w:rFonts w:hint="eastAsia" w:ascii="宋体" w:hAnsi="宋体" w:cs="宋体"/>
          <w:b/>
          <w:color w:val="auto"/>
          <w:kern w:val="2"/>
          <w:highlight w:val="none"/>
        </w:rPr>
        <w:t>巨额赎回：</w:t>
      </w:r>
      <w:r>
        <w:rPr>
          <w:rFonts w:hint="eastAsia" w:ascii="宋体" w:hAnsi="宋体" w:cs="宋体"/>
          <w:bCs/>
          <w:color w:val="auto"/>
          <w:kern w:val="2"/>
          <w:highlight w:val="none"/>
        </w:rPr>
        <w:t>指理财计划的申购和赎回开放期内，理财计划任一开放日净赎回申请份额超过上一工作日日终理财计划总份额的〖10%〗，即为发生巨额赎回行为。</w:t>
      </w:r>
    </w:p>
    <w:p>
      <w:pPr>
        <w:pStyle w:val="18"/>
        <w:numPr>
          <w:ilvl w:val="0"/>
          <w:numId w:val="0"/>
        </w:numPr>
        <w:adjustRightInd/>
        <w:spacing w:line="360" w:lineRule="auto"/>
        <w:rPr>
          <w:rFonts w:hint="eastAsia" w:ascii="宋体" w:hAnsi="宋体" w:cs="宋体"/>
          <w:b/>
          <w:color w:val="auto"/>
          <w:kern w:val="2"/>
          <w:highlight w:val="none"/>
        </w:rPr>
      </w:pPr>
    </w:p>
    <w:p>
      <w:pPr>
        <w:pStyle w:val="18"/>
        <w:numPr>
          <w:ilvl w:val="0"/>
          <w:numId w:val="10"/>
        </w:numPr>
        <w:adjustRightInd/>
        <w:spacing w:line="360" w:lineRule="auto"/>
        <w:ind w:firstLine="482" w:firstLineChars="200"/>
        <w:outlineLvl w:val="1"/>
        <w:rPr>
          <w:rFonts w:hint="eastAsia" w:ascii="宋体" w:hAnsi="宋体" w:cs="宋体"/>
          <w:b/>
          <w:color w:val="auto"/>
          <w:kern w:val="2"/>
          <w:highlight w:val="none"/>
        </w:rPr>
      </w:pPr>
      <w:r>
        <w:rPr>
          <w:rFonts w:hint="eastAsia" w:ascii="宋体" w:hAnsi="宋体" w:cs="宋体"/>
          <w:b/>
          <w:color w:val="auto"/>
          <w:kern w:val="2"/>
          <w:highlight w:val="none"/>
        </w:rPr>
        <w:t>风险评级</w:t>
      </w:r>
    </w:p>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w:t>
      </w:r>
      <w:r>
        <w:rPr>
          <w:rFonts w:hint="eastAsia" w:ascii="宋体" w:hAnsi="宋体" w:cs="宋体"/>
          <w:b/>
          <w:color w:val="auto"/>
          <w:kern w:val="2"/>
          <w:highlight w:val="none"/>
          <w:lang w:val="en-US" w:eastAsia="zh-CN"/>
        </w:rPr>
        <w:t>2</w:t>
      </w:r>
      <w:r>
        <w:rPr>
          <w:rFonts w:hint="eastAsia" w:ascii="宋体" w:hAnsi="宋体" w:cs="宋体"/>
          <w:b/>
          <w:color w:val="auto"/>
          <w:kern w:val="2"/>
          <w:highlight w:val="none"/>
        </w:rPr>
        <w:t>〗，〖</w:t>
      </w:r>
      <w:r>
        <w:rPr>
          <w:rFonts w:hint="eastAsia" w:ascii="宋体" w:hAnsi="宋体" w:cs="宋体"/>
          <w:b/>
          <w:color w:val="auto"/>
          <w:kern w:val="2"/>
          <w:highlight w:val="none"/>
          <w:lang w:val="en-US" w:eastAsia="zh-CN"/>
        </w:rPr>
        <w:t>中低</w:t>
      </w:r>
      <w:r>
        <w:rPr>
          <w:rFonts w:hint="eastAsia" w:ascii="宋体" w:hAnsi="宋体" w:cs="宋体"/>
          <w:b/>
          <w:color w:val="auto"/>
          <w:kern w:val="2"/>
          <w:highlight w:val="none"/>
        </w:rPr>
        <w:t>〗风险。</w:t>
      </w:r>
      <w:r>
        <w:rPr>
          <w:rFonts w:hint="eastAsia" w:ascii="宋体" w:hAnsi="宋体" w:cs="宋体"/>
          <w:bCs/>
          <w:color w:val="auto"/>
          <w:kern w:val="2"/>
          <w:highlight w:val="none"/>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保守型、</w:t>
            </w:r>
            <w:r>
              <w:rPr>
                <w:rFonts w:hint="eastAsia" w:ascii="宋体" w:hAnsi="宋体" w:cs="宋体"/>
                <w:bCs/>
                <w:color w:val="auto"/>
                <w:kern w:val="2"/>
                <w:highlight w:val="none"/>
              </w:rPr>
              <w:t>稳健型</w:t>
            </w:r>
            <w:r>
              <w:rPr>
                <w:rFonts w:hint="eastAsia" w:ascii="宋体" w:hAnsi="宋体" w:cs="宋体"/>
                <w:bCs/>
                <w:color w:val="auto"/>
                <w:kern w:val="2"/>
                <w:highlight w:val="none"/>
                <w:lang w:eastAsia="zh-CN"/>
              </w:rPr>
              <w:t>、</w:t>
            </w: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w:t>
            </w:r>
            <w:r>
              <w:rPr>
                <w:rFonts w:hint="eastAsia" w:ascii="宋体" w:hAnsi="宋体" w:cs="宋体"/>
                <w:bCs/>
                <w:color w:val="auto"/>
                <w:kern w:val="2"/>
                <w:highlight w:val="none"/>
              </w:rPr>
              <w:t>型</w:t>
            </w:r>
            <w:r>
              <w:rPr>
                <w:rFonts w:hint="eastAsia" w:ascii="宋体" w:hAnsi="宋体" w:cs="宋体"/>
                <w:bCs/>
                <w:color w:val="auto"/>
                <w:kern w:val="2"/>
                <w:highlight w:val="none"/>
                <w:lang w:eastAsia="zh-CN"/>
              </w:rPr>
              <w:t>、进取</w:t>
            </w:r>
            <w:r>
              <w:rPr>
                <w:rFonts w:hint="eastAsia" w:ascii="宋体" w:hAnsi="宋体" w:cs="宋体"/>
                <w:bCs/>
                <w:color w:val="auto"/>
                <w:kern w:val="2"/>
                <w:highlight w:val="none"/>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R2</w:t>
            </w:r>
          </w:p>
        </w:tc>
        <w:tc>
          <w:tcPr>
            <w:tcW w:w="1382"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中低</w:t>
            </w:r>
          </w:p>
        </w:tc>
        <w:tc>
          <w:tcPr>
            <w:tcW w:w="4755" w:type="dxa"/>
            <w:noWrap w:val="0"/>
            <w:vAlign w:val="top"/>
          </w:tcPr>
          <w:p>
            <w:pPr>
              <w:pStyle w:val="18"/>
              <w:adjustRightInd/>
              <w:spacing w:line="360" w:lineRule="auto"/>
              <w:jc w:val="center"/>
              <w:rPr>
                <w:rFonts w:ascii="宋体" w:hAnsi="宋体" w:cs="宋体"/>
                <w:b/>
                <w:bCs w:val="0"/>
                <w:color w:val="auto"/>
                <w:kern w:val="2"/>
                <w:highlight w:val="none"/>
              </w:rPr>
            </w:pPr>
            <w:r>
              <w:rPr>
                <w:rFonts w:hint="eastAsia" w:ascii="宋体" w:hAnsi="宋体" w:cs="宋体"/>
                <w:b/>
                <w:bCs w:val="0"/>
                <w:color w:val="auto"/>
                <w:kern w:val="2"/>
                <w:highlight w:val="none"/>
              </w:rPr>
              <w:t>稳健型</w:t>
            </w:r>
            <w:r>
              <w:rPr>
                <w:rFonts w:hint="eastAsia" w:ascii="宋体" w:hAnsi="宋体" w:cs="宋体"/>
                <w:b/>
                <w:bCs w:val="0"/>
                <w:color w:val="auto"/>
                <w:kern w:val="2"/>
                <w:highlight w:val="none"/>
                <w:lang w:eastAsia="zh-CN"/>
              </w:rPr>
              <w:t>、</w:t>
            </w:r>
            <w:r>
              <w:rPr>
                <w:rFonts w:hint="eastAsia" w:ascii="宋体" w:hAnsi="宋体" w:cs="宋体"/>
                <w:b/>
                <w:bCs w:val="0"/>
                <w:color w:val="auto"/>
                <w:kern w:val="2"/>
                <w:highlight w:val="none"/>
              </w:rPr>
              <w:t>平衡型</w:t>
            </w:r>
            <w:r>
              <w:rPr>
                <w:rFonts w:hint="eastAsia" w:ascii="宋体" w:hAnsi="宋体" w:cs="宋体"/>
                <w:b/>
                <w:bCs w:val="0"/>
                <w:color w:val="auto"/>
                <w:kern w:val="2"/>
                <w:highlight w:val="none"/>
                <w:lang w:eastAsia="zh-CN"/>
              </w:rPr>
              <w:t>、成长</w:t>
            </w:r>
            <w:r>
              <w:rPr>
                <w:rFonts w:hint="eastAsia" w:ascii="宋体" w:hAnsi="宋体" w:cs="宋体"/>
                <w:b/>
                <w:bCs w:val="0"/>
                <w:color w:val="auto"/>
                <w:kern w:val="2"/>
                <w:highlight w:val="none"/>
              </w:rPr>
              <w:t>型</w:t>
            </w:r>
            <w:r>
              <w:rPr>
                <w:rFonts w:hint="eastAsia" w:ascii="宋体" w:hAnsi="宋体" w:cs="宋体"/>
                <w:b/>
                <w:bCs w:val="0"/>
                <w:color w:val="auto"/>
                <w:kern w:val="2"/>
                <w:highlight w:val="none"/>
                <w:lang w:eastAsia="zh-CN"/>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382"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4755" w:type="dxa"/>
            <w:noWrap w:val="0"/>
            <w:vAlign w:val="top"/>
          </w:tcPr>
          <w:p>
            <w:pPr>
              <w:pStyle w:val="18"/>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lang w:eastAsia="zh-CN"/>
              </w:rPr>
              <w:t>进取型</w:t>
            </w:r>
          </w:p>
        </w:tc>
      </w:tr>
    </w:tbl>
    <w:p>
      <w:pPr>
        <w:pStyle w:val="18"/>
        <w:adjustRightInd/>
        <w:spacing w:line="360" w:lineRule="auto"/>
        <w:ind w:firstLine="480" w:firstLineChars="200"/>
        <w:rPr>
          <w:rFonts w:hint="default" w:ascii="宋体" w:hAnsi="宋体" w:cs="宋体"/>
          <w:bCs/>
          <w:color w:val="auto"/>
          <w:kern w:val="2"/>
          <w:highlight w:val="none"/>
          <w:lang w:val="en-US" w:eastAsia="zh-CN"/>
        </w:rPr>
      </w:pPr>
      <w:r>
        <w:rPr>
          <w:rFonts w:hint="eastAsia" w:ascii="宋体" w:hAnsi="宋体" w:cs="宋体"/>
          <w:bCs/>
          <w:color w:val="auto"/>
          <w:kern w:val="2"/>
          <w:highlight w:val="none"/>
          <w:lang w:eastAsia="zh-CN"/>
        </w:rPr>
        <w:t>投资者风险承受能力评级水平以销售机构评估为准。</w:t>
      </w:r>
    </w:p>
    <w:p>
      <w:pPr>
        <w:pStyle w:val="18"/>
        <w:adjustRightInd/>
        <w:spacing w:line="360" w:lineRule="auto"/>
        <w:rPr>
          <w:rFonts w:hint="eastAsia" w:ascii="宋体" w:hAnsi="宋体" w:cs="宋体"/>
          <w:b/>
          <w:color w:val="auto"/>
          <w:kern w:val="2"/>
          <w:highlight w:val="none"/>
        </w:rPr>
      </w:pPr>
    </w:p>
    <w:p>
      <w:pPr>
        <w:pStyle w:val="18"/>
        <w:numPr>
          <w:ilvl w:val="0"/>
          <w:numId w:val="10"/>
        </w:numPr>
        <w:adjustRightInd/>
        <w:spacing w:line="360" w:lineRule="auto"/>
        <w:outlineLvl w:val="1"/>
        <w:rPr>
          <w:rFonts w:hint="eastAsia" w:ascii="宋体" w:hAnsi="宋体" w:cs="宋体"/>
          <w:b/>
          <w:color w:val="auto"/>
          <w:kern w:val="2"/>
          <w:highlight w:val="none"/>
        </w:rPr>
      </w:pPr>
      <w:r>
        <w:rPr>
          <w:rFonts w:hint="eastAsia" w:ascii="宋体" w:hAnsi="宋体" w:cs="宋体"/>
          <w:b/>
          <w:color w:val="auto"/>
          <w:kern w:val="2"/>
          <w:highlight w:val="none"/>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产品名称</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杭银理财幸福99</w:t>
            </w:r>
            <w:r>
              <w:rPr>
                <w:rFonts w:hint="eastAsia" w:ascii="宋体" w:hAnsi="宋体" w:cs="宋体"/>
                <w:bCs/>
                <w:sz w:val="21"/>
                <w:szCs w:val="21"/>
                <w:highlight w:val="none"/>
                <w:lang w:eastAsia="zh-CN"/>
              </w:rPr>
              <w:t>半年添益2008期</w:t>
            </w:r>
            <w:r>
              <w:rPr>
                <w:rFonts w:hint="eastAsia" w:ascii="宋体" w:hAnsi="宋体" w:cs="宋体"/>
                <w:sz w:val="21"/>
                <w:szCs w:val="21"/>
                <w:highlight w:val="none"/>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产品简称</w:t>
            </w:r>
          </w:p>
        </w:tc>
        <w:tc>
          <w:tcPr>
            <w:tcW w:w="7185" w:type="dxa"/>
            <w:noWrap w:val="0"/>
            <w:vAlign w:val="center"/>
          </w:tcPr>
          <w:p>
            <w:pPr>
              <w:widowControl/>
              <w:spacing w:line="360" w:lineRule="auto"/>
              <w:contextualSpacing/>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半年添益2008期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sz w:val="21"/>
                <w:szCs w:val="21"/>
                <w:highlight w:val="none"/>
              </w:rPr>
            </w:pPr>
            <w:r>
              <w:rPr>
                <w:rFonts w:hint="eastAsia" w:ascii="宋体" w:hAnsi="宋体" w:cs="宋体"/>
                <w:sz w:val="21"/>
                <w:szCs w:val="21"/>
                <w:highlight w:val="none"/>
              </w:rPr>
              <w:t>产品编号</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lang w:val="en-US" w:eastAsia="zh-CN"/>
              </w:rPr>
              <w:t>TYG6M2008</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登记编码</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本理财计划在全国银行业理财信息登记系统的原登记编码是〖C1092020000264〗</w:t>
            </w:r>
            <w:r>
              <w:rPr>
                <w:rFonts w:hint="eastAsia" w:ascii="宋体" w:hAnsi="宋体" w:cs="宋体"/>
                <w:color w:val="000000"/>
                <w:kern w:val="0"/>
                <w:highlight w:val="none"/>
              </w:rPr>
              <w:t>，</w:t>
            </w:r>
            <w:r>
              <w:rPr>
                <w:rFonts w:hint="eastAsia" w:ascii="宋体" w:hAnsi="宋体" w:cs="宋体"/>
                <w:color w:val="000000"/>
                <w:sz w:val="21"/>
                <w:szCs w:val="21"/>
                <w:highlight w:val="none"/>
              </w:rPr>
              <w:t>变更登记后为〖Z7002221000092〗，投资者可依据该编码在“中国理财网（www.chinawealth.com.cn）”查询本理财计划信息。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发行对象</w:t>
            </w:r>
          </w:p>
        </w:tc>
        <w:tc>
          <w:tcPr>
            <w:tcW w:w="7185" w:type="dxa"/>
            <w:noWrap w:val="0"/>
            <w:vAlign w:val="center"/>
          </w:tcPr>
          <w:p>
            <w:pPr>
              <w:widowControl/>
              <w:spacing w:line="360" w:lineRule="auto"/>
              <w:contextualSpacing/>
              <w:rPr>
                <w:rFonts w:hint="eastAsia" w:ascii="宋体" w:hAnsi="宋体" w:cs="宋体"/>
                <w:bCs/>
                <w:color w:val="auto"/>
                <w:kern w:val="2"/>
                <w:sz w:val="21"/>
                <w:szCs w:val="21"/>
                <w:highlight w:val="none"/>
                <w:lang w:eastAsia="zh-CN"/>
              </w:rPr>
            </w:pPr>
            <w:r>
              <w:rPr>
                <w:rFonts w:hint="eastAsia" w:ascii="宋体" w:hAnsi="宋体" w:cs="宋体"/>
                <w:color w:val="000000"/>
                <w:sz w:val="21"/>
                <w:szCs w:val="21"/>
                <w:highlight w:val="none"/>
              </w:rPr>
              <w:t>本理财计划适合</w:t>
            </w:r>
            <w:r>
              <w:rPr>
                <w:rFonts w:hint="eastAsia" w:ascii="宋体" w:hAnsi="宋体" w:cs="宋体"/>
                <w:b/>
                <w:sz w:val="21"/>
                <w:szCs w:val="21"/>
                <w:highlight w:val="none"/>
              </w:rPr>
              <w:t>〖</w:t>
            </w:r>
            <w:r>
              <w:rPr>
                <w:rFonts w:hint="eastAsia" w:ascii="宋体" w:hAnsi="宋体" w:cs="宋体"/>
                <w:b/>
                <w:color w:val="000000"/>
                <w:sz w:val="21"/>
                <w:szCs w:val="21"/>
                <w:highlight w:val="none"/>
              </w:rPr>
              <w:t>机构投资者</w:t>
            </w:r>
            <w:r>
              <w:rPr>
                <w:rFonts w:hint="eastAsia" w:ascii="宋体" w:hAnsi="宋体" w:cs="宋体"/>
                <w:b/>
                <w:sz w:val="21"/>
                <w:szCs w:val="21"/>
                <w:highlight w:val="none"/>
              </w:rPr>
              <w:t>〗</w:t>
            </w:r>
            <w:r>
              <w:rPr>
                <w:rFonts w:hint="eastAsia" w:ascii="宋体" w:hAnsi="宋体" w:cs="宋体"/>
                <w:b/>
                <w:color w:val="000000"/>
                <w:sz w:val="21"/>
                <w:szCs w:val="21"/>
                <w:highlight w:val="none"/>
              </w:rPr>
              <w:t>以及</w:t>
            </w:r>
            <w:r>
              <w:rPr>
                <w:rFonts w:hint="eastAsia" w:ascii="宋体" w:hAnsi="宋体" w:cs="宋体"/>
                <w:b/>
                <w:sz w:val="21"/>
                <w:szCs w:val="21"/>
                <w:highlight w:val="none"/>
              </w:rPr>
              <w:t>〖稳健型、平衡型、成长型、进取型〗</w:t>
            </w:r>
            <w:r>
              <w:rPr>
                <w:rFonts w:hint="eastAsia" w:ascii="宋体" w:hAnsi="宋体" w:cs="宋体"/>
                <w:b/>
                <w:color w:val="000000"/>
                <w:sz w:val="21"/>
                <w:szCs w:val="21"/>
                <w:highlight w:val="none"/>
              </w:rPr>
              <w:t>的个人投资者。</w:t>
            </w:r>
            <w:r>
              <w:rPr>
                <w:rFonts w:hint="eastAsia" w:ascii="宋体" w:hAnsi="宋体" w:cs="宋体"/>
                <w:bCs/>
                <w:color w:val="auto"/>
                <w:kern w:val="2"/>
                <w:sz w:val="21"/>
                <w:szCs w:val="21"/>
                <w:highlight w:val="none"/>
                <w:lang w:eastAsia="zh-CN"/>
              </w:rPr>
              <w:t>投资者风险承受能力评级水平以销售机构评估为准。</w:t>
            </w:r>
          </w:p>
          <w:p>
            <w:pPr>
              <w:widowControl/>
              <w:spacing w:line="360" w:lineRule="auto"/>
              <w:contextualSpacing/>
              <w:rPr>
                <w:rFonts w:hint="eastAsia" w:ascii="宋体" w:hAnsi="宋体" w:cs="宋体"/>
                <w:color w:val="auto"/>
                <w:sz w:val="21"/>
                <w:szCs w:val="21"/>
                <w:highlight w:val="none"/>
                <w:lang w:eastAsia="zh-CN"/>
              </w:rPr>
            </w:pPr>
            <w:r>
              <w:rPr>
                <w:rFonts w:hint="eastAsia" w:ascii="宋体" w:hAnsi="宋体" w:cs="宋体"/>
                <w:b w:val="0"/>
                <w:bCs/>
                <w:color w:val="auto"/>
                <w:sz w:val="21"/>
                <w:szCs w:val="21"/>
                <w:highlight w:val="none"/>
                <w:lang w:val="en-US" w:eastAsia="zh-CN"/>
              </w:rPr>
              <w:t>A份额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TYG6M2008</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p>
            <w:pPr>
              <w:widowControl/>
              <w:spacing w:line="360" w:lineRule="auto"/>
              <w:contextualSpacing/>
              <w:rPr>
                <w:rFonts w:hint="default" w:ascii="宋体" w:hAnsi="宋体" w:cs="宋体"/>
                <w:bCs/>
                <w:color w:val="auto"/>
                <w:kern w:val="2"/>
                <w:sz w:val="21"/>
                <w:szCs w:val="21"/>
                <w:highlight w:val="none"/>
                <w:lang w:val="en-US" w:eastAsia="zh-CN"/>
              </w:rPr>
            </w:pPr>
            <w:r>
              <w:rPr>
                <w:rFonts w:hint="eastAsia" w:ascii="宋体" w:hAnsi="宋体" w:cs="宋体"/>
                <w:color w:val="auto"/>
                <w:sz w:val="21"/>
                <w:szCs w:val="21"/>
                <w:highlight w:val="none"/>
                <w:lang w:val="en-US" w:eastAsia="zh-CN"/>
              </w:rPr>
              <w:t>W份额</w:t>
            </w:r>
            <w:r>
              <w:rPr>
                <w:rFonts w:hint="eastAsia" w:ascii="宋体" w:hAnsi="宋体" w:cs="宋体"/>
                <w:b w:val="0"/>
                <w:bCs/>
                <w:color w:val="auto"/>
                <w:sz w:val="21"/>
                <w:szCs w:val="21"/>
                <w:highlight w:val="none"/>
                <w:lang w:eastAsia="zh-CN"/>
              </w:rPr>
              <w:t>（销售代码〖</w:t>
            </w:r>
            <w:r>
              <w:rPr>
                <w:rFonts w:hint="eastAsia" w:ascii="宋体" w:hAnsi="宋体" w:cs="宋体"/>
                <w:color w:val="000000"/>
                <w:sz w:val="21"/>
                <w:szCs w:val="21"/>
                <w:highlight w:val="none"/>
                <w:lang w:val="en-US" w:eastAsia="zh-CN"/>
              </w:rPr>
              <w:t>TYG6M2008W</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面向</w:t>
            </w:r>
            <w:r>
              <w:rPr>
                <w:rFonts w:hint="eastAsia" w:ascii="宋体" w:hAnsi="宋体" w:cs="宋体"/>
                <w:b w:val="0"/>
                <w:bCs/>
                <w:color w:val="auto"/>
                <w:sz w:val="21"/>
                <w:szCs w:val="21"/>
                <w:highlight w:val="none"/>
                <w:lang w:eastAsia="zh-CN"/>
              </w:rPr>
              <w:t>〖普通个人投资者和机构客户〗发售</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发行方式</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产品类型</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sz w:val="21"/>
                <w:szCs w:val="21"/>
                <w:highlight w:val="none"/>
                <w:lang w:val="en-US" w:eastAsia="zh-CN"/>
              </w:rPr>
              <w:t>固定收益类</w:t>
            </w:r>
            <w:r>
              <w:rPr>
                <w:rFonts w:hint="eastAsia" w:ascii="宋体" w:hAnsi="宋体" w:cs="宋体"/>
                <w:sz w:val="21"/>
                <w:szCs w:val="21"/>
                <w:highlight w:val="none"/>
              </w:rPr>
              <w:t>〗</w:t>
            </w:r>
            <w:r>
              <w:rPr>
                <w:rFonts w:hint="eastAsia" w:ascii="宋体" w:hAnsi="宋体" w:cs="宋体"/>
                <w:color w:val="000000"/>
                <w:sz w:val="21"/>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运作模式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分级产品</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否</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销售范围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全国</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可通过</w:t>
            </w:r>
            <w:r>
              <w:rPr>
                <w:rFonts w:hint="eastAsia" w:ascii="宋体" w:hAnsi="宋体" w:cs="宋体"/>
                <w:color w:val="000000"/>
                <w:sz w:val="21"/>
                <w:szCs w:val="21"/>
                <w:highlight w:val="none"/>
                <w:lang w:eastAsia="zh-CN"/>
              </w:rPr>
              <w:t>杭银理财直销渠道和代理</w:t>
            </w:r>
            <w:r>
              <w:rPr>
                <w:rFonts w:hint="eastAsia" w:ascii="宋体" w:hAnsi="宋体" w:cs="宋体"/>
                <w:color w:val="000000"/>
                <w:sz w:val="21"/>
                <w:szCs w:val="21"/>
                <w:highlight w:val="none"/>
              </w:rPr>
              <w:t>销售机构的</w:t>
            </w:r>
            <w:r>
              <w:rPr>
                <w:rFonts w:hint="eastAsia" w:ascii="宋体" w:hAnsi="宋体" w:cs="宋体"/>
                <w:sz w:val="21"/>
                <w:szCs w:val="21"/>
                <w:highlight w:val="none"/>
              </w:rPr>
              <w:t>〖</w:t>
            </w:r>
            <w:r>
              <w:rPr>
                <w:rFonts w:hint="eastAsia" w:ascii="宋体" w:hAnsi="宋体" w:cs="宋体"/>
                <w:color w:val="000000"/>
                <w:sz w:val="21"/>
                <w:szCs w:val="21"/>
                <w:highlight w:val="none"/>
              </w:rPr>
              <w:t>营业网点、网上银行、手机银行</w:t>
            </w:r>
            <w:r>
              <w:rPr>
                <w:rFonts w:hint="eastAsia" w:ascii="宋体" w:hAnsi="宋体" w:cs="宋体"/>
                <w:sz w:val="21"/>
                <w:szCs w:val="21"/>
                <w:highlight w:val="none"/>
              </w:rPr>
              <w:t>〗</w:t>
            </w:r>
            <w:r>
              <w:rPr>
                <w:rFonts w:hint="eastAsia" w:ascii="宋体" w:hAnsi="宋体" w:cs="宋体"/>
                <w:color w:val="000000"/>
                <w:sz w:val="21"/>
                <w:szCs w:val="21"/>
                <w:highlight w:val="none"/>
              </w:rPr>
              <w:t>等渠道购买</w:t>
            </w:r>
            <w:r>
              <w:rPr>
                <w:rFonts w:hint="eastAsia" w:ascii="宋体" w:hAnsi="宋体" w:cs="宋体"/>
                <w:color w:val="000000"/>
                <w:sz w:val="21"/>
                <w:szCs w:val="21"/>
                <w:highlight w:val="none"/>
                <w:lang w:eastAsia="zh-CN"/>
              </w:rPr>
              <w:t>，通过</w:t>
            </w:r>
            <w:r>
              <w:rPr>
                <w:rFonts w:hint="eastAsia" w:ascii="宋体" w:hAnsi="宋体" w:cs="宋体"/>
                <w:color w:val="000000"/>
                <w:sz w:val="21"/>
                <w:szCs w:val="21"/>
                <w:highlight w:val="none"/>
                <w:lang w:val="en-US" w:eastAsia="zh-CN"/>
              </w:rPr>
              <w:t>代理销售机构购买的，具体销售渠道以代理销售机构披露为准</w:t>
            </w:r>
            <w:r>
              <w:rPr>
                <w:rFonts w:hint="eastAsia" w:ascii="宋体" w:hAnsi="宋体" w:cs="宋体"/>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交易币种</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sz w:val="21"/>
                <w:szCs w:val="21"/>
                <w:highlight w:val="none"/>
              </w:rPr>
              <w:t>〖</w:t>
            </w:r>
            <w:r>
              <w:rPr>
                <w:rFonts w:hint="eastAsia" w:ascii="宋体" w:hAnsi="宋体" w:cs="宋体"/>
                <w:color w:val="000000"/>
                <w:sz w:val="21"/>
                <w:szCs w:val="21"/>
                <w:highlight w:val="none"/>
              </w:rPr>
              <w:t>人民币</w:t>
            </w:r>
            <w:r>
              <w:rPr>
                <w:rFonts w:hint="eastAsia" w:ascii="宋体" w:hAnsi="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发行规模上限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100</w:t>
            </w:r>
            <w:r>
              <w:rPr>
                <w:rFonts w:hint="eastAsia" w:ascii="宋体" w:hAnsi="宋体" w:cs="宋体"/>
                <w:color w:val="000000"/>
                <w:sz w:val="21"/>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4</w:t>
            </w:r>
            <w:r>
              <w:rPr>
                <w:rFonts w:hint="eastAsia" w:ascii="宋体" w:hAnsi="宋体" w:cs="宋体"/>
                <w:color w:val="000000"/>
                <w:sz w:val="21"/>
                <w:szCs w:val="21"/>
                <w:highlight w:val="none"/>
              </w:rPr>
              <w:t>〗日-〖</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10</w:t>
            </w:r>
            <w:r>
              <w:rPr>
                <w:rFonts w:hint="eastAsia" w:ascii="宋体" w:hAnsi="宋体" w:cs="宋体"/>
                <w:color w:val="000000"/>
                <w:sz w:val="21"/>
                <w:szCs w:val="21"/>
                <w:highlight w:val="none"/>
              </w:rPr>
              <w:t>〗日</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认购时间</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认购期首日〖9：00〗至认购结束日〖17：00〗</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成立日</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2020</w:t>
            </w:r>
            <w:r>
              <w:rPr>
                <w:rFonts w:hint="eastAsia" w:ascii="宋体" w:hAnsi="宋体" w:cs="宋体"/>
                <w:color w:val="000000"/>
                <w:sz w:val="21"/>
                <w:szCs w:val="21"/>
                <w:highlight w:val="none"/>
              </w:rPr>
              <w:t>〗年〖</w:t>
            </w: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〗月〖</w:t>
            </w:r>
            <w:r>
              <w:rPr>
                <w:rFonts w:hint="eastAsia" w:ascii="宋体" w:hAnsi="宋体" w:cs="宋体"/>
                <w:color w:val="000000"/>
                <w:sz w:val="21"/>
                <w:szCs w:val="21"/>
                <w:highlight w:val="none"/>
                <w:lang w:val="en-US" w:eastAsia="zh-CN"/>
              </w:rPr>
              <w:t>11</w:t>
            </w:r>
            <w:r>
              <w:rPr>
                <w:rFonts w:hint="eastAsia" w:ascii="宋体" w:hAnsi="宋体" w:cs="宋体"/>
                <w:color w:val="00000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理财期限</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认购/申购</w:t>
            </w:r>
          </w:p>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起点金额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color w:val="auto"/>
                <w:sz w:val="21"/>
                <w:szCs w:val="21"/>
                <w:highlight w:val="none"/>
              </w:rPr>
              <w:t>〗</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kern w:val="0"/>
                <w:sz w:val="21"/>
                <w:szCs w:val="21"/>
                <w:highlight w:val="none"/>
                <w:lang w:val="en-US" w:eastAsia="zh-CN"/>
              </w:rPr>
            </w:pPr>
            <w:r>
              <w:rPr>
                <w:rFonts w:hint="eastAsia" w:ascii="宋体" w:hAnsi="宋体" w:cs="宋体"/>
                <w:color w:val="auto"/>
                <w:kern w:val="2"/>
                <w:sz w:val="21"/>
                <w:szCs w:val="21"/>
                <w:highlight w:val="none"/>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认购份额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产品成立</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highlight w:val="none"/>
              </w:rPr>
              <w:t>〖</w:t>
            </w:r>
            <w:r>
              <w:rPr>
                <w:rFonts w:hint="eastAsia" w:ascii="宋体" w:hAnsi="宋体" w:cs="宋体"/>
                <w:sz w:val="21"/>
                <w:szCs w:val="21"/>
                <w:highlight w:val="none"/>
                <w:lang w:val="en-US" w:eastAsia="zh-CN"/>
              </w:rPr>
              <w:t>2000</w:t>
            </w:r>
            <w:r>
              <w:rPr>
                <w:rFonts w:hint="eastAsia" w:ascii="宋体" w:hAnsi="宋体" w:cs="宋体"/>
                <w:sz w:val="21"/>
                <w:szCs w:val="21"/>
                <w:highlight w:val="none"/>
              </w:rPr>
              <w:t>〗</w:t>
            </w:r>
            <w:r>
              <w:rPr>
                <w:rFonts w:hint="eastAsia" w:ascii="宋体" w:hAnsi="宋体" w:cs="宋体"/>
                <w:color w:val="000000"/>
                <w:sz w:val="21"/>
                <w:szCs w:val="21"/>
                <w:highlight w:val="none"/>
              </w:rPr>
              <w:t>万元，则管理人可宣布本理财计划不成立并在原定理财计划成立日</w:t>
            </w:r>
            <w:r>
              <w:rPr>
                <w:rFonts w:hint="eastAsia" w:ascii="宋体" w:hAnsi="宋体" w:cs="宋体"/>
                <w:color w:val="000000"/>
                <w:sz w:val="21"/>
                <w:szCs w:val="21"/>
                <w:highlight w:val="none"/>
                <w:lang w:val="en-US" w:eastAsia="zh-CN"/>
              </w:rPr>
              <w:t>当日</w:t>
            </w:r>
            <w:r>
              <w:rPr>
                <w:rFonts w:hint="eastAsia" w:ascii="宋体" w:hAnsi="宋体" w:cs="宋体"/>
                <w:color w:val="000000"/>
                <w:sz w:val="21"/>
                <w:szCs w:val="21"/>
                <w:highlight w:val="none"/>
              </w:rPr>
              <w:t>通过管理人或销售机构发布不成立信息，投资者购买的理财资金将在原定成立日后2个工作日内划转至投资者指定理财账户，</w:t>
            </w:r>
            <w:r>
              <w:rPr>
                <w:rFonts w:hint="eastAsia" w:ascii="宋体" w:hAnsi="宋体" w:cs="宋体"/>
                <w:b/>
                <w:color w:val="000000"/>
                <w:sz w:val="21"/>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开放期</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理财计划</w:t>
            </w:r>
            <w:r>
              <w:rPr>
                <w:rFonts w:hint="eastAsia" w:ascii="宋体" w:hAnsi="宋体" w:cs="宋体"/>
                <w:sz w:val="21"/>
                <w:szCs w:val="21"/>
                <w:highlight w:val="none"/>
                <w:lang w:val="en-US" w:eastAsia="zh-CN"/>
              </w:rPr>
              <w:t>〖每半年〗开放一次，具体开放期将以管理人公告为准。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交易时间</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rPr>
              <w:t>1.本理财计划在每个开放期的开放日工作时间均可进行申购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，申购</w:t>
            </w:r>
            <w:r>
              <w:rPr>
                <w:rFonts w:hint="eastAsia" w:ascii="宋体" w:hAnsi="宋体" w:cs="宋体"/>
                <w:color w:val="000000"/>
                <w:sz w:val="21"/>
                <w:szCs w:val="21"/>
                <w:highlight w:val="none"/>
                <w:lang w:val="en-US" w:eastAsia="zh-CN"/>
              </w:rPr>
              <w:t>和赎回</w:t>
            </w:r>
            <w:r>
              <w:rPr>
                <w:rFonts w:hint="eastAsia" w:ascii="宋体" w:hAnsi="宋体" w:cs="宋体"/>
                <w:color w:val="000000"/>
                <w:sz w:val="21"/>
                <w:szCs w:val="21"/>
                <w:highlight w:val="none"/>
              </w:rPr>
              <w:t>申请将在确认日，即开放期后的第</w:t>
            </w:r>
            <w:r>
              <w:rPr>
                <w:rFonts w:hint="eastAsia" w:ascii="宋体" w:hAnsi="宋体" w:cs="宋体"/>
                <w:sz w:val="21"/>
                <w:szCs w:val="21"/>
                <w:highlight w:val="none"/>
              </w:rPr>
              <w:t>〖1〗个</w:t>
            </w:r>
            <w:r>
              <w:rPr>
                <w:rFonts w:hint="eastAsia" w:ascii="宋体" w:hAnsi="宋体" w:cs="宋体"/>
                <w:bCs/>
                <w:sz w:val="21"/>
                <w:szCs w:val="21"/>
                <w:highlight w:val="none"/>
              </w:rPr>
              <w:t>工作日进行确认。</w:t>
            </w:r>
            <w:r>
              <w:rPr>
                <w:rFonts w:hint="eastAsia" w:ascii="宋体" w:hAnsi="宋体" w:cs="宋体"/>
                <w:color w:val="000000"/>
                <w:sz w:val="21"/>
                <w:szCs w:val="21"/>
                <w:highlight w:val="none"/>
              </w:rPr>
              <w:t>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color w:val="000000"/>
                <w:kern w:val="0"/>
                <w:sz w:val="21"/>
                <w:szCs w:val="21"/>
                <w:highlight w:val="none"/>
              </w:rPr>
            </w:pPr>
            <w:r>
              <w:rPr>
                <w:rFonts w:hint="eastAsia" w:ascii="宋体" w:hAnsi="宋体" w:cs="宋体"/>
                <w:color w:val="000000"/>
                <w:sz w:val="21"/>
                <w:szCs w:val="21"/>
                <w:highlight w:val="none"/>
                <w:lang w:val="en-US" w:eastAsia="zh-CN"/>
              </w:rPr>
              <w:t>2</w:t>
            </w:r>
            <w:r>
              <w:rPr>
                <w:rFonts w:hint="eastAsia" w:ascii="宋体" w:hAnsi="宋体" w:cs="宋体"/>
                <w:color w:val="000000"/>
                <w:sz w:val="21"/>
                <w:szCs w:val="21"/>
                <w:highlight w:val="none"/>
              </w:rPr>
              <w:t>.工作时间为每个工作日上午〖9:00〗至下午〖17:00〗。确认日如遇非工作日，则顺延至</w:t>
            </w:r>
            <w:r>
              <w:rPr>
                <w:rFonts w:hint="eastAsia" w:ascii="宋体" w:hAnsi="宋体" w:cs="宋体"/>
                <w:sz w:val="21"/>
                <w:szCs w:val="21"/>
                <w:highlight w:val="none"/>
              </w:rPr>
              <w:t>〖</w:t>
            </w:r>
            <w:r>
              <w:rPr>
                <w:rFonts w:hint="eastAsia" w:ascii="宋体" w:hAnsi="宋体" w:cs="宋体"/>
                <w:color w:val="000000"/>
                <w:sz w:val="21"/>
                <w:szCs w:val="21"/>
                <w:highlight w:val="none"/>
              </w:rPr>
              <w:t>下一工作日</w:t>
            </w:r>
            <w:r>
              <w:rPr>
                <w:rFonts w:hint="eastAsia" w:ascii="宋体" w:hAnsi="宋体" w:cs="宋体"/>
                <w:sz w:val="21"/>
                <w:szCs w:val="21"/>
                <w:highlight w:val="none"/>
              </w:rPr>
              <w:t>〗</w:t>
            </w:r>
            <w:r>
              <w:rPr>
                <w:rFonts w:hint="eastAsia" w:ascii="宋体" w:hAnsi="宋体" w:cs="宋体"/>
                <w:color w:val="000000"/>
                <w:sz w:val="21"/>
                <w:szCs w:val="21"/>
                <w:highlight w:val="none"/>
              </w:rPr>
              <w:t>。</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3.</w:t>
            </w:r>
            <w:r>
              <w:rPr>
                <w:rFonts w:hint="eastAsia" w:ascii="宋体" w:hAnsi="宋体" w:cs="宋体"/>
                <w:color w:val="000000"/>
                <w:sz w:val="21"/>
                <w:szCs w:val="21"/>
                <w:highlight w:val="none"/>
              </w:rPr>
              <w:t>认购/开放期内提交的交易申请，在产品成立日/确认日前一日下午17:00之前可以撤单。</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4.上述交易安排如有调整，请以管理人公告为准。</w:t>
            </w:r>
          </w:p>
          <w:p>
            <w:pPr>
              <w:widowControl/>
              <w:spacing w:line="360" w:lineRule="auto"/>
              <w:contextualSpacing/>
              <w:rPr>
                <w:rFonts w:hint="default" w:ascii="宋体" w:hAnsi="宋体" w:cs="宋体"/>
                <w:bCs/>
                <w:color w:val="auto"/>
                <w:sz w:val="21"/>
                <w:szCs w:val="21"/>
                <w:highlight w:val="none"/>
                <w:lang w:val="en-US" w:eastAsia="zh-CN"/>
              </w:rPr>
            </w:pPr>
            <w:r>
              <w:rPr>
                <w:rFonts w:hint="eastAsia" w:ascii="宋体" w:hAnsi="宋体" w:cs="宋体"/>
                <w:bCs/>
                <w:sz w:val="21"/>
                <w:szCs w:val="21"/>
              </w:rPr>
              <w:t>5.</w:t>
            </w:r>
            <w:r>
              <w:rPr>
                <w:rFonts w:hint="eastAsia" w:ascii="宋体" w:hAnsi="宋体" w:cs="宋体"/>
                <w:bCs/>
                <w:color w:val="auto"/>
                <w:kern w:val="2"/>
                <w:sz w:val="21"/>
                <w:szCs w:val="21"/>
              </w:rPr>
              <w:t>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巨额赎回</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理财计划存续期内，若理财计划开放日净赎回申请份额超过上一日日终理财计划总份额</w:t>
            </w:r>
            <w:r>
              <w:rPr>
                <w:rFonts w:hint="eastAsia" w:ascii="宋体" w:hAnsi="宋体" w:cs="宋体"/>
                <w:sz w:val="21"/>
                <w:szCs w:val="21"/>
                <w:highlight w:val="none"/>
              </w:rPr>
              <w:t>〖</w:t>
            </w:r>
            <w:r>
              <w:rPr>
                <w:rFonts w:hint="eastAsia" w:ascii="宋体" w:hAnsi="宋体" w:cs="宋体"/>
                <w:color w:val="000000"/>
                <w:sz w:val="21"/>
                <w:szCs w:val="21"/>
                <w:highlight w:val="none"/>
              </w:rPr>
              <w:t>10%</w:t>
            </w:r>
            <w:r>
              <w:rPr>
                <w:rFonts w:hint="eastAsia" w:ascii="宋体" w:hAnsi="宋体" w:cs="宋体"/>
                <w:sz w:val="21"/>
                <w:szCs w:val="21"/>
                <w:highlight w:val="none"/>
              </w:rPr>
              <w:t>〗</w:t>
            </w:r>
            <w:r>
              <w:rPr>
                <w:rFonts w:hint="eastAsia" w:ascii="宋体" w:hAnsi="宋体" w:cs="宋体"/>
                <w:color w:val="000000"/>
                <w:sz w:val="21"/>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单户限额</w:t>
            </w:r>
          </w:p>
        </w:tc>
        <w:tc>
          <w:tcPr>
            <w:tcW w:w="7185" w:type="dxa"/>
            <w:noWrap w:val="0"/>
            <w:vAlign w:val="center"/>
          </w:tcPr>
          <w:p>
            <w:pPr>
              <w:widowControl/>
              <w:spacing w:line="360" w:lineRule="auto"/>
              <w:contextualSpacing/>
              <w:rPr>
                <w:rFonts w:hint="eastAsia" w:ascii="宋体" w:hAnsi="宋体" w:eastAsia="宋体" w:cs="宋体"/>
                <w:color w:val="000000"/>
                <w:sz w:val="21"/>
                <w:szCs w:val="21"/>
                <w:highlight w:val="none"/>
                <w:lang w:val="en-US" w:eastAsia="zh-CN"/>
              </w:rPr>
            </w:pPr>
            <w:r>
              <w:rPr>
                <w:rFonts w:hint="eastAsia" w:ascii="宋体" w:hAnsi="宋体" w:cs="宋体"/>
                <w:sz w:val="21"/>
                <w:szCs w:val="21"/>
                <w:highlight w:val="none"/>
              </w:rPr>
              <w:t>单户最高存续份额为〖</w:t>
            </w:r>
            <w:r>
              <w:rPr>
                <w:rFonts w:hint="eastAsia" w:ascii="宋体" w:hAnsi="宋体" w:cs="宋体"/>
                <w:sz w:val="21"/>
                <w:szCs w:val="21"/>
                <w:highlight w:val="none"/>
                <w:lang w:val="en-US" w:eastAsia="zh-CN"/>
              </w:rPr>
              <w:t>1</w:t>
            </w:r>
            <w:r>
              <w:rPr>
                <w:rFonts w:hint="eastAsia" w:ascii="宋体" w:hAnsi="宋体" w:cs="宋体"/>
                <w:sz w:val="21"/>
                <w:szCs w:val="21"/>
                <w:highlight w:val="none"/>
              </w:rPr>
              <w:t>亿份〗</w:t>
            </w:r>
            <w:r>
              <w:rPr>
                <w:rFonts w:hint="eastAsia" w:ascii="宋体" w:hAnsi="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申购份额</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申购份额=申购金额/确认日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的单位净值。申购</w:t>
            </w:r>
            <w:r>
              <w:rPr>
                <w:rFonts w:hint="eastAsia" w:ascii="宋体" w:hAnsi="宋体" w:cs="宋体"/>
                <w:color w:val="000000"/>
                <w:sz w:val="21"/>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赎回金额</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赎回金额=赎</w:t>
            </w:r>
            <w:r>
              <w:rPr>
                <w:rFonts w:hint="eastAsia" w:ascii="宋体" w:hAnsi="宋体" w:cs="宋体"/>
                <w:bCs/>
                <w:sz w:val="21"/>
                <w:szCs w:val="21"/>
                <w:highlight w:val="none"/>
              </w:rPr>
              <w:t>回份额×确认日</w:t>
            </w:r>
            <w:r>
              <w:rPr>
                <w:rFonts w:hint="eastAsia" w:ascii="宋体" w:hAnsi="宋体" w:cs="宋体"/>
                <w:bCs/>
                <w:sz w:val="21"/>
                <w:szCs w:val="21"/>
                <w:highlight w:val="none"/>
                <w:lang w:eastAsia="zh-CN"/>
              </w:rPr>
              <w:t>前一日</w:t>
            </w:r>
            <w:r>
              <w:rPr>
                <w:rFonts w:hint="eastAsia" w:ascii="宋体" w:hAnsi="宋体" w:cs="宋体"/>
                <w:bCs/>
                <w:sz w:val="21"/>
                <w:szCs w:val="21"/>
                <w:highlight w:val="none"/>
              </w:rPr>
              <w:t>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单位净值=理财计划估值日理财计划总净值/理财计划总份额，单位净值</w:t>
            </w:r>
            <w:r>
              <w:rPr>
                <w:rFonts w:hint="eastAsia" w:ascii="宋体" w:hAnsi="宋体" w:cs="宋体"/>
                <w:sz w:val="21"/>
                <w:szCs w:val="21"/>
                <w:highlight w:val="none"/>
              </w:rPr>
              <w:t>〖</w:t>
            </w:r>
            <w:r>
              <w:rPr>
                <w:rFonts w:hint="eastAsia" w:ascii="宋体" w:hAnsi="宋体" w:cs="宋体"/>
                <w:color w:val="000000"/>
                <w:sz w:val="21"/>
                <w:szCs w:val="21"/>
                <w:highlight w:val="none"/>
              </w:rPr>
              <w:t>保留小数点后</w:t>
            </w:r>
            <w:r>
              <w:rPr>
                <w:rFonts w:hint="eastAsia" w:ascii="宋体" w:hAnsi="宋体" w:cs="宋体"/>
                <w:color w:val="000000"/>
                <w:sz w:val="21"/>
                <w:szCs w:val="21"/>
                <w:highlight w:val="none"/>
                <w:lang w:val="en-US" w:eastAsia="zh-CN"/>
              </w:rPr>
              <w:t>四</w:t>
            </w:r>
            <w:r>
              <w:rPr>
                <w:rFonts w:hint="eastAsia" w:ascii="宋体" w:hAnsi="宋体" w:cs="宋体"/>
                <w:color w:val="000000"/>
                <w:sz w:val="21"/>
                <w:szCs w:val="21"/>
                <w:highlight w:val="none"/>
              </w:rPr>
              <w:t>位</w:t>
            </w:r>
            <w:r>
              <w:rPr>
                <w:rFonts w:hint="eastAsia" w:ascii="宋体" w:hAnsi="宋体" w:cs="宋体"/>
                <w:sz w:val="21"/>
                <w:szCs w:val="21"/>
                <w:highlight w:val="none"/>
              </w:rPr>
              <w:t>〗</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四位后去尾</w:t>
            </w:r>
            <w:r>
              <w:rPr>
                <w:rFonts w:hint="eastAsia" w:ascii="宋体" w:hAnsi="宋体" w:cs="宋体"/>
                <w:color w:val="000000"/>
                <w:sz w:val="21"/>
                <w:szCs w:val="21"/>
                <w:highlight w:val="none"/>
              </w:rPr>
              <w:t>。</w:t>
            </w:r>
          </w:p>
          <w:p>
            <w:pPr>
              <w:widowControl/>
              <w:spacing w:line="360" w:lineRule="auto"/>
              <w:contextualSpacing/>
              <w:rPr>
                <w:rFonts w:hint="eastAsia" w:ascii="宋体" w:hAnsi="宋体" w:cs="宋体"/>
                <w:b/>
                <w:color w:val="000000"/>
                <w:sz w:val="21"/>
                <w:szCs w:val="21"/>
                <w:highlight w:val="none"/>
              </w:rPr>
            </w:pPr>
            <w:r>
              <w:rPr>
                <w:rFonts w:hint="eastAsia" w:ascii="宋体" w:hAnsi="宋体" w:cs="宋体"/>
                <w:color w:val="000000"/>
                <w:sz w:val="21"/>
                <w:szCs w:val="21"/>
                <w:highlight w:val="none"/>
              </w:rPr>
              <w:t>理财计划总净值=理财计划认购总额+理财计划所获总收益-理财计划总费用（包括但不限于</w:t>
            </w:r>
            <w:r>
              <w:rPr>
                <w:rFonts w:hint="eastAsia" w:ascii="宋体" w:hAnsi="宋体" w:cs="宋体"/>
                <w:color w:val="000000"/>
                <w:sz w:val="21"/>
                <w:szCs w:val="21"/>
                <w:highlight w:val="none"/>
                <w:lang w:val="en-US" w:eastAsia="zh-CN"/>
              </w:rPr>
              <w:t>固定</w:t>
            </w:r>
            <w:r>
              <w:rPr>
                <w:rFonts w:hint="eastAsia" w:ascii="宋体" w:hAnsi="宋体" w:cs="宋体"/>
                <w:color w:val="000000"/>
                <w:sz w:val="21"/>
                <w:szCs w:val="21"/>
                <w:highlight w:val="none"/>
              </w:rPr>
              <w:t>管理费、托管费、</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lang w:val="en-US" w:eastAsia="zh-CN"/>
              </w:rPr>
              <w:t>浮动管理费（如有）</w:t>
            </w:r>
            <w:r>
              <w:rPr>
                <w:rFonts w:hint="eastAsia" w:ascii="宋体" w:hAnsi="宋体" w:cs="宋体"/>
                <w:color w:val="000000"/>
                <w:sz w:val="21"/>
                <w:szCs w:val="21"/>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资金与收益支付方式</w:t>
            </w:r>
          </w:p>
        </w:tc>
        <w:tc>
          <w:tcPr>
            <w:tcW w:w="7185" w:type="dxa"/>
            <w:noWrap w:val="0"/>
            <w:vAlign w:val="center"/>
          </w:tcPr>
          <w:p>
            <w:pPr>
              <w:widowControl/>
              <w:spacing w:line="360" w:lineRule="auto"/>
              <w:contextualSpacing/>
              <w:rPr>
                <w:rFonts w:ascii="宋体" w:hAnsi="宋体" w:cs="宋体"/>
                <w:color w:val="000000"/>
                <w:sz w:val="21"/>
                <w:szCs w:val="21"/>
                <w:highlight w:val="none"/>
              </w:rPr>
            </w:pPr>
            <w:r>
              <w:rPr>
                <w:rFonts w:hint="eastAsia" w:ascii="宋体" w:hAnsi="宋体" w:cs="宋体"/>
                <w:color w:val="000000"/>
                <w:sz w:val="21"/>
                <w:szCs w:val="21"/>
                <w:highlight w:val="none"/>
              </w:rPr>
              <w:t>1.赎回资金确认后，最快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2.理财计划到期后，最快</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个工作日，最晚</w:t>
            </w:r>
            <w:r>
              <w:rPr>
                <w:rFonts w:hint="eastAsia" w:ascii="宋体" w:hAnsi="宋体" w:cs="宋体"/>
                <w:sz w:val="21"/>
                <w:szCs w:val="21"/>
                <w:highlight w:val="none"/>
              </w:rPr>
              <w:t>〖</w:t>
            </w:r>
            <w:r>
              <w:rPr>
                <w:rFonts w:hint="eastAsia" w:ascii="宋体" w:hAnsi="宋体" w:cs="宋体"/>
                <w:sz w:val="21"/>
                <w:szCs w:val="21"/>
                <w:highlight w:val="none"/>
                <w:lang w:val="en-US" w:eastAsia="zh-CN"/>
              </w:rPr>
              <w:t>3</w:t>
            </w:r>
            <w:r>
              <w:rPr>
                <w:rFonts w:hint="eastAsia" w:ascii="宋体" w:hAnsi="宋体" w:cs="宋体"/>
                <w:sz w:val="21"/>
                <w:szCs w:val="21"/>
                <w:highlight w:val="none"/>
              </w:rPr>
              <w:t>〗</w:t>
            </w:r>
            <w:r>
              <w:rPr>
                <w:rFonts w:hint="eastAsia" w:ascii="宋体" w:hAnsi="宋体" w:cs="宋体"/>
                <w:color w:val="000000"/>
                <w:sz w:val="21"/>
                <w:szCs w:val="21"/>
                <w:highlight w:val="none"/>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sz w:val="21"/>
                <w:szCs w:val="21"/>
                <w:highlight w:val="none"/>
              </w:rPr>
            </w:pPr>
            <w:r>
              <w:rPr>
                <w:rFonts w:hint="eastAsia" w:ascii="宋体" w:hAnsi="宋体" w:cs="宋体"/>
                <w:color w:val="000000"/>
                <w:sz w:val="21"/>
                <w:szCs w:val="21"/>
                <w:highlight w:val="none"/>
              </w:rPr>
              <w:t>收益分配</w:t>
            </w:r>
          </w:p>
        </w:tc>
        <w:tc>
          <w:tcPr>
            <w:tcW w:w="7185" w:type="dxa"/>
            <w:noWrap w:val="0"/>
            <w:vAlign w:val="center"/>
          </w:tcPr>
          <w:p>
            <w:pPr>
              <w:widowControl/>
              <w:spacing w:line="360" w:lineRule="auto"/>
              <w:contextualSpacing/>
              <w:rPr>
                <w:rFonts w:ascii="宋体" w:hAnsi="宋体" w:cs="宋体"/>
                <w:b/>
                <w:sz w:val="21"/>
                <w:szCs w:val="21"/>
                <w:highlight w:val="none"/>
              </w:rPr>
            </w:pPr>
            <w:r>
              <w:rPr>
                <w:rFonts w:hint="eastAsia" w:ascii="宋体" w:hAnsi="宋体" w:cs="宋体"/>
                <w:color w:val="000000"/>
                <w:sz w:val="21"/>
                <w:szCs w:val="21"/>
                <w:highlight w:val="none"/>
              </w:rPr>
              <w:t>在满足收益分配基准日理财计划份额净值大于1元的情况下，管理人</w:t>
            </w:r>
            <w:r>
              <w:rPr>
                <w:rFonts w:hint="eastAsia" w:ascii="宋体" w:hAnsi="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cs="宋体"/>
                <w:color w:val="000000"/>
                <w:sz w:val="21"/>
                <w:szCs w:val="21"/>
                <w:highlight w:val="none"/>
              </w:rPr>
              <w:t>定期</w:t>
            </w:r>
            <w:r>
              <w:rPr>
                <w:rFonts w:hint="eastAsia" w:ascii="宋体" w:hAnsi="宋体" w:cs="宋体"/>
                <w:sz w:val="21"/>
                <w:szCs w:val="21"/>
                <w:highlight w:val="none"/>
              </w:rPr>
              <w:t>〗</w:t>
            </w:r>
            <w:r>
              <w:rPr>
                <w:rFonts w:hint="eastAsia" w:ascii="宋体" w:hAnsi="宋体" w:cs="宋体"/>
                <w:color w:val="000000"/>
                <w:sz w:val="21"/>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业绩比较基准</w:t>
            </w:r>
          </w:p>
        </w:tc>
        <w:tc>
          <w:tcPr>
            <w:tcW w:w="7185" w:type="dxa"/>
            <w:noWrap w:val="0"/>
            <w:vAlign w:val="center"/>
          </w:tcPr>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contextualSpacing/>
              <w:rPr>
                <w:rFonts w:hint="eastAsia" w:ascii="宋体" w:hAnsi="宋体" w:cs="宋体"/>
                <w:sz w:val="21"/>
                <w:szCs w:val="21"/>
                <w:highlight w:val="none"/>
              </w:rPr>
            </w:pPr>
            <w:r>
              <w:rPr>
                <w:rFonts w:hint="eastAsia" w:ascii="宋体" w:hAnsi="宋体" w:cs="宋体"/>
                <w:sz w:val="21"/>
                <w:szCs w:val="21"/>
                <w:highlight w:val="none"/>
              </w:rPr>
              <w:t>本理财计划〖</w:t>
            </w:r>
            <w:r>
              <w:rPr>
                <w:rFonts w:hint="eastAsia" w:ascii="宋体" w:hAnsi="宋体" w:cs="宋体"/>
                <w:sz w:val="21"/>
                <w:szCs w:val="21"/>
                <w:highlight w:val="none"/>
                <w:lang w:val="en-US" w:eastAsia="zh-CN"/>
              </w:rPr>
              <w:t>W份额</w:t>
            </w:r>
            <w:r>
              <w:rPr>
                <w:rFonts w:hint="eastAsia" w:ascii="宋体" w:hAnsi="宋体" w:cs="宋体"/>
                <w:sz w:val="21"/>
                <w:szCs w:val="21"/>
                <w:highlight w:val="none"/>
              </w:rPr>
              <w:t>〗业绩比较基准为〖</w:t>
            </w:r>
            <w:r>
              <w:rPr>
                <w:rFonts w:hint="eastAsia" w:ascii="宋体" w:hAnsi="宋体" w:cs="宋体"/>
                <w:sz w:val="21"/>
                <w:szCs w:val="21"/>
                <w:highlight w:val="none"/>
                <w:lang w:val="en-US" w:eastAsia="zh-CN"/>
              </w:rPr>
              <w:t>1.90%-2.90%</w:t>
            </w:r>
            <w:r>
              <w:rPr>
                <w:rFonts w:hint="eastAsia" w:ascii="宋体" w:hAnsi="宋体" w:cs="宋体"/>
                <w:sz w:val="21"/>
                <w:szCs w:val="21"/>
                <w:highlight w:val="none"/>
              </w:rPr>
              <w:t>〗（年化）。</w:t>
            </w:r>
          </w:p>
          <w:p>
            <w:pPr>
              <w:widowControl/>
              <w:spacing w:line="360" w:lineRule="auto"/>
              <w:jc w:val="left"/>
              <w:rPr>
                <w:rFonts w:hint="default" w:ascii="宋体" w:hAnsi="宋体" w:eastAsia="宋体" w:cs="宋体"/>
                <w:b/>
                <w:bCs/>
                <w:sz w:val="21"/>
                <w:szCs w:val="21"/>
                <w:highlight w:val="none"/>
                <w:lang w:val="en-US" w:eastAsia="zh-CN"/>
              </w:rPr>
            </w:pPr>
            <w:r>
              <w:rPr>
                <w:rFonts w:hint="eastAsia" w:ascii="宋体" w:hAnsi="宋体" w:cs="宋体"/>
                <w:b/>
                <w:bCs/>
                <w:sz w:val="21"/>
                <w:szCs w:val="21"/>
                <w:highlight w:val="none"/>
              </w:rPr>
              <w:t>业绩基准测算依据：</w:t>
            </w:r>
            <w:r>
              <w:rPr>
                <w:rFonts w:hint="eastAsia" w:ascii="宋体" w:hAnsi="宋体" w:cs="宋体"/>
                <w:b/>
                <w:bCs/>
                <w:sz w:val="21"/>
                <w:szCs w:val="21"/>
                <w:highlight w:val="none"/>
                <w:lang w:val="en-US" w:eastAsia="zh-CN"/>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highlight w:val="none"/>
              </w:rPr>
            </w:pPr>
            <w:r>
              <w:rPr>
                <w:rFonts w:hint="eastAsia" w:ascii="宋体" w:hAnsi="宋体" w:cs="宋体"/>
                <w:sz w:val="21"/>
                <w:szCs w:val="21"/>
                <w:highlight w:val="none"/>
              </w:rPr>
              <w:t>管理人有权根据市场情况及</w:t>
            </w:r>
            <w:r>
              <w:rPr>
                <w:rFonts w:hint="eastAsia" w:ascii="宋体" w:hAnsi="宋体" w:cs="宋体"/>
                <w:sz w:val="21"/>
                <w:szCs w:val="21"/>
                <w:highlight w:val="none"/>
                <w:lang w:eastAsia="zh-CN"/>
              </w:rPr>
              <w:t>理财计划</w:t>
            </w:r>
            <w:r>
              <w:rPr>
                <w:rFonts w:hint="eastAsia" w:ascii="宋体" w:hAnsi="宋体" w:cs="宋体"/>
                <w:sz w:val="21"/>
                <w:szCs w:val="21"/>
                <w:highlight w:val="none"/>
              </w:rPr>
              <w:t>运作情况调整业绩基准，并至少于新业绩基准启用前</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cs="宋体"/>
                <w:kern w:val="0"/>
                <w:sz w:val="21"/>
                <w:szCs w:val="21"/>
                <w:highlight w:val="none"/>
              </w:rPr>
              <w:t>〗</w:t>
            </w:r>
            <w:r>
              <w:rPr>
                <w:rFonts w:hint="eastAsia" w:ascii="宋体" w:hAnsi="宋体" w:cs="宋体"/>
                <w:sz w:val="21"/>
                <w:szCs w:val="21"/>
                <w:highlight w:val="none"/>
              </w:rPr>
              <w:t>个工作日公告。</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
                <w:sz w:val="21"/>
                <w:szCs w:val="21"/>
                <w:highlight w:val="none"/>
              </w:rPr>
              <w:t>本理财计划为净值型理财产品，其业绩表现将随市场波动具有不确定性。</w:t>
            </w:r>
            <w:r>
              <w:rPr>
                <w:rFonts w:hint="eastAsia" w:ascii="宋体" w:hAnsi="宋体" w:cs="宋体"/>
                <w:b/>
                <w:sz w:val="21"/>
                <w:szCs w:val="21"/>
                <w:highlight w:val="none"/>
              </w:rPr>
              <w:t>本理财计划业绩比较基准由管理人根据投资范围及投资策略，结合市场环境因素进行测算而得出。业绩比较基准是管理人基于理财计划收益风险特征、投资策略、过往经验等因素对理财计划业绩设定的投资目标。</w:t>
            </w:r>
            <w:r>
              <w:rPr>
                <w:rFonts w:hint="eastAsia" w:ascii="宋体" w:hAnsi="宋体" w:cs="宋体"/>
                <w:b/>
                <w:sz w:val="21"/>
                <w:szCs w:val="21"/>
                <w:highlight w:val="none"/>
              </w:rPr>
              <w:t>本公司提醒投资者关注，</w:t>
            </w:r>
            <w:r>
              <w:rPr>
                <w:rFonts w:hint="eastAsia" w:ascii="宋体" w:hAnsi="宋体" w:cs="宋体"/>
                <w:b/>
                <w:sz w:val="21"/>
                <w:szCs w:val="21"/>
                <w:highlight w:val="none"/>
              </w:rPr>
              <w:t>业绩比较基准不是预期收益率</w:t>
            </w:r>
            <w:r>
              <w:rPr>
                <w:rFonts w:hint="eastAsia" w:ascii="宋体" w:hAnsi="宋体" w:cs="宋体"/>
                <w:b/>
                <w:sz w:val="21"/>
                <w:szCs w:val="21"/>
                <w:highlight w:val="none"/>
                <w:lang w:eastAsia="zh-CN"/>
              </w:rPr>
              <w:t>，</w:t>
            </w:r>
            <w:r>
              <w:rPr>
                <w:rFonts w:hint="eastAsia" w:ascii="宋体" w:hAnsi="宋体" w:cs="宋体"/>
                <w:b/>
                <w:sz w:val="21"/>
                <w:szCs w:val="21"/>
                <w:highlight w:val="none"/>
              </w:rPr>
              <w:t>业绩比较基准</w:t>
            </w:r>
            <w:r>
              <w:rPr>
                <w:rFonts w:hint="eastAsia" w:ascii="宋体" w:hAnsi="宋体" w:cs="宋体"/>
                <w:b/>
                <w:sz w:val="21"/>
                <w:szCs w:val="21"/>
                <w:highlight w:val="none"/>
              </w:rPr>
              <w:t>并不代表</w:t>
            </w:r>
            <w:r>
              <w:rPr>
                <w:rFonts w:hint="eastAsia" w:ascii="宋体" w:hAnsi="宋体" w:cs="宋体"/>
                <w:b/>
                <w:sz w:val="21"/>
                <w:szCs w:val="21"/>
                <w:highlight w:val="none"/>
                <w:lang w:eastAsia="zh-CN"/>
              </w:rPr>
              <w:t>理财计划的未来表现和</w:t>
            </w:r>
            <w:r>
              <w:rPr>
                <w:rFonts w:hint="eastAsia" w:ascii="宋体" w:hAnsi="宋体" w:cs="宋体"/>
                <w:b/>
                <w:sz w:val="21"/>
                <w:szCs w:val="21"/>
                <w:highlight w:val="none"/>
              </w:rPr>
              <w:t>实际收益率</w:t>
            </w:r>
            <w:r>
              <w:rPr>
                <w:rFonts w:hint="eastAsia" w:ascii="宋体" w:hAnsi="宋体" w:cs="宋体"/>
                <w:b/>
                <w:sz w:val="21"/>
                <w:szCs w:val="21"/>
                <w:highlight w:val="none"/>
                <w:lang w:eastAsia="zh-CN"/>
              </w:rPr>
              <w:t>，不构成对理财计划收益的承诺</w:t>
            </w:r>
            <w:r>
              <w:rPr>
                <w:rFonts w:hint="eastAsia" w:ascii="宋体" w:hAnsi="宋体" w:cs="宋体"/>
                <w:b/>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产品费用</w:t>
            </w:r>
          </w:p>
        </w:tc>
        <w:tc>
          <w:tcPr>
            <w:tcW w:w="7185" w:type="dxa"/>
            <w:noWrap w:val="0"/>
            <w:vAlign w:val="center"/>
          </w:tcPr>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lang w:val="en-US" w:eastAsia="zh-CN"/>
              </w:rPr>
              <w:t>1.</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highlight w:val="none"/>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0.40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2.托管费：收取年化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0.025</w:t>
            </w:r>
            <w:r>
              <w:rPr>
                <w:rFonts w:hint="eastAsia" w:ascii="宋体" w:hAnsi="宋体" w:cs="宋体"/>
                <w:sz w:val="21"/>
                <w:szCs w:val="21"/>
                <w:highlight w:val="none"/>
              </w:rPr>
              <w:t>%〗</w:t>
            </w:r>
            <w:r>
              <w:rPr>
                <w:rFonts w:hint="eastAsia" w:ascii="宋体" w:hAnsi="宋体" w:cs="宋体"/>
                <w:color w:val="000000"/>
                <w:sz w:val="21"/>
                <w:szCs w:val="21"/>
                <w:highlight w:val="none"/>
              </w:rPr>
              <w:t>的托管费。</w:t>
            </w:r>
          </w:p>
          <w:p>
            <w:pPr>
              <w:widowControl/>
              <w:spacing w:line="360" w:lineRule="auto"/>
              <w:contextualSpacing/>
              <w:rPr>
                <w:rFonts w:hint="eastAsia" w:ascii="宋体" w:hAnsi="宋体" w:eastAsia="宋体" w:cs="宋体"/>
                <w:bCs/>
                <w:color w:val="FF0000"/>
                <w:sz w:val="21"/>
                <w:szCs w:val="21"/>
                <w:highlight w:val="none"/>
                <w:lang w:eastAsia="zh-CN"/>
              </w:rPr>
            </w:pPr>
            <w:r>
              <w:rPr>
                <w:rFonts w:hint="eastAsia" w:ascii="宋体" w:hAnsi="宋体" w:cs="宋体"/>
                <w:color w:val="000000"/>
                <w:sz w:val="21"/>
                <w:szCs w:val="21"/>
                <w:highlight w:val="none"/>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0.30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W</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0.20</w:t>
            </w:r>
            <w:r>
              <w:rPr>
                <w:rFonts w:hint="eastAsia" w:ascii="宋体" w:hAnsi="宋体" w:cs="宋体"/>
                <w:sz w:val="21"/>
                <w:szCs w:val="21"/>
                <w:highlight w:val="none"/>
              </w:rPr>
              <w:t>%〗</w:t>
            </w:r>
            <w:r>
              <w:rPr>
                <w:rFonts w:hint="eastAsia" w:ascii="宋体" w:hAnsi="宋体" w:cs="宋体"/>
                <w:color w:val="000000"/>
                <w:sz w:val="21"/>
                <w:szCs w:val="21"/>
                <w:highlight w:val="none"/>
              </w:rPr>
              <w:t>的固定管理费</w:t>
            </w:r>
            <w:r>
              <w:rPr>
                <w:rFonts w:hint="eastAsia" w:ascii="宋体" w:hAnsi="宋体" w:cs="宋体"/>
                <w:color w:val="000000"/>
                <w:sz w:val="21"/>
                <w:szCs w:val="21"/>
                <w:highlight w:val="none"/>
                <w:lang w:eastAsia="zh-CN"/>
              </w:rPr>
              <w:t>。</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4.认购费：本理财计划免除认购费。</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bCs/>
                <w:sz w:val="21"/>
                <w:szCs w:val="21"/>
                <w:highlight w:val="none"/>
              </w:rPr>
              <w:t>5.申购费：</w:t>
            </w:r>
            <w:r>
              <w:rPr>
                <w:rFonts w:hint="eastAsia" w:ascii="宋体" w:hAnsi="宋体" w:cs="宋体"/>
                <w:color w:val="000000"/>
                <w:sz w:val="21"/>
                <w:szCs w:val="21"/>
                <w:highlight w:val="none"/>
              </w:rPr>
              <w:t>本理财计划免除申购费。</w:t>
            </w:r>
          </w:p>
          <w:p>
            <w:pPr>
              <w:widowControl/>
              <w:spacing w:line="360" w:lineRule="auto"/>
              <w:contextualSpacing/>
              <w:rPr>
                <w:rFonts w:ascii="宋体" w:hAnsi="宋体" w:cs="宋体"/>
                <w:bCs/>
                <w:sz w:val="21"/>
                <w:szCs w:val="21"/>
                <w:highlight w:val="none"/>
              </w:rPr>
            </w:pPr>
            <w:r>
              <w:rPr>
                <w:rFonts w:hint="eastAsia" w:ascii="宋体" w:hAnsi="宋体" w:cs="宋体"/>
                <w:bCs/>
                <w:sz w:val="21"/>
                <w:szCs w:val="21"/>
                <w:highlight w:val="none"/>
              </w:rPr>
              <w:t>6.赎回费：</w:t>
            </w:r>
            <w:r>
              <w:rPr>
                <w:rFonts w:hint="eastAsia" w:ascii="宋体" w:hAnsi="宋体" w:cs="宋体"/>
                <w:color w:val="000000"/>
                <w:sz w:val="21"/>
                <w:szCs w:val="21"/>
                <w:highlight w:val="none"/>
              </w:rPr>
              <w:t>本理财计划免除赎回费。</w:t>
            </w:r>
          </w:p>
          <w:p>
            <w:pPr>
              <w:widowControl/>
              <w:spacing w:line="360" w:lineRule="auto"/>
              <w:contextualSpacing/>
              <w:rPr>
                <w:rFonts w:hint="eastAsia" w:ascii="宋体" w:hAnsi="宋体" w:cs="宋体"/>
                <w:bCs/>
                <w:color w:val="FF0000"/>
                <w:sz w:val="21"/>
                <w:szCs w:val="21"/>
                <w:highlight w:val="none"/>
              </w:rPr>
            </w:pPr>
            <w:r>
              <w:rPr>
                <w:rFonts w:hint="eastAsia" w:ascii="宋体" w:hAnsi="宋体" w:cs="宋体"/>
                <w:color w:val="000000"/>
                <w:sz w:val="21"/>
                <w:szCs w:val="21"/>
                <w:highlight w:val="none"/>
              </w:rPr>
              <w:t>7.浮动管理费。管理人根据理财计划投资情况计算浮动管理费，本理财计划投资周期的</w:t>
            </w:r>
            <w:r>
              <w:rPr>
                <w:rFonts w:hint="eastAsia" w:ascii="宋体" w:hAnsi="宋体" w:cs="宋体"/>
                <w:sz w:val="21"/>
                <w:szCs w:val="21"/>
                <w:highlight w:val="none"/>
              </w:rPr>
              <w:t>〖</w:t>
            </w:r>
            <w:r>
              <w:rPr>
                <w:rFonts w:hint="eastAsia" w:ascii="宋体" w:hAnsi="宋体" w:cs="宋体"/>
                <w:color w:val="000000"/>
                <w:sz w:val="21"/>
                <w:szCs w:val="21"/>
                <w:highlight w:val="none"/>
              </w:rPr>
              <w:t>折合年化收益率超过</w:t>
            </w:r>
            <w:r>
              <w:rPr>
                <w:rFonts w:hint="eastAsia" w:ascii="宋体" w:hAnsi="宋体" w:cs="宋体"/>
                <w:color w:val="000000"/>
                <w:sz w:val="21"/>
                <w:szCs w:val="21"/>
                <w:highlight w:val="none"/>
                <w:lang w:val="en-US" w:eastAsia="zh-CN"/>
              </w:rPr>
              <w:t>业绩比较基准上限</w:t>
            </w:r>
            <w:r>
              <w:rPr>
                <w:rFonts w:hint="eastAsia" w:ascii="宋体" w:hAnsi="宋体" w:cs="宋体"/>
                <w:sz w:val="21"/>
                <w:szCs w:val="21"/>
                <w:highlight w:val="none"/>
              </w:rPr>
              <w:t>〗</w:t>
            </w:r>
            <w:r>
              <w:rPr>
                <w:rFonts w:hint="eastAsia" w:ascii="宋体" w:hAnsi="宋体" w:cs="宋体"/>
                <w:color w:val="000000"/>
                <w:sz w:val="21"/>
                <w:szCs w:val="21"/>
                <w:highlight w:val="none"/>
              </w:rPr>
              <w:t>的部分,</w:t>
            </w:r>
            <w:r>
              <w:rPr>
                <w:rFonts w:hint="eastAsia" w:ascii="宋体" w:hAnsi="宋体" w:cs="宋体"/>
                <w:b/>
                <w:color w:val="000000"/>
                <w:sz w:val="21"/>
                <w:szCs w:val="21"/>
                <w:highlight w:val="none"/>
              </w:rPr>
              <w:t>管理人提取</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5</w:t>
            </w:r>
            <w:r>
              <w:rPr>
                <w:rFonts w:hint="eastAsia" w:ascii="宋体" w:hAnsi="宋体" w:cs="宋体"/>
                <w:b/>
                <w:bCs/>
                <w:sz w:val="21"/>
                <w:szCs w:val="21"/>
                <w:highlight w:val="none"/>
                <w:lang w:val="en-US" w:eastAsia="zh-CN"/>
              </w:rPr>
              <w:t>0</w:t>
            </w:r>
            <w:r>
              <w:rPr>
                <w:rFonts w:hint="eastAsia" w:ascii="宋体" w:hAnsi="宋体" w:cs="宋体"/>
                <w:b/>
                <w:bCs/>
                <w:sz w:val="21"/>
                <w:szCs w:val="21"/>
                <w:highlight w:val="none"/>
              </w:rPr>
              <w:t>%〗</w:t>
            </w:r>
            <w:r>
              <w:rPr>
                <w:rFonts w:hint="eastAsia" w:ascii="宋体" w:hAnsi="宋体" w:cs="宋体"/>
                <w:b/>
                <w:color w:val="000000"/>
                <w:sz w:val="21"/>
                <w:szCs w:val="21"/>
                <w:highlight w:val="none"/>
              </w:rPr>
              <w:t>作为浮动管理费。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提前终止</w:t>
            </w:r>
          </w:p>
        </w:tc>
        <w:tc>
          <w:tcPr>
            <w:tcW w:w="7185" w:type="dxa"/>
            <w:noWrap w:val="0"/>
            <w:vAlign w:val="center"/>
          </w:tcPr>
          <w:p>
            <w:pPr>
              <w:widowControl/>
              <w:spacing w:line="360" w:lineRule="auto"/>
              <w:contextualSpacing/>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 w:val="21"/>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税费规定</w:t>
            </w:r>
          </w:p>
        </w:tc>
        <w:tc>
          <w:tcPr>
            <w:tcW w:w="7185" w:type="dxa"/>
            <w:noWrap w:val="0"/>
            <w:vAlign w:val="center"/>
          </w:tcPr>
          <w:p>
            <w:pPr>
              <w:spacing w:line="360" w:lineRule="auto"/>
              <w:outlineLvl w:val="0"/>
              <w:rPr>
                <w:rFonts w:hint="eastAsia" w:ascii="宋体" w:hAnsi="宋体" w:cs="宋体"/>
                <w:color w:val="000000"/>
                <w:sz w:val="21"/>
                <w:szCs w:val="21"/>
                <w:highlight w:val="none"/>
              </w:rPr>
            </w:pPr>
            <w:r>
              <w:rPr>
                <w:rFonts w:hint="eastAsia" w:ascii="宋体" w:hAnsi="宋体" w:cs="宋体"/>
                <w:color w:val="000000"/>
                <w:sz w:val="21"/>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highlight w:val="none"/>
              </w:rPr>
            </w:pPr>
            <w:r>
              <w:rPr>
                <w:rFonts w:hint="eastAsia" w:ascii="宋体" w:hAnsi="宋体" w:cs="宋体"/>
                <w:color w:val="000000"/>
                <w:sz w:val="21"/>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融资服务</w:t>
            </w:r>
          </w:p>
        </w:tc>
        <w:tc>
          <w:tcPr>
            <w:tcW w:w="7185" w:type="dxa"/>
            <w:noWrap w:val="0"/>
            <w:vAlign w:val="bottom"/>
          </w:tcPr>
          <w:p>
            <w:pPr>
              <w:spacing w:line="360" w:lineRule="auto"/>
              <w:rPr>
                <w:rFonts w:hint="eastAsia" w:ascii="宋体" w:hAnsi="宋体" w:cs="宋体"/>
                <w:b/>
                <w:color w:val="000000"/>
                <w:kern w:val="0"/>
                <w:sz w:val="21"/>
                <w:szCs w:val="21"/>
                <w:highlight w:val="none"/>
              </w:rPr>
            </w:pPr>
            <w:r>
              <w:rPr>
                <w:rFonts w:hint="eastAsia" w:ascii="宋体" w:hAnsi="宋体" w:cs="宋体"/>
                <w:b/>
                <w:color w:val="000000"/>
                <w:kern w:val="0"/>
                <w:sz w:val="21"/>
                <w:szCs w:val="21"/>
                <w:highlight w:val="none"/>
              </w:rPr>
              <w:t>投资者在理财期限内不能提前</w:t>
            </w:r>
            <w:r>
              <w:rPr>
                <w:rFonts w:hint="eastAsia" w:ascii="宋体" w:hAnsi="宋体" w:cs="宋体"/>
                <w:b/>
                <w:color w:val="000000"/>
                <w:kern w:val="0"/>
                <w:sz w:val="21"/>
                <w:szCs w:val="21"/>
                <w:highlight w:val="none"/>
                <w:lang w:eastAsia="zh-CN"/>
              </w:rPr>
              <w:t>赎回</w:t>
            </w:r>
            <w:r>
              <w:rPr>
                <w:rFonts w:hint="eastAsia" w:ascii="宋体" w:hAnsi="宋体" w:cs="宋体"/>
                <w:b/>
                <w:color w:val="000000"/>
                <w:kern w:val="0"/>
                <w:sz w:val="21"/>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highlight w:val="none"/>
              </w:rPr>
            </w:pPr>
            <w:r>
              <w:rPr>
                <w:rFonts w:hint="eastAsia" w:ascii="宋体" w:hAnsi="宋体" w:cs="宋体"/>
                <w:color w:val="000000"/>
                <w:sz w:val="21"/>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highlight w:val="none"/>
              </w:rPr>
              <w:t>（具体以销售机构规定为准）</w:t>
            </w:r>
          </w:p>
          <w:p>
            <w:pPr>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sz w:val="24"/>
          <w:highlight w:val="none"/>
        </w:rPr>
      </w:pPr>
    </w:p>
    <w:p>
      <w:pPr>
        <w:numPr>
          <w:ilvl w:val="0"/>
          <w:numId w:val="11"/>
        </w:numPr>
        <w:spacing w:line="360" w:lineRule="auto"/>
        <w:ind w:firstLine="482" w:firstLineChars="200"/>
        <w:outlineLvl w:val="1"/>
        <w:rPr>
          <w:rFonts w:hint="eastAsia"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固定收益类资产：包括但不限于各类债券、存款、货币市场金融工具、债券基金、质押式及买断式回购，其他符合监管要求的固定收益类资产及资产管理产品。</w:t>
      </w:r>
    </w:p>
    <w:p>
      <w:pPr>
        <w:numPr>
          <w:ilvl w:val="0"/>
          <w:numId w:val="1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权益类资产：包括国内发行上市优先股、上市公司股票、定向增发、员工持股计划、以及其他符合监管要求的权益类资产及资产管理产品（不包括未上市企业股权）。</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8"/>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lang w:val="en-US" w:eastAsia="zh-CN"/>
        </w:rPr>
        <w:t>本理财计划可以投资不存在活跃交易市场并且需要采用估值技术确定公允价值的资产，上述资产比例可以达到理财计划净资产的50%以上。</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投资策略</w:t>
      </w:r>
    </w:p>
    <w:p>
      <w:pPr>
        <w:pStyle w:val="18"/>
        <w:spacing w:line="360" w:lineRule="auto"/>
        <w:ind w:firstLine="480" w:firstLineChars="200"/>
        <w:rPr>
          <w:rFonts w:hint="eastAsia" w:ascii="宋体" w:hAnsi="宋体" w:cs="宋体"/>
          <w:b/>
          <w:sz w:val="24"/>
          <w:highlight w:val="none"/>
        </w:rPr>
      </w:pPr>
      <w:r>
        <w:rPr>
          <w:rFonts w:hint="eastAsia" w:ascii="宋体" w:cs="宋体"/>
          <w:sz w:val="24"/>
          <w:szCs w:val="24"/>
          <w:highlight w:val="none"/>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sz w:val="24"/>
          <w:szCs w:val="24"/>
          <w:highlight w:val="none"/>
        </w:rPr>
        <w:t>本产品还可能根据市场行情，在监管政策允许的范围内，在适当的时机投资不高于理财产品总资产的20%的资金于其他资产。</w:t>
      </w:r>
    </w:p>
    <w:p>
      <w:pPr>
        <w:numPr>
          <w:ilvl w:val="0"/>
          <w:numId w:val="1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投资限制</w:t>
      </w:r>
    </w:p>
    <w:p>
      <w:pPr>
        <w:numPr>
          <w:ilvl w:val="0"/>
          <w:numId w:val="0"/>
        </w:numPr>
        <w:spacing w:line="360" w:lineRule="auto"/>
        <w:ind w:leftChars="0" w:firstLine="480" w:firstLineChars="200"/>
        <w:jc w:val="left"/>
        <w:outlineLvl w:val="2"/>
        <w:rPr>
          <w:rFonts w:hint="eastAsia" w:ascii="宋体" w:hAnsi="宋体" w:cs="宋体"/>
          <w:b/>
          <w:sz w:val="24"/>
          <w:highlight w:val="none"/>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投资集中度限制</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管理人</w:t>
      </w:r>
      <w:r>
        <w:rPr>
          <w:rFonts w:hint="eastAsia" w:ascii="宋体" w:hAnsi="宋体" w:cs="宋体"/>
          <w:bCs/>
          <w:sz w:val="24"/>
          <w:highlight w:val="none"/>
        </w:rPr>
        <w:t>发行的全部</w:t>
      </w:r>
      <w:r>
        <w:rPr>
          <w:rFonts w:hint="eastAsia" w:ascii="宋体" w:hAnsi="宋体"/>
          <w:sz w:val="24"/>
          <w:highlight w:val="none"/>
        </w:rPr>
        <w:t>开放式公募</w:t>
      </w:r>
      <w:r>
        <w:rPr>
          <w:rFonts w:hint="eastAsia" w:ascii="宋体" w:hAnsi="宋体" w:cs="宋体"/>
          <w:bCs/>
          <w:sz w:val="24"/>
          <w:highlight w:val="none"/>
        </w:rPr>
        <w:t>理财计划</w:t>
      </w:r>
      <w:r>
        <w:rPr>
          <w:rFonts w:hint="eastAsia" w:ascii="宋体" w:hAnsi="宋体"/>
          <w:sz w:val="24"/>
          <w:highlight w:val="none"/>
        </w:rPr>
        <w:t>投资单一上市公司发行的股票,不得超过该上市公司可流通股票的15%。</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6"/>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17"/>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本理财计划直接投资于流动性受限资产的市值在开放日不得超过该理财计划资产净值的15%。</w:t>
      </w:r>
    </w:p>
    <w:p>
      <w:pPr>
        <w:numPr>
          <w:ilvl w:val="0"/>
          <w:numId w:val="17"/>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本理财计划如定期开放周期不低于90天，应当在开放日及开放日前7个工作日内持有不低于该理财计划资产净值5%的现金或者到期日在一年以内的国债、中央银行票据和政策性金融债券；如定期开放周期低于90天，</w:t>
      </w:r>
      <w:r>
        <w:rPr>
          <w:rFonts w:hint="eastAsia" w:ascii="宋体" w:hAnsi="宋体" w:cs="宋体"/>
          <w:bCs/>
          <w:sz w:val="24"/>
          <w:highlight w:val="none"/>
        </w:rPr>
        <w:t>应当持有不低于该理财</w:t>
      </w:r>
      <w:r>
        <w:rPr>
          <w:rFonts w:hint="eastAsia" w:ascii="宋体" w:hAnsi="宋体" w:cs="宋体"/>
          <w:bCs/>
          <w:sz w:val="24"/>
          <w:highlight w:val="none"/>
          <w:lang w:eastAsia="zh-CN"/>
        </w:rPr>
        <w:t>计划</w:t>
      </w:r>
      <w:r>
        <w:rPr>
          <w:rFonts w:hint="eastAsia" w:ascii="宋体" w:hAnsi="宋体" w:cs="宋体"/>
          <w:bCs/>
          <w:sz w:val="24"/>
          <w:highlight w:val="none"/>
        </w:rPr>
        <w:t>资产净值5%的现金或者到期日在一年以内的国债、中央银行票据和政策性金融债券。</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在开放日前一工作日内，本理财计划7个工作日可变现资产的可变现价值应当不低于该理财计划资产净值的10%。</w:t>
      </w:r>
    </w:p>
    <w:p>
      <w:pPr>
        <w:numPr>
          <w:ilvl w:val="0"/>
          <w:numId w:val="17"/>
        </w:numPr>
        <w:spacing w:line="360" w:lineRule="auto"/>
        <w:ind w:firstLine="480" w:firstLineChars="200"/>
        <w:jc w:val="left"/>
        <w:rPr>
          <w:rFonts w:hint="default" w:ascii="宋体" w:hAnsi="宋体" w:cs="宋体"/>
          <w:bCs/>
          <w:sz w:val="24"/>
          <w:highlight w:val="none"/>
          <w:lang w:val="en-US" w:eastAsia="zh-CN"/>
        </w:rPr>
      </w:pPr>
      <w:r>
        <w:rPr>
          <w:rFonts w:hint="eastAsia" w:ascii="宋体" w:hAnsi="宋体" w:cs="宋体"/>
          <w:bCs/>
          <w:sz w:val="24"/>
          <w:highlight w:val="none"/>
          <w:lang w:val="en-US" w:eastAsia="zh-CN"/>
        </w:rPr>
        <w:t>本理财计划如定期开放周期低于90天，计划投资不存在活跃交易市场，并且需要采用估值技术确定公允价值的资产比例不得超过理财产品净资产50%以上。</w:t>
      </w:r>
    </w:p>
    <w:p>
      <w:pPr>
        <w:numPr>
          <w:ilvl w:val="0"/>
          <w:numId w:val="1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sz w:val="24"/>
          <w:highlight w:val="none"/>
        </w:rPr>
        <w:fldChar w:fldCharType="begin"/>
      </w:r>
      <w:r>
        <w:rPr>
          <w:rFonts w:ascii="宋体" w:hAnsi="宋体" w:cs="宋体"/>
          <w:bCs/>
          <w:sz w:val="24"/>
          <w:highlight w:val="none"/>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sz w:val="24"/>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numPr>
          <w:ilvl w:val="0"/>
          <w:numId w:val="12"/>
        </w:numPr>
        <w:spacing w:line="360" w:lineRule="auto"/>
        <w:ind w:left="0" w:leftChars="0" w:firstLine="482" w:firstLineChars="200"/>
        <w:jc w:val="left"/>
        <w:outlineLvl w:val="2"/>
        <w:rPr>
          <w:rFonts w:hint="eastAsia" w:ascii="宋体" w:hAnsi="宋体" w:cs="宋体"/>
          <w:b/>
          <w:bCs w:val="0"/>
          <w:sz w:val="24"/>
          <w:highlight w:val="none"/>
        </w:rPr>
      </w:pPr>
      <w:r>
        <w:rPr>
          <w:rFonts w:hint="eastAsia" w:ascii="宋体" w:hAnsi="宋体" w:cs="宋体"/>
          <w:b/>
          <w:bCs w:val="0"/>
          <w:sz w:val="24"/>
          <w:highlight w:val="none"/>
          <w:lang w:eastAsia="zh-CN"/>
        </w:rPr>
        <w:t>拟投资市场、资产的流动性风险评估</w:t>
      </w:r>
    </w:p>
    <w:p>
      <w:pPr>
        <w:numPr>
          <w:ilvl w:val="0"/>
          <w:numId w:val="0"/>
        </w:numPr>
        <w:spacing w:line="360" w:lineRule="auto"/>
        <w:ind w:firstLine="480" w:firstLineChars="200"/>
        <w:jc w:val="left"/>
        <w:rPr>
          <w:rFonts w:hint="eastAsia" w:ascii="宋体" w:hAnsi="宋体" w:cs="宋体"/>
          <w:b w:val="0"/>
          <w:bCs/>
          <w:sz w:val="24"/>
          <w:highlight w:val="none"/>
          <w:lang w:val="en-US" w:eastAsia="zh-CN"/>
        </w:rPr>
      </w:pPr>
      <w:r>
        <w:rPr>
          <w:rFonts w:hint="eastAsia" w:ascii="宋体" w:hAnsi="宋体" w:cs="宋体"/>
          <w:b w:val="0"/>
          <w:bCs/>
          <w:sz w:val="24"/>
          <w:highlight w:val="none"/>
          <w:lang w:eastAsia="zh-CN"/>
        </w:rPr>
        <w:t>本理财计划</w:t>
      </w:r>
      <w:r>
        <w:rPr>
          <w:rFonts w:hint="eastAsia" w:ascii="宋体" w:hAnsi="宋体" w:cs="宋体"/>
          <w:b w:val="0"/>
          <w:bCs/>
          <w:sz w:val="24"/>
          <w:highlight w:val="none"/>
          <w:lang w:val="en-US" w:eastAsia="zh-CN"/>
        </w:rPr>
        <w:t>拟投资市场可能面临的流动性风险如下：</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eastAsia="zh-CN"/>
        </w:rPr>
        <w:t>投资于</w:t>
      </w:r>
      <w:r>
        <w:rPr>
          <w:rFonts w:hint="eastAsia" w:ascii="宋体" w:hAnsi="宋体" w:cs="宋体"/>
          <w:bCs/>
          <w:sz w:val="24"/>
          <w:highlight w:val="none"/>
          <w:lang w:val="en-US" w:eastAsia="zh-CN"/>
        </w:rPr>
        <w:t>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1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lang w:val="en-US" w:eastAsia="zh-CN"/>
        </w:rPr>
        <w:t>投资于权益类、其他类资产的可能流动性风险（如有）：权益类、其他类资产包括但不限于上市公司普通股、上市公司优先股、股票基金、股票定向增发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以上风险仅为列举性质，未能详尽列明拟投资市场和资产面临的全部流动性风险</w:t>
      </w:r>
      <w:r>
        <w:rPr>
          <w:rFonts w:hint="default" w:ascii="宋体" w:hAnsi="宋体" w:cs="宋体"/>
          <w:bCs/>
          <w:sz w:val="24"/>
          <w:highlight w:val="none"/>
          <w:lang w:val="en-US" w:eastAsia="zh-CN"/>
        </w:rPr>
        <w:t>可能导致投资者投资本金及收益损失</w:t>
      </w:r>
      <w:r>
        <w:rPr>
          <w:rFonts w:hint="eastAsia" w:ascii="宋体" w:hAnsi="宋体" w:cs="宋体"/>
          <w:bCs/>
          <w:sz w:val="24"/>
          <w:highlight w:val="none"/>
          <w:lang w:val="en-US" w:eastAsia="zh-CN"/>
        </w:rPr>
        <w:t>或延期兑付</w:t>
      </w:r>
      <w:r>
        <w:rPr>
          <w:rFonts w:hint="default" w:ascii="宋体" w:hAnsi="宋体" w:cs="宋体"/>
          <w:bCs/>
          <w:sz w:val="24"/>
          <w:highlight w:val="none"/>
          <w:lang w:val="en-US" w:eastAsia="zh-CN"/>
        </w:rPr>
        <w:t>的所有因素</w:t>
      </w:r>
      <w:r>
        <w:rPr>
          <w:rFonts w:hint="eastAsia" w:ascii="宋体" w:hAnsi="宋体" w:cs="宋体"/>
          <w:bCs/>
          <w:sz w:val="24"/>
          <w:highlight w:val="none"/>
          <w:lang w:val="en-US" w:eastAsia="zh-CN"/>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sz w:val="24"/>
          <w:highlight w:val="none"/>
          <w:lang w:val="en-US" w:eastAsia="zh-CN"/>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合作机构及主要职责</w:t>
      </w:r>
    </w:p>
    <w:p>
      <w:pPr>
        <w:numPr>
          <w:ilvl w:val="0"/>
          <w:numId w:val="21"/>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托管人名称</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托管人住所</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noWrap w:val="0"/>
            <w:vAlign w:val="center"/>
          </w:tcPr>
          <w:p>
            <w:pPr>
              <w:spacing w:line="360" w:lineRule="auto"/>
              <w:jc w:val="center"/>
              <w:rPr>
                <w:rFonts w:hint="eastAsia" w:ascii="宋体" w:hAnsi="宋体" w:cs="宋体"/>
                <w:bCs/>
                <w:sz w:val="21"/>
                <w:szCs w:val="18"/>
                <w:highlight w:val="none"/>
              </w:rPr>
            </w:pPr>
            <w:r>
              <w:rPr>
                <w:rFonts w:hint="eastAsia" w:ascii="宋体" w:hAnsi="宋体" w:cs="宋体"/>
                <w:bCs/>
                <w:sz w:val="21"/>
                <w:szCs w:val="18"/>
                <w:highlight w:val="none"/>
              </w:rPr>
              <w:t>托管人职责</w:t>
            </w:r>
          </w:p>
        </w:tc>
        <w:tc>
          <w:tcPr>
            <w:tcW w:w="6233" w:type="dxa"/>
            <w:noWrap w:val="0"/>
            <w:vAlign w:val="top"/>
          </w:tcPr>
          <w:p>
            <w:pPr>
              <w:spacing w:line="360" w:lineRule="auto"/>
              <w:jc w:val="left"/>
              <w:rPr>
                <w:rFonts w:hint="eastAsia" w:ascii="宋体" w:hAnsi="宋体" w:cs="宋体"/>
                <w:bCs/>
                <w:sz w:val="21"/>
                <w:szCs w:val="18"/>
                <w:highlight w:val="none"/>
              </w:rPr>
            </w:pPr>
            <w:r>
              <w:rPr>
                <w:rFonts w:hint="eastAsia" w:ascii="宋体" w:hAnsi="宋体" w:cs="宋体"/>
                <w:bCs/>
                <w:sz w:val="21"/>
                <w:szCs w:val="18"/>
                <w:highlight w:val="none"/>
              </w:rPr>
              <w:t>主要提供包括账户开立、资金保管、资金结算、估值核对等理财产品托管服务。</w:t>
            </w:r>
          </w:p>
        </w:tc>
      </w:tr>
    </w:tbl>
    <w:p>
      <w:pPr>
        <w:numPr>
          <w:ilvl w:val="0"/>
          <w:numId w:val="22"/>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销售机构</w:t>
      </w:r>
    </w:p>
    <w:tbl>
      <w:tblPr>
        <w:tblStyle w:val="11"/>
        <w:tblW w:w="830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688"/>
        <w:gridCol w:w="1325"/>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restart"/>
            <w:noWrap w:val="0"/>
            <w:vAlign w:val="center"/>
          </w:tcPr>
          <w:p>
            <w:pPr>
              <w:spacing w:line="240" w:lineRule="auto"/>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销售机构</w:t>
            </w:r>
            <w:r>
              <w:rPr>
                <w:rFonts w:hint="eastAsia" w:ascii="宋体" w:hAnsi="宋体" w:eastAsia="宋体" w:cs="宋体"/>
                <w:bCs/>
                <w:sz w:val="21"/>
                <w:szCs w:val="21"/>
                <w:highlight w:val="none"/>
                <w:lang w:val="en-US" w:eastAsia="zh-CN"/>
              </w:rPr>
              <w:t>信息</w:t>
            </w: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cs="宋体"/>
                <w:bCs/>
                <w:sz w:val="21"/>
                <w:szCs w:val="18"/>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兴业银行股份有限公司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福建省福州市台江区江滨中大道398号兴业银行大厦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江苏省南京市中华路26号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厦门市思明区湖滨北路101号商业银行大厦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400-858-8888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厦门国际银行股份有限公司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厦门市思明区鹭江道8-10号国际银行大厦1-6层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400-1623-623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富邦华一银行有限公司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中国(上海)自由贸易试验区世纪大道1168号A座101室、18楼、19楼及20楼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8621—962811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宁波鄞州农村商业银行股份有限公司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浙江省宁波市鄞州区民惠西路88号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深圳前海微众银行股份有限公司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广东省深圳市南山区沙河西路1819号深圳湾科技生态园7栋A座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吉林亿联银行股份有限公司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吉林省长春市南关区人民大街10606号东北亚国际金融中心一期北楼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重庆富民银行股份有限公司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重庆市渝北区财富东路2号涉外商务区一期B1栋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4008－108－999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中信百信银行股份有限公司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北京市朝阳区安定路5号院3号楼8层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956186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aps w:val="0"/>
                <w:color w:val="000000"/>
                <w:spacing w:val="0"/>
                <w:kern w:val="0"/>
                <w:sz w:val="21"/>
                <w:szCs w:val="21"/>
                <w:u w:val="none"/>
                <w:lang w:bidi="ar"/>
              </w:rPr>
              <w:t>江苏苏商银行股份有限公司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南京市建邺区庐山路248号4号楼7、8、9、27、28、29层，4号楼裙楼第1、2层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bCs/>
                <w:i w:val="0"/>
                <w:caps w:val="0"/>
                <w:color w:val="auto"/>
                <w:spacing w:val="0"/>
                <w:sz w:val="21"/>
                <w:szCs w:val="21"/>
                <w:highlight w:val="none"/>
              </w:rPr>
              <w:t>956101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石嘴山银行股份有限公司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宁夏回族自治区石嘴山市大武口区朝阳西街39号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0951-96789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中信银行股份有限公司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北京市朝阳区光华路10号院1号楼6-30层、32-42层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95558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齐鲁银行股份有限公司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山东省济南市历下区经十路10817号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400-609-6588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广东南粤银行股份有限公司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湛江经济技术开发区乐山路27号财富汇金融中心1层01、02号商铺、2层01号商铺、3层01号商铺、39-45层办公室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4000-961818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东莞银行股份有限公司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东莞市莞城区体育路21号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日照银行股份有限公司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日照市烟台路197号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400-68-96588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苏州银行股份有限公司</w:t>
            </w: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江苏省苏州工业园区钟园路728号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杭银理财有限责任公司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澳门国际银行股份有限公司广州分行</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广州市天河区珠江新城华夏路8号合景国际金融广场1层104房、34层3401房、35层3501房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020-28089999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江苏常熟农村商业银行股份有限公司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江苏省常熟市新世纪大道58号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rPr>
            </w:pPr>
            <w:r>
              <w:rPr>
                <w:rFonts w:hint="eastAsia" w:ascii="宋体" w:hAnsi="宋体" w:eastAsia="宋体" w:cs="宋体"/>
                <w:i w:val="0"/>
                <w:color w:val="000000"/>
                <w:kern w:val="0"/>
                <w:sz w:val="21"/>
                <w:szCs w:val="21"/>
                <w:u w:val="none"/>
                <w:lang w:val="en-US" w:eastAsia="zh-CN" w:bidi="ar"/>
              </w:rPr>
              <w:t>浙商银行股份有限公司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浙江省杭州市萧山区鸿宁路1788号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九江银行股份有限公司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江西省九江市濂溪区长虹大道619号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北京市西城区月坛南街1号院2号楼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96198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浙江舟山定海海洋农村商业银行股份有限公司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浙江省舟山市定海区环城东路81号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0580-2030956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浙江临安农村商业银行股份有限公司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浙江省杭州市临安区钱王街821号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0571-61105831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浙江青田农村商业银行股份有限公司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浙江省丽水市青田县鹤城街道鹤城东路180号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0578-6833720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南洋商业银行（中国）有限公司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上海市浦明路898号13层至16层、18层至20层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95327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中邮邮惠万家银行有限责任公司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上海市虹口区东大名路1080号25层、26层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cs="宋体"/>
                <w:i w:val="0"/>
                <w:color w:val="000000"/>
                <w:kern w:val="0"/>
                <w:sz w:val="21"/>
                <w:szCs w:val="21"/>
                <w:u w:val="none"/>
                <w:lang w:val="en-US" w:eastAsia="zh-CN" w:bidi="ar"/>
              </w:rPr>
              <w:t>95504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温州银行股份有限公司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浙江省温州市鹿城区会展路1316号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0577-96699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浙江新昌农村商业银行股份有限公司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浙江省新昌县七星街道七星路18号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浙江省永嘉县瓯北镇阳光大道3918号永嘉农商银行总行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4008057705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浙江永康农村商业银行股份有限公司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浙江省永康市九铃东路3259号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绍兴银行股份有限公司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浙江省绍兴市越城区中兴南路1号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4000896528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浙江衢州衢江农村商业银行股份有限公司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浙江省衢州市衢江区信安东路37号衢江农商银行6楼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0570-3026608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新韩银行（中国）有限公司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北京市朝阳区工体北路甲6号中宇大厦12层，11层1101，1102及1109单元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400 6688 600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浙江开化县芹阳办事处永吉二路8号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0570-6025125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秦皇岛银行股份有限公司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河北省秦皇岛市海港区河北大街西段560号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0335-96336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潍坊银行股份有限公司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山东省潍坊市胜利东街5139号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400-61-96588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浙江江山农村商业银行股份有限公司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浙江省江山市江滨路188号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浙江常山农村商业银行股份有限公司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浙江省衢州市常山县紫港街道文教东路258号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浙江武义农村商业银行股份有限公司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bottom"/>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浙江省金华市武义县武阳中路37号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bCs/>
                <w:sz w:val="21"/>
                <w:szCs w:val="21"/>
                <w:highlight w:val="none"/>
                <w:lang w:val="en-US" w:eastAsia="zh-CN"/>
              </w:rPr>
            </w:pPr>
            <w:r>
              <w:rPr>
                <w:rFonts w:hint="eastAsia" w:ascii="宋体" w:hAnsi="宋体" w:eastAsia="宋体" w:cs="宋体"/>
                <w:i w:val="0"/>
                <w:color w:val="000000"/>
                <w:kern w:val="0"/>
                <w:sz w:val="21"/>
                <w:szCs w:val="21"/>
                <w:u w:val="none"/>
                <w:lang w:val="en-US" w:eastAsia="zh-CN" w:bidi="ar"/>
              </w:rPr>
              <w:t>0579-87663486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restart"/>
            <w:noWrap w:val="0"/>
            <w:vAlign w:val="center"/>
          </w:tcPr>
          <w:p>
            <w:pPr>
              <w:jc w:val="center"/>
              <w:rPr>
                <w:rFonts w:hint="eastAsia" w:ascii="宋体" w:hAnsi="宋体" w:eastAsia="宋体" w:cs="宋体"/>
                <w:bCs/>
                <w:sz w:val="21"/>
                <w:szCs w:val="21"/>
                <w:highlight w:val="none"/>
                <w:lang w:val="en-US" w:eastAsia="zh-CN"/>
              </w:rPr>
            </w:pPr>
            <w:r>
              <w:rPr>
                <w:rFonts w:hint="eastAsia" w:ascii="宋体" w:hAnsi="宋体" w:cs="宋体"/>
                <w:bCs/>
                <w:sz w:val="21"/>
                <w:szCs w:val="21"/>
                <w:highlight w:val="none"/>
                <w:lang w:val="en-US" w:eastAsia="zh-CN"/>
              </w:rPr>
              <w:t>浙江网商银行股份有限公司</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住所</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浙江省杭州市西湖区古荡街道西溪路556号阿里中心D幢9层、E幢3-8层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vMerge w:val="continue"/>
            <w:noWrap w:val="0"/>
            <w:vAlign w:val="center"/>
          </w:tcPr>
          <w:p>
            <w:pPr>
              <w:spacing w:line="240" w:lineRule="auto"/>
              <w:jc w:val="center"/>
              <w:rPr>
                <w:rFonts w:hint="eastAsia" w:ascii="宋体" w:hAnsi="宋体" w:eastAsia="宋体" w:cs="宋体"/>
                <w:bCs/>
                <w:sz w:val="21"/>
                <w:szCs w:val="21"/>
                <w:highlight w:val="none"/>
              </w:rPr>
            </w:pPr>
          </w:p>
        </w:tc>
        <w:tc>
          <w:tcPr>
            <w:tcW w:w="1688" w:type="dxa"/>
            <w:vMerge w:val="continue"/>
            <w:noWrap w:val="0"/>
            <w:vAlign w:val="center"/>
          </w:tcPr>
          <w:p>
            <w:pPr>
              <w:jc w:val="center"/>
              <w:rPr>
                <w:rFonts w:hint="eastAsia" w:ascii="宋体" w:hAnsi="宋体" w:eastAsia="宋体" w:cs="宋体"/>
                <w:bCs/>
                <w:sz w:val="21"/>
                <w:szCs w:val="21"/>
                <w:highlight w:val="none"/>
                <w:lang w:val="en-US" w:eastAsia="zh-CN"/>
              </w:rPr>
            </w:pP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客服热线</w:t>
            </w:r>
          </w:p>
        </w:tc>
        <w:tc>
          <w:tcPr>
            <w:tcW w:w="38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0571-26888888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18" w:type="dxa"/>
            <w:noWrap w:val="0"/>
            <w:vAlign w:val="center"/>
          </w:tcPr>
          <w:p>
            <w:pPr>
              <w:spacing w:line="240" w:lineRule="auto"/>
              <w:jc w:val="center"/>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lang w:val="en-US" w:eastAsia="zh-CN"/>
              </w:rPr>
              <w:t>销售机构职责</w:t>
            </w:r>
          </w:p>
        </w:tc>
        <w:tc>
          <w:tcPr>
            <w:tcW w:w="6888" w:type="dxa"/>
            <w:gridSpan w:val="3"/>
            <w:noWrap w:val="0"/>
            <w:vAlign w:val="center"/>
          </w:tcPr>
          <w:p>
            <w:pPr>
              <w:spacing w:line="240" w:lineRule="auto"/>
              <w:jc w:val="left"/>
              <w:rPr>
                <w:rFonts w:hint="eastAsia" w:ascii="宋体" w:hAnsi="宋体" w:eastAsia="宋体" w:cs="宋体"/>
                <w:bCs/>
                <w:sz w:val="21"/>
                <w:szCs w:val="21"/>
                <w:highlight w:val="none"/>
                <w:lang w:val="en-US" w:eastAsia="zh-CN"/>
              </w:rPr>
            </w:pPr>
            <w:r>
              <w:rPr>
                <w:rFonts w:hint="eastAsia" w:ascii="宋体" w:hAnsi="宋体" w:eastAsia="宋体" w:cs="宋体"/>
                <w:bCs/>
                <w:sz w:val="21"/>
                <w:szCs w:val="21"/>
                <w:highlight w:val="none"/>
              </w:rPr>
              <w:t>主要负责理财计划推广、投资者风险承受能力评估、投资者适当性管理、理财计划份额认购、申购及赎回办理。</w:t>
            </w:r>
            <w:r>
              <w:rPr>
                <w:rFonts w:hint="eastAsia" w:ascii="宋体" w:hAnsi="宋体" w:eastAsia="宋体" w:cs="宋体"/>
                <w:bCs/>
                <w:sz w:val="21"/>
                <w:szCs w:val="21"/>
                <w:highlight w:val="none"/>
              </w:rPr>
              <w:br w:type="textWrapping"/>
            </w:r>
            <w:r>
              <w:rPr>
                <w:rFonts w:hint="eastAsia" w:ascii="宋体" w:hAnsi="宋体" w:eastAsia="宋体" w:cs="宋体"/>
                <w:bCs/>
                <w:sz w:val="21"/>
                <w:szCs w:val="21"/>
                <w:highlight w:val="none"/>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本理财计划后续如新增/减少销售机构或销售机构信息变更，请以管理人最新公告或官方网站展示为准。</w:t>
      </w:r>
    </w:p>
    <w:p>
      <w:pPr>
        <w:spacing w:line="360" w:lineRule="auto"/>
        <w:ind w:firstLine="482" w:firstLineChars="200"/>
        <w:rPr>
          <w:rFonts w:hint="eastAsia" w:ascii="宋体" w:hAnsi="宋体" w:cs="宋体"/>
          <w:b/>
          <w:sz w:val="24"/>
          <w:highlight w:val="none"/>
        </w:rPr>
      </w:pPr>
    </w:p>
    <w:p>
      <w:pPr>
        <w:spacing w:line="360" w:lineRule="auto"/>
        <w:jc w:val="left"/>
        <w:rPr>
          <w:rFonts w:ascii="宋体" w:hAnsi="宋体" w:cs="宋体"/>
          <w:bCs/>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估值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货币市场工具类资产</w:t>
      </w:r>
    </w:p>
    <w:p>
      <w:pPr>
        <w:pStyle w:val="18"/>
        <w:adjustRightInd/>
        <w:spacing w:line="360" w:lineRule="auto"/>
        <w:ind w:firstLine="480" w:firstLineChars="200"/>
        <w:rPr>
          <w:rFonts w:hint="eastAsia" w:ascii="宋体" w:hAnsi="宋体" w:eastAsia="宋体" w:cs="宋体"/>
          <w:bCs/>
          <w:kern w:val="2"/>
          <w:highlight w:val="none"/>
          <w:lang w:eastAsia="zh-CN"/>
        </w:rPr>
      </w:pPr>
      <w:r>
        <w:rPr>
          <w:rFonts w:hint="eastAsia" w:ascii="宋体" w:hAnsi="宋体" w:cs="宋体"/>
          <w:bCs/>
          <w:kern w:val="2"/>
          <w:highlight w:val="none"/>
          <w:lang w:eastAsia="zh-CN"/>
        </w:rPr>
        <w:t>银行存款</w:t>
      </w:r>
      <w:r>
        <w:rPr>
          <w:rFonts w:hint="eastAsia" w:ascii="宋体" w:hAnsi="宋体" w:cs="宋体"/>
          <w:bCs/>
          <w:kern w:val="2"/>
          <w:highlight w:val="none"/>
        </w:rPr>
        <w:t>及回购，以本金列示，按商定利率在实际持有期间内逐日计提利息。</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债券</w:t>
      </w:r>
      <w:r>
        <w:rPr>
          <w:rFonts w:hint="eastAsia" w:ascii="宋体" w:hAnsi="宋体" w:cs="宋体"/>
          <w:bCs/>
          <w:color w:val="000000"/>
          <w:sz w:val="24"/>
          <w:highlight w:val="none"/>
          <w:lang w:eastAsia="zh-CN"/>
        </w:rPr>
        <w:t>及同业存单类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债权类</w:t>
      </w:r>
      <w:r>
        <w:rPr>
          <w:rFonts w:hint="eastAsia" w:ascii="宋体" w:hAnsi="宋体" w:cs="宋体"/>
          <w:bCs/>
          <w:color w:val="000000"/>
          <w:sz w:val="24"/>
          <w:highlight w:val="none"/>
        </w:rPr>
        <w:t>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股权类</w:t>
      </w:r>
      <w:r>
        <w:rPr>
          <w:rFonts w:hint="eastAsia" w:ascii="宋体" w:hAnsi="宋体" w:cs="宋体"/>
          <w:bCs/>
          <w:color w:val="000000"/>
          <w:sz w:val="24"/>
          <w:highlight w:val="none"/>
        </w:rPr>
        <w:t>资产</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上</w:t>
      </w:r>
      <w:r>
        <w:rPr>
          <w:rFonts w:hint="eastAsia" w:ascii="宋体" w:hAnsi="宋体" w:cs="宋体"/>
          <w:bCs/>
          <w:color w:val="000000"/>
          <w:sz w:val="24"/>
          <w:highlight w:val="none"/>
        </w:rPr>
        <w:t>市流通股票按估值日其所在证券交易所的收盘价估值；估值日无交易，且最近交易日后未发生影响公允价值计量的重大事件的，以最近交易日的收盘价估值。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未上市股票的估值：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lang w:val="en-US" w:eastAsia="zh-CN"/>
        </w:rPr>
        <w:t>1）</w:t>
      </w:r>
      <w:r>
        <w:rPr>
          <w:rFonts w:hint="eastAsia" w:ascii="宋体" w:hAnsi="宋体"/>
          <w:sz w:val="24"/>
          <w:highlight w:val="none"/>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首次发行未上市的股票，按发行价格进行估值；</w:t>
      </w:r>
    </w:p>
    <w:p>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因持有股票而享有的配股权，采用估值技术确定公允价值。</w:t>
      </w:r>
    </w:p>
    <w:p>
      <w:pPr>
        <w:numPr>
          <w:ilvl w:val="0"/>
          <w:numId w:val="25"/>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lang w:eastAsia="zh-CN"/>
        </w:rPr>
        <w:t>非上市股权的估值：</w:t>
      </w:r>
    </w:p>
    <w:p>
      <w:pPr>
        <w:numPr>
          <w:ilvl w:val="0"/>
          <w:numId w:val="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lang w:eastAsia="zh-CN"/>
        </w:rPr>
        <w:t>基金、资产管理计划类</w:t>
      </w:r>
      <w:r>
        <w:rPr>
          <w:rFonts w:hint="eastAsia" w:ascii="宋体" w:hAnsi="宋体" w:cs="宋体"/>
          <w:bCs/>
          <w:color w:val="000000"/>
          <w:sz w:val="24"/>
          <w:highlight w:val="none"/>
        </w:rPr>
        <w:t>资产</w:t>
      </w:r>
    </w:p>
    <w:p>
      <w:pPr>
        <w:numPr>
          <w:ilvl w:val="0"/>
          <w:numId w:val="0"/>
        </w:num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4"/>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8"/>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8"/>
        <w:spacing w:line="360" w:lineRule="auto"/>
        <w:ind w:firstLine="480" w:firstLineChars="200"/>
        <w:rPr>
          <w:rFonts w:hint="eastAsia" w:ascii="宋体" w:hAnsi="宋体" w:cs="宋体"/>
          <w:bCs/>
          <w:color w:val="000000"/>
          <w:sz w:val="24"/>
          <w:highlight w:val="none"/>
        </w:rPr>
      </w:pPr>
      <w:r>
        <w:rPr>
          <w:rFonts w:hint="eastAsia" w:ascii="宋体" w:hAnsi="宋体" w:cs="宋体"/>
          <w:bCs/>
          <w:kern w:val="2"/>
          <w:highlight w:val="none"/>
          <w:lang w:eastAsia="zh-CN"/>
        </w:rPr>
        <w:t>以</w:t>
      </w:r>
      <w:r>
        <w:rPr>
          <w:rFonts w:hint="eastAsia" w:ascii="宋体" w:hAnsi="宋体" w:cs="宋体"/>
          <w:bCs/>
          <w:color w:val="000000"/>
          <w:sz w:val="24"/>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w:t>
      </w:r>
      <w:r>
        <w:rPr>
          <w:rFonts w:hint="eastAsia" w:ascii="宋体" w:hAnsi="宋体" w:cs="宋体"/>
          <w:bCs/>
          <w:kern w:val="2"/>
          <w:highlight w:val="none"/>
          <w:lang w:eastAsia="zh-CN"/>
        </w:rPr>
        <w:t>按最能反映公允价值的价格估值，</w:t>
      </w:r>
      <w:r>
        <w:rPr>
          <w:rFonts w:hint="eastAsia" w:ascii="宋体" w:hAnsi="宋体" w:cs="宋体"/>
          <w:bCs/>
          <w:kern w:val="2"/>
          <w:highlight w:val="none"/>
        </w:rPr>
        <w:t>并自协商一致日后执行。</w:t>
      </w:r>
    </w:p>
    <w:p>
      <w:pPr>
        <w:pStyle w:val="18"/>
        <w:tabs>
          <w:tab w:val="left" w:pos="0"/>
        </w:tabs>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估值差错处理</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暂停估值情形</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w:t>
      </w:r>
      <w:r>
        <w:rPr>
          <w:rFonts w:hint="eastAsia" w:ascii="宋体" w:hAnsi="宋体" w:cs="宋体"/>
          <w:bCs/>
          <w:color w:val="000000"/>
          <w:sz w:val="24"/>
          <w:highlight w:val="none"/>
          <w:lang w:eastAsia="zh-CN"/>
        </w:rPr>
        <w:t>提前到上</w:t>
      </w:r>
      <w:r>
        <w:rPr>
          <w:rFonts w:hint="eastAsia" w:ascii="宋体" w:hAnsi="宋体" w:cs="宋体"/>
          <w:bCs/>
          <w:color w:val="000000"/>
          <w:sz w:val="24"/>
          <w:highlight w:val="none"/>
        </w:rPr>
        <w:t>一交易日。</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当</w:t>
      </w:r>
      <w:r>
        <w:rPr>
          <w:rFonts w:hint="eastAsia" w:ascii="宋体" w:hAnsi="宋体" w:cs="宋体"/>
          <w:bCs/>
          <w:color w:val="000000"/>
          <w:sz w:val="24"/>
          <w:highlight w:val="none"/>
          <w:lang w:val="en-US" w:eastAsia="zh-CN"/>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sz w:val="24"/>
          <w:highlight w:val="none"/>
        </w:rPr>
        <w:t>延缓支付赎回款项或暂停接受理财</w:t>
      </w:r>
      <w:r>
        <w:rPr>
          <w:rFonts w:hint="eastAsia" w:ascii="宋体" w:hAnsi="宋体" w:cs="宋体"/>
          <w:bCs/>
          <w:color w:val="000000"/>
          <w:sz w:val="24"/>
          <w:highlight w:val="none"/>
          <w:lang w:eastAsia="zh-CN"/>
        </w:rPr>
        <w:t>计划</w:t>
      </w:r>
      <w:r>
        <w:rPr>
          <w:rFonts w:hint="eastAsia" w:ascii="宋体" w:hAnsi="宋体" w:cs="宋体"/>
          <w:bCs/>
          <w:color w:val="000000"/>
          <w:sz w:val="24"/>
          <w:highlight w:val="none"/>
        </w:rPr>
        <w:t>认购、赎回申请等</w:t>
      </w:r>
      <w:r>
        <w:rPr>
          <w:rFonts w:hint="eastAsia" w:ascii="宋体" w:hAnsi="宋体" w:cs="宋体"/>
          <w:bCs/>
          <w:color w:val="000000"/>
          <w:sz w:val="24"/>
          <w:highlight w:val="none"/>
          <w:lang w:val="en-US" w:eastAsia="zh-CN"/>
        </w:rPr>
        <w:t>措施。</w:t>
      </w:r>
    </w:p>
    <w:p>
      <w:pPr>
        <w:numPr>
          <w:ilvl w:val="0"/>
          <w:numId w:val="26"/>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费用及税收</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w:t>
      </w:r>
      <w:r>
        <w:rPr>
          <w:rFonts w:hint="eastAsia" w:ascii="宋体" w:hAnsi="宋体" w:cs="宋体"/>
          <w:bCs/>
          <w:color w:val="000000"/>
          <w:sz w:val="24"/>
          <w:highlight w:val="none"/>
          <w:lang w:eastAsia="zh-CN"/>
        </w:rPr>
        <w:t>涉及</w:t>
      </w:r>
      <w:r>
        <w:rPr>
          <w:rFonts w:hint="eastAsia" w:ascii="宋体" w:hAnsi="宋体" w:cs="宋体"/>
          <w:bCs/>
          <w:color w:val="000000"/>
          <w:sz w:val="24"/>
          <w:highlight w:val="none"/>
        </w:rPr>
        <w:t>费用包括</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、托管费、固定管理费、认购费、申购费、赎回费、浮动管理费以及理财计划运作和清算中产生的其他费用等。</w:t>
      </w:r>
    </w:p>
    <w:p>
      <w:pPr>
        <w:numPr>
          <w:ilvl w:val="0"/>
          <w:numId w:val="2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费用计提方法、标准及支付方式</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lang w:eastAsia="zh-CN"/>
        </w:rPr>
        <w:t>销售服务费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率为</w:t>
      </w:r>
      <w:r>
        <w:rPr>
          <w:rFonts w:hint="eastAsia" w:ascii="宋体" w:hAnsi="宋体" w:cs="宋体"/>
          <w:szCs w:val="21"/>
          <w:highlight w:val="none"/>
        </w:rPr>
        <w:t>〖</w:t>
      </w:r>
      <w:r>
        <w:rPr>
          <w:rFonts w:hint="eastAsia" w:ascii="宋体" w:hAnsi="宋体" w:cs="宋体"/>
          <w:szCs w:val="21"/>
          <w:highlight w:val="none"/>
          <w:lang w:val="en-US" w:eastAsia="zh-CN"/>
        </w:rPr>
        <w:t>0.40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eastAsia="zh-CN"/>
        </w:rPr>
        <w:t>销售服务费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bCs/>
          <w:color w:val="000000"/>
          <w:sz w:val="24"/>
          <w:highlight w:val="none"/>
        </w:rPr>
        <w:t>前一日资产净值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W份额</w:t>
      </w:r>
      <w:r>
        <w:rPr>
          <w:rFonts w:hint="eastAsia" w:ascii="宋体" w:hAnsi="宋体" w:cs="宋体"/>
          <w:bCs/>
          <w:color w:val="000000"/>
          <w:sz w:val="24"/>
          <w:highlight w:val="none"/>
        </w:rPr>
        <w:t>〗年化固定管理费率为</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为例，</w:t>
      </w:r>
      <w:r>
        <w:rPr>
          <w:rFonts w:hint="eastAsia" w:ascii="宋体" w:hAnsi="宋体" w:cs="宋体"/>
          <w:bCs/>
          <w:color w:val="000000"/>
          <w:sz w:val="24"/>
          <w:highlight w:val="none"/>
        </w:rPr>
        <w:t>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H为每日应计提的</w:t>
      </w:r>
      <w:r>
        <w:rPr>
          <w:rFonts w:hint="eastAsia" w:ascii="宋体" w:hAnsi="宋体" w:cs="宋体"/>
          <w:bCs/>
          <w:color w:val="000000"/>
          <w:sz w:val="24"/>
          <w:highlight w:val="none"/>
          <w:lang w:val="en-US" w:eastAsia="zh-CN"/>
        </w:rPr>
        <w:t>固定</w:t>
      </w:r>
      <w:r>
        <w:rPr>
          <w:rFonts w:hint="eastAsia" w:ascii="宋体" w:hAnsi="宋体" w:cs="宋体"/>
          <w:bCs/>
          <w:color w:val="000000"/>
          <w:sz w:val="24"/>
          <w:highlight w:val="none"/>
        </w:rPr>
        <w:t>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本理财计划前一日资产净值</w:t>
      </w:r>
    </w:p>
    <w:p>
      <w:pPr>
        <w:spacing w:line="360" w:lineRule="auto"/>
        <w:ind w:firstLine="480" w:firstLineChars="200"/>
        <w:jc w:val="left"/>
        <w:rPr>
          <w:rFonts w:hint="eastAsia" w:ascii="宋体" w:hAnsi="宋体" w:eastAsia="宋体" w:cs="宋体"/>
          <w:bCs/>
          <w:color w:val="000000"/>
          <w:sz w:val="24"/>
          <w:highlight w:val="none"/>
          <w:lang w:eastAsia="zh-CN"/>
        </w:rPr>
      </w:pPr>
      <w:r>
        <w:rPr>
          <w:rFonts w:hint="eastAsia" w:ascii="宋体" w:hAnsi="宋体" w:cs="宋体"/>
          <w:bCs/>
          <w:color w:val="000000"/>
          <w:sz w:val="24"/>
          <w:highlight w:val="none"/>
        </w:rPr>
        <w:t>固定管理费原则上按日计提</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eastAsia="zh-CN"/>
        </w:rPr>
        <w:t>如理财计划实际运作结果不达业绩比较基准下限时，管理人有权减免固定管理费。</w:t>
      </w:r>
    </w:p>
    <w:p>
      <w:pPr>
        <w:numPr>
          <w:ilvl w:val="0"/>
          <w:numId w:val="28"/>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hint="eastAsia"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29"/>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赎回费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30"/>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理财管理人根据理财计划投资情况计算浮动管理费，本理财计划投资周期的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折合年化收益率超过</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的部分管理人提取</w:t>
      </w:r>
      <w:r>
        <w:rPr>
          <w:rFonts w:hint="eastAsia" w:ascii="宋体" w:hAnsi="宋体" w:cs="宋体"/>
          <w:szCs w:val="21"/>
          <w:highlight w:val="none"/>
        </w:rPr>
        <w:t>〖</w:t>
      </w:r>
      <w:r>
        <w:rPr>
          <w:rFonts w:hint="eastAsia" w:ascii="宋体" w:hAnsi="宋体" w:cs="宋体"/>
          <w:szCs w:val="21"/>
          <w:highlight w:val="none"/>
          <w:lang w:val="en-US" w:eastAsia="zh-CN"/>
        </w:rPr>
        <w:t>50</w:t>
      </w:r>
      <w:r>
        <w:rPr>
          <w:rFonts w:hint="eastAsia" w:ascii="宋体" w:hAnsi="宋体" w:cs="宋体"/>
          <w:bCs/>
          <w:color w:val="000000"/>
          <w:sz w:val="24"/>
          <w:highlight w:val="none"/>
        </w:rPr>
        <w:t>%</w:t>
      </w:r>
      <w:r>
        <w:rPr>
          <w:rFonts w:hint="eastAsia" w:ascii="宋体" w:hAnsi="宋体" w:cs="宋体"/>
          <w:szCs w:val="21"/>
          <w:highlight w:val="none"/>
        </w:rPr>
        <w:t>〗</w:t>
      </w:r>
      <w:r>
        <w:rPr>
          <w:rFonts w:hint="eastAsia" w:ascii="宋体" w:hAnsi="宋体" w:cs="宋体"/>
          <w:bCs/>
          <w:color w:val="000000"/>
          <w:sz w:val="24"/>
          <w:highlight w:val="none"/>
        </w:rPr>
        <w:t>作为浮动管理费，每个投资周期结束后收取。本理财计划投资周期的</w:t>
      </w:r>
      <w:r>
        <w:rPr>
          <w:rFonts w:hint="eastAsia" w:ascii="宋体" w:hAnsi="宋体" w:cs="宋体"/>
          <w:szCs w:val="21"/>
          <w:highlight w:val="none"/>
        </w:rPr>
        <w:t>〖</w:t>
      </w:r>
      <w:r>
        <w:rPr>
          <w:rFonts w:hint="eastAsia" w:ascii="宋体" w:hAnsi="宋体" w:cs="宋体"/>
          <w:bCs/>
          <w:color w:val="000000"/>
          <w:sz w:val="24"/>
          <w:highlight w:val="none"/>
        </w:rPr>
        <w:t>折合年化收益率若小于或等于</w:t>
      </w:r>
      <w:r>
        <w:rPr>
          <w:rFonts w:hint="eastAsia" w:ascii="宋体" w:hAnsi="宋体" w:cs="宋体"/>
          <w:bCs/>
          <w:color w:val="000000"/>
          <w:sz w:val="24"/>
          <w:highlight w:val="none"/>
          <w:lang w:val="en-US" w:eastAsia="zh-CN"/>
        </w:rPr>
        <w:t>业绩比较基准上限</w:t>
      </w:r>
      <w:r>
        <w:rPr>
          <w:rFonts w:hint="eastAsia" w:ascii="宋体" w:hAnsi="宋体" w:cs="宋体"/>
          <w:szCs w:val="21"/>
          <w:highlight w:val="none"/>
        </w:rPr>
        <w:t>〗</w:t>
      </w:r>
      <w:r>
        <w:rPr>
          <w:rFonts w:hint="eastAsia" w:ascii="宋体" w:hAnsi="宋体" w:cs="宋体"/>
          <w:bCs/>
          <w:color w:val="000000"/>
          <w:sz w:val="24"/>
          <w:highlight w:val="none"/>
        </w:rPr>
        <w:t>则不收取浮动管理费。</w:t>
      </w:r>
      <w:r>
        <w:rPr>
          <w:rFonts w:hint="eastAsia" w:ascii="宋体" w:hAnsi="宋体" w:cs="宋体"/>
          <w:bCs/>
          <w:color w:val="000000"/>
          <w:sz w:val="24"/>
          <w:highlight w:val="none"/>
          <w:lang w:eastAsia="zh-CN"/>
        </w:rPr>
        <w:t>浮动管理费原则上按估值日计提，</w:t>
      </w:r>
      <w:r>
        <w:rPr>
          <w:rFonts w:hint="eastAsia" w:ascii="宋体" w:hAnsi="宋体" w:cs="宋体"/>
          <w:bCs/>
          <w:color w:val="000000"/>
          <w:sz w:val="24"/>
          <w:highlight w:val="none"/>
          <w:lang w:val="en-US" w:eastAsia="zh-CN"/>
        </w:rPr>
        <w:t>每个投资周期结束后</w:t>
      </w:r>
      <w:r>
        <w:rPr>
          <w:rFonts w:hint="eastAsia" w:ascii="宋体" w:hAnsi="宋体" w:cs="宋体"/>
          <w:bCs/>
          <w:color w:val="000000"/>
          <w:sz w:val="24"/>
          <w:highlight w:val="none"/>
          <w:lang w:eastAsia="zh-CN"/>
        </w:rPr>
        <w:t>收取。</w:t>
      </w:r>
      <w:r>
        <w:rPr>
          <w:rFonts w:hint="eastAsia" w:ascii="宋体" w:hAnsi="宋体" w:cs="宋体"/>
          <w:bCs/>
          <w:color w:val="000000"/>
          <w:sz w:val="24"/>
          <w:highlight w:val="none"/>
        </w:rPr>
        <w:t>具体计算方法如下：</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H＝E×NAV0×(K-R)×〖</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lang w:val="en-US" w:eastAsia="zh-CN"/>
        </w:rPr>
        <w:t>0</w:t>
      </w:r>
      <w:r>
        <w:rPr>
          <w:rFonts w:hint="eastAsia" w:ascii="宋体" w:hAnsi="宋体" w:cs="宋体"/>
          <w:bCs/>
          <w:color w:val="000000"/>
          <w:sz w:val="24"/>
          <w:highlight w:val="none"/>
        </w:rPr>
        <w:t>%〗×N÷365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其中，K=(NAV1-NAV0+T)÷NAV0×365÷N</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H为当前确认日应收取浮动管理费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本理财计划</w:t>
      </w:r>
      <w:r>
        <w:rPr>
          <w:rFonts w:hint="eastAsia" w:ascii="宋体" w:hAnsi="宋体" w:cs="宋体"/>
          <w:bCs/>
          <w:color w:val="000000"/>
          <w:sz w:val="24"/>
          <w:highlight w:val="none"/>
        </w:rPr>
        <w:t>上一个确认日的存续份额</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NAV0为上一个确认日前一日费后单位净值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NAV1为当前确认日前一日未扣除浮动管理费前的单位净值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R为本次投资周期的业绩比较</w:t>
      </w:r>
      <w:r>
        <w:rPr>
          <w:rFonts w:hint="eastAsia" w:ascii="宋体" w:hAnsi="宋体" w:cs="宋体"/>
          <w:bCs/>
          <w:color w:val="000000"/>
          <w:sz w:val="24"/>
          <w:highlight w:val="none"/>
          <w:lang w:val="en-US" w:eastAsia="zh-CN"/>
        </w:rPr>
        <w:t>基准</w:t>
      </w:r>
      <w:r>
        <w:rPr>
          <w:rFonts w:hint="eastAsia" w:ascii="宋体" w:hAnsi="宋体" w:cs="宋体"/>
          <w:bCs/>
          <w:color w:val="000000"/>
          <w:sz w:val="24"/>
          <w:highlight w:val="none"/>
        </w:rPr>
        <w:t>上限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N为上一个确认日（含）至当前确认日（不含）的实际理财天数</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T为当前投资周期内每单位份额的实际分红金额的合计（如有）</w:t>
      </w:r>
    </w:p>
    <w:p>
      <w:pPr>
        <w:numPr>
          <w:ilvl w:val="0"/>
          <w:numId w:val="31"/>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3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ind w:firstLine="482" w:firstLineChars="200"/>
        <w:jc w:val="left"/>
        <w:rPr>
          <w:rFonts w:ascii="宋体" w:hAnsi="宋体" w:cs="宋体"/>
          <w:bCs/>
          <w:sz w:val="24"/>
          <w:highlight w:val="none"/>
        </w:rPr>
      </w:pPr>
      <w:r>
        <w:rPr>
          <w:rFonts w:hint="eastAsia" w:ascii="宋体" w:hAnsi="宋体" w:cs="宋体"/>
          <w:b/>
          <w:sz w:val="24"/>
          <w:highlight w:val="none"/>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税收说明</w:t>
      </w:r>
    </w:p>
    <w:p>
      <w:pPr>
        <w:numPr>
          <w:ilvl w:val="0"/>
          <w:numId w:val="34"/>
        </w:numPr>
        <w:spacing w:line="360" w:lineRule="auto"/>
        <w:ind w:firstLine="480" w:firstLineChars="200"/>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4"/>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4"/>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收益计算</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投资者理财收益＝赎回份额×赎回确认日（提前终止日）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单位净值-认购或申购金额+</w:t>
      </w:r>
      <w:r>
        <w:rPr>
          <w:rFonts w:hint="eastAsia" w:ascii="宋体" w:hAnsi="宋体" w:cs="宋体"/>
          <w:bCs/>
          <w:sz w:val="24"/>
          <w:highlight w:val="none"/>
        </w:rPr>
        <w:t>份额持有期间累计分红（如有）</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份额=认购或申购金额/认购或申购确认日</w:t>
      </w:r>
      <w:r>
        <w:rPr>
          <w:rFonts w:hint="eastAsia" w:ascii="宋体" w:hAnsi="宋体" w:cs="宋体"/>
          <w:bCs/>
          <w:color w:val="000000"/>
          <w:sz w:val="24"/>
          <w:highlight w:val="none"/>
          <w:lang w:val="en-US" w:eastAsia="zh-CN"/>
        </w:rPr>
        <w:t>前一日</w:t>
      </w:r>
      <w:r>
        <w:rPr>
          <w:rFonts w:hint="eastAsia" w:ascii="宋体" w:hAnsi="宋体" w:cs="宋体"/>
          <w:bCs/>
          <w:color w:val="000000"/>
          <w:sz w:val="24"/>
          <w:highlight w:val="none"/>
        </w:rPr>
        <w:t>单位净值。</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赎回确认日（提前终止日）</w:t>
      </w:r>
      <w:r>
        <w:rPr>
          <w:rFonts w:hint="eastAsia" w:ascii="宋体" w:hAnsi="宋体" w:cs="宋体"/>
          <w:bCs/>
          <w:color w:val="000000"/>
          <w:sz w:val="24"/>
          <w:highlight w:val="none"/>
          <w:lang w:val="en-US" w:eastAsia="zh-CN"/>
        </w:rPr>
        <w:t>前一日的</w:t>
      </w:r>
      <w:r>
        <w:rPr>
          <w:rFonts w:hint="eastAsia" w:ascii="宋体" w:hAnsi="宋体" w:cs="宋体"/>
          <w:bCs/>
          <w:color w:val="000000"/>
          <w:sz w:val="24"/>
          <w:highlight w:val="none"/>
        </w:rPr>
        <w:t>单位净值</w:t>
      </w:r>
      <w:r>
        <w:rPr>
          <w:rFonts w:hint="eastAsia" w:ascii="宋体" w:hAnsi="宋体" w:cs="宋体"/>
          <w:bCs/>
          <w:color w:val="000000"/>
          <w:sz w:val="24"/>
          <w:highlight w:val="none"/>
        </w:rPr>
        <w:t>为提取相关费用及税费后的单位理财计划份额净值。</w:t>
      </w:r>
    </w:p>
    <w:p>
      <w:pPr>
        <w:numPr>
          <w:ilvl w:val="0"/>
          <w:numId w:val="35"/>
        </w:numPr>
        <w:spacing w:line="360" w:lineRule="auto"/>
        <w:jc w:val="left"/>
        <w:outlineLvl w:val="2"/>
        <w:rPr>
          <w:rFonts w:hint="eastAsia" w:ascii="宋体" w:hAnsi="宋体" w:cs="宋体"/>
          <w:bCs/>
          <w:color w:val="000000"/>
          <w:sz w:val="24"/>
          <w:highlight w:val="none"/>
        </w:rPr>
      </w:pPr>
      <w:r>
        <w:rPr>
          <w:rFonts w:hint="eastAsia" w:ascii="宋体" w:hAnsi="宋体" w:cs="宋体"/>
          <w:b/>
          <w:sz w:val="24"/>
          <w:highlight w:val="none"/>
        </w:rPr>
        <w:t>示例说明</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w:t>
      </w:r>
      <w:r>
        <w:rPr>
          <w:rFonts w:hint="eastAsia" w:ascii="宋体" w:hAnsi="宋体" w:cs="宋体"/>
          <w:b/>
          <w:sz w:val="24"/>
          <w:highlight w:val="none"/>
          <w:lang w:eastAsia="zh-CN"/>
        </w:rPr>
        <w:t>一</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（如有）后，投资收益率超过〖</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。假设管理人提取超过〖业绩比较基准上限〗的50%作为浮动管理费，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（如有）后，如理财计划净值为1.0615，此时，(1.0615/1.00-1)×365/362=6.20%&gt;5.00%，即投资收益超过〖5.00%〗，则投资管理人对超过〖5.00%〗部分收益收取浮动管理费，浮动管理费为：</w:t>
      </w:r>
    </w:p>
    <w:p>
      <w:pPr>
        <w:spacing w:line="360" w:lineRule="auto"/>
        <w:ind w:firstLine="480" w:firstLineChars="200"/>
        <w:jc w:val="left"/>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100,000.00×1.0615-100,000.00×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100,000.00×</w:t>
      </w:r>
      <w:r>
        <w:rPr>
          <w:rFonts w:hint="eastAsia" w:ascii="宋体" w:hAnsi="宋体" w:cs="宋体"/>
          <w:bCs/>
          <w:color w:val="000000"/>
          <w:sz w:val="24"/>
          <w:highlight w:val="none"/>
          <w:lang w:val="en-US" w:eastAsia="zh-CN"/>
        </w:rPr>
        <w:t>1.0000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362/365）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50%=595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（元）</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扣除浮动管理费后，投资者最终收益为：</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100,000.00×（1.0615-1.00）-</w:t>
      </w:r>
      <w:r>
        <w:rPr>
          <w:rFonts w:hint="eastAsia" w:ascii="宋体" w:hAnsi="宋体" w:cs="宋体"/>
          <w:bCs/>
          <w:color w:val="000000"/>
          <w:sz w:val="24"/>
          <w:highlight w:val="none"/>
          <w:lang w:val="en-US" w:eastAsia="zh-CN"/>
        </w:rPr>
        <w:t>595</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55</w:t>
      </w:r>
      <w:r>
        <w:rPr>
          <w:rFonts w:hint="eastAsia" w:ascii="宋体" w:hAnsi="宋体" w:cs="宋体"/>
          <w:bCs/>
          <w:color w:val="000000"/>
          <w:sz w:val="24"/>
          <w:highlight w:val="none"/>
        </w:rPr>
        <w:t xml:space="preserve"> =5,55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（元），理财计划</w:t>
      </w:r>
      <w:r>
        <w:rPr>
          <w:rFonts w:hint="eastAsia" w:ascii="宋体" w:hAnsi="宋体" w:cs="宋体"/>
          <w:bCs/>
          <w:color w:val="000000"/>
          <w:sz w:val="24"/>
          <w:highlight w:val="none"/>
          <w:lang w:val="en-US" w:eastAsia="zh-CN"/>
        </w:rPr>
        <w:t>赎回</w:t>
      </w:r>
      <w:r>
        <w:rPr>
          <w:rFonts w:hint="eastAsia" w:ascii="宋体" w:hAnsi="宋体" w:cs="宋体"/>
          <w:bCs/>
          <w:color w:val="000000"/>
          <w:sz w:val="24"/>
          <w:highlight w:val="none"/>
        </w:rPr>
        <w:t>时，投资者获得的实际收益相当于达到年化收益率水平为：</w:t>
      </w:r>
      <w:r>
        <w:rPr>
          <w:rFonts w:hint="eastAsia" w:ascii="宋体" w:hAnsi="宋体" w:cs="宋体"/>
          <w:bCs/>
          <w:color w:val="000000"/>
          <w:sz w:val="24"/>
          <w:highlight w:val="none"/>
        </w:rPr>
        <w:t>5,55</w:t>
      </w:r>
      <w:r>
        <w:rPr>
          <w:rFonts w:hint="eastAsia" w:ascii="宋体" w:hAnsi="宋体" w:cs="宋体"/>
          <w:bCs/>
          <w:color w:val="000000"/>
          <w:sz w:val="24"/>
          <w:highlight w:val="none"/>
          <w:lang w:val="en-US" w:eastAsia="zh-CN"/>
        </w:rPr>
        <w:t>4</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45</w:t>
      </w:r>
      <w:r>
        <w:rPr>
          <w:rFonts w:hint="eastAsia" w:ascii="宋体" w:hAnsi="宋体" w:cs="宋体"/>
          <w:bCs/>
          <w:color w:val="000000"/>
          <w:sz w:val="24"/>
          <w:highlight w:val="none"/>
        </w:rPr>
        <w:t>/100,000.00×365/362=5.60%。</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Cs/>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（如有）后，投资收益率未达到〖</w:t>
      </w:r>
      <w:r>
        <w:rPr>
          <w:rFonts w:hint="eastAsia" w:ascii="宋体" w:hAnsi="宋体" w:cs="宋体"/>
          <w:b/>
          <w:color w:val="000000"/>
          <w:sz w:val="24"/>
          <w:highlight w:val="none"/>
          <w:lang w:val="en-US" w:eastAsia="zh-CN"/>
        </w:rPr>
        <w:t>业绩比较基准上限</w:t>
      </w:r>
      <w:r>
        <w:rPr>
          <w:rFonts w:hint="eastAsia" w:ascii="宋体" w:hAnsi="宋体" w:cs="宋体"/>
          <w:b/>
          <w:color w:val="000000"/>
          <w:sz w:val="24"/>
          <w:highlight w:val="none"/>
        </w:rPr>
        <w:t>〗。</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（如有）后，如理财计划净值为1.0426，此时，(1.0426/1.00-1)×365/362=4.30%&lt;5.00%，即投资收益未达到〖5.00%〗，则投资管理人不收取浮动管理费，投资者最终收益为：100,000.00×(1.0426-1.00）=4,260.00（元）</w:t>
      </w:r>
    </w:p>
    <w:p>
      <w:pPr>
        <w:numPr>
          <w:ilvl w:val="0"/>
          <w:numId w:val="36"/>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示例三</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w:t>
      </w:r>
      <w:r>
        <w:rPr>
          <w:rFonts w:hint="eastAsia" w:ascii="宋体" w:hAnsi="宋体" w:cs="宋体"/>
          <w:b/>
          <w:color w:val="000000"/>
          <w:sz w:val="24"/>
          <w:highlight w:val="none"/>
          <w:lang w:eastAsia="zh-CN"/>
        </w:rPr>
        <w:t>销售服务费</w:t>
      </w:r>
      <w:r>
        <w:rPr>
          <w:rFonts w:hint="eastAsia" w:ascii="宋体" w:hAnsi="宋体" w:cs="宋体"/>
          <w:b/>
          <w:color w:val="000000"/>
          <w:sz w:val="24"/>
          <w:highlight w:val="none"/>
        </w:rPr>
        <w:t>（如有）后，投资发生亏损。</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以某投资者投资10万元为例，假设购买时理财计划净值为1.00元，折算份额为100,000.00份，假设投资理财计划362天</w:t>
      </w:r>
      <w:r>
        <w:rPr>
          <w:rFonts w:hint="eastAsia" w:ascii="宋体" w:hAnsi="宋体" w:cs="宋体"/>
          <w:bCs/>
          <w:color w:val="000000"/>
        </w:rPr>
        <w:t>后，赎回份额100,000.00份</w:t>
      </w:r>
      <w:r>
        <w:rPr>
          <w:rFonts w:hint="eastAsia" w:ascii="宋体" w:hAnsi="宋体" w:cs="宋体"/>
          <w:bCs/>
          <w:color w:val="000000"/>
          <w:sz w:val="24"/>
          <w:highlight w:val="none"/>
        </w:rPr>
        <w:t>。假设管理人提取超过〖</w:t>
      </w:r>
      <w:r>
        <w:rPr>
          <w:rFonts w:hint="eastAsia" w:ascii="宋体" w:hAnsi="宋体" w:cs="宋体"/>
          <w:bCs/>
          <w:color w:val="000000"/>
          <w:sz w:val="24"/>
          <w:highlight w:val="none"/>
        </w:rPr>
        <w:t>业绩比较基准上限</w:t>
      </w:r>
      <w:r>
        <w:rPr>
          <w:rFonts w:hint="eastAsia" w:ascii="宋体" w:hAnsi="宋体" w:cs="宋体"/>
          <w:bCs/>
          <w:color w:val="000000"/>
          <w:sz w:val="24"/>
          <w:highlight w:val="none"/>
        </w:rPr>
        <w:t>〗的50%作为浮动管理费，</w:t>
      </w:r>
      <w:r>
        <w:rPr>
          <w:rFonts w:hint="eastAsia" w:ascii="宋体" w:hAnsi="宋体" w:cs="宋体"/>
          <w:bCs/>
          <w:color w:val="000000"/>
          <w:sz w:val="24"/>
          <w:highlight w:val="none"/>
          <w:lang w:val="en-US" w:eastAsia="zh-CN"/>
        </w:rPr>
        <w:t>业绩比较基准上限为5.00%，期间无分红。赎回</w:t>
      </w:r>
      <w:r>
        <w:rPr>
          <w:rFonts w:hint="eastAsia" w:ascii="宋体" w:hAnsi="宋体" w:cs="宋体"/>
          <w:bCs/>
          <w:color w:val="000000"/>
          <w:sz w:val="24"/>
          <w:highlight w:val="none"/>
        </w:rPr>
        <w:t>时扣除托管费、固定管理费、</w:t>
      </w:r>
      <w:r>
        <w:rPr>
          <w:rFonts w:hint="eastAsia" w:ascii="宋体" w:hAnsi="宋体" w:cs="宋体"/>
          <w:bCs/>
          <w:color w:val="000000"/>
          <w:sz w:val="24"/>
          <w:highlight w:val="none"/>
          <w:lang w:eastAsia="zh-CN"/>
        </w:rPr>
        <w:t>销售服务费</w:t>
      </w:r>
      <w:r>
        <w:rPr>
          <w:rFonts w:hint="eastAsia" w:ascii="宋体" w:hAnsi="宋体" w:cs="宋体"/>
          <w:bCs/>
          <w:color w:val="000000"/>
          <w:sz w:val="24"/>
          <w:highlight w:val="none"/>
        </w:rPr>
        <w:t>（如有）后，如理财计划净值为0.9975，则投资管理人不收取浮动管理费，投资者最终收益为：100,000.00×（0.9975-1.00）=-250.00（元）。</w:t>
      </w:r>
    </w:p>
    <w:p>
      <w:pPr>
        <w:numPr>
          <w:ilvl w:val="0"/>
          <w:numId w:val="35"/>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最不利情况分析</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由于市场波动导致投资资产贬值或者投资资产发生信用风险导致相应损失，使理财计划</w:t>
      </w:r>
      <w:r>
        <w:rPr>
          <w:rFonts w:hint="eastAsia" w:ascii="宋体" w:hAnsi="宋体" w:cs="宋体"/>
          <w:bCs/>
          <w:color w:val="000000"/>
          <w:sz w:val="24"/>
          <w:highlight w:val="none"/>
          <w:lang w:val="en-US" w:eastAsia="zh-CN"/>
        </w:rPr>
        <w:t>赎回或</w:t>
      </w:r>
      <w:r>
        <w:rPr>
          <w:rFonts w:hint="eastAsia" w:ascii="宋体" w:hAnsi="宋体" w:cs="宋体"/>
          <w:bCs/>
          <w:color w:val="000000"/>
          <w:sz w:val="24"/>
          <w:highlight w:val="none"/>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交易规则</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认购</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sz w:val="24"/>
          <w:highlight w:val="none"/>
          <w:lang w:eastAsia="zh-CN"/>
        </w:rPr>
        <w:t>（</w:t>
      </w:r>
      <w:r>
        <w:rPr>
          <w:rFonts w:hint="eastAsia" w:ascii="宋体" w:hAnsi="宋体" w:cs="宋体"/>
          <w:bCs/>
          <w:color w:val="000000"/>
        </w:rPr>
        <w:t>具体以销售机构要求为准</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numPr>
          <w:ilvl w:val="0"/>
          <w:numId w:val="38"/>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lang w:eastAsia="zh-CN"/>
        </w:rPr>
        <w:t>如新增认</w:t>
      </w:r>
      <w:r>
        <w:rPr>
          <w:rFonts w:hint="eastAsia" w:ascii="宋体" w:hAnsi="宋体" w:cs="宋体"/>
          <w:bCs/>
          <w:color w:val="000000"/>
          <w:sz w:val="24"/>
          <w:highlight w:val="none"/>
          <w:lang w:val="en-US" w:eastAsia="zh-CN"/>
        </w:rPr>
        <w:t>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成立</w:t>
      </w:r>
    </w:p>
    <w:p>
      <w:pPr>
        <w:numPr>
          <w:ilvl w:val="0"/>
          <w:numId w:val="39"/>
        </w:num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39"/>
        </w:numPr>
        <w:spacing w:line="360" w:lineRule="auto"/>
        <w:ind w:firstLine="480" w:firstLineChars="200"/>
        <w:jc w:val="left"/>
        <w:rPr>
          <w:rFonts w:hint="eastAsia"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申购及赎回</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41"/>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本理财计划在每个开放期的开放日工作时间可进行申购</w:t>
      </w:r>
      <w:r>
        <w:rPr>
          <w:rFonts w:hint="eastAsia" w:ascii="宋体" w:hAnsi="宋体" w:cs="宋体"/>
          <w:bCs/>
          <w:sz w:val="24"/>
          <w:highlight w:val="none"/>
          <w:lang w:val="en-US" w:eastAsia="zh-CN"/>
        </w:rPr>
        <w:t>和赎回</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申请将在确认日进行确认，即开放期后的第〖1〗个工作日进行确认。</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工作时间为每个工作日上午〖9:00〗至下午〖17:00〗。</w:t>
      </w:r>
      <w:r>
        <w:rPr>
          <w:rFonts w:hint="eastAsia" w:ascii="宋体" w:hAnsi="宋体" w:cs="宋体"/>
          <w:color w:val="000000"/>
          <w:kern w:val="0"/>
          <w:sz w:val="24"/>
          <w:szCs w:val="24"/>
          <w:highlight w:val="none"/>
        </w:rPr>
        <w:t>（具体以销售机构规定为准）</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如</w:t>
      </w:r>
      <w:r>
        <w:rPr>
          <w:rFonts w:hint="eastAsia" w:ascii="宋体" w:hAnsi="宋体" w:cs="宋体"/>
          <w:bCs/>
          <w:color w:val="000000"/>
          <w:sz w:val="24"/>
          <w:highlight w:val="none"/>
          <w:lang w:eastAsia="zh-CN"/>
        </w:rPr>
        <w:t>新增申</w:t>
      </w:r>
      <w:r>
        <w:rPr>
          <w:rFonts w:hint="eastAsia" w:ascii="宋体" w:hAnsi="宋体" w:cs="宋体"/>
          <w:bCs/>
          <w:color w:val="000000"/>
          <w:sz w:val="24"/>
          <w:highlight w:val="none"/>
          <w:lang w:val="en-US" w:eastAsia="zh-CN"/>
        </w:rPr>
        <w:t>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赎回资金确认后，最快〖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42"/>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w:t>
      </w:r>
      <w:r>
        <w:rPr>
          <w:rFonts w:hint="eastAsia" w:ascii="宋体" w:hAnsi="宋体" w:cs="宋体"/>
          <w:bCs/>
          <w:sz w:val="24"/>
          <w:highlight w:val="none"/>
          <w:lang w:val="en-US" w:eastAsia="zh-CN"/>
        </w:rPr>
        <w:t>如连续2日（含）以上开放日发生巨额赎回，对于已经接受的赎回申请，管理人可以延缓支付赎回款项，但延缓期限不得超过5个工作日。</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在</w:t>
      </w:r>
      <w:r>
        <w:rPr>
          <w:rFonts w:hint="eastAsia" w:ascii="宋体" w:hAnsi="宋体" w:cs="宋体"/>
          <w:bCs/>
          <w:sz w:val="24"/>
          <w:highlight w:val="none"/>
        </w:rPr>
        <w:t>理财计划存续期内，管理人有权根据市场情况调整巨额赎回金额比例，并及时进行对外公告。</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暂停申购、赎回及延期支付赎回的情形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发生以下情形，管理人可暂停接受全部或部分投资者的申购申请：</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w:t>
      </w:r>
      <w:r>
        <w:rPr>
          <w:rFonts w:hint="eastAsia" w:ascii="宋体" w:hAnsi="宋体" w:cs="宋体"/>
          <w:bCs/>
          <w:sz w:val="24"/>
          <w:highlight w:val="none"/>
          <w:lang w:val="en-US" w:eastAsia="zh-CN"/>
        </w:rPr>
        <w:t>资产规模过大，继续接受申购可能对理财计划业绩产生负面影响，从而损害现有份额持有人利益的情形时</w:t>
      </w:r>
      <w:r>
        <w:rPr>
          <w:rFonts w:hint="eastAsia" w:ascii="宋体" w:hAnsi="宋体" w:cs="宋体"/>
          <w:bCs/>
          <w:sz w:val="24"/>
          <w:highlight w:val="none"/>
        </w:rPr>
        <w:t>。</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当</w:t>
      </w:r>
      <w:r>
        <w:rPr>
          <w:rFonts w:hint="eastAsia" w:ascii="宋体" w:hAnsi="宋体" w:cs="宋体"/>
          <w:bCs/>
          <w:sz w:val="24"/>
          <w:highlight w:val="none"/>
          <w:lang w:val="en-US" w:eastAsia="zh-CN"/>
        </w:rPr>
        <w:t>管理人认为某笔申购申请会有损于其他份额持有人利益的情形时。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发生产品说明书约定的暂停估值的情形时。</w:t>
      </w:r>
    </w:p>
    <w:p>
      <w:pPr>
        <w:numPr>
          <w:ilvl w:val="0"/>
          <w:numId w:val="43"/>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发生以下情形，对超出前一日终理财产品总份额10%的赎回申请，管理人可暂停接受全部或部分、延期办理投资者的赎回申请：</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理财计划发生巨额赎回情形时。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当继续</w:t>
      </w:r>
      <w:r>
        <w:rPr>
          <w:rFonts w:hint="default" w:ascii="宋体" w:hAnsi="宋体" w:cs="宋体"/>
          <w:bCs/>
          <w:sz w:val="24"/>
          <w:highlight w:val="none"/>
          <w:lang w:val="en-US" w:eastAsia="zh-CN"/>
        </w:rPr>
        <w:t>接受赎回申请将损害存量投资者利益的情形</w:t>
      </w:r>
      <w:r>
        <w:rPr>
          <w:rFonts w:hint="eastAsia" w:ascii="宋体" w:hAnsi="宋体" w:cs="宋体"/>
          <w:bCs/>
          <w:sz w:val="24"/>
          <w:highlight w:val="none"/>
          <w:lang w:val="en-US" w:eastAsia="zh-CN"/>
        </w:rPr>
        <w:t>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w:t>
      </w:r>
      <w:r>
        <w:rPr>
          <w:rFonts w:hint="default" w:ascii="宋体" w:hAnsi="宋体" w:cs="宋体"/>
          <w:bCs/>
          <w:sz w:val="24"/>
          <w:highlight w:val="none"/>
          <w:lang w:val="en-US" w:eastAsia="zh-CN"/>
        </w:rPr>
        <w:t>前一估值日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发生</w:t>
      </w:r>
      <w:r>
        <w:rPr>
          <w:rFonts w:hint="eastAsia" w:ascii="宋体" w:hAnsi="宋体" w:cs="宋体"/>
          <w:bCs/>
          <w:sz w:val="24"/>
          <w:highlight w:val="none"/>
          <w:lang w:eastAsia="zh-CN"/>
        </w:rPr>
        <w:t>产品说明书约定的暂停估值的情形时。</w:t>
      </w:r>
    </w:p>
    <w:p>
      <w:pPr>
        <w:numPr>
          <w:ilvl w:val="0"/>
          <w:numId w:val="4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法律</w:t>
      </w:r>
      <w:r>
        <w:rPr>
          <w:rFonts w:hint="eastAsia" w:ascii="宋体" w:hAnsi="宋体" w:cs="宋体"/>
          <w:bCs/>
          <w:sz w:val="24"/>
          <w:highlight w:val="none"/>
          <w:lang w:val="en-US" w:eastAsia="zh-CN"/>
        </w:rPr>
        <w:t>法规规定或监管机构认定的其他情形。</w:t>
      </w:r>
    </w:p>
    <w:p>
      <w:pPr>
        <w:spacing w:line="360" w:lineRule="auto"/>
        <w:ind w:firstLine="480" w:firstLineChars="200"/>
        <w:jc w:val="left"/>
        <w:rPr>
          <w:rFonts w:hint="eastAsia" w:ascii="宋体" w:hAnsi="宋体" w:cs="宋体"/>
          <w:bCs/>
          <w:sz w:val="24"/>
          <w:highlight w:val="none"/>
          <w:lang w:val="en-US" w:eastAsia="zh-CN"/>
        </w:rPr>
      </w:pPr>
      <w:r>
        <w:rPr>
          <w:rFonts w:hint="eastAsia" w:ascii="宋体" w:hAnsi="宋体" w:cs="宋体"/>
          <w:bCs/>
          <w:sz w:val="24"/>
          <w:highlight w:val="none"/>
          <w:lang w:val="en-US" w:eastAsia="zh-CN"/>
        </w:rPr>
        <w:t>发生以下情形，管理人对已接受的赎回申请，可延期支付赎回款项：</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eastAsia="zh-CN"/>
        </w:rPr>
        <w:t>因</w:t>
      </w:r>
      <w:r>
        <w:rPr>
          <w:rFonts w:hint="eastAsia" w:ascii="宋体" w:hAnsi="宋体" w:cs="宋体"/>
          <w:bCs/>
          <w:sz w:val="24"/>
          <w:highlight w:val="none"/>
          <w:lang w:val="en-US" w:eastAsia="zh-CN"/>
        </w:rPr>
        <w:t>不可抗力等原因，导致管理人接受赎回申请后无法及时兑付的情形时。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连续</w:t>
      </w:r>
      <w:r>
        <w:rPr>
          <w:rFonts w:hint="default" w:ascii="宋体" w:hAnsi="宋体" w:cs="宋体"/>
          <w:bCs/>
          <w:sz w:val="24"/>
          <w:highlight w:val="none"/>
          <w:lang w:val="en-US" w:eastAsia="zh-CN"/>
        </w:rPr>
        <w:t>2</w:t>
      </w:r>
      <w:r>
        <w:rPr>
          <w:rFonts w:hint="eastAsia" w:ascii="宋体" w:hAnsi="宋体" w:cs="宋体"/>
          <w:bCs/>
          <w:sz w:val="24"/>
          <w:highlight w:val="none"/>
          <w:lang w:val="en-US" w:eastAsia="zh-CN"/>
        </w:rPr>
        <w:t>日</w:t>
      </w:r>
      <w:r>
        <w:rPr>
          <w:rFonts w:hint="default" w:ascii="宋体" w:hAnsi="宋体" w:cs="宋体"/>
          <w:bCs/>
          <w:sz w:val="24"/>
          <w:highlight w:val="none"/>
          <w:lang w:val="en-US" w:eastAsia="zh-CN"/>
        </w:rPr>
        <w:t>（含）以上开放日发生巨额赎回的</w:t>
      </w:r>
      <w:r>
        <w:rPr>
          <w:rFonts w:hint="eastAsia" w:ascii="宋体" w:hAnsi="宋体" w:cs="宋体"/>
          <w:bCs/>
          <w:sz w:val="24"/>
          <w:highlight w:val="none"/>
          <w:lang w:val="en-US" w:eastAsia="zh-CN"/>
        </w:rPr>
        <w:t>情形时。</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当前</w:t>
      </w:r>
      <w:r>
        <w:rPr>
          <w:rFonts w:hint="default" w:ascii="宋体" w:hAnsi="宋体" w:cs="宋体"/>
          <w:bCs/>
          <w:sz w:val="24"/>
          <w:highlight w:val="none"/>
          <w:lang w:val="en-US" w:eastAsia="zh-CN"/>
        </w:rPr>
        <w:t>一估值日</w:t>
      </w:r>
      <w:r>
        <w:rPr>
          <w:rFonts w:hint="eastAsia" w:ascii="宋体" w:hAnsi="宋体" w:cs="宋体"/>
          <w:bCs/>
          <w:sz w:val="24"/>
          <w:highlight w:val="none"/>
          <w:lang w:val="en-US" w:eastAsia="zh-CN"/>
        </w:rPr>
        <w:t>理财计划</w:t>
      </w:r>
      <w:r>
        <w:rPr>
          <w:rFonts w:hint="default" w:ascii="宋体" w:hAnsi="宋体" w:cs="宋体"/>
          <w:bCs/>
          <w:sz w:val="24"/>
          <w:highlight w:val="none"/>
          <w:lang w:val="en-US" w:eastAsia="zh-CN"/>
        </w:rPr>
        <w:t>资产净值50%以上的资产不具备活跃交易市场或者在活跃市场中无报价，且不能采用估值技术可靠计量公允价值</w:t>
      </w:r>
      <w:r>
        <w:rPr>
          <w:rFonts w:hint="eastAsia" w:ascii="宋体" w:hAnsi="宋体" w:cs="宋体"/>
          <w:bCs/>
          <w:sz w:val="24"/>
          <w:highlight w:val="none"/>
          <w:lang w:val="en-US" w:eastAsia="zh-CN"/>
        </w:rPr>
        <w:t>的情形</w:t>
      </w:r>
      <w:r>
        <w:rPr>
          <w:rFonts w:hint="default" w:ascii="宋体" w:hAnsi="宋体" w:cs="宋体"/>
          <w:bCs/>
          <w:sz w:val="24"/>
          <w:highlight w:val="none"/>
          <w:lang w:val="en-US" w:eastAsia="zh-CN"/>
        </w:rPr>
        <w:t>时</w:t>
      </w:r>
      <w:r>
        <w:rPr>
          <w:rFonts w:hint="eastAsia" w:ascii="宋体" w:hAnsi="宋体" w:cs="宋体"/>
          <w:bCs/>
          <w:sz w:val="24"/>
          <w:highlight w:val="none"/>
          <w:lang w:val="en-US" w:eastAsia="zh-CN"/>
        </w:rPr>
        <w:t>。</w:t>
      </w:r>
    </w:p>
    <w:p>
      <w:pPr>
        <w:numPr>
          <w:ilvl w:val="0"/>
          <w:numId w:val="4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lang w:val="en-US" w:eastAsia="zh-CN"/>
        </w:rPr>
        <w:t>法律法规规定或监管机构认定的其他情形。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1</w:t>
      </w:r>
      <w:r>
        <w:rPr>
          <w:rFonts w:hint="eastAsia" w:ascii="宋体" w:hAnsi="宋体" w:cs="宋体"/>
          <w:bCs/>
          <w:sz w:val="24"/>
          <w:highlight w:val="none"/>
        </w:rPr>
        <w:t>〗个工作日、最晚〖</w:t>
      </w:r>
      <w:r>
        <w:rPr>
          <w:rFonts w:hint="eastAsia" w:ascii="宋体" w:hAnsi="宋体" w:cs="宋体"/>
          <w:bCs/>
          <w:sz w:val="24"/>
          <w:highlight w:val="none"/>
          <w:lang w:val="en-US" w:eastAsia="zh-CN"/>
        </w:rPr>
        <w:t>3</w:t>
      </w:r>
      <w:r>
        <w:rPr>
          <w:rFonts w:hint="eastAsia" w:ascii="宋体" w:hAnsi="宋体" w:cs="宋体"/>
          <w:bCs/>
          <w:sz w:val="24"/>
          <w:highlight w:val="none"/>
        </w:rPr>
        <w:t>〗个工作日内（遇节假日顺延）将资金按规定的要求划入投资者授权指定的理财账户。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szCs w:val="24"/>
          <w:highlight w:val="none"/>
        </w:rPr>
        <w:t>〖</w:t>
      </w:r>
      <w:r>
        <w:rPr>
          <w:rFonts w:hint="eastAsia" w:ascii="宋体" w:hAnsi="宋体" w:cs="宋体"/>
          <w:sz w:val="24"/>
          <w:szCs w:val="24"/>
          <w:highlight w:val="none"/>
          <w:lang w:val="en-US" w:eastAsia="zh-CN"/>
        </w:rPr>
        <w:t>1</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szCs w:val="24"/>
          <w:highlight w:val="none"/>
        </w:rPr>
        <w:t>〖</w:t>
      </w:r>
      <w:r>
        <w:rPr>
          <w:rFonts w:hint="eastAsia" w:ascii="宋体" w:hAnsi="宋体" w:cs="宋体"/>
          <w:szCs w:val="21"/>
          <w:highlight w:val="none"/>
          <w:lang w:val="en-US" w:eastAsia="zh-CN"/>
        </w:rPr>
        <w:t>3</w:t>
      </w:r>
      <w:r>
        <w:rPr>
          <w:rFonts w:hint="eastAsia" w:ascii="宋体" w:hAnsi="宋体" w:cs="宋体"/>
          <w:bCs/>
          <w:color w:val="000000"/>
          <w:sz w:val="24"/>
          <w:highlight w:val="none"/>
        </w:rPr>
        <w:t>〗</w:t>
      </w:r>
      <w:r>
        <w:rPr>
          <w:rFonts w:hint="eastAsia" w:ascii="宋体" w:hAnsi="宋体" w:cs="宋体"/>
          <w:bCs/>
          <w:sz w:val="24"/>
          <w:highlight w:val="none"/>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提前终止权：</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市场收益率大幅波动，可能或实质影响理财计划投资收益的。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6"/>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管理人认为应该提前终止的其他情形。</w:t>
      </w:r>
    </w:p>
    <w:p>
      <w:pPr>
        <w:numPr>
          <w:ilvl w:val="0"/>
          <w:numId w:val="37"/>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7"/>
        </w:num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信息披露</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披露内容及时间</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认购信息披露</w:t>
      </w:r>
    </w:p>
    <w:p>
      <w:pPr>
        <w:numPr>
          <w:ilvl w:val="0"/>
          <w:numId w:val="50"/>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风险揭示书、</w:t>
      </w:r>
      <w:r>
        <w:rPr>
          <w:rFonts w:hint="eastAsia" w:ascii="宋体" w:hAnsi="宋体" w:cs="宋体"/>
          <w:bCs/>
          <w:color w:val="000000"/>
          <w:sz w:val="24"/>
          <w:highlight w:val="none"/>
          <w:lang w:eastAsia="zh-CN"/>
        </w:rPr>
        <w:t>理财计划</w:t>
      </w:r>
      <w:r>
        <w:rPr>
          <w:rFonts w:hint="eastAsia" w:ascii="宋体" w:hAnsi="宋体" w:cs="宋体"/>
          <w:bCs/>
          <w:color w:val="000000"/>
          <w:sz w:val="24"/>
          <w:highlight w:val="none"/>
        </w:rPr>
        <w:t>产品说明书、投资者权益须知</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理财计划投资协议书</w:t>
      </w:r>
      <w:r>
        <w:rPr>
          <w:rFonts w:hint="eastAsia" w:ascii="宋体" w:hAnsi="宋体" w:cs="宋体"/>
          <w:bCs/>
          <w:color w:val="000000"/>
          <w:sz w:val="24"/>
          <w:highlight w:val="none"/>
          <w:lang w:eastAsia="zh-CN"/>
        </w:rPr>
        <w:t>以及理财计划销售协议书</w:t>
      </w:r>
      <w:r>
        <w:rPr>
          <w:rFonts w:hint="eastAsia" w:ascii="宋体" w:hAnsi="宋体" w:cs="宋体"/>
          <w:bCs/>
          <w:color w:val="000000"/>
          <w:sz w:val="24"/>
          <w:highlight w:val="none"/>
        </w:rPr>
        <w:t>。</w:t>
      </w:r>
    </w:p>
    <w:p>
      <w:pPr>
        <w:numPr>
          <w:ilvl w:val="0"/>
          <w:numId w:val="50"/>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个工作日内披露，包括成立日期、募集规模等信息。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运作信息披露</w:t>
      </w:r>
    </w:p>
    <w:p>
      <w:pPr>
        <w:numPr>
          <w:ilvl w:val="0"/>
          <w:numId w:val="51"/>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个工作日内披露本理财计划净值。</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highlight w:val="none"/>
        </w:rPr>
        <w:t>理财产品成立不足90个工作日或者存续期不超过90个工作日的，不编制理财产品当期的季度、半年和年度报告。</w:t>
      </w:r>
    </w:p>
    <w:p>
      <w:pPr>
        <w:numPr>
          <w:ilvl w:val="0"/>
          <w:numId w:val="51"/>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9"/>
        </w:numPr>
        <w:spacing w:line="360" w:lineRule="auto"/>
        <w:ind w:firstLine="482" w:firstLineChars="200"/>
        <w:jc w:val="left"/>
        <w:rPr>
          <w:rFonts w:hint="eastAsia" w:ascii="宋体" w:hAnsi="宋体" w:cs="宋体"/>
          <w:b/>
          <w:sz w:val="24"/>
          <w:highlight w:val="none"/>
        </w:rPr>
      </w:pPr>
      <w:r>
        <w:rPr>
          <w:rFonts w:hint="eastAsia" w:ascii="宋体" w:hAnsi="宋体" w:cs="宋体"/>
          <w:b/>
          <w:sz w:val="24"/>
          <w:highlight w:val="none"/>
        </w:rPr>
        <w:t>临时信息披露</w:t>
      </w:r>
    </w:p>
    <w:p>
      <w:pPr>
        <w:numPr>
          <w:ilvl w:val="0"/>
          <w:numId w:val="52"/>
        </w:num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重大事项公告：</w:t>
      </w:r>
      <w:r>
        <w:rPr>
          <w:rFonts w:hint="eastAsia" w:ascii="宋体" w:hAnsi="宋体" w:cs="宋体"/>
          <w:bCs/>
          <w:color w:val="000000"/>
          <w:sz w:val="24"/>
          <w:highlight w:val="none"/>
          <w:lang w:eastAsia="zh-CN"/>
        </w:rPr>
        <w:t>管理人应在运用</w:t>
      </w:r>
      <w:r>
        <w:rPr>
          <w:rFonts w:hint="eastAsia" w:ascii="宋体" w:hAnsi="宋体" w:cs="宋体"/>
          <w:bCs/>
          <w:color w:val="000000"/>
          <w:sz w:val="24"/>
          <w:highlight w:val="none"/>
        </w:rPr>
        <w:t>收取短期赎回费、摆动定价等措施后，3个交易日内</w:t>
      </w:r>
      <w:r>
        <w:rPr>
          <w:rFonts w:hint="eastAsia" w:ascii="宋体" w:hAnsi="宋体" w:cs="宋体"/>
          <w:bCs/>
          <w:color w:val="000000"/>
          <w:sz w:val="24"/>
          <w:highlight w:val="none"/>
          <w:lang w:eastAsia="zh-CN"/>
        </w:rPr>
        <w:t>发布相关事项公告；应在</w:t>
      </w:r>
      <w:r>
        <w:rPr>
          <w:rFonts w:hint="eastAsia" w:ascii="宋体" w:hAnsi="宋体" w:cs="宋体"/>
          <w:bCs/>
          <w:color w:val="000000"/>
          <w:sz w:val="24"/>
          <w:highlight w:val="none"/>
          <w:lang w:val="en-US" w:eastAsia="zh-CN"/>
        </w:rPr>
        <w:t>运用暂停认购、延期办理巨额赎回申请、暂停接受赎回申请、延缓支付赎回款项、暂停理财产品估值等措施后，</w:t>
      </w:r>
      <w:r>
        <w:rPr>
          <w:rFonts w:hint="eastAsia" w:ascii="宋体" w:hAnsi="宋体" w:cs="宋体"/>
          <w:bCs/>
          <w:color w:val="000000"/>
          <w:sz w:val="24"/>
          <w:highlight w:val="none"/>
        </w:rPr>
        <w:t>3个交易日内</w:t>
      </w:r>
      <w:r>
        <w:rPr>
          <w:rFonts w:hint="eastAsia" w:ascii="宋体" w:hAnsi="宋体" w:cs="宋体"/>
          <w:bCs/>
          <w:color w:val="000000"/>
          <w:sz w:val="24"/>
          <w:highlight w:val="none"/>
          <w:lang w:eastAsia="zh-CN"/>
        </w:rPr>
        <w:t>发布相关事项公告，</w:t>
      </w:r>
      <w:r>
        <w:rPr>
          <w:rFonts w:hint="eastAsia" w:ascii="宋体" w:hAnsi="宋体" w:cs="宋体"/>
          <w:bCs/>
          <w:color w:val="000000"/>
          <w:sz w:val="24"/>
          <w:highlight w:val="none"/>
          <w:lang w:val="en-US" w:eastAsia="zh-CN"/>
        </w:rPr>
        <w:t>说明运用相关措施的原因、拟采取的应对安排等；</w:t>
      </w:r>
      <w:r>
        <w:rPr>
          <w:rFonts w:hint="eastAsia" w:ascii="宋体" w:hAnsi="宋体" w:cs="宋体"/>
          <w:bCs/>
          <w:color w:val="000000"/>
          <w:sz w:val="24"/>
          <w:highlight w:val="none"/>
          <w:lang w:eastAsia="zh-CN"/>
        </w:rPr>
        <w:t>应在发生可能对理财计划投资者或者理财计划收益产</w:t>
      </w:r>
      <w:r>
        <w:rPr>
          <w:rFonts w:hint="eastAsia" w:ascii="宋体" w:hAnsi="宋体" w:cs="宋体"/>
          <w:bCs/>
          <w:color w:val="000000"/>
          <w:sz w:val="24"/>
          <w:highlight w:val="none"/>
        </w:rPr>
        <w:t>生重大事项的事件后2个工作日内发布重大事项公告。</w:t>
      </w:r>
    </w:p>
    <w:p>
      <w:pPr>
        <w:numPr>
          <w:ilvl w:val="0"/>
          <w:numId w:val="52"/>
        </w:num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w:t>
      </w:r>
      <w:r>
        <w:rPr>
          <w:rFonts w:hint="eastAsia" w:ascii="宋体" w:hAnsi="宋体" w:cs="宋体"/>
          <w:bCs/>
          <w:color w:val="000000"/>
          <w:sz w:val="24"/>
          <w:highlight w:val="none"/>
          <w:lang w:eastAsia="zh-CN"/>
        </w:rPr>
        <w:t>换</w:t>
      </w:r>
      <w:r>
        <w:rPr>
          <w:rFonts w:hint="eastAsia" w:ascii="宋体" w:hAnsi="宋体" w:cs="宋体"/>
          <w:bCs/>
          <w:color w:val="000000"/>
          <w:sz w:val="24"/>
          <w:highlight w:val="none"/>
        </w:rPr>
        <w:t>理财计划管理人和托管人、涉及理财计划管理业务的重大诉讼、涉及费率相关事项的变动、理财计划延期兑付等。</w:t>
      </w:r>
    </w:p>
    <w:p>
      <w:pPr>
        <w:numPr>
          <w:ilvl w:val="0"/>
          <w:numId w:val="48"/>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sz w:val="24"/>
          <w:highlight w:val="none"/>
        </w:rPr>
      </w:pPr>
    </w:p>
    <w:p>
      <w:pPr>
        <w:numPr>
          <w:ilvl w:val="0"/>
          <w:numId w:val="20"/>
        </w:numPr>
        <w:spacing w:line="360" w:lineRule="auto"/>
        <w:ind w:firstLine="482" w:firstLineChars="200"/>
        <w:jc w:val="left"/>
        <w:outlineLvl w:val="1"/>
        <w:rPr>
          <w:rFonts w:hint="eastAsia" w:ascii="宋体" w:hAnsi="宋体" w:cs="宋体"/>
          <w:b/>
          <w:sz w:val="24"/>
          <w:highlight w:val="none"/>
        </w:rPr>
      </w:pPr>
      <w:r>
        <w:rPr>
          <w:rFonts w:hint="eastAsia" w:ascii="宋体" w:hAnsi="宋体" w:cs="宋体"/>
          <w:b/>
          <w:sz w:val="24"/>
          <w:highlight w:val="none"/>
        </w:rPr>
        <w:t>其他</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hint="eastAsia"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3"/>
        </w:num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jc w:val="both"/>
        <w:outlineLvl w:val="9"/>
        <w:rPr>
          <w:rFonts w:hint="eastAsia" w:ascii="Calibri" w:hAnsi="Calibri" w:eastAsia="宋体" w:cs="黑体"/>
          <w:b/>
          <w:bCs w:val="0"/>
          <w:sz w:val="44"/>
          <w:szCs w:val="44"/>
          <w:highlight w:val="none"/>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6">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7">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8">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9">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0">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1">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2">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3">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4">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5">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6">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7">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18">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19">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0">
    <w:nsid w:val="D8D75090"/>
    <w:multiLevelType w:val="singleLevel"/>
    <w:tmpl w:val="D8D75090"/>
    <w:lvl w:ilvl="0" w:tentative="0">
      <w:start w:val="1"/>
      <w:numFmt w:val="decimal"/>
      <w:suff w:val="nothing"/>
      <w:lvlText w:val="（%1）"/>
      <w:lvlJc w:val="left"/>
      <w:rPr>
        <w:rFonts w:hint="default"/>
        <w:b w:val="0"/>
        <w:bCs w:val="0"/>
      </w:rPr>
    </w:lvl>
  </w:abstractNum>
  <w:abstractNum w:abstractNumId="21">
    <w:nsid w:val="DD2251DF"/>
    <w:multiLevelType w:val="singleLevel"/>
    <w:tmpl w:val="DD2251DF"/>
    <w:lvl w:ilvl="0" w:tentative="0">
      <w:start w:val="1"/>
      <w:numFmt w:val="decimal"/>
      <w:suff w:val="nothing"/>
      <w:lvlText w:val="（%1）"/>
      <w:lvlJc w:val="left"/>
      <w:rPr>
        <w:rFonts w:hint="default"/>
        <w:b w:val="0"/>
        <w:bCs w:val="0"/>
      </w:rPr>
    </w:lvl>
  </w:abstractNum>
  <w:abstractNum w:abstractNumId="22">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3">
    <w:nsid w:val="E70DF796"/>
    <w:multiLevelType w:val="singleLevel"/>
    <w:tmpl w:val="E70DF796"/>
    <w:lvl w:ilvl="0" w:tentative="0">
      <w:start w:val="1"/>
      <w:numFmt w:val="decimal"/>
      <w:suff w:val="nothing"/>
      <w:lvlText w:val="（%1）"/>
      <w:lvlJc w:val="left"/>
    </w:lvl>
  </w:abstractNum>
  <w:abstractNum w:abstractNumId="24">
    <w:nsid w:val="EFF37F09"/>
    <w:multiLevelType w:val="singleLevel"/>
    <w:tmpl w:val="EFF37F09"/>
    <w:lvl w:ilvl="0" w:tentative="0">
      <w:start w:val="1"/>
      <w:numFmt w:val="decimal"/>
      <w:suff w:val="nothing"/>
      <w:lvlText w:val="（%1）"/>
      <w:lvlJc w:val="left"/>
      <w:rPr>
        <w:rFonts w:hint="default"/>
        <w:b w:val="0"/>
        <w:bCs w:val="0"/>
      </w:rPr>
    </w:lvl>
  </w:abstractNum>
  <w:abstractNum w:abstractNumId="25">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6">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7">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8">
    <w:nsid w:val="F574F5B6"/>
    <w:multiLevelType w:val="singleLevel"/>
    <w:tmpl w:val="F574F5B6"/>
    <w:lvl w:ilvl="0" w:tentative="0">
      <w:start w:val="1"/>
      <w:numFmt w:val="decimal"/>
      <w:suff w:val="nothing"/>
      <w:lvlText w:val="（%1）"/>
      <w:lvlJc w:val="left"/>
    </w:lvl>
  </w:abstractNum>
  <w:abstractNum w:abstractNumId="29">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0">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1">
    <w:nsid w:val="084A6179"/>
    <w:multiLevelType w:val="singleLevel"/>
    <w:tmpl w:val="084A6179"/>
    <w:lvl w:ilvl="0" w:tentative="0">
      <w:start w:val="1"/>
      <w:numFmt w:val="decimal"/>
      <w:suff w:val="nothing"/>
      <w:lvlText w:val="（%1）"/>
      <w:lvlJc w:val="left"/>
      <w:rPr>
        <w:rFonts w:hint="default"/>
        <w:highlight w:val="none"/>
      </w:rPr>
    </w:lvl>
  </w:abstractNum>
  <w:abstractNum w:abstractNumId="32">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4">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5">
    <w:nsid w:val="167B0BB4"/>
    <w:multiLevelType w:val="singleLevel"/>
    <w:tmpl w:val="167B0BB4"/>
    <w:lvl w:ilvl="0" w:tentative="0">
      <w:start w:val="1"/>
      <w:numFmt w:val="decimal"/>
      <w:suff w:val="nothing"/>
      <w:lvlText w:val="（%1）"/>
      <w:lvlJc w:val="left"/>
    </w:lvl>
  </w:abstractNum>
  <w:abstractNum w:abstractNumId="36">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37">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8">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39">
    <w:nsid w:val="2CB63BE6"/>
    <w:multiLevelType w:val="singleLevel"/>
    <w:tmpl w:val="2CB63BE6"/>
    <w:lvl w:ilvl="0" w:tentative="0">
      <w:start w:val="1"/>
      <w:numFmt w:val="decimal"/>
      <w:suff w:val="nothing"/>
      <w:lvlText w:val="（%1）"/>
      <w:lvlJc w:val="left"/>
      <w:rPr>
        <w:rFonts w:hint="default"/>
        <w:b w:val="0"/>
        <w:bCs w:val="0"/>
      </w:rPr>
    </w:lvl>
  </w:abstractNum>
  <w:abstractNum w:abstractNumId="40">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3">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4">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5">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46">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7">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8">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9">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0">
    <w:nsid w:val="5BA91325"/>
    <w:multiLevelType w:val="singleLevel"/>
    <w:tmpl w:val="5BA91325"/>
    <w:lvl w:ilvl="0" w:tentative="0">
      <w:start w:val="1"/>
      <w:numFmt w:val="decimal"/>
      <w:suff w:val="nothing"/>
      <w:lvlText w:val="（%1）"/>
      <w:lvlJc w:val="left"/>
    </w:lvl>
  </w:abstractNum>
  <w:abstractNum w:abstractNumId="51">
    <w:nsid w:val="61F30F62"/>
    <w:multiLevelType w:val="singleLevel"/>
    <w:tmpl w:val="61F30F62"/>
    <w:lvl w:ilvl="0" w:tentative="0">
      <w:start w:val="1"/>
      <w:numFmt w:val="decimal"/>
      <w:suff w:val="nothing"/>
      <w:lvlText w:val="（%1）"/>
      <w:lvlJc w:val="left"/>
      <w:rPr>
        <w:rFonts w:hint="default"/>
        <w:b w:val="0"/>
        <w:bCs w:val="0"/>
      </w:rPr>
    </w:lvl>
  </w:abstractNum>
  <w:abstractNum w:abstractNumId="52">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8"/>
  </w:num>
  <w:num w:numId="2">
    <w:abstractNumId w:val="44"/>
  </w:num>
  <w:num w:numId="3">
    <w:abstractNumId w:val="29"/>
  </w:num>
  <w:num w:numId="4">
    <w:abstractNumId w:val="26"/>
  </w:num>
  <w:num w:numId="5">
    <w:abstractNumId w:val="33"/>
  </w:num>
  <w:num w:numId="6">
    <w:abstractNumId w:val="25"/>
  </w:num>
  <w:num w:numId="7">
    <w:abstractNumId w:val="17"/>
  </w:num>
  <w:num w:numId="8">
    <w:abstractNumId w:val="10"/>
  </w:num>
  <w:num w:numId="9">
    <w:abstractNumId w:val="14"/>
  </w:num>
  <w:num w:numId="10">
    <w:abstractNumId w:val="7"/>
  </w:num>
  <w:num w:numId="11">
    <w:abstractNumId w:val="8"/>
  </w:num>
  <w:num w:numId="12">
    <w:abstractNumId w:val="6"/>
  </w:num>
  <w:num w:numId="13">
    <w:abstractNumId w:val="32"/>
  </w:num>
  <w:num w:numId="14">
    <w:abstractNumId w:val="43"/>
  </w:num>
  <w:num w:numId="15">
    <w:abstractNumId w:val="28"/>
  </w:num>
  <w:num w:numId="16">
    <w:abstractNumId w:val="45"/>
  </w:num>
  <w:num w:numId="17">
    <w:abstractNumId w:val="50"/>
  </w:num>
  <w:num w:numId="18">
    <w:abstractNumId w:val="38"/>
  </w:num>
  <w:num w:numId="19">
    <w:abstractNumId w:val="16"/>
  </w:num>
  <w:num w:numId="20">
    <w:abstractNumId w:val="37"/>
  </w:num>
  <w:num w:numId="21">
    <w:abstractNumId w:val="19"/>
  </w:num>
  <w:num w:numId="22">
    <w:abstractNumId w:val="5"/>
  </w:num>
  <w:num w:numId="23">
    <w:abstractNumId w:val="47"/>
  </w:num>
  <w:num w:numId="24">
    <w:abstractNumId w:val="4"/>
  </w:num>
  <w:num w:numId="25">
    <w:abstractNumId w:val="31"/>
  </w:num>
  <w:num w:numId="26">
    <w:abstractNumId w:val="36"/>
  </w:num>
  <w:num w:numId="27">
    <w:abstractNumId w:val="52"/>
  </w:num>
  <w:num w:numId="28">
    <w:abstractNumId w:val="30"/>
  </w:num>
  <w:num w:numId="29">
    <w:abstractNumId w:val="18"/>
  </w:num>
  <w:num w:numId="30">
    <w:abstractNumId w:val="40"/>
  </w:num>
  <w:num w:numId="31">
    <w:abstractNumId w:val="0"/>
  </w:num>
  <w:num w:numId="32">
    <w:abstractNumId w:val="21"/>
  </w:num>
  <w:num w:numId="33">
    <w:abstractNumId w:val="42"/>
  </w:num>
  <w:num w:numId="34">
    <w:abstractNumId w:val="2"/>
  </w:num>
  <w:num w:numId="35">
    <w:abstractNumId w:val="22"/>
  </w:num>
  <w:num w:numId="36">
    <w:abstractNumId w:val="13"/>
  </w:num>
  <w:num w:numId="37">
    <w:abstractNumId w:val="46"/>
  </w:num>
  <w:num w:numId="38">
    <w:abstractNumId w:val="34"/>
  </w:num>
  <w:num w:numId="39">
    <w:abstractNumId w:val="15"/>
  </w:num>
  <w:num w:numId="40">
    <w:abstractNumId w:val="27"/>
  </w:num>
  <w:num w:numId="41">
    <w:abstractNumId w:val="23"/>
  </w:num>
  <w:num w:numId="42">
    <w:abstractNumId w:val="24"/>
  </w:num>
  <w:num w:numId="43">
    <w:abstractNumId w:val="51"/>
  </w:num>
  <w:num w:numId="44">
    <w:abstractNumId w:val="39"/>
  </w:num>
  <w:num w:numId="45">
    <w:abstractNumId w:val="1"/>
  </w:num>
  <w:num w:numId="46">
    <w:abstractNumId w:val="49"/>
  </w:num>
  <w:num w:numId="47">
    <w:abstractNumId w:val="11"/>
  </w:num>
  <w:num w:numId="48">
    <w:abstractNumId w:val="9"/>
  </w:num>
  <w:num w:numId="49">
    <w:abstractNumId w:val="12"/>
  </w:num>
  <w:num w:numId="50">
    <w:abstractNumId w:val="35"/>
  </w:num>
  <w:num w:numId="51">
    <w:abstractNumId w:val="20"/>
  </w:num>
  <w:num w:numId="52">
    <w:abstractNumId w:val="3"/>
  </w:num>
  <w:num w:numId="5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563757"/>
    <w:rsid w:val="00D5498D"/>
    <w:rsid w:val="01364432"/>
    <w:rsid w:val="01523B8E"/>
    <w:rsid w:val="01BB3F30"/>
    <w:rsid w:val="01E60817"/>
    <w:rsid w:val="01FD241C"/>
    <w:rsid w:val="03F1228C"/>
    <w:rsid w:val="04035DBB"/>
    <w:rsid w:val="046C4318"/>
    <w:rsid w:val="05165B63"/>
    <w:rsid w:val="05E05E4D"/>
    <w:rsid w:val="05ED7265"/>
    <w:rsid w:val="06420CFA"/>
    <w:rsid w:val="06503B59"/>
    <w:rsid w:val="065B6789"/>
    <w:rsid w:val="06DA626B"/>
    <w:rsid w:val="06F301FD"/>
    <w:rsid w:val="0752555A"/>
    <w:rsid w:val="07C960D7"/>
    <w:rsid w:val="07E45984"/>
    <w:rsid w:val="0828699A"/>
    <w:rsid w:val="087D4021"/>
    <w:rsid w:val="08E1077C"/>
    <w:rsid w:val="09155E8F"/>
    <w:rsid w:val="097E3F67"/>
    <w:rsid w:val="09FE573C"/>
    <w:rsid w:val="0A0C6349"/>
    <w:rsid w:val="0A1347F5"/>
    <w:rsid w:val="0A1F3796"/>
    <w:rsid w:val="0A2A32B9"/>
    <w:rsid w:val="0B8E27E3"/>
    <w:rsid w:val="0BF71AE2"/>
    <w:rsid w:val="0C9C7394"/>
    <w:rsid w:val="0CA6603D"/>
    <w:rsid w:val="0D0B1B00"/>
    <w:rsid w:val="0D3F210A"/>
    <w:rsid w:val="0E36795A"/>
    <w:rsid w:val="0E4A4B6F"/>
    <w:rsid w:val="0E9465E2"/>
    <w:rsid w:val="0EAE473F"/>
    <w:rsid w:val="0EF65480"/>
    <w:rsid w:val="0F3349D0"/>
    <w:rsid w:val="0F821EAC"/>
    <w:rsid w:val="10776FA2"/>
    <w:rsid w:val="10E7087B"/>
    <w:rsid w:val="10FA5463"/>
    <w:rsid w:val="119C4829"/>
    <w:rsid w:val="11BA058F"/>
    <w:rsid w:val="12081858"/>
    <w:rsid w:val="12B62B3B"/>
    <w:rsid w:val="12F57C75"/>
    <w:rsid w:val="12F65E46"/>
    <w:rsid w:val="12F96486"/>
    <w:rsid w:val="13031153"/>
    <w:rsid w:val="13181417"/>
    <w:rsid w:val="135A629F"/>
    <w:rsid w:val="13CF7B8E"/>
    <w:rsid w:val="14B80FF2"/>
    <w:rsid w:val="14C57FED"/>
    <w:rsid w:val="14C7193C"/>
    <w:rsid w:val="150C5665"/>
    <w:rsid w:val="15485BE1"/>
    <w:rsid w:val="15C56302"/>
    <w:rsid w:val="160940BB"/>
    <w:rsid w:val="1659752C"/>
    <w:rsid w:val="16CE5BE1"/>
    <w:rsid w:val="16E43A7F"/>
    <w:rsid w:val="175F7C56"/>
    <w:rsid w:val="185A3DA1"/>
    <w:rsid w:val="198C4B50"/>
    <w:rsid w:val="19BB4557"/>
    <w:rsid w:val="19DA4F78"/>
    <w:rsid w:val="19F13F4F"/>
    <w:rsid w:val="1A102675"/>
    <w:rsid w:val="1A3B5FB6"/>
    <w:rsid w:val="1B280245"/>
    <w:rsid w:val="1B2C236D"/>
    <w:rsid w:val="1B581220"/>
    <w:rsid w:val="1B843575"/>
    <w:rsid w:val="1BBE4697"/>
    <w:rsid w:val="1CD6762A"/>
    <w:rsid w:val="1D4D5B7F"/>
    <w:rsid w:val="1D5076C2"/>
    <w:rsid w:val="1D552DD9"/>
    <w:rsid w:val="1DAB6D83"/>
    <w:rsid w:val="1E3173A3"/>
    <w:rsid w:val="1E792E51"/>
    <w:rsid w:val="1F0F5A19"/>
    <w:rsid w:val="1F1D6E1F"/>
    <w:rsid w:val="1F3E7F7D"/>
    <w:rsid w:val="1F51312D"/>
    <w:rsid w:val="1FC9553A"/>
    <w:rsid w:val="204D3B12"/>
    <w:rsid w:val="205A2AB3"/>
    <w:rsid w:val="20B6224D"/>
    <w:rsid w:val="21025026"/>
    <w:rsid w:val="21036497"/>
    <w:rsid w:val="21CE3241"/>
    <w:rsid w:val="22A04AF7"/>
    <w:rsid w:val="22A73C8E"/>
    <w:rsid w:val="22D3594B"/>
    <w:rsid w:val="22F12819"/>
    <w:rsid w:val="22F16CBB"/>
    <w:rsid w:val="234F46D7"/>
    <w:rsid w:val="23753F06"/>
    <w:rsid w:val="238E1AAE"/>
    <w:rsid w:val="23DF60A6"/>
    <w:rsid w:val="24030B6D"/>
    <w:rsid w:val="24345B9A"/>
    <w:rsid w:val="245517BD"/>
    <w:rsid w:val="24815FC5"/>
    <w:rsid w:val="2483647E"/>
    <w:rsid w:val="256F076F"/>
    <w:rsid w:val="25AF7681"/>
    <w:rsid w:val="25CA2E84"/>
    <w:rsid w:val="26820AF7"/>
    <w:rsid w:val="268D46D2"/>
    <w:rsid w:val="27947E62"/>
    <w:rsid w:val="27B32A4F"/>
    <w:rsid w:val="27EB2573"/>
    <w:rsid w:val="292668E3"/>
    <w:rsid w:val="29361BBD"/>
    <w:rsid w:val="2A0044AF"/>
    <w:rsid w:val="2A124404"/>
    <w:rsid w:val="2A1B5D68"/>
    <w:rsid w:val="2A5975B6"/>
    <w:rsid w:val="2A991D32"/>
    <w:rsid w:val="2AB92324"/>
    <w:rsid w:val="2AD6555A"/>
    <w:rsid w:val="2B376BE0"/>
    <w:rsid w:val="2B5B0398"/>
    <w:rsid w:val="2C1B1E9D"/>
    <w:rsid w:val="2CAB68C5"/>
    <w:rsid w:val="2E354AE5"/>
    <w:rsid w:val="2E86088D"/>
    <w:rsid w:val="2EBC6D03"/>
    <w:rsid w:val="2F196945"/>
    <w:rsid w:val="2F1F666C"/>
    <w:rsid w:val="2FD32A37"/>
    <w:rsid w:val="2FE21999"/>
    <w:rsid w:val="30111202"/>
    <w:rsid w:val="30551FFC"/>
    <w:rsid w:val="311F702A"/>
    <w:rsid w:val="31331DE0"/>
    <w:rsid w:val="31A82883"/>
    <w:rsid w:val="320E3E15"/>
    <w:rsid w:val="32B15B31"/>
    <w:rsid w:val="32C937E9"/>
    <w:rsid w:val="333F6AA7"/>
    <w:rsid w:val="3480359E"/>
    <w:rsid w:val="34BE4ED5"/>
    <w:rsid w:val="35476F5E"/>
    <w:rsid w:val="354D3F58"/>
    <w:rsid w:val="359225F5"/>
    <w:rsid w:val="359A216E"/>
    <w:rsid w:val="35CB65AD"/>
    <w:rsid w:val="36631FD8"/>
    <w:rsid w:val="36C419F2"/>
    <w:rsid w:val="36E72D9B"/>
    <w:rsid w:val="36FD7080"/>
    <w:rsid w:val="379F2ED6"/>
    <w:rsid w:val="37CA172C"/>
    <w:rsid w:val="37DC2068"/>
    <w:rsid w:val="38071350"/>
    <w:rsid w:val="38224FD0"/>
    <w:rsid w:val="38E31C93"/>
    <w:rsid w:val="39775E90"/>
    <w:rsid w:val="39AC0F1B"/>
    <w:rsid w:val="39B95084"/>
    <w:rsid w:val="39BA0AF0"/>
    <w:rsid w:val="3A3E2041"/>
    <w:rsid w:val="3B131EF6"/>
    <w:rsid w:val="3B490D86"/>
    <w:rsid w:val="3BD74075"/>
    <w:rsid w:val="3C2F2290"/>
    <w:rsid w:val="3C4A29DC"/>
    <w:rsid w:val="3E2C1E51"/>
    <w:rsid w:val="3E6704D2"/>
    <w:rsid w:val="3EA67C14"/>
    <w:rsid w:val="3EAD1B36"/>
    <w:rsid w:val="3F056B9E"/>
    <w:rsid w:val="3F354A62"/>
    <w:rsid w:val="3FB01289"/>
    <w:rsid w:val="3FE233B8"/>
    <w:rsid w:val="3FF54C55"/>
    <w:rsid w:val="40181F9C"/>
    <w:rsid w:val="406370BC"/>
    <w:rsid w:val="40DF388D"/>
    <w:rsid w:val="40FB7670"/>
    <w:rsid w:val="412E2C9B"/>
    <w:rsid w:val="41B60000"/>
    <w:rsid w:val="423C06E2"/>
    <w:rsid w:val="42815397"/>
    <w:rsid w:val="42C94634"/>
    <w:rsid w:val="43113F5B"/>
    <w:rsid w:val="43BB29BF"/>
    <w:rsid w:val="448769B1"/>
    <w:rsid w:val="453D02B5"/>
    <w:rsid w:val="45540446"/>
    <w:rsid w:val="458F3937"/>
    <w:rsid w:val="459F641E"/>
    <w:rsid w:val="45A93DC9"/>
    <w:rsid w:val="45BB5620"/>
    <w:rsid w:val="45EC58A2"/>
    <w:rsid w:val="45F127ED"/>
    <w:rsid w:val="46263D02"/>
    <w:rsid w:val="46CD66A0"/>
    <w:rsid w:val="472803B7"/>
    <w:rsid w:val="478411E4"/>
    <w:rsid w:val="48021DEB"/>
    <w:rsid w:val="488B59A4"/>
    <w:rsid w:val="48A33DA0"/>
    <w:rsid w:val="48CC5267"/>
    <w:rsid w:val="494502E1"/>
    <w:rsid w:val="494C4325"/>
    <w:rsid w:val="49BB2867"/>
    <w:rsid w:val="4A010AC9"/>
    <w:rsid w:val="4A7F0ADF"/>
    <w:rsid w:val="4AA612F0"/>
    <w:rsid w:val="4B0D3113"/>
    <w:rsid w:val="4B2770CB"/>
    <w:rsid w:val="4B660D6A"/>
    <w:rsid w:val="4B992D86"/>
    <w:rsid w:val="4BFA2B37"/>
    <w:rsid w:val="4C1A730D"/>
    <w:rsid w:val="4C6B0DDA"/>
    <w:rsid w:val="4C6E1306"/>
    <w:rsid w:val="4CC946ED"/>
    <w:rsid w:val="4CF979F4"/>
    <w:rsid w:val="4D8C0BC8"/>
    <w:rsid w:val="4E186164"/>
    <w:rsid w:val="4E247E9A"/>
    <w:rsid w:val="4E2F1033"/>
    <w:rsid w:val="4E8274B0"/>
    <w:rsid w:val="4EA65BC4"/>
    <w:rsid w:val="4EF420E3"/>
    <w:rsid w:val="4EFC1B31"/>
    <w:rsid w:val="4F2836A5"/>
    <w:rsid w:val="4FF363B3"/>
    <w:rsid w:val="500C7461"/>
    <w:rsid w:val="501216FC"/>
    <w:rsid w:val="50B73634"/>
    <w:rsid w:val="51434E1B"/>
    <w:rsid w:val="51504FE6"/>
    <w:rsid w:val="524D2E74"/>
    <w:rsid w:val="54E90CED"/>
    <w:rsid w:val="54E91D9C"/>
    <w:rsid w:val="55A47BB4"/>
    <w:rsid w:val="5625142C"/>
    <w:rsid w:val="56B44788"/>
    <w:rsid w:val="570528AC"/>
    <w:rsid w:val="57141583"/>
    <w:rsid w:val="57BB6218"/>
    <w:rsid w:val="57F27BEC"/>
    <w:rsid w:val="57FF3AAA"/>
    <w:rsid w:val="58DD2EEE"/>
    <w:rsid w:val="58E96C7A"/>
    <w:rsid w:val="59263C31"/>
    <w:rsid w:val="59AD3C67"/>
    <w:rsid w:val="5A4B183F"/>
    <w:rsid w:val="5B0D630F"/>
    <w:rsid w:val="5B602150"/>
    <w:rsid w:val="5B9919B4"/>
    <w:rsid w:val="5B9E0365"/>
    <w:rsid w:val="5BB70148"/>
    <w:rsid w:val="5BF22FE4"/>
    <w:rsid w:val="5C116A97"/>
    <w:rsid w:val="5C2F1987"/>
    <w:rsid w:val="5C3C3DDC"/>
    <w:rsid w:val="5C810761"/>
    <w:rsid w:val="5D160516"/>
    <w:rsid w:val="5D690386"/>
    <w:rsid w:val="5D713BC5"/>
    <w:rsid w:val="5D7D0F36"/>
    <w:rsid w:val="5DB61BFF"/>
    <w:rsid w:val="5DEF454B"/>
    <w:rsid w:val="5E076A27"/>
    <w:rsid w:val="5E5A6C63"/>
    <w:rsid w:val="5F3C6712"/>
    <w:rsid w:val="5F4B58F3"/>
    <w:rsid w:val="6053481F"/>
    <w:rsid w:val="60553A8D"/>
    <w:rsid w:val="606E0DED"/>
    <w:rsid w:val="60AB2000"/>
    <w:rsid w:val="60F2599C"/>
    <w:rsid w:val="61C97391"/>
    <w:rsid w:val="61D85325"/>
    <w:rsid w:val="62860AAA"/>
    <w:rsid w:val="628B7CEE"/>
    <w:rsid w:val="629D5796"/>
    <w:rsid w:val="62B8299F"/>
    <w:rsid w:val="63FA4C5C"/>
    <w:rsid w:val="64102A52"/>
    <w:rsid w:val="64BC6713"/>
    <w:rsid w:val="66F54088"/>
    <w:rsid w:val="671E2162"/>
    <w:rsid w:val="67C2281F"/>
    <w:rsid w:val="680C1A56"/>
    <w:rsid w:val="684F0C72"/>
    <w:rsid w:val="68D8721E"/>
    <w:rsid w:val="6A7F04CC"/>
    <w:rsid w:val="6A831914"/>
    <w:rsid w:val="6B4C3753"/>
    <w:rsid w:val="6B610D05"/>
    <w:rsid w:val="6BAC21D5"/>
    <w:rsid w:val="6CED1CB3"/>
    <w:rsid w:val="6D3B42C3"/>
    <w:rsid w:val="6D5A3D63"/>
    <w:rsid w:val="6D9A4080"/>
    <w:rsid w:val="6E1942EF"/>
    <w:rsid w:val="6E7E575F"/>
    <w:rsid w:val="6EC27507"/>
    <w:rsid w:val="6EF15941"/>
    <w:rsid w:val="6F926461"/>
    <w:rsid w:val="6F9921A1"/>
    <w:rsid w:val="6FA453FA"/>
    <w:rsid w:val="718C67DA"/>
    <w:rsid w:val="71E101E4"/>
    <w:rsid w:val="71EA2A00"/>
    <w:rsid w:val="720B7A64"/>
    <w:rsid w:val="720F6016"/>
    <w:rsid w:val="722D6F9E"/>
    <w:rsid w:val="72581C8E"/>
    <w:rsid w:val="73407EBD"/>
    <w:rsid w:val="73932176"/>
    <w:rsid w:val="73EF4563"/>
    <w:rsid w:val="74037319"/>
    <w:rsid w:val="74175679"/>
    <w:rsid w:val="744124AA"/>
    <w:rsid w:val="74664F47"/>
    <w:rsid w:val="756E538F"/>
    <w:rsid w:val="75D950C9"/>
    <w:rsid w:val="76F41323"/>
    <w:rsid w:val="77100360"/>
    <w:rsid w:val="778222EA"/>
    <w:rsid w:val="778B4219"/>
    <w:rsid w:val="77A30DC4"/>
    <w:rsid w:val="77E0572E"/>
    <w:rsid w:val="77ED4104"/>
    <w:rsid w:val="78EC13E3"/>
    <w:rsid w:val="78EF4372"/>
    <w:rsid w:val="79771B00"/>
    <w:rsid w:val="7980282D"/>
    <w:rsid w:val="798F6426"/>
    <w:rsid w:val="79B94653"/>
    <w:rsid w:val="7ACA272A"/>
    <w:rsid w:val="7B0E7C70"/>
    <w:rsid w:val="7B2E004A"/>
    <w:rsid w:val="7B76641B"/>
    <w:rsid w:val="7BBF1397"/>
    <w:rsid w:val="7CED52DC"/>
    <w:rsid w:val="7DAD7B6B"/>
    <w:rsid w:val="7E4C7E5D"/>
    <w:rsid w:val="7E6F339A"/>
    <w:rsid w:val="7E810662"/>
    <w:rsid w:val="7ED67E61"/>
    <w:rsid w:val="7F590AE3"/>
    <w:rsid w:val="7FB6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23"/>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1"/>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0"/>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Style w:val="11"/>
      <w:tblLayout w:type="fixed"/>
      <w:tblCellMar>
        <w:top w:w="0" w:type="dxa"/>
        <w:left w:w="108" w:type="dxa"/>
        <w:bottom w:w="0" w:type="dxa"/>
        <w:right w:w="108" w:type="dxa"/>
      </w:tblCellMar>
    </w:tblPr>
  </w:style>
  <w:style w:type="paragraph" w:styleId="5">
    <w:name w:val="annotation text"/>
    <w:basedOn w:val="1"/>
    <w:link w:val="19"/>
    <w:uiPriority w:val="0"/>
    <w:pPr>
      <w:jc w:val="left"/>
    </w:pPr>
  </w:style>
  <w:style w:type="paragraph" w:styleId="6">
    <w:name w:val="Balloon Text"/>
    <w:basedOn w:val="1"/>
    <w:link w:val="22"/>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24"/>
    <w:uiPriority w:val="0"/>
    <w:rPr>
      <w:b/>
      <w:bCs/>
    </w:rPr>
  </w:style>
  <w:style w:type="table" w:styleId="12">
    <w:name w:val="Table Grid"/>
    <w:basedOn w:val="11"/>
    <w:unhideWhenUsed/>
    <w:uiPriority w:val="9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paragraph" w:customStyle="1" w:styleId="16">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17">
    <w:name w:val="List Paragraph"/>
    <w:basedOn w:val="1"/>
    <w:unhideWhenUsed/>
    <w:uiPriority w:val="99"/>
    <w:pPr>
      <w:ind w:firstLine="420" w:firstLineChars="200"/>
    </w:pPr>
  </w:style>
  <w:style w:type="paragraph" w:customStyle="1" w:styleId="18">
    <w:name w:val="Default"/>
    <w:qFormat/>
    <w:uiPriority w:val="0"/>
    <w:pPr>
      <w:widowControl w:val="0"/>
      <w:autoSpaceDE w:val="0"/>
      <w:autoSpaceDN w:val="0"/>
      <w:adjustRightInd w:val="0"/>
    </w:pPr>
    <w:rPr>
      <w:color w:val="000000"/>
      <w:sz w:val="24"/>
      <w:szCs w:val="24"/>
      <w:lang w:val="en-US" w:eastAsia="zh-CN" w:bidi="ar-SA"/>
    </w:rPr>
  </w:style>
  <w:style w:type="character" w:customStyle="1" w:styleId="19">
    <w:name w:val="批注文字 Char"/>
    <w:link w:val="5"/>
    <w:uiPriority w:val="0"/>
    <w:rPr>
      <w:rFonts w:ascii="Calibri" w:hAnsi="Calibri" w:cs="黑体"/>
      <w:kern w:val="2"/>
      <w:sz w:val="21"/>
      <w:szCs w:val="24"/>
    </w:rPr>
  </w:style>
  <w:style w:type="character" w:customStyle="1" w:styleId="20">
    <w:name w:val="标题 3 Char"/>
    <w:link w:val="4"/>
    <w:uiPriority w:val="0"/>
    <w:rPr>
      <w:rFonts w:hAnsi="Calibri" w:eastAsia="宋体"/>
      <w:b/>
      <w:sz w:val="24"/>
    </w:rPr>
  </w:style>
  <w:style w:type="character" w:customStyle="1" w:styleId="21">
    <w:name w:val="标题 2 Char"/>
    <w:link w:val="3"/>
    <w:uiPriority w:val="0"/>
    <w:rPr>
      <w:rFonts w:ascii="Arial" w:hAnsi="Arial" w:eastAsia="宋体"/>
      <w:b/>
      <w:sz w:val="24"/>
    </w:rPr>
  </w:style>
  <w:style w:type="character" w:customStyle="1" w:styleId="22">
    <w:name w:val="批注框文本 Char"/>
    <w:link w:val="6"/>
    <w:uiPriority w:val="0"/>
    <w:rPr>
      <w:rFonts w:ascii="Calibri" w:hAnsi="Calibri" w:cs="黑体"/>
      <w:kern w:val="2"/>
      <w:sz w:val="18"/>
      <w:szCs w:val="18"/>
    </w:rPr>
  </w:style>
  <w:style w:type="character" w:customStyle="1" w:styleId="23">
    <w:name w:val="标题 1 Char"/>
    <w:link w:val="2"/>
    <w:uiPriority w:val="0"/>
    <w:rPr>
      <w:rFonts w:eastAsia="宋体"/>
      <w:b/>
      <w:kern w:val="44"/>
      <w:sz w:val="44"/>
    </w:rPr>
  </w:style>
  <w:style w:type="character" w:customStyle="1" w:styleId="24">
    <w:name w:val="批注主题 Char"/>
    <w:link w:val="10"/>
    <w:uiPriority w:val="0"/>
    <w:rPr>
      <w:rFonts w:ascii="Calibri" w:hAnsi="Calibri" w:cs="黑体"/>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36411</Words>
  <Characters>38784</Characters>
  <Lines>1</Lines>
  <Paragraphs>1</Paragraphs>
  <TotalTime>1</TotalTime>
  <ScaleCrop>false</ScaleCrop>
  <LinksUpToDate>false</LinksUpToDate>
  <CharactersWithSpaces>39009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2025-04-08T06:03:15Z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