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outlineLvl w:val="0"/>
        <w:rPr>
          <w:rFonts w:hint="eastAsia" w:ascii="宋体" w:hAnsi="宋体" w:cs="宋体"/>
          <w:b/>
          <w:bCs/>
          <w:sz w:val="44"/>
          <w:szCs w:val="44"/>
          <w:highlight w:val="none"/>
        </w:rPr>
      </w:pPr>
      <w:bookmarkStart w:id="0" w:name="_GoBack"/>
      <w:bookmarkEnd w:id="0"/>
      <w:r>
        <w:rPr>
          <w:rFonts w:hint="eastAsia" w:ascii="宋体" w:hAnsi="宋体" w:cs="宋体"/>
          <w:b/>
          <w:bCs/>
          <w:sz w:val="44"/>
          <w:szCs w:val="44"/>
          <w:highlight w:val="none"/>
        </w:rPr>
        <w:t>杭银理财幸福99</w:t>
      </w:r>
      <w:r>
        <w:rPr>
          <w:rFonts w:hint="eastAsia" w:ascii="宋体" w:hAnsi="宋体" w:cs="宋体"/>
          <w:b/>
          <w:bCs/>
          <w:sz w:val="44"/>
          <w:szCs w:val="44"/>
          <w:highlight w:val="none"/>
          <w:lang w:eastAsia="zh-CN"/>
        </w:rPr>
        <w:t>季添益1903期理财</w:t>
      </w:r>
      <w:r>
        <w:rPr>
          <w:rFonts w:hint="eastAsia" w:ascii="宋体" w:hAnsi="宋体" w:cs="宋体"/>
          <w:b/>
          <w:bCs/>
          <w:sz w:val="44"/>
          <w:szCs w:val="44"/>
          <w:highlight w:val="none"/>
        </w:rPr>
        <w:t>产品说明书</w:t>
      </w:r>
    </w:p>
    <w:p>
      <w:pPr>
        <w:jc w:val="center"/>
        <w:rPr>
          <w:rFonts w:hint="eastAsia" w:ascii="宋体" w:hAnsi="宋体" w:cs="宋体"/>
          <w:b/>
          <w:bCs/>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right"/>
        <w:rPr>
          <w:rFonts w:hint="eastAsia" w:ascii="宋体" w:hAnsi="宋体" w:cs="宋体"/>
          <w:bCs/>
          <w:sz w:val="24"/>
          <w:highlight w:val="none"/>
        </w:rPr>
      </w:pPr>
      <w:r>
        <w:rPr>
          <w:rFonts w:hint="eastAsia" w:ascii="宋体" w:hAnsi="宋体" w:cs="宋体"/>
          <w:color w:val="000000"/>
          <w:sz w:val="24"/>
          <w:highlight w:val="none"/>
        </w:rPr>
        <w:t>备案编号:</w:t>
      </w:r>
      <w:r>
        <w:rPr>
          <w:rFonts w:hint="eastAsia" w:ascii="宋体" w:hAnsi="宋体" w:cs="宋体"/>
          <w:bCs/>
          <w:sz w:val="24"/>
          <w:highlight w:val="none"/>
        </w:rPr>
        <w:t>〖Z700222100027</w:t>
      </w:r>
      <w:r>
        <w:rPr>
          <w:rFonts w:hint="eastAsia" w:ascii="宋体" w:hAnsi="宋体" w:cs="宋体"/>
          <w:bCs/>
          <w:sz w:val="24"/>
          <w:highlight w:val="none"/>
          <w:lang w:val="en-US" w:eastAsia="zh-CN"/>
        </w:rPr>
        <w:t>4</w:t>
      </w:r>
      <w:r>
        <w:rPr>
          <w:rFonts w:hint="eastAsia" w:ascii="宋体" w:hAnsi="宋体" w:cs="宋体"/>
          <w:bCs/>
          <w:sz w:val="24"/>
          <w:highlight w:val="none"/>
        </w:rPr>
        <w:t>〗</w:t>
      </w:r>
    </w:p>
    <w:p>
      <w:pPr>
        <w:spacing w:line="360" w:lineRule="auto"/>
        <w:jc w:val="center"/>
        <w:rPr>
          <w:rFonts w:hint="eastAsia" w:ascii="宋体" w:hAnsi="宋体" w:cs="宋体"/>
          <w:bCs/>
          <w:sz w:val="24"/>
          <w:highlight w:val="none"/>
        </w:rPr>
      </w:pPr>
    </w:p>
    <w:p>
      <w:pPr>
        <w:numPr>
          <w:ilvl w:val="0"/>
          <w:numId w:val="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2"/>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w:t>
      </w:r>
      <w:r>
        <w:rPr>
          <w:rFonts w:hint="eastAsia" w:ascii="宋体" w:hAnsi="宋体" w:cs="宋体"/>
          <w:bCs/>
          <w:sz w:val="24"/>
          <w:highlight w:val="none"/>
        </w:rPr>
        <w:t>《</w:t>
      </w:r>
      <w:r>
        <w:rPr>
          <w:rFonts w:hint="eastAsia" w:ascii="宋体" w:hAnsi="宋体" w:cs="宋体"/>
          <w:bCs/>
          <w:sz w:val="24"/>
          <w:highlight w:val="none"/>
          <w:lang w:eastAsia="zh-CN"/>
        </w:rPr>
        <w:t>理财计划</w:t>
      </w:r>
      <w:r>
        <w:rPr>
          <w:rFonts w:hint="eastAsia" w:ascii="宋体" w:hAnsi="宋体" w:cs="宋体"/>
          <w:bCs/>
          <w:sz w:val="24"/>
          <w:highlight w:val="none"/>
        </w:rPr>
        <w:t>风险揭示书》《投资者权益须知》</w:t>
      </w:r>
      <w:r>
        <w:rPr>
          <w:rFonts w:hint="eastAsia" w:ascii="宋体" w:hAnsi="宋体" w:cs="宋体"/>
          <w:bCs/>
          <w:sz w:val="24"/>
          <w:highlight w:val="none"/>
        </w:rPr>
        <w:t>《理财计划投资协议书》</w:t>
      </w:r>
      <w:r>
        <w:rPr>
          <w:rFonts w:hint="eastAsia" w:ascii="宋体" w:hAnsi="宋体" w:cs="宋体"/>
          <w:bCs/>
          <w:sz w:val="24"/>
          <w:highlight w:val="none"/>
          <w:lang w:eastAsia="zh-CN"/>
        </w:rPr>
        <w:t>《理财计划销售协议书》</w:t>
      </w:r>
      <w:r>
        <w:rPr>
          <w:rFonts w:hint="eastAsia" w:ascii="宋体" w:hAnsi="宋体" w:cs="宋体"/>
          <w:bCs/>
          <w:sz w:val="24"/>
          <w:highlight w:val="none"/>
        </w:rPr>
        <w:t>，将共同构成投资者与管理人之间的理财计划交易合同。</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在本理财计划存续期内，如因监管政策或法律法规发生变化，在不损害投资者利益的前提下，管理人有权单方对本理财计划说明书条款进行修订。</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管理人有权依法对本理财计划产品说明书进行解释。</w:t>
      </w:r>
    </w:p>
    <w:p>
      <w:pPr>
        <w:numPr>
          <w:ilvl w:val="0"/>
          <w:numId w:val="0"/>
        </w:numPr>
        <w:spacing w:line="360" w:lineRule="auto"/>
        <w:jc w:val="left"/>
        <w:rPr>
          <w:rFonts w:hint="eastAsia" w:ascii="宋体" w:hAnsi="宋体" w:cs="宋体"/>
          <w:bCs/>
          <w:sz w:val="24"/>
          <w:highlight w:val="none"/>
        </w:rPr>
      </w:pPr>
    </w:p>
    <w:p>
      <w:pPr>
        <w:numPr>
          <w:ilvl w:val="0"/>
          <w:numId w:val="3"/>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释义</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6"/>
        <w:numPr>
          <w:ilvl w:val="0"/>
          <w:numId w:val="4"/>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参与主体用语</w:t>
      </w:r>
    </w:p>
    <w:p>
      <w:pPr>
        <w:pStyle w:val="16"/>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w:t>
      </w:r>
      <w:r>
        <w:rPr>
          <w:rFonts w:hint="eastAsia" w:ascii="宋体" w:hAnsi="宋体" w:cs="宋体"/>
          <w:bCs/>
          <w:color w:val="auto"/>
          <w:kern w:val="2"/>
          <w:highlight w:val="none"/>
          <w:lang w:eastAsia="zh-CN"/>
        </w:rPr>
        <w:t>杭银理财有限责任公司简称杭银理财，官网网站为</w:t>
      </w:r>
      <w:r>
        <w:rPr>
          <w:rFonts w:hint="eastAsia" w:ascii="宋体" w:hAnsi="宋体" w:cs="宋体"/>
          <w:bCs/>
          <w:color w:val="auto"/>
          <w:kern w:val="2"/>
          <w:highlight w:val="none"/>
          <w:u w:val="none"/>
          <w:lang w:val="en-US" w:eastAsia="zh-CN"/>
        </w:rPr>
        <w:t>https://</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w:t>
      </w:r>
      <w:r>
        <w:rPr>
          <w:rFonts w:hint="eastAsia" w:ascii="宋体" w:hAnsi="宋体" w:cs="宋体"/>
          <w:bCs/>
          <w:color w:val="auto"/>
          <w:kern w:val="2"/>
          <w:highlight w:val="none"/>
          <w:u w:val="none"/>
          <w:lang w:val="en-US" w:eastAsia="zh-CN"/>
        </w:rPr>
        <w:t>wealth</w:t>
      </w:r>
      <w:r>
        <w:rPr>
          <w:rFonts w:hint="eastAsia" w:ascii="宋体" w:hAnsi="宋体" w:cs="宋体"/>
          <w:bCs/>
          <w:color w:val="auto"/>
          <w:kern w:val="2"/>
          <w:highlight w:val="none"/>
          <w:u w:val="none"/>
        </w:rPr>
        <w:t>.com.cn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u w:val="none"/>
        </w:rPr>
        <w:t>。</w:t>
      </w:r>
    </w:p>
    <w:p>
      <w:pPr>
        <w:pStyle w:val="16"/>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指包含但不限于指杭州银行股份有限公司等其他银行业金融机构或者国务院银行业监督管理机构认可的其他机构，可代为办理理财产品销售业务。杭州银行股份有限公司简称杭州银行，官方网站为</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rPr>
        <w:t>，客服热线为95398。</w:t>
      </w:r>
    </w:p>
    <w:p>
      <w:pPr>
        <w:pStyle w:val="16"/>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sz w:val="24"/>
          <w:szCs w:val="24"/>
          <w:highlight w:val="none"/>
        </w:rPr>
        <w:t>〖</w:t>
      </w:r>
      <w:r>
        <w:rPr>
          <w:rFonts w:hint="eastAsia" w:ascii="宋体" w:hAnsi="宋体" w:cs="宋体"/>
          <w:bCs/>
          <w:color w:val="auto"/>
          <w:kern w:val="2"/>
          <w:highlight w:val="none"/>
        </w:rPr>
        <w:t>杭州银行股份有限公司</w:t>
      </w:r>
      <w:r>
        <w:rPr>
          <w:rFonts w:hint="eastAsia" w:ascii="宋体" w:hAnsi="宋体" w:cs="宋体"/>
          <w:sz w:val="24"/>
          <w:szCs w:val="24"/>
          <w:highlight w:val="none"/>
        </w:rPr>
        <w:t>〗</w:t>
      </w:r>
      <w:r>
        <w:rPr>
          <w:rFonts w:hint="eastAsia" w:ascii="宋体" w:hAnsi="宋体" w:cs="宋体"/>
          <w:bCs/>
          <w:color w:val="auto"/>
          <w:kern w:val="2"/>
          <w:highlight w:val="none"/>
        </w:rPr>
        <w:t>。</w:t>
      </w:r>
    </w:p>
    <w:p>
      <w:pPr>
        <w:pStyle w:val="16"/>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6"/>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6"/>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指对管理人（包括本理财计划管理人、所投资的的信托计划/资管计划的管理人/受托人、相关投资顾问等）实施监督管理的机构，包括但不限于中国人民银行、</w:t>
      </w:r>
      <w:r>
        <w:rPr>
          <w:rFonts w:hint="eastAsia" w:ascii="宋体" w:hAnsi="宋体" w:cs="宋体"/>
          <w:bCs/>
          <w:color w:val="auto"/>
          <w:kern w:val="2"/>
          <w:highlight w:val="none"/>
          <w:lang w:eastAsia="zh-CN"/>
        </w:rPr>
        <w:t>国家金融监督管理总局</w:t>
      </w:r>
      <w:r>
        <w:rPr>
          <w:rFonts w:hint="eastAsia" w:ascii="宋体" w:hAnsi="宋体" w:cs="宋体"/>
          <w:bCs/>
          <w:color w:val="auto"/>
          <w:kern w:val="2"/>
          <w:highlight w:val="none"/>
        </w:rPr>
        <w:t>、中国证券监督管理委员会、外汇管理局、银行业理财登记托管中心等。</w:t>
      </w:r>
    </w:p>
    <w:p>
      <w:pPr>
        <w:pStyle w:val="16"/>
        <w:numPr>
          <w:ilvl w:val="0"/>
          <w:numId w:val="4"/>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法律文件用语</w:t>
      </w:r>
    </w:p>
    <w:p>
      <w:pPr>
        <w:pStyle w:val="16"/>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季添益1903期理财</w:t>
      </w:r>
      <w:r>
        <w:rPr>
          <w:rFonts w:hint="eastAsia" w:ascii="宋体" w:hAnsi="宋体" w:cs="宋体"/>
          <w:bCs/>
          <w:highlight w:val="none"/>
        </w:rPr>
        <w:t>产品说明书</w:t>
      </w:r>
      <w:r>
        <w:rPr>
          <w:rFonts w:hint="eastAsia" w:ascii="宋体" w:hAnsi="宋体" w:cs="宋体"/>
          <w:bCs/>
          <w:color w:val="auto"/>
          <w:kern w:val="2"/>
          <w:highlight w:val="none"/>
        </w:rPr>
        <w:t>》，以及对该文件的有效修改与补充。</w:t>
      </w:r>
    </w:p>
    <w:p>
      <w:pPr>
        <w:pStyle w:val="16"/>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季添益1903期理财</w:t>
      </w:r>
      <w:r>
        <w:rPr>
          <w:rFonts w:hint="eastAsia" w:ascii="宋体" w:hAnsi="宋体" w:cs="宋体"/>
          <w:bCs/>
          <w:highlight w:val="none"/>
        </w:rPr>
        <w:t>合同不可分割组成部分的风险揭示书，</w:t>
      </w:r>
      <w:r>
        <w:rPr>
          <w:rFonts w:hint="eastAsia" w:ascii="宋体" w:hAnsi="宋体" w:cs="宋体"/>
          <w:bCs/>
          <w:color w:val="auto"/>
          <w:kern w:val="2"/>
          <w:highlight w:val="none"/>
        </w:rPr>
        <w:t>以及对该文件的有效修改与补充。</w:t>
      </w:r>
    </w:p>
    <w:p>
      <w:pPr>
        <w:pStyle w:val="16"/>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季添益1903期理财</w:t>
      </w:r>
      <w:r>
        <w:rPr>
          <w:rFonts w:hint="eastAsia" w:ascii="宋体" w:hAnsi="宋体" w:cs="宋体"/>
          <w:bCs/>
          <w:highlight w:val="none"/>
        </w:rPr>
        <w:t>合同不可分割组成部分的投资者权益须知，</w:t>
      </w:r>
      <w:r>
        <w:rPr>
          <w:rFonts w:hint="eastAsia" w:ascii="宋体" w:hAnsi="宋体" w:cs="宋体"/>
          <w:bCs/>
          <w:color w:val="auto"/>
          <w:kern w:val="2"/>
          <w:highlight w:val="none"/>
        </w:rPr>
        <w:t>以及对该文件的有效修改与补充。</w:t>
      </w:r>
    </w:p>
    <w:p>
      <w:pPr>
        <w:pStyle w:val="16"/>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季添益1903期理财</w:t>
      </w:r>
      <w:r>
        <w:rPr>
          <w:rFonts w:hint="eastAsia" w:ascii="宋体" w:hAnsi="宋体" w:cs="宋体"/>
          <w:bCs/>
          <w:highlight w:val="none"/>
        </w:rPr>
        <w:t>合同不可分割组成部分的理财计划投资协议书，</w:t>
      </w:r>
      <w:r>
        <w:rPr>
          <w:rFonts w:hint="eastAsia" w:ascii="宋体" w:hAnsi="宋体" w:cs="宋体"/>
          <w:bCs/>
          <w:color w:val="auto"/>
          <w:kern w:val="2"/>
          <w:highlight w:val="none"/>
        </w:rPr>
        <w:t>以及对该文件的有效修改与补充。</w:t>
      </w:r>
    </w:p>
    <w:p>
      <w:pPr>
        <w:pStyle w:val="16"/>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理财计划销售协议书：</w:t>
      </w:r>
      <w:r>
        <w:rPr>
          <w:rFonts w:hint="eastAsia" w:ascii="宋体" w:hAnsi="宋体" w:cs="宋体"/>
          <w:bCs/>
          <w:color w:val="auto"/>
          <w:kern w:val="2"/>
          <w:highlight w:val="none"/>
          <w:lang w:eastAsia="zh-CN"/>
        </w:rPr>
        <w:t>指作为杭银理财幸福</w:t>
      </w:r>
      <w:r>
        <w:rPr>
          <w:rFonts w:hint="eastAsia" w:ascii="宋体" w:hAnsi="宋体" w:cs="宋体"/>
          <w:bCs/>
          <w:color w:val="auto"/>
          <w:kern w:val="2"/>
          <w:highlight w:val="none"/>
          <w:lang w:val="en-US" w:eastAsia="zh-CN"/>
        </w:rPr>
        <w:t>99</w:t>
      </w:r>
      <w:r>
        <w:rPr>
          <w:rFonts w:hint="eastAsia" w:ascii="宋体" w:hAnsi="宋体" w:cs="宋体"/>
          <w:bCs/>
          <w:highlight w:val="none"/>
          <w:lang w:eastAsia="zh-CN"/>
        </w:rPr>
        <w:t>季添益1903期理财</w:t>
      </w:r>
      <w:r>
        <w:rPr>
          <w:rFonts w:hint="eastAsia" w:ascii="宋体" w:hAnsi="宋体" w:cs="宋体"/>
          <w:bCs/>
          <w:color w:val="auto"/>
          <w:kern w:val="2"/>
          <w:highlight w:val="none"/>
          <w:lang w:val="en-US" w:eastAsia="zh-CN"/>
        </w:rPr>
        <w:t>合同不可分割组成部分的理财计划销售协议书，以及对该文件的有效修改与补充。</w:t>
      </w:r>
    </w:p>
    <w:p>
      <w:pPr>
        <w:pStyle w:val="16"/>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w:t>
      </w:r>
      <w:r>
        <w:rPr>
          <w:rFonts w:hint="eastAsia" w:ascii="宋体" w:hAnsi="宋体" w:cs="宋体"/>
          <w:bCs/>
          <w:color w:val="auto"/>
          <w:kern w:val="2"/>
          <w:highlight w:val="none"/>
        </w:rPr>
        <w:t>《理财计划</w:t>
      </w:r>
      <w:r>
        <w:rPr>
          <w:rFonts w:hint="eastAsia" w:ascii="宋体" w:hAnsi="宋体" w:cs="宋体"/>
          <w:bCs/>
          <w:color w:val="auto"/>
          <w:kern w:val="2"/>
          <w:highlight w:val="none"/>
          <w:lang w:eastAsia="zh-CN"/>
        </w:rPr>
        <w:t>风险揭示书</w:t>
      </w:r>
      <w:r>
        <w:rPr>
          <w:rFonts w:hint="eastAsia" w:ascii="宋体" w:hAnsi="宋体" w:cs="宋体"/>
          <w:bCs/>
          <w:color w:val="auto"/>
          <w:kern w:val="2"/>
          <w:highlight w:val="none"/>
        </w:rPr>
        <w:t>》《</w:t>
      </w:r>
      <w:r>
        <w:rPr>
          <w:rFonts w:hint="eastAsia" w:ascii="宋体" w:hAnsi="宋体" w:cs="宋体"/>
          <w:bCs/>
          <w:color w:val="auto"/>
          <w:kern w:val="2"/>
          <w:highlight w:val="none"/>
          <w:lang w:eastAsia="zh-CN"/>
        </w:rPr>
        <w:t>理财计划产品说明书</w:t>
      </w:r>
      <w:r>
        <w:rPr>
          <w:rFonts w:hint="eastAsia" w:ascii="宋体" w:hAnsi="宋体" w:cs="宋体"/>
          <w:bCs/>
          <w:color w:val="auto"/>
          <w:kern w:val="2"/>
          <w:highlight w:val="none"/>
        </w:rPr>
        <w:t>》《投资者权益须知》《理财计划投资协议书》</w:t>
      </w:r>
      <w:r>
        <w:rPr>
          <w:rFonts w:hint="eastAsia" w:ascii="宋体" w:hAnsi="宋体" w:cs="宋体"/>
          <w:bCs/>
          <w:color w:val="auto"/>
          <w:kern w:val="2"/>
          <w:highlight w:val="none"/>
          <w:lang w:eastAsia="zh-CN"/>
        </w:rPr>
        <w:t>《理财计划</w:t>
      </w:r>
      <w:r>
        <w:rPr>
          <w:rFonts w:hint="eastAsia" w:ascii="宋体" w:hAnsi="宋体" w:cs="宋体"/>
          <w:bCs/>
          <w:color w:val="auto"/>
          <w:kern w:val="2"/>
          <w:highlight w:val="none"/>
          <w:lang w:eastAsia="zh-CN"/>
        </w:rPr>
        <w:t>销售协议书》五</w:t>
      </w:r>
      <w:r>
        <w:rPr>
          <w:rFonts w:hint="eastAsia" w:ascii="宋体" w:hAnsi="宋体" w:cs="宋体"/>
          <w:bCs/>
          <w:color w:val="auto"/>
          <w:kern w:val="2"/>
          <w:highlight w:val="none"/>
        </w:rPr>
        <w:t>个部分。</w:t>
      </w:r>
    </w:p>
    <w:p>
      <w:pPr>
        <w:pStyle w:val="16"/>
        <w:numPr>
          <w:ilvl w:val="0"/>
          <w:numId w:val="4"/>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理财产品用语</w:t>
      </w:r>
    </w:p>
    <w:p>
      <w:pPr>
        <w:pStyle w:val="16"/>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季添益1903期理财</w:t>
      </w:r>
      <w:r>
        <w:rPr>
          <w:rFonts w:hint="eastAsia" w:ascii="宋体" w:hAnsi="宋体" w:cs="宋体"/>
          <w:bCs/>
          <w:highlight w:val="none"/>
        </w:rPr>
        <w:t>。</w:t>
      </w:r>
    </w:p>
    <w:p>
      <w:pPr>
        <w:pStyle w:val="16"/>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6"/>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color w:val="auto"/>
          <w:highlight w:val="none"/>
        </w:rPr>
        <w:t>指理财计划份额的单位净值，即每1份理财计划份额以人民币或外币（以产品说明书交易币种为准）计价的价格。</w:t>
      </w:r>
    </w:p>
    <w:p>
      <w:pPr>
        <w:pStyle w:val="16"/>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6"/>
        <w:numPr>
          <w:ilvl w:val="0"/>
          <w:numId w:val="7"/>
        </w:numPr>
        <w:adjustRightInd/>
        <w:spacing w:line="360" w:lineRule="auto"/>
        <w:ind w:left="-2" w:leftChars="0" w:firstLine="482" w:firstLineChars="0"/>
        <w:rPr>
          <w:rFonts w:hint="eastAsia"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6"/>
        <w:numPr>
          <w:ilvl w:val="0"/>
          <w:numId w:val="7"/>
        </w:numPr>
        <w:adjustRightInd/>
        <w:spacing w:line="360" w:lineRule="auto"/>
        <w:ind w:left="-2" w:leftChars="0" w:firstLine="482" w:firstLineChars="0"/>
        <w:rPr>
          <w:rFonts w:hint="eastAsia"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w:t>
      </w:r>
    </w:p>
    <w:p>
      <w:pPr>
        <w:pStyle w:val="16"/>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6"/>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6"/>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w:t>
      </w:r>
      <w:r>
        <w:rPr>
          <w:rFonts w:hint="eastAsia" w:ascii="宋体" w:hAnsi="宋体" w:cs="宋体"/>
          <w:bCs/>
          <w:color w:val="auto"/>
          <w:kern w:val="2"/>
          <w:highlight w:val="none"/>
          <w:lang w:eastAsia="zh-CN"/>
        </w:rPr>
        <w:t>计划</w:t>
      </w:r>
      <w:r>
        <w:rPr>
          <w:rFonts w:hint="eastAsia" w:ascii="宋体" w:hAnsi="宋体" w:cs="宋体"/>
          <w:bCs/>
          <w:color w:val="auto"/>
          <w:kern w:val="2"/>
          <w:highlight w:val="none"/>
        </w:rPr>
        <w:t>成立后，理财计划不接受投资者申购赎回的时间。</w:t>
      </w:r>
    </w:p>
    <w:p>
      <w:pPr>
        <w:pStyle w:val="16"/>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16"/>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投资周期</w:t>
      </w:r>
      <w:r>
        <w:rPr>
          <w:rFonts w:hint="eastAsia" w:ascii="宋体" w:hAnsi="宋体" w:cs="宋体"/>
          <w:b/>
          <w:color w:val="auto"/>
          <w:kern w:val="2"/>
          <w:highlight w:val="none"/>
          <w:lang w:eastAsia="zh-CN"/>
        </w:rPr>
        <w:t>：</w:t>
      </w:r>
      <w:r>
        <w:rPr>
          <w:rFonts w:hint="eastAsia" w:ascii="宋体" w:hAnsi="宋体" w:cs="宋体"/>
          <w:b w:val="0"/>
          <w:bCs/>
          <w:color w:val="auto"/>
          <w:kern w:val="2"/>
          <w:highlight w:val="none"/>
          <w:lang w:eastAsia="zh-CN"/>
        </w:rPr>
        <w:t>指理财计划成立或申购</w:t>
      </w:r>
      <w:r>
        <w:rPr>
          <w:rFonts w:hint="eastAsia" w:ascii="宋体" w:hAnsi="宋体" w:cs="宋体"/>
          <w:b w:val="0"/>
          <w:bCs/>
          <w:color w:val="auto"/>
          <w:kern w:val="2"/>
          <w:highlight w:val="none"/>
          <w:lang w:val="en-US" w:eastAsia="zh-CN"/>
        </w:rPr>
        <w:t>/赎回</w:t>
      </w:r>
      <w:r>
        <w:rPr>
          <w:rFonts w:hint="eastAsia" w:ascii="宋体" w:hAnsi="宋体" w:cs="宋体"/>
          <w:b w:val="0"/>
          <w:bCs/>
          <w:color w:val="auto"/>
          <w:kern w:val="2"/>
          <w:highlight w:val="none"/>
          <w:lang w:eastAsia="zh-CN"/>
        </w:rPr>
        <w:t>开放期确认后，至下一个申购</w:t>
      </w:r>
      <w:r>
        <w:rPr>
          <w:rFonts w:hint="eastAsia" w:ascii="宋体" w:hAnsi="宋体" w:cs="宋体"/>
          <w:b w:val="0"/>
          <w:bCs/>
          <w:color w:val="auto"/>
          <w:kern w:val="2"/>
          <w:highlight w:val="none"/>
          <w:lang w:val="en-US" w:eastAsia="zh-CN"/>
        </w:rPr>
        <w:t>/赎回开放期确认前的时间。如申购和赎回开放期确认时间不一致，应明确以申购投资周期或赎回投资周期作为理财计划的投资周期。</w:t>
      </w:r>
    </w:p>
    <w:p>
      <w:pPr>
        <w:pStyle w:val="16"/>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6"/>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6"/>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申购和赎回开放期等日期安排发生变化的，原则上采用顺延方式对原定日期进行调整，如有特殊安排，以管理人对外披露的公告为准。</w:t>
      </w:r>
    </w:p>
    <w:p>
      <w:pPr>
        <w:pStyle w:val="16"/>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6"/>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6"/>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6"/>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开放日：</w:t>
      </w:r>
      <w:r>
        <w:rPr>
          <w:rFonts w:hint="eastAsia" w:ascii="宋体" w:hAnsi="宋体" w:cs="宋体"/>
          <w:bCs/>
          <w:color w:val="auto"/>
          <w:kern w:val="2"/>
          <w:highlight w:val="none"/>
        </w:rPr>
        <w:t>指为投资者办理申购、赎回交易的日期。</w:t>
      </w:r>
    </w:p>
    <w:p>
      <w:pPr>
        <w:pStyle w:val="16"/>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开放期：</w:t>
      </w:r>
      <w:r>
        <w:rPr>
          <w:rFonts w:hint="eastAsia" w:ascii="宋体" w:hAnsi="宋体" w:cs="宋体"/>
          <w:bCs/>
          <w:highlight w:val="none"/>
        </w:rPr>
        <w:t>指管理人向投资者提供申购</w:t>
      </w:r>
      <w:r>
        <w:rPr>
          <w:rFonts w:hint="eastAsia" w:ascii="宋体" w:hAnsi="宋体" w:cs="宋体"/>
          <w:bCs/>
          <w:highlight w:val="none"/>
          <w:lang w:eastAsia="zh-CN"/>
        </w:rPr>
        <w:t>、</w:t>
      </w:r>
      <w:r>
        <w:rPr>
          <w:rFonts w:hint="eastAsia" w:ascii="宋体" w:hAnsi="宋体" w:cs="宋体"/>
          <w:bCs/>
          <w:highlight w:val="none"/>
          <w:lang w:val="en-US" w:eastAsia="zh-CN"/>
        </w:rPr>
        <w:t>赎回</w:t>
      </w:r>
      <w:r>
        <w:rPr>
          <w:rFonts w:hint="eastAsia" w:ascii="宋体" w:hAnsi="宋体" w:cs="宋体"/>
          <w:bCs/>
          <w:highlight w:val="none"/>
        </w:rPr>
        <w:t>交易的时间。</w:t>
      </w:r>
    </w:p>
    <w:p>
      <w:pPr>
        <w:pStyle w:val="16"/>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确认日：</w:t>
      </w:r>
      <w:r>
        <w:rPr>
          <w:rFonts w:hint="eastAsia" w:ascii="宋体" w:hAnsi="宋体" w:cs="宋体"/>
          <w:bCs/>
          <w:color w:val="auto"/>
          <w:kern w:val="2"/>
          <w:highlight w:val="none"/>
        </w:rPr>
        <w:t>指管理人确认投资者申购</w:t>
      </w:r>
      <w:r>
        <w:rPr>
          <w:rFonts w:hint="eastAsia" w:ascii="宋体" w:hAnsi="宋体" w:cs="宋体"/>
          <w:bCs/>
          <w:color w:val="auto"/>
          <w:kern w:val="2"/>
          <w:highlight w:val="none"/>
          <w:lang w:eastAsia="zh-CN"/>
        </w:rPr>
        <w:t>、</w:t>
      </w:r>
      <w:r>
        <w:rPr>
          <w:rFonts w:hint="eastAsia" w:ascii="宋体" w:hAnsi="宋体" w:cs="宋体"/>
          <w:bCs/>
          <w:color w:val="auto"/>
          <w:kern w:val="2"/>
          <w:highlight w:val="none"/>
          <w:lang w:val="en-US" w:eastAsia="zh-CN"/>
        </w:rPr>
        <w:t>赎回</w:t>
      </w:r>
      <w:r>
        <w:rPr>
          <w:rFonts w:hint="eastAsia" w:ascii="宋体" w:hAnsi="宋体" w:cs="宋体"/>
          <w:bCs/>
          <w:color w:val="auto"/>
          <w:kern w:val="2"/>
          <w:highlight w:val="none"/>
        </w:rPr>
        <w:t>交易是否有效的日期。</w:t>
      </w:r>
    </w:p>
    <w:p>
      <w:pPr>
        <w:pStyle w:val="16"/>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6"/>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申购：</w:t>
      </w:r>
      <w:r>
        <w:rPr>
          <w:rFonts w:hint="eastAsia" w:ascii="宋体" w:hAnsi="宋体" w:cs="宋体"/>
          <w:bCs/>
          <w:color w:val="auto"/>
          <w:kern w:val="2"/>
          <w:highlight w:val="none"/>
        </w:rPr>
        <w:t>指理财计划申购开放期内，投资者向管理人进行理财计划份额购买的行为。</w:t>
      </w:r>
    </w:p>
    <w:p>
      <w:pPr>
        <w:pStyle w:val="16"/>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赎回：</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赎回</w:t>
      </w:r>
      <w:r>
        <w:rPr>
          <w:rFonts w:hint="eastAsia" w:ascii="宋体" w:hAnsi="宋体" w:cs="宋体"/>
          <w:bCs/>
          <w:color w:val="auto"/>
          <w:kern w:val="2"/>
          <w:highlight w:val="none"/>
        </w:rPr>
        <w:t>开放期内，投资者向管理人进行理财计划份额卖出的行为。</w:t>
      </w:r>
    </w:p>
    <w:p>
      <w:pPr>
        <w:pStyle w:val="16"/>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16"/>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w:t>
      </w:r>
      <w:r>
        <w:rPr>
          <w:rFonts w:hint="eastAsia" w:ascii="宋体" w:hAnsi="宋体" w:cs="宋体"/>
          <w:bCs/>
          <w:highlight w:val="none"/>
          <w:lang w:eastAsia="zh-CN"/>
        </w:rPr>
        <w:t>销售服务费</w:t>
      </w:r>
      <w:r>
        <w:rPr>
          <w:rFonts w:hint="eastAsia" w:ascii="宋体" w:hAnsi="宋体" w:cs="宋体"/>
          <w:bCs/>
          <w:highlight w:val="none"/>
        </w:rPr>
        <w:t>、托管人收取的托管费、交易费用、执行费用等相关费用，具体以</w:t>
      </w:r>
      <w:r>
        <w:rPr>
          <w:rFonts w:hint="eastAsia" w:ascii="宋体" w:hAnsi="宋体" w:cs="宋体"/>
          <w:bCs/>
          <w:highlight w:val="none"/>
          <w:lang w:eastAsia="zh-CN"/>
        </w:rPr>
        <w:t>实际发生</w:t>
      </w:r>
      <w:r>
        <w:rPr>
          <w:rFonts w:hint="eastAsia" w:ascii="宋体" w:hAnsi="宋体" w:cs="宋体"/>
          <w:bCs/>
          <w:highlight w:val="none"/>
        </w:rPr>
        <w:t>为准。</w:t>
      </w:r>
    </w:p>
    <w:p>
      <w:pPr>
        <w:pStyle w:val="16"/>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bCs w:val="0"/>
          <w:highlight w:val="none"/>
          <w:lang w:eastAsia="zh-CN"/>
        </w:rPr>
        <w:t>其他费用：</w:t>
      </w:r>
      <w:r>
        <w:rPr>
          <w:rFonts w:hint="eastAsia" w:ascii="宋体" w:hAnsi="宋体" w:cs="宋体"/>
          <w:b w:val="0"/>
          <w:bCs/>
          <w:highlight w:val="none"/>
          <w:lang w:eastAsia="zh-CN"/>
        </w:rPr>
        <w:t>指除理财计划费用以外，理财计划涉及的其他相关费用，包括但不限于认购费、申购费、赎回费、投顾费等，具体以</w:t>
      </w:r>
      <w:r>
        <w:rPr>
          <w:rFonts w:hint="eastAsia" w:ascii="宋体" w:hAnsi="宋体" w:cs="宋体"/>
          <w:bCs/>
          <w:highlight w:val="none"/>
        </w:rPr>
        <w:t>本说明书第八条约定</w:t>
      </w:r>
      <w:r>
        <w:rPr>
          <w:rFonts w:hint="eastAsia" w:ascii="宋体" w:hAnsi="宋体" w:cs="宋体"/>
          <w:b w:val="0"/>
          <w:bCs/>
          <w:highlight w:val="none"/>
          <w:lang w:eastAsia="zh-CN"/>
        </w:rPr>
        <w:t>为准。</w:t>
      </w:r>
    </w:p>
    <w:p>
      <w:pPr>
        <w:pStyle w:val="16"/>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16"/>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6"/>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16"/>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流</w:t>
      </w:r>
      <w:r>
        <w:rPr>
          <w:rFonts w:hint="eastAsia"/>
          <w:b/>
          <w:bCs w:val="0"/>
          <w:highlight w:val="none"/>
          <w:lang w:val="en-US" w:eastAsia="zh-CN"/>
        </w:rPr>
        <w:t>动性受限资产：</w:t>
      </w:r>
      <w:r>
        <w:rPr>
          <w:rFonts w:hint="eastAsia"/>
          <w:highlight w:val="none"/>
          <w:lang w:val="en-US" w:eastAsia="zh-CN"/>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6"/>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b/>
          <w:bCs/>
          <w:highlight w:val="none"/>
          <w:lang w:val="en-US" w:eastAsia="zh-CN"/>
        </w:rPr>
        <w:t>7个工作日可变现资产：</w:t>
      </w:r>
      <w:r>
        <w:rPr>
          <w:rFonts w:hint="eastAsia"/>
          <w:highlight w:val="none"/>
          <w:lang w:val="en-US" w:eastAsia="zh-CN"/>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16"/>
        <w:numPr>
          <w:ilvl w:val="0"/>
          <w:numId w:val="4"/>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相关事件用语</w:t>
      </w:r>
    </w:p>
    <w:p>
      <w:pPr>
        <w:pStyle w:val="16"/>
        <w:numPr>
          <w:ilvl w:val="0"/>
          <w:numId w:val="8"/>
        </w:numPr>
        <w:adjustRightInd/>
        <w:spacing w:line="360" w:lineRule="auto"/>
        <w:ind w:firstLine="482" w:firstLineChars="200"/>
        <w:rPr>
          <w:rFonts w:hint="eastAsia"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6"/>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6"/>
        <w:numPr>
          <w:ilvl w:val="0"/>
          <w:numId w:val="9"/>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巨额赎回：</w:t>
      </w:r>
      <w:r>
        <w:rPr>
          <w:rFonts w:hint="eastAsia" w:ascii="宋体" w:hAnsi="宋体" w:cs="宋体"/>
          <w:bCs/>
          <w:color w:val="auto"/>
          <w:kern w:val="2"/>
          <w:highlight w:val="none"/>
        </w:rPr>
        <w:t>指理财计划的申购和赎回开放期内，理财计划任一开放日净赎回申请份额超过上一工作日日终理财计划总份额的〖10%〗，即为发生巨额赎回行为。</w:t>
      </w:r>
    </w:p>
    <w:p>
      <w:pPr>
        <w:pStyle w:val="16"/>
        <w:numPr>
          <w:ilvl w:val="0"/>
          <w:numId w:val="0"/>
        </w:numPr>
        <w:adjustRightInd/>
        <w:spacing w:line="360" w:lineRule="auto"/>
        <w:rPr>
          <w:rFonts w:hint="eastAsia" w:ascii="宋体" w:hAnsi="宋体" w:cs="宋体"/>
          <w:b/>
          <w:color w:val="auto"/>
          <w:kern w:val="2"/>
          <w:highlight w:val="none"/>
        </w:rPr>
      </w:pPr>
    </w:p>
    <w:p>
      <w:pPr>
        <w:pStyle w:val="16"/>
        <w:numPr>
          <w:ilvl w:val="0"/>
          <w:numId w:val="10"/>
        </w:numPr>
        <w:adjustRightInd/>
        <w:spacing w:line="360" w:lineRule="auto"/>
        <w:ind w:firstLine="482" w:firstLineChars="200"/>
        <w:outlineLvl w:val="1"/>
        <w:rPr>
          <w:rFonts w:hint="eastAsia" w:ascii="宋体" w:hAnsi="宋体" w:cs="宋体"/>
          <w:b/>
          <w:color w:val="auto"/>
          <w:kern w:val="2"/>
          <w:highlight w:val="none"/>
        </w:rPr>
      </w:pPr>
      <w:r>
        <w:rPr>
          <w:rFonts w:hint="eastAsia" w:ascii="宋体" w:hAnsi="宋体" w:cs="宋体"/>
          <w:b/>
          <w:color w:val="auto"/>
          <w:kern w:val="2"/>
          <w:highlight w:val="none"/>
        </w:rPr>
        <w:t>风险评级</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本理财计划的风险等级为〖R</w:t>
      </w:r>
      <w:r>
        <w:rPr>
          <w:rFonts w:hint="eastAsia" w:ascii="宋体" w:hAnsi="宋体" w:cs="宋体"/>
          <w:b/>
          <w:color w:val="auto"/>
          <w:kern w:val="2"/>
          <w:highlight w:val="none"/>
          <w:lang w:val="en-US" w:eastAsia="zh-CN"/>
        </w:rPr>
        <w:t>2</w:t>
      </w:r>
      <w:r>
        <w:rPr>
          <w:rFonts w:hint="eastAsia" w:ascii="宋体" w:hAnsi="宋体" w:cs="宋体"/>
          <w:b/>
          <w:color w:val="auto"/>
          <w:kern w:val="2"/>
          <w:highlight w:val="none"/>
        </w:rPr>
        <w:t>〗，〖</w:t>
      </w:r>
      <w:r>
        <w:rPr>
          <w:rFonts w:hint="eastAsia" w:ascii="宋体" w:hAnsi="宋体" w:cs="宋体"/>
          <w:b/>
          <w:color w:val="auto"/>
          <w:kern w:val="2"/>
          <w:highlight w:val="none"/>
          <w:lang w:val="en-US" w:eastAsia="zh-CN"/>
        </w:rPr>
        <w:t>中低</w:t>
      </w:r>
      <w:r>
        <w:rPr>
          <w:rFonts w:hint="eastAsia" w:ascii="宋体" w:hAnsi="宋体" w:cs="宋体"/>
          <w:b/>
          <w:color w:val="auto"/>
          <w:kern w:val="2"/>
          <w:highlight w:val="none"/>
        </w:rPr>
        <w:t>〗风险。</w:t>
      </w:r>
      <w:r>
        <w:rPr>
          <w:rFonts w:hint="eastAsia" w:ascii="宋体" w:hAnsi="宋体" w:cs="宋体"/>
          <w:bCs/>
          <w:color w:val="auto"/>
          <w:kern w:val="2"/>
          <w:highlight w:val="none"/>
        </w:rPr>
        <w:t>该评级仅是管理人内部测评结果，仅供投资者参考，不具有任何法律约束力。</w:t>
      </w:r>
    </w:p>
    <w:tbl>
      <w:tblPr>
        <w:tblStyle w:val="11"/>
        <w:tblW w:w="7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382"/>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内部风险评级</w:t>
            </w:r>
          </w:p>
        </w:tc>
        <w:tc>
          <w:tcPr>
            <w:tcW w:w="1382"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风险程度</w:t>
            </w:r>
          </w:p>
        </w:tc>
        <w:tc>
          <w:tcPr>
            <w:tcW w:w="4755"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R1</w:t>
            </w:r>
          </w:p>
        </w:tc>
        <w:tc>
          <w:tcPr>
            <w:tcW w:w="1382"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低</w:t>
            </w:r>
          </w:p>
        </w:tc>
        <w:tc>
          <w:tcPr>
            <w:tcW w:w="4755"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保守型、</w:t>
            </w:r>
            <w:r>
              <w:rPr>
                <w:rFonts w:hint="eastAsia" w:ascii="宋体" w:hAnsi="宋体" w:cs="宋体"/>
                <w:bCs/>
                <w:color w:val="auto"/>
                <w:kern w:val="2"/>
                <w:highlight w:val="none"/>
              </w:rPr>
              <w:t>稳健型</w:t>
            </w:r>
            <w:r>
              <w:rPr>
                <w:rFonts w:hint="eastAsia" w:ascii="宋体" w:hAnsi="宋体" w:cs="宋体"/>
                <w:bCs/>
                <w:color w:val="auto"/>
                <w:kern w:val="2"/>
                <w:highlight w:val="none"/>
                <w:lang w:eastAsia="zh-CN"/>
              </w:rPr>
              <w:t>、</w:t>
            </w: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w:t>
            </w:r>
            <w:r>
              <w:rPr>
                <w:rFonts w:hint="eastAsia" w:ascii="宋体" w:hAnsi="宋体" w:cs="宋体"/>
                <w:bCs/>
                <w:color w:val="auto"/>
                <w:kern w:val="2"/>
                <w:highlight w:val="none"/>
              </w:rPr>
              <w:t>型</w:t>
            </w:r>
            <w:r>
              <w:rPr>
                <w:rFonts w:hint="eastAsia" w:ascii="宋体" w:hAnsi="宋体" w:cs="宋体"/>
                <w:bCs/>
                <w:color w:val="auto"/>
                <w:kern w:val="2"/>
                <w:highlight w:val="none"/>
                <w:lang w:eastAsia="zh-CN"/>
              </w:rPr>
              <w:t>、进取</w:t>
            </w:r>
            <w:r>
              <w:rPr>
                <w:rFonts w:hint="eastAsia" w:ascii="宋体" w:hAnsi="宋体" w:cs="宋体"/>
                <w:bCs/>
                <w:color w:val="auto"/>
                <w:kern w:val="2"/>
                <w:highlight w:val="none"/>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R2</w:t>
            </w:r>
          </w:p>
        </w:tc>
        <w:tc>
          <w:tcPr>
            <w:tcW w:w="1382" w:type="dxa"/>
            <w:noWrap w:val="0"/>
            <w:vAlign w:val="top"/>
          </w:tcPr>
          <w:p>
            <w:pPr>
              <w:pStyle w:val="16"/>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中低</w:t>
            </w:r>
          </w:p>
        </w:tc>
        <w:tc>
          <w:tcPr>
            <w:tcW w:w="4755" w:type="dxa"/>
            <w:noWrap w:val="0"/>
            <w:vAlign w:val="top"/>
          </w:tcPr>
          <w:p>
            <w:pPr>
              <w:pStyle w:val="16"/>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稳健型</w:t>
            </w:r>
            <w:r>
              <w:rPr>
                <w:rFonts w:hint="eastAsia" w:ascii="宋体" w:hAnsi="宋体" w:cs="宋体"/>
                <w:b/>
                <w:bCs w:val="0"/>
                <w:color w:val="auto"/>
                <w:kern w:val="2"/>
                <w:highlight w:val="none"/>
                <w:lang w:eastAsia="zh-CN"/>
              </w:rPr>
              <w:t>、</w:t>
            </w:r>
            <w:r>
              <w:rPr>
                <w:rFonts w:hint="eastAsia" w:ascii="宋体" w:hAnsi="宋体" w:cs="宋体"/>
                <w:b/>
                <w:bCs w:val="0"/>
                <w:color w:val="auto"/>
                <w:kern w:val="2"/>
                <w:highlight w:val="none"/>
              </w:rPr>
              <w:t>平衡型</w:t>
            </w:r>
            <w:r>
              <w:rPr>
                <w:rFonts w:hint="eastAsia" w:ascii="宋体" w:hAnsi="宋体" w:cs="宋体"/>
                <w:b/>
                <w:bCs w:val="0"/>
                <w:color w:val="auto"/>
                <w:kern w:val="2"/>
                <w:highlight w:val="none"/>
                <w:lang w:eastAsia="zh-CN"/>
              </w:rPr>
              <w:t>、成长</w:t>
            </w:r>
            <w:r>
              <w:rPr>
                <w:rFonts w:hint="eastAsia" w:ascii="宋体" w:hAnsi="宋体" w:cs="宋体"/>
                <w:b/>
                <w:bCs w:val="0"/>
                <w:color w:val="auto"/>
                <w:kern w:val="2"/>
                <w:highlight w:val="none"/>
              </w:rPr>
              <w:t>型</w:t>
            </w:r>
            <w:r>
              <w:rPr>
                <w:rFonts w:hint="eastAsia" w:ascii="宋体" w:hAnsi="宋体" w:cs="宋体"/>
                <w:b/>
                <w:bCs w:val="0"/>
                <w:color w:val="auto"/>
                <w:kern w:val="2"/>
                <w:highlight w:val="none"/>
                <w:lang w:eastAsia="zh-CN"/>
              </w:rPr>
              <w:t>、进取型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R3</w:t>
            </w:r>
          </w:p>
        </w:tc>
        <w:tc>
          <w:tcPr>
            <w:tcW w:w="1382"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w:t>
            </w:r>
          </w:p>
        </w:tc>
        <w:tc>
          <w:tcPr>
            <w:tcW w:w="4755"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R4</w:t>
            </w:r>
          </w:p>
        </w:tc>
        <w:tc>
          <w:tcPr>
            <w:tcW w:w="1382"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中高</w:t>
            </w:r>
          </w:p>
        </w:tc>
        <w:tc>
          <w:tcPr>
            <w:tcW w:w="4755"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R5</w:t>
            </w:r>
          </w:p>
        </w:tc>
        <w:tc>
          <w:tcPr>
            <w:tcW w:w="1382"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高</w:t>
            </w:r>
          </w:p>
        </w:tc>
        <w:tc>
          <w:tcPr>
            <w:tcW w:w="4755"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进取型</w:t>
            </w:r>
          </w:p>
        </w:tc>
      </w:tr>
    </w:tbl>
    <w:p>
      <w:pPr>
        <w:pStyle w:val="16"/>
        <w:adjustRightInd/>
        <w:spacing w:line="360" w:lineRule="auto"/>
        <w:ind w:firstLine="480" w:firstLineChars="200"/>
        <w:rPr>
          <w:rFonts w:hint="default" w:ascii="宋体" w:hAnsi="宋体" w:cs="宋体"/>
          <w:bCs/>
          <w:color w:val="auto"/>
          <w:kern w:val="2"/>
          <w:highlight w:val="none"/>
          <w:lang w:val="en-US" w:eastAsia="zh-CN"/>
        </w:rPr>
      </w:pPr>
      <w:r>
        <w:rPr>
          <w:rFonts w:hint="eastAsia" w:ascii="宋体" w:hAnsi="宋体" w:cs="宋体"/>
          <w:bCs/>
          <w:color w:val="auto"/>
          <w:kern w:val="2"/>
          <w:highlight w:val="none"/>
          <w:lang w:eastAsia="zh-CN"/>
        </w:rPr>
        <w:t>投资者风险承受能力评级水平以销售机构评估为准。</w:t>
      </w:r>
    </w:p>
    <w:p>
      <w:pPr>
        <w:pStyle w:val="16"/>
        <w:adjustRightInd/>
        <w:spacing w:line="360" w:lineRule="auto"/>
        <w:rPr>
          <w:rFonts w:hint="eastAsia" w:ascii="宋体" w:hAnsi="宋体" w:cs="宋体"/>
          <w:b/>
          <w:color w:val="auto"/>
          <w:kern w:val="2"/>
          <w:highlight w:val="none"/>
        </w:rPr>
      </w:pPr>
    </w:p>
    <w:p>
      <w:pPr>
        <w:pStyle w:val="16"/>
        <w:numPr>
          <w:ilvl w:val="0"/>
          <w:numId w:val="10"/>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产品要素</w:t>
      </w:r>
    </w:p>
    <w:tbl>
      <w:tblPr>
        <w:tblStyle w:val="11"/>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产品名称</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杭银理财幸福99</w:t>
            </w:r>
            <w:r>
              <w:rPr>
                <w:rFonts w:hint="eastAsia" w:ascii="宋体" w:hAnsi="宋体" w:cs="宋体"/>
                <w:bCs/>
                <w:sz w:val="21"/>
                <w:szCs w:val="21"/>
                <w:highlight w:val="none"/>
                <w:lang w:eastAsia="zh-CN"/>
              </w:rPr>
              <w:t>季添益1903期</w:t>
            </w:r>
            <w:r>
              <w:rPr>
                <w:rFonts w:hint="eastAsia" w:ascii="宋体" w:hAnsi="宋体" w:cs="宋体"/>
                <w:sz w:val="21"/>
                <w:szCs w:val="21"/>
                <w:highlight w:val="none"/>
              </w:rPr>
              <w:t>理财</w:t>
            </w:r>
          </w:p>
        </w:tc>
      </w:tr>
      <w:tr>
        <w:tblPrEx>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产品简称</w:t>
            </w:r>
          </w:p>
        </w:tc>
        <w:tc>
          <w:tcPr>
            <w:tcW w:w="7185" w:type="dxa"/>
            <w:noWrap w:val="0"/>
            <w:vAlign w:val="center"/>
          </w:tcPr>
          <w:p>
            <w:pPr>
              <w:widowControl/>
              <w:spacing w:line="360" w:lineRule="auto"/>
              <w:contextualSpacing/>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季添益1903期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sz w:val="21"/>
                <w:szCs w:val="21"/>
                <w:highlight w:val="none"/>
              </w:rPr>
            </w:pPr>
            <w:r>
              <w:rPr>
                <w:rFonts w:hint="eastAsia" w:ascii="宋体" w:hAnsi="宋体" w:cs="宋体"/>
                <w:sz w:val="21"/>
                <w:szCs w:val="21"/>
                <w:highlight w:val="none"/>
              </w:rPr>
              <w:t>产品编号</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lang w:val="en-US" w:eastAsia="zh-CN"/>
              </w:rPr>
              <w:t>TYG3M1903</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登记编码</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本理财计划在全国银行业理财信息登记系统的原登记编码是〖C1092019000691〗</w:t>
            </w:r>
            <w:r>
              <w:rPr>
                <w:rFonts w:hint="eastAsia" w:ascii="宋体" w:hAnsi="宋体" w:cs="宋体"/>
                <w:color w:val="auto"/>
                <w:kern w:val="0"/>
                <w:highlight w:val="none"/>
              </w:rPr>
              <w:t>，</w:t>
            </w:r>
            <w:r>
              <w:rPr>
                <w:rFonts w:hint="eastAsia" w:ascii="宋体" w:hAnsi="宋体" w:cs="宋体"/>
                <w:color w:val="auto"/>
                <w:sz w:val="21"/>
                <w:szCs w:val="21"/>
                <w:highlight w:val="none"/>
              </w:rPr>
              <w:t>变更登记后为〖Z700222100027</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发行对象</w:t>
            </w:r>
          </w:p>
        </w:tc>
        <w:tc>
          <w:tcPr>
            <w:tcW w:w="7185" w:type="dxa"/>
            <w:noWrap w:val="0"/>
            <w:vAlign w:val="center"/>
          </w:tcPr>
          <w:p>
            <w:pPr>
              <w:widowControl/>
              <w:spacing w:line="360" w:lineRule="auto"/>
              <w:contextualSpacing/>
              <w:rPr>
                <w:rFonts w:hint="eastAsia" w:ascii="宋体" w:hAnsi="宋体" w:cs="宋体"/>
                <w:b/>
                <w:color w:val="auto"/>
                <w:sz w:val="21"/>
                <w:szCs w:val="21"/>
                <w:highlight w:val="none"/>
              </w:rPr>
            </w:pPr>
            <w:r>
              <w:rPr>
                <w:rFonts w:hint="eastAsia" w:ascii="宋体" w:hAnsi="宋体" w:cs="宋体"/>
                <w:color w:val="auto"/>
                <w:sz w:val="21"/>
                <w:szCs w:val="21"/>
                <w:highlight w:val="none"/>
              </w:rPr>
              <w:t>本理财计划适合</w:t>
            </w:r>
            <w:r>
              <w:rPr>
                <w:rFonts w:hint="eastAsia" w:ascii="宋体" w:hAnsi="宋体" w:cs="宋体"/>
                <w:b/>
                <w:color w:val="auto"/>
                <w:sz w:val="21"/>
                <w:szCs w:val="21"/>
                <w:highlight w:val="none"/>
              </w:rPr>
              <w:t>〖机构投资者〗以及〖稳健型、平衡型、成长型、进取型〗的个人投资者。</w:t>
            </w:r>
            <w:r>
              <w:rPr>
                <w:rFonts w:hint="eastAsia" w:ascii="宋体" w:hAnsi="宋体" w:cs="宋体"/>
                <w:bCs/>
                <w:color w:val="auto"/>
                <w:kern w:val="2"/>
                <w:sz w:val="21"/>
                <w:szCs w:val="21"/>
                <w:highlight w:val="none"/>
                <w:lang w:eastAsia="zh-CN"/>
              </w:rPr>
              <w:t>投资者风险承受能力评级水平以销售机构评估为准。</w:t>
            </w:r>
          </w:p>
          <w:p>
            <w:pPr>
              <w:widowControl/>
              <w:spacing w:line="360" w:lineRule="auto"/>
              <w:contextualSpacing/>
              <w:rPr>
                <w:rFonts w:hint="eastAsia" w:ascii="宋体" w:hAnsi="宋体" w:cs="宋体"/>
                <w:b w:val="0"/>
                <w:bCs/>
                <w:color w:val="auto"/>
                <w:sz w:val="21"/>
                <w:szCs w:val="21"/>
                <w:highlight w:val="none"/>
                <w:lang w:eastAsia="zh-CN"/>
              </w:rPr>
            </w:pPr>
            <w:r>
              <w:rPr>
                <w:rFonts w:hint="eastAsia" w:ascii="宋体" w:hAnsi="宋体" w:cs="宋体"/>
                <w:b w:val="0"/>
                <w:bCs/>
                <w:color w:val="auto"/>
                <w:sz w:val="21"/>
                <w:szCs w:val="21"/>
                <w:highlight w:val="none"/>
                <w:lang w:eastAsia="zh-CN"/>
              </w:rPr>
              <w:t>其中：</w:t>
            </w:r>
          </w:p>
          <w:p>
            <w:pPr>
              <w:widowControl/>
              <w:spacing w:line="360" w:lineRule="auto"/>
              <w:contextualSpacing/>
              <w:rPr>
                <w:rFonts w:hint="eastAsia" w:ascii="宋体" w:hAnsi="宋体" w:cs="宋体"/>
                <w:color w:val="auto"/>
                <w:sz w:val="21"/>
                <w:szCs w:val="21"/>
                <w:highlight w:val="none"/>
                <w:lang w:eastAsia="zh-CN"/>
              </w:rPr>
            </w:pPr>
            <w:r>
              <w:rPr>
                <w:rFonts w:hint="eastAsia" w:ascii="宋体" w:hAnsi="宋体" w:cs="宋体"/>
                <w:b w:val="0"/>
                <w:bCs/>
                <w:color w:val="auto"/>
                <w:sz w:val="21"/>
                <w:szCs w:val="21"/>
                <w:highlight w:val="none"/>
                <w:lang w:val="en-US" w:eastAsia="zh-CN"/>
              </w:rPr>
              <w:t>A份额</w:t>
            </w:r>
            <w:r>
              <w:rPr>
                <w:rFonts w:hint="eastAsia" w:ascii="宋体" w:hAnsi="宋体" w:cs="宋体"/>
                <w:b w:val="0"/>
                <w:bCs/>
                <w:color w:val="auto"/>
                <w:sz w:val="21"/>
                <w:szCs w:val="21"/>
                <w:highlight w:val="none"/>
                <w:lang w:eastAsia="zh-CN"/>
              </w:rPr>
              <w:t>（销售代码〖</w:t>
            </w:r>
            <w:r>
              <w:rPr>
                <w:rFonts w:hint="eastAsia" w:ascii="宋体" w:hAnsi="宋体" w:cs="宋体"/>
                <w:b w:val="0"/>
                <w:bCs/>
                <w:color w:val="auto"/>
                <w:sz w:val="21"/>
                <w:szCs w:val="21"/>
                <w:highlight w:val="none"/>
                <w:lang w:val="en-US" w:eastAsia="zh-CN"/>
              </w:rPr>
              <w:t>TYG3M1903</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〖普通个人投资者和机构客户〗发售</w:t>
            </w:r>
            <w:r>
              <w:rPr>
                <w:rFonts w:hint="eastAsia" w:ascii="宋体" w:hAnsi="宋体" w:cs="宋体"/>
                <w:color w:val="auto"/>
                <w:sz w:val="21"/>
                <w:szCs w:val="21"/>
                <w:highlight w:val="none"/>
                <w:lang w:eastAsia="zh-CN"/>
              </w:rPr>
              <w:t>。</w:t>
            </w:r>
          </w:p>
          <w:p>
            <w:pPr>
              <w:widowControl/>
              <w:spacing w:line="360" w:lineRule="auto"/>
              <w:contextualSpacing/>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B份额</w:t>
            </w:r>
            <w:r>
              <w:rPr>
                <w:rFonts w:hint="eastAsia" w:ascii="宋体" w:hAnsi="宋体" w:cs="宋体"/>
                <w:b w:val="0"/>
                <w:bCs/>
                <w:color w:val="auto"/>
                <w:sz w:val="21"/>
                <w:szCs w:val="21"/>
                <w:highlight w:val="none"/>
                <w:lang w:eastAsia="zh-CN"/>
              </w:rPr>
              <w:t>（销售代码〖</w:t>
            </w:r>
            <w:r>
              <w:rPr>
                <w:rFonts w:hint="eastAsia" w:ascii="宋体" w:hAnsi="宋体" w:cs="宋体"/>
                <w:b w:val="0"/>
                <w:bCs/>
                <w:color w:val="auto"/>
                <w:sz w:val="21"/>
                <w:szCs w:val="21"/>
                <w:highlight w:val="none"/>
                <w:lang w:val="en-US" w:eastAsia="zh-CN"/>
              </w:rPr>
              <w:t>TYG3M1903B</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〖高净值等特邀客户专属〗发售</w:t>
            </w:r>
            <w:r>
              <w:rPr>
                <w:rFonts w:hint="eastAsia" w:ascii="宋体" w:hAnsi="宋体" w:cs="宋体"/>
                <w:color w:val="auto"/>
                <w:sz w:val="21"/>
                <w:szCs w:val="21"/>
                <w:highlight w:val="none"/>
                <w:lang w:eastAsia="zh-CN"/>
              </w:rPr>
              <w:t>。</w:t>
            </w:r>
          </w:p>
          <w:p>
            <w:pPr>
              <w:widowControl/>
              <w:spacing w:line="360" w:lineRule="auto"/>
              <w:contextualSpacing/>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C份额</w:t>
            </w:r>
            <w:r>
              <w:rPr>
                <w:rFonts w:hint="eastAsia" w:ascii="宋体" w:hAnsi="宋体" w:cs="宋体"/>
                <w:b w:val="0"/>
                <w:bCs/>
                <w:color w:val="auto"/>
                <w:sz w:val="21"/>
                <w:szCs w:val="21"/>
                <w:highlight w:val="none"/>
                <w:lang w:eastAsia="zh-CN"/>
              </w:rPr>
              <w:t>（销售代码〖</w:t>
            </w:r>
            <w:r>
              <w:rPr>
                <w:rFonts w:hint="eastAsia" w:ascii="宋体" w:hAnsi="宋体" w:cs="宋体"/>
                <w:b w:val="0"/>
                <w:bCs/>
                <w:color w:val="auto"/>
                <w:sz w:val="21"/>
                <w:szCs w:val="21"/>
                <w:highlight w:val="none"/>
                <w:lang w:val="en-US" w:eastAsia="zh-CN"/>
              </w:rPr>
              <w:t>TYG3M1903C</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〖特定客群专属〗发售</w:t>
            </w:r>
            <w:r>
              <w:rPr>
                <w:rFonts w:hint="eastAsia" w:ascii="宋体" w:hAnsi="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发行方式</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产品类型</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固定收益类</w:t>
            </w:r>
            <w:r>
              <w:rPr>
                <w:rFonts w:hint="eastAsia" w:ascii="宋体" w:hAnsi="宋体" w:cs="宋体"/>
                <w:color w:val="auto"/>
                <w:sz w:val="21"/>
                <w:szCs w:val="21"/>
                <w:highlight w:val="none"/>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运作模式</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分级产品</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否</w:t>
            </w:r>
            <w:r>
              <w:rPr>
                <w:rFonts w:hint="eastAsia" w:ascii="宋体" w:hAnsi="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销售范围</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销售渠道</w:t>
            </w:r>
          </w:p>
        </w:tc>
        <w:tc>
          <w:tcPr>
            <w:tcW w:w="7185" w:type="dxa"/>
            <w:noWrap w:val="0"/>
            <w:vAlign w:val="center"/>
          </w:tcPr>
          <w:p>
            <w:pPr>
              <w:widowControl/>
              <w:spacing w:line="360" w:lineRule="auto"/>
              <w:contextualSpacing/>
              <w:jc w:val="lef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可通过</w:t>
            </w:r>
            <w:r>
              <w:rPr>
                <w:rFonts w:hint="eastAsia" w:ascii="宋体" w:hAnsi="宋体" w:cs="宋体"/>
                <w:color w:val="auto"/>
                <w:sz w:val="21"/>
                <w:szCs w:val="21"/>
                <w:highlight w:val="none"/>
                <w:lang w:eastAsia="zh-CN"/>
              </w:rPr>
              <w:t>杭银理财直销渠道和代理</w:t>
            </w:r>
            <w:r>
              <w:rPr>
                <w:rFonts w:hint="eastAsia" w:ascii="宋体" w:hAnsi="宋体" w:cs="宋体"/>
                <w:color w:val="auto"/>
                <w:sz w:val="21"/>
                <w:szCs w:val="21"/>
                <w:highlight w:val="none"/>
              </w:rPr>
              <w:t>销售机构的〖营业网点、网上银行、手机银行〗等渠道购买</w:t>
            </w:r>
            <w:r>
              <w:rPr>
                <w:rFonts w:hint="eastAsia" w:ascii="宋体" w:hAnsi="宋体" w:cs="宋体"/>
                <w:color w:val="auto"/>
                <w:sz w:val="21"/>
                <w:szCs w:val="21"/>
                <w:highlight w:val="none"/>
                <w:lang w:eastAsia="zh-CN"/>
              </w:rPr>
              <w:t>，通过</w:t>
            </w:r>
            <w:r>
              <w:rPr>
                <w:rFonts w:hint="eastAsia" w:ascii="宋体" w:hAnsi="宋体" w:cs="宋体"/>
                <w:color w:val="auto"/>
                <w:sz w:val="21"/>
                <w:szCs w:val="21"/>
                <w:highlight w:val="none"/>
                <w:lang w:val="en-US" w:eastAsia="zh-CN"/>
              </w:rPr>
              <w:t>代理销售机构购买的，具体销售渠道以代理销售机构披露为准</w:t>
            </w:r>
            <w:r>
              <w:rPr>
                <w:rFonts w:hint="eastAsia" w:ascii="宋体" w:hAnsi="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交易币种</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发行规模上限</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100</w:t>
            </w:r>
            <w:r>
              <w:rPr>
                <w:rFonts w:hint="eastAsia" w:ascii="宋体" w:hAnsi="宋体" w:cs="宋体"/>
                <w:color w:val="auto"/>
                <w:sz w:val="21"/>
                <w:szCs w:val="21"/>
                <w:highlight w:val="none"/>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〖2019〗年〖</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〗日-〖2019〗年〖6〗月〖</w:t>
            </w:r>
            <w:r>
              <w:rPr>
                <w:rFonts w:hint="eastAsia" w:ascii="宋体" w:hAnsi="宋体" w:cs="宋体"/>
                <w:color w:val="auto"/>
                <w:sz w:val="21"/>
                <w:szCs w:val="21"/>
                <w:highlight w:val="none"/>
                <w:lang w:val="en-US" w:eastAsia="zh-CN"/>
              </w:rPr>
              <w:t>11</w:t>
            </w:r>
            <w:r>
              <w:rPr>
                <w:rFonts w:hint="eastAsia" w:ascii="宋体" w:hAnsi="宋体" w:cs="宋体"/>
                <w:color w:val="auto"/>
                <w:sz w:val="21"/>
                <w:szCs w:val="21"/>
                <w:highlight w:val="none"/>
              </w:rPr>
              <w:t>〗日</w:t>
            </w:r>
            <w:r>
              <w:rPr>
                <w:rFonts w:hint="eastAsia" w:ascii="宋体" w:hAnsi="宋体" w:cs="宋体"/>
                <w:color w:val="auto"/>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认购时间</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认购期首日〖9：00〗至认购结束日〖17：00〗</w:t>
            </w:r>
            <w:r>
              <w:rPr>
                <w:rFonts w:hint="eastAsia" w:ascii="宋体" w:hAnsi="宋体" w:cs="宋体"/>
                <w:color w:val="auto"/>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成立日</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2019</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12</w:t>
            </w:r>
            <w:r>
              <w:rPr>
                <w:rFonts w:hint="eastAsia" w:ascii="宋体" w:hAnsi="宋体" w:cs="宋体"/>
                <w:color w:val="auto"/>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理财期限</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无固定期限（实际理财期限受制于管理人提前终止权等条款）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认购/申购</w:t>
            </w:r>
          </w:p>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起点金额</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〗起点〖</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〗元整，超过认购/申购起点部分，应为〖</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〗元的整数倍。〖</w:t>
            </w:r>
            <w:r>
              <w:rPr>
                <w:rFonts w:hint="eastAsia" w:ascii="宋体" w:hAnsi="宋体" w:cs="宋体"/>
                <w:color w:val="auto"/>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〗起点〖</w:t>
            </w:r>
            <w:r>
              <w:rPr>
                <w:rFonts w:hint="eastAsia" w:ascii="宋体" w:hAnsi="宋体" w:cs="宋体"/>
                <w:color w:val="auto"/>
                <w:sz w:val="21"/>
                <w:szCs w:val="21"/>
                <w:highlight w:val="none"/>
                <w:lang w:val="en-US" w:eastAsia="zh-CN"/>
              </w:rPr>
              <w:t>20万</w:t>
            </w:r>
            <w:r>
              <w:rPr>
                <w:rFonts w:hint="eastAsia" w:ascii="宋体" w:hAnsi="宋体" w:cs="宋体"/>
                <w:color w:val="auto"/>
                <w:sz w:val="21"/>
                <w:szCs w:val="21"/>
                <w:highlight w:val="none"/>
              </w:rPr>
              <w:t>〗元整，超过认购/申购起点部分，应为〖</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〗元的整数倍。</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〗起点〖</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〗元整，超过认购/申购起点部分，应为〖</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〗元的整数倍。</w:t>
            </w:r>
          </w:p>
          <w:p>
            <w:pPr>
              <w:widowControl/>
              <w:spacing w:line="360" w:lineRule="auto"/>
              <w:contextualSpacing/>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color w:val="auto"/>
                <w:kern w:val="0"/>
                <w:sz w:val="21"/>
                <w:szCs w:val="21"/>
                <w:highlight w:val="none"/>
                <w:lang w:val="en-US" w:eastAsia="zh-CN"/>
              </w:rPr>
            </w:pPr>
            <w:r>
              <w:rPr>
                <w:rFonts w:hint="eastAsia" w:ascii="宋体" w:hAnsi="宋体" w:cs="宋体"/>
                <w:color w:val="auto"/>
                <w:kern w:val="2"/>
                <w:sz w:val="21"/>
                <w:szCs w:val="21"/>
                <w:highlight w:val="none"/>
              </w:rPr>
              <w:t>投资者全额赎回不再持有本产品份额后再次申购，视同首次申购处理。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认购份额</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产品成立</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cs="宋体"/>
                <w:color w:val="auto"/>
                <w:sz w:val="21"/>
                <w:szCs w:val="21"/>
                <w:highlight w:val="none"/>
                <w:lang w:val="en-US" w:eastAsia="zh-CN"/>
              </w:rPr>
              <w:t>2000</w:t>
            </w:r>
            <w:r>
              <w:rPr>
                <w:rFonts w:hint="eastAsia" w:ascii="宋体" w:hAnsi="宋体" w:cs="宋体"/>
                <w:color w:val="auto"/>
                <w:sz w:val="21"/>
                <w:szCs w:val="21"/>
                <w:highlight w:val="none"/>
              </w:rPr>
              <w:t>〗万元，则管理人可宣布本理财计划不成立并在原定理财计划成立日</w:t>
            </w:r>
            <w:r>
              <w:rPr>
                <w:rFonts w:hint="eastAsia" w:ascii="宋体" w:hAnsi="宋体" w:cs="宋体"/>
                <w:color w:val="auto"/>
                <w:sz w:val="21"/>
                <w:szCs w:val="21"/>
                <w:highlight w:val="none"/>
                <w:lang w:val="en-US" w:eastAsia="zh-CN"/>
              </w:rPr>
              <w:t>当日</w:t>
            </w:r>
            <w:r>
              <w:rPr>
                <w:rFonts w:hint="eastAsia" w:ascii="宋体" w:hAnsi="宋体" w:cs="宋体"/>
                <w:color w:val="auto"/>
                <w:sz w:val="21"/>
                <w:szCs w:val="21"/>
                <w:highlight w:val="none"/>
              </w:rPr>
              <w:t>通过管理人或销售机构发布不成立信息，投资者购买的理财资金将在原定成立日后2个工作日内划转至投资者指定理财账户，</w:t>
            </w:r>
            <w:r>
              <w:rPr>
                <w:rFonts w:hint="eastAsia" w:ascii="宋体" w:hAnsi="宋体" w:cs="宋体"/>
                <w:b/>
                <w:color w:val="auto"/>
                <w:sz w:val="21"/>
                <w:szCs w:val="21"/>
                <w:highlight w:val="none"/>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开放期</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理财计划</w:t>
            </w:r>
            <w:r>
              <w:rPr>
                <w:rFonts w:hint="eastAsia" w:ascii="宋体" w:hAnsi="宋体" w:cs="宋体"/>
                <w:color w:val="auto"/>
                <w:sz w:val="21"/>
                <w:szCs w:val="21"/>
                <w:highlight w:val="none"/>
                <w:lang w:val="en-US" w:eastAsia="zh-CN"/>
              </w:rPr>
              <w:t>〖每三个月〗开放一次,开放期为〖产品确认日前5-7个工作日〗，具体开放期将以管理人公告为准。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auto"/>
                <w:sz w:val="21"/>
                <w:szCs w:val="21"/>
                <w:highlight w:val="none"/>
              </w:rPr>
            </w:pPr>
            <w:r>
              <w:rPr>
                <w:rFonts w:hint="eastAsia" w:ascii="宋体" w:hAnsi="宋体" w:cs="宋体"/>
                <w:color w:val="auto"/>
                <w:sz w:val="21"/>
                <w:szCs w:val="21"/>
                <w:highlight w:val="none"/>
              </w:rPr>
              <w:t>交易时间</w:t>
            </w:r>
          </w:p>
        </w:tc>
        <w:tc>
          <w:tcPr>
            <w:tcW w:w="7185" w:type="dxa"/>
            <w:noWrap w:val="0"/>
            <w:vAlign w:val="center"/>
          </w:tcPr>
          <w:p>
            <w:pPr>
              <w:widowControl/>
              <w:spacing w:line="360" w:lineRule="auto"/>
              <w:contextualSpacing/>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1.本理财计划在每个开放期的开放日工作时间均可进行申购</w:t>
            </w:r>
            <w:r>
              <w:rPr>
                <w:rFonts w:hint="eastAsia" w:ascii="宋体" w:hAnsi="宋体" w:cs="宋体"/>
                <w:color w:val="auto"/>
                <w:sz w:val="21"/>
                <w:szCs w:val="21"/>
                <w:highlight w:val="none"/>
                <w:lang w:val="en-US" w:eastAsia="zh-CN"/>
              </w:rPr>
              <w:t>和赎回</w:t>
            </w:r>
            <w:r>
              <w:rPr>
                <w:rFonts w:hint="eastAsia" w:ascii="宋体" w:hAnsi="宋体" w:cs="宋体"/>
                <w:color w:val="auto"/>
                <w:sz w:val="21"/>
                <w:szCs w:val="21"/>
                <w:highlight w:val="none"/>
              </w:rPr>
              <w:t>，申购</w:t>
            </w:r>
            <w:r>
              <w:rPr>
                <w:rFonts w:hint="eastAsia" w:ascii="宋体" w:hAnsi="宋体" w:cs="宋体"/>
                <w:color w:val="auto"/>
                <w:sz w:val="21"/>
                <w:szCs w:val="21"/>
                <w:highlight w:val="none"/>
                <w:lang w:val="en-US" w:eastAsia="zh-CN"/>
              </w:rPr>
              <w:t>和赎回</w:t>
            </w:r>
            <w:r>
              <w:rPr>
                <w:rFonts w:hint="eastAsia" w:ascii="宋体" w:hAnsi="宋体" w:cs="宋体"/>
                <w:color w:val="auto"/>
                <w:sz w:val="21"/>
                <w:szCs w:val="21"/>
                <w:highlight w:val="none"/>
              </w:rPr>
              <w:t>申请将在确认日，即开放期后的第〖1〗个</w:t>
            </w:r>
            <w:r>
              <w:rPr>
                <w:rFonts w:hint="eastAsia" w:ascii="宋体" w:hAnsi="宋体" w:cs="宋体"/>
                <w:bCs/>
                <w:color w:val="auto"/>
                <w:sz w:val="21"/>
                <w:szCs w:val="21"/>
                <w:highlight w:val="none"/>
              </w:rPr>
              <w:t>工作日进行确认。</w:t>
            </w:r>
            <w:r>
              <w:rPr>
                <w:rFonts w:hint="eastAsia" w:ascii="宋体" w:hAnsi="宋体" w:cs="宋体"/>
                <w:color w:val="auto"/>
                <w:sz w:val="21"/>
                <w:szCs w:val="21"/>
                <w:highlight w:val="none"/>
              </w:rPr>
              <w:t>确认日如遇非工作日，则顺延至〖下一工作日〗。</w:t>
            </w:r>
          </w:p>
          <w:p>
            <w:pPr>
              <w:widowControl/>
              <w:spacing w:line="360" w:lineRule="auto"/>
              <w:contextualSpacing/>
              <w:rPr>
                <w:rFonts w:hint="eastAsia" w:ascii="宋体" w:hAnsi="宋体" w:cs="宋体"/>
                <w:color w:val="auto"/>
                <w:kern w:val="0"/>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.工作时间为每个工作日上午〖9:00〗至下午〖17:00〗。确认日如遇非工作日，则顺延至〖下一工作日〗。</w:t>
            </w: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认购/开放期内提交的交易申请，在产品成立日/确认日前一日下午17:00之前可以撤单。</w:t>
            </w: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4.上述交易安排如有调整，请以管理人公告为准。</w:t>
            </w:r>
          </w:p>
          <w:p>
            <w:pPr>
              <w:widowControl/>
              <w:spacing w:line="360" w:lineRule="auto"/>
              <w:contextualSpacing/>
              <w:rPr>
                <w:rFonts w:hint="default" w:ascii="宋体" w:hAnsi="宋体" w:cs="宋体"/>
                <w:bCs/>
                <w:color w:val="auto"/>
                <w:sz w:val="21"/>
                <w:szCs w:val="21"/>
                <w:highlight w:val="none"/>
                <w:lang w:val="en-US" w:eastAsia="zh-CN"/>
              </w:rPr>
            </w:pPr>
            <w:r>
              <w:rPr>
                <w:rFonts w:hint="eastAsia" w:ascii="宋体" w:hAnsi="宋体" w:cs="宋体"/>
                <w:bCs/>
                <w:sz w:val="21"/>
                <w:szCs w:val="21"/>
              </w:rPr>
              <w:t>5.</w:t>
            </w:r>
            <w:r>
              <w:rPr>
                <w:rFonts w:hint="eastAsia" w:ascii="宋体" w:hAnsi="宋体" w:cs="宋体"/>
                <w:bCs/>
                <w:color w:val="auto"/>
                <w:kern w:val="2"/>
                <w:sz w:val="21"/>
                <w:szCs w:val="21"/>
              </w:rPr>
              <w:t>如果投资者在一个投资周期开放期内未提出赎回申请，则该投资周期终止后，投资者的理财资金继续进入下一个投资周期进行理财运作。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巨额赎回</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理财计划存续期内，若理财计划开放日净赎回申请份额超过上一日日终理财计划总份额</w:t>
            </w:r>
            <w:r>
              <w:rPr>
                <w:rFonts w:hint="eastAsia" w:ascii="宋体" w:hAnsi="宋体" w:cs="宋体"/>
                <w:sz w:val="21"/>
                <w:szCs w:val="21"/>
                <w:highlight w:val="none"/>
              </w:rPr>
              <w:t>〖</w:t>
            </w:r>
            <w:r>
              <w:rPr>
                <w:rFonts w:hint="eastAsia" w:ascii="宋体" w:hAnsi="宋体" w:cs="宋体"/>
                <w:color w:val="000000"/>
                <w:sz w:val="21"/>
                <w:szCs w:val="21"/>
                <w:highlight w:val="none"/>
              </w:rPr>
              <w:t>10%</w:t>
            </w:r>
            <w:r>
              <w:rPr>
                <w:rFonts w:hint="eastAsia" w:ascii="宋体" w:hAnsi="宋体" w:cs="宋体"/>
                <w:sz w:val="21"/>
                <w:szCs w:val="21"/>
                <w:highlight w:val="none"/>
              </w:rPr>
              <w:t>〗</w:t>
            </w:r>
            <w:r>
              <w:rPr>
                <w:rFonts w:hint="eastAsia" w:ascii="宋体" w:hAnsi="宋体" w:cs="宋体"/>
                <w:color w:val="000000"/>
                <w:sz w:val="21"/>
                <w:szCs w:val="21"/>
                <w:highlight w:val="none"/>
              </w:rPr>
              <w:t>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单户限额</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val="en-US" w:eastAsia="zh-CN"/>
              </w:rPr>
            </w:pPr>
            <w:r>
              <w:rPr>
                <w:rFonts w:hint="eastAsia" w:ascii="宋体" w:hAnsi="宋体" w:cs="宋体"/>
                <w:sz w:val="21"/>
                <w:szCs w:val="21"/>
                <w:highlight w:val="none"/>
              </w:rPr>
              <w:t>单户最高存续份额为〖</w:t>
            </w:r>
            <w:r>
              <w:rPr>
                <w:rFonts w:hint="eastAsia" w:ascii="宋体" w:hAnsi="宋体" w:cs="宋体"/>
                <w:sz w:val="21"/>
                <w:szCs w:val="21"/>
                <w:highlight w:val="none"/>
                <w:lang w:val="en-US" w:eastAsia="zh-CN"/>
              </w:rPr>
              <w:t>1</w:t>
            </w:r>
            <w:r>
              <w:rPr>
                <w:rFonts w:hint="eastAsia" w:ascii="宋体" w:hAnsi="宋体" w:cs="宋体"/>
                <w:sz w:val="21"/>
                <w:szCs w:val="21"/>
                <w:highlight w:val="none"/>
              </w:rPr>
              <w:t>亿份〗</w:t>
            </w:r>
            <w:r>
              <w:rPr>
                <w:rFonts w:hint="eastAsia" w:ascii="宋体" w:hAnsi="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申购份额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申购份额=申购金额/确认日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的单位净值。申购</w:t>
            </w:r>
            <w:r>
              <w:rPr>
                <w:rFonts w:hint="eastAsia" w:ascii="宋体" w:hAnsi="宋体" w:cs="宋体"/>
                <w:color w:val="000000"/>
                <w:sz w:val="21"/>
                <w:szCs w:val="21"/>
                <w:highlight w:val="none"/>
              </w:rPr>
              <w:t>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赎回金额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赎回金额=赎</w:t>
            </w:r>
            <w:r>
              <w:rPr>
                <w:rFonts w:hint="eastAsia" w:ascii="宋体" w:hAnsi="宋体" w:cs="宋体"/>
                <w:bCs/>
                <w:sz w:val="21"/>
                <w:szCs w:val="21"/>
                <w:highlight w:val="none"/>
              </w:rPr>
              <w:t>回份额×确认日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单位净值</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单位净值=理财计划估值日理财计划总净值/理财计划总份额，单位净值〖保留小数点后</w:t>
            </w:r>
            <w:r>
              <w:rPr>
                <w:rFonts w:hint="eastAsia" w:ascii="宋体" w:hAnsi="宋体" w:cs="宋体"/>
                <w:color w:val="auto"/>
                <w:sz w:val="21"/>
                <w:szCs w:val="21"/>
                <w:highlight w:val="none"/>
                <w:lang w:val="en-US" w:eastAsia="zh-CN"/>
              </w:rPr>
              <w:t>四</w:t>
            </w:r>
            <w:r>
              <w:rPr>
                <w:rFonts w:hint="eastAsia" w:ascii="宋体" w:hAnsi="宋体" w:cs="宋体"/>
                <w:color w:val="auto"/>
                <w:sz w:val="21"/>
                <w:szCs w:val="21"/>
                <w:highlight w:val="none"/>
              </w:rPr>
              <w:t>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四位后去尾</w:t>
            </w:r>
            <w:r>
              <w:rPr>
                <w:rFonts w:hint="eastAsia" w:ascii="宋体" w:hAnsi="宋体" w:cs="宋体"/>
                <w:color w:val="auto"/>
                <w:sz w:val="21"/>
                <w:szCs w:val="21"/>
                <w:highlight w:val="none"/>
              </w:rPr>
              <w:t>。</w:t>
            </w:r>
          </w:p>
          <w:p>
            <w:pPr>
              <w:widowControl/>
              <w:spacing w:line="360" w:lineRule="auto"/>
              <w:contextualSpacing/>
              <w:rPr>
                <w:rFonts w:hint="eastAsia" w:ascii="宋体" w:hAnsi="宋体" w:cs="宋体"/>
                <w:b/>
                <w:color w:val="auto"/>
                <w:sz w:val="21"/>
                <w:szCs w:val="21"/>
                <w:highlight w:val="none"/>
              </w:rPr>
            </w:pPr>
            <w:r>
              <w:rPr>
                <w:rFonts w:hint="eastAsia" w:ascii="宋体" w:hAnsi="宋体" w:cs="宋体"/>
                <w:color w:val="auto"/>
                <w:sz w:val="21"/>
                <w:szCs w:val="21"/>
                <w:highlight w:val="none"/>
              </w:rPr>
              <w:t>理财计划总净值=理财计划认购总额+理财计划所获总收益-理财计划总费用（包括但不限于</w:t>
            </w:r>
            <w:r>
              <w:rPr>
                <w:rFonts w:hint="eastAsia" w:ascii="宋体" w:hAnsi="宋体" w:cs="宋体"/>
                <w:color w:val="auto"/>
                <w:sz w:val="21"/>
                <w:szCs w:val="21"/>
                <w:highlight w:val="none"/>
                <w:lang w:val="en-US" w:eastAsia="zh-CN"/>
              </w:rPr>
              <w:t>固定</w:t>
            </w:r>
            <w:r>
              <w:rPr>
                <w:rFonts w:hint="eastAsia" w:ascii="宋体" w:hAnsi="宋体" w:cs="宋体"/>
                <w:color w:val="auto"/>
                <w:sz w:val="21"/>
                <w:szCs w:val="21"/>
                <w:highlight w:val="none"/>
              </w:rPr>
              <w:t>管理费、托管费、</w:t>
            </w:r>
            <w:r>
              <w:rPr>
                <w:rFonts w:hint="eastAsia" w:ascii="宋体" w:hAnsi="宋体" w:cs="宋体"/>
                <w:color w:val="auto"/>
                <w:sz w:val="21"/>
                <w:szCs w:val="21"/>
                <w:highlight w:val="none"/>
                <w:lang w:eastAsia="zh-CN"/>
              </w:rPr>
              <w:t>销售服务费、</w:t>
            </w:r>
            <w:r>
              <w:rPr>
                <w:rFonts w:hint="eastAsia" w:ascii="宋体" w:hAnsi="宋体" w:cs="宋体"/>
                <w:color w:val="auto"/>
                <w:sz w:val="21"/>
                <w:szCs w:val="21"/>
                <w:highlight w:val="none"/>
                <w:lang w:val="en-US" w:eastAsia="zh-CN"/>
              </w:rPr>
              <w:t>浮动管理费（如有）</w:t>
            </w:r>
            <w:r>
              <w:rPr>
                <w:rFonts w:hint="eastAsia" w:ascii="宋体" w:hAnsi="宋体" w:cs="宋体"/>
                <w:color w:val="auto"/>
                <w:sz w:val="21"/>
                <w:szCs w:val="21"/>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资金与收益支付方式</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1.赎回资金确认后，最快〖</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〗个工作日，最晚〖</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2.理财计划到期后，最快〖</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〗个工作日，最晚〖</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auto"/>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收益分配</w:t>
            </w:r>
          </w:p>
        </w:tc>
        <w:tc>
          <w:tcPr>
            <w:tcW w:w="7185" w:type="dxa"/>
            <w:noWrap w:val="0"/>
            <w:vAlign w:val="center"/>
          </w:tcPr>
          <w:p>
            <w:pPr>
              <w:widowControl/>
              <w:spacing w:line="360" w:lineRule="auto"/>
              <w:contextualSpacing/>
              <w:rPr>
                <w:rFonts w:ascii="宋体" w:hAnsi="宋体" w:cs="宋体"/>
                <w:b/>
                <w:sz w:val="21"/>
                <w:szCs w:val="21"/>
                <w:highlight w:val="none"/>
              </w:rPr>
            </w:pPr>
            <w:r>
              <w:rPr>
                <w:rFonts w:hint="eastAsia" w:ascii="宋体" w:hAnsi="宋体" w:cs="宋体"/>
                <w:color w:val="000000"/>
                <w:sz w:val="21"/>
                <w:szCs w:val="21"/>
                <w:highlight w:val="none"/>
              </w:rPr>
              <w:t>在满足收益分配基准日理财计划份额净值大于1元的情况下，管理人</w:t>
            </w:r>
            <w:r>
              <w:rPr>
                <w:rFonts w:hint="eastAsia" w:ascii="宋体" w:hAnsi="宋体" w:cs="宋体"/>
                <w:sz w:val="21"/>
                <w:szCs w:val="21"/>
                <w:highlight w:val="none"/>
              </w:rPr>
              <w:t>〖</w:t>
            </w:r>
            <w:r>
              <w:rPr>
                <w:rFonts w:hint="eastAsia" w:ascii="宋体" w:hAnsi="宋体" w:cs="宋体"/>
                <w:sz w:val="21"/>
                <w:szCs w:val="21"/>
                <w:highlight w:val="none"/>
                <w:lang w:val="en-US" w:eastAsia="zh-CN"/>
              </w:rPr>
              <w:t>不</w:t>
            </w:r>
            <w:r>
              <w:rPr>
                <w:rFonts w:hint="eastAsia" w:ascii="宋体" w:hAnsi="宋体" w:cs="宋体"/>
                <w:color w:val="000000"/>
                <w:sz w:val="21"/>
                <w:szCs w:val="21"/>
                <w:highlight w:val="none"/>
              </w:rPr>
              <w:t>定期</w:t>
            </w:r>
            <w:r>
              <w:rPr>
                <w:rFonts w:hint="eastAsia" w:ascii="宋体" w:hAnsi="宋体" w:cs="宋体"/>
                <w:sz w:val="21"/>
                <w:szCs w:val="21"/>
                <w:highlight w:val="none"/>
              </w:rPr>
              <w:t>〗</w:t>
            </w:r>
            <w:r>
              <w:rPr>
                <w:rFonts w:hint="eastAsia" w:ascii="宋体" w:hAnsi="宋体" w:cs="宋体"/>
                <w:color w:val="000000"/>
                <w:sz w:val="21"/>
                <w:szCs w:val="21"/>
                <w:highlight w:val="none"/>
              </w:rPr>
              <w:t>将大于1元部分的收益进行全部或部分收益分配，具体分配方案以管理人公告为准。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业绩比较基准</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1.85%-2.85%</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B份额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1.90%-2.90%</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C份额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1.95%-2.95%</w:t>
            </w:r>
            <w:r>
              <w:rPr>
                <w:rFonts w:hint="eastAsia" w:ascii="宋体" w:hAnsi="宋体" w:cs="宋体"/>
                <w:sz w:val="21"/>
                <w:szCs w:val="21"/>
                <w:highlight w:val="none"/>
              </w:rPr>
              <w:t>〗（年化）。</w:t>
            </w:r>
          </w:p>
          <w:p>
            <w:pPr>
              <w:widowControl/>
              <w:spacing w:line="360" w:lineRule="auto"/>
              <w:jc w:val="left"/>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rPr>
              <w:t>业绩基准测算依据：</w:t>
            </w:r>
            <w:r>
              <w:rPr>
                <w:rFonts w:hint="eastAsia" w:ascii="宋体" w:hAnsi="宋体" w:cs="宋体"/>
                <w:b/>
                <w:bCs/>
                <w:sz w:val="21"/>
                <w:szCs w:val="21"/>
                <w:highlight w:val="none"/>
                <w:lang w:val="en-US" w:eastAsia="zh-CN"/>
              </w:rPr>
              <w:t>本理财计划主要投资于固定收益类资产，权益类等其他资产配置比例不超过20%。本理财计划将通过积极的主动管理，根据大类资产研究、固定收益市场及权益市场等的历史波动情况确定合理的投资比例，争取为投资人提供合理的投资回报。管理人根据固定收益市场及权益市场等的历史表现，结合当前利率水平、资产配比及市场同类型产品情况，经综合测算得出本期业绩比较基准。</w:t>
            </w:r>
          </w:p>
          <w:p>
            <w:pPr>
              <w:widowControl/>
              <w:spacing w:line="360" w:lineRule="auto"/>
              <w:jc w:val="left"/>
              <w:rPr>
                <w:rFonts w:hint="eastAsia" w:ascii="宋体" w:hAnsi="宋体" w:cs="宋体"/>
                <w:b/>
                <w:bCs/>
                <w:sz w:val="21"/>
                <w:szCs w:val="21"/>
                <w:highlight w:val="none"/>
              </w:rPr>
            </w:pPr>
            <w:r>
              <w:rPr>
                <w:rFonts w:hint="eastAsia" w:ascii="宋体" w:hAnsi="宋体" w:cs="宋体"/>
                <w:sz w:val="21"/>
                <w:szCs w:val="21"/>
                <w:highlight w:val="none"/>
              </w:rPr>
              <w:t>管理人有权根据市场情况及</w:t>
            </w:r>
            <w:r>
              <w:rPr>
                <w:rFonts w:hint="eastAsia" w:ascii="宋体" w:hAnsi="宋体" w:cs="宋体"/>
                <w:sz w:val="21"/>
                <w:szCs w:val="21"/>
                <w:highlight w:val="none"/>
                <w:lang w:eastAsia="zh-CN"/>
              </w:rPr>
              <w:t>理财计划</w:t>
            </w:r>
            <w:r>
              <w:rPr>
                <w:rFonts w:hint="eastAsia" w:ascii="宋体" w:hAnsi="宋体" w:cs="宋体"/>
                <w:sz w:val="21"/>
                <w:szCs w:val="21"/>
                <w:highlight w:val="none"/>
              </w:rPr>
              <w:t>运作情况调整业绩基准，并至少于新业绩基准启用前</w:t>
            </w:r>
            <w:r>
              <w:rPr>
                <w:rFonts w:hint="eastAsia" w:ascii="宋体" w:hAnsi="宋体" w:cs="宋体"/>
                <w:kern w:val="0"/>
                <w:sz w:val="21"/>
                <w:szCs w:val="21"/>
                <w:highlight w:val="none"/>
              </w:rPr>
              <w:t>〖</w:t>
            </w:r>
            <w:r>
              <w:rPr>
                <w:rFonts w:hint="eastAsia" w:ascii="宋体" w:hAnsi="宋体" w:cs="宋体"/>
                <w:kern w:val="0"/>
                <w:sz w:val="21"/>
                <w:szCs w:val="21"/>
                <w:highlight w:val="none"/>
                <w:lang w:val="en-US" w:eastAsia="zh-CN"/>
              </w:rPr>
              <w:t>3</w:t>
            </w:r>
            <w:r>
              <w:rPr>
                <w:rFonts w:hint="eastAsia" w:ascii="宋体" w:hAnsi="宋体" w:cs="宋体"/>
                <w:kern w:val="0"/>
                <w:sz w:val="21"/>
                <w:szCs w:val="21"/>
                <w:highlight w:val="none"/>
              </w:rPr>
              <w:t>〗</w:t>
            </w:r>
            <w:r>
              <w:rPr>
                <w:rFonts w:hint="eastAsia" w:ascii="宋体" w:hAnsi="宋体" w:cs="宋体"/>
                <w:sz w:val="21"/>
                <w:szCs w:val="21"/>
                <w:highlight w:val="none"/>
              </w:rPr>
              <w:t>个工作日公告。</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
                <w:sz w:val="21"/>
                <w:szCs w:val="21"/>
                <w:highlight w:val="none"/>
              </w:rPr>
              <w:t>本理财计划为净值型理财产品，其业绩表现将随市场波动具有不确定性。</w:t>
            </w:r>
            <w:r>
              <w:rPr>
                <w:rFonts w:hint="eastAsia" w:ascii="宋体" w:hAnsi="宋体" w:cs="宋体"/>
                <w:b/>
                <w:sz w:val="21"/>
                <w:szCs w:val="21"/>
                <w:highlight w:val="none"/>
              </w:rPr>
              <w:t>本理财计划业绩比较基准由管理人根据投资范围及投资策略，结合市场环境因素进行测算而得出。业绩比较基准是管理人基于理财计划收益风险特征、投资策略、过往经验等因素对理财计划业绩设定的投资目标。</w:t>
            </w:r>
            <w:r>
              <w:rPr>
                <w:rFonts w:hint="eastAsia" w:ascii="宋体" w:hAnsi="宋体" w:cs="宋体"/>
                <w:b/>
                <w:sz w:val="21"/>
                <w:szCs w:val="21"/>
                <w:highlight w:val="none"/>
              </w:rPr>
              <w:t>本公司提醒投资者关注，业绩比较基准</w:t>
            </w:r>
            <w:r>
              <w:rPr>
                <w:rFonts w:hint="eastAsia" w:ascii="宋体" w:hAnsi="宋体" w:cs="宋体"/>
                <w:b/>
                <w:sz w:val="21"/>
                <w:szCs w:val="21"/>
                <w:highlight w:val="none"/>
              </w:rPr>
              <w:t>并不代表</w:t>
            </w:r>
            <w:r>
              <w:rPr>
                <w:rFonts w:hint="eastAsia" w:ascii="宋体" w:hAnsi="宋体" w:cs="宋体"/>
                <w:b/>
                <w:sz w:val="21"/>
                <w:szCs w:val="21"/>
                <w:highlight w:val="none"/>
                <w:lang w:eastAsia="zh-CN"/>
              </w:rPr>
              <w:t>理财计划的未来表现和</w:t>
            </w:r>
            <w:r>
              <w:rPr>
                <w:rFonts w:hint="eastAsia" w:ascii="宋体" w:hAnsi="宋体" w:cs="宋体"/>
                <w:b/>
                <w:sz w:val="21"/>
                <w:szCs w:val="21"/>
                <w:highlight w:val="none"/>
              </w:rPr>
              <w:t>实际收益率</w:t>
            </w:r>
            <w:r>
              <w:rPr>
                <w:rFonts w:hint="eastAsia" w:ascii="宋体" w:hAnsi="宋体" w:cs="宋体"/>
                <w:b/>
                <w:sz w:val="21"/>
                <w:szCs w:val="21"/>
                <w:highlight w:val="none"/>
                <w:lang w:eastAsia="zh-CN"/>
              </w:rPr>
              <w:t>，不构成对理财计划收益的承诺</w:t>
            </w:r>
            <w:r>
              <w:rPr>
                <w:rFonts w:hint="eastAsia" w:ascii="宋体" w:hAnsi="宋体" w:cs="宋体"/>
                <w:b/>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产品费用</w:t>
            </w:r>
          </w:p>
        </w:tc>
        <w:tc>
          <w:tcPr>
            <w:tcW w:w="7185" w:type="dxa"/>
            <w:noWrap w:val="0"/>
            <w:vAlign w:val="center"/>
          </w:tcPr>
          <w:p>
            <w:pPr>
              <w:widowControl/>
              <w:numPr>
                <w:ilvl w:val="0"/>
                <w:numId w:val="11"/>
              </w:numPr>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0.25</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2.托管费：收取年化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0.025</w:t>
            </w:r>
            <w:r>
              <w:rPr>
                <w:rFonts w:hint="eastAsia" w:ascii="宋体" w:hAnsi="宋体" w:cs="宋体"/>
                <w:sz w:val="21"/>
                <w:szCs w:val="21"/>
                <w:highlight w:val="none"/>
              </w:rPr>
              <w:t>%〗</w:t>
            </w:r>
            <w:r>
              <w:rPr>
                <w:rFonts w:hint="eastAsia" w:ascii="宋体" w:hAnsi="宋体" w:cs="宋体"/>
                <w:color w:val="000000"/>
                <w:sz w:val="21"/>
                <w:szCs w:val="21"/>
                <w:highlight w:val="none"/>
              </w:rPr>
              <w:t>的托管费。</w:t>
            </w:r>
          </w:p>
          <w:p>
            <w:pPr>
              <w:widowControl/>
              <w:spacing w:line="360" w:lineRule="auto"/>
              <w:contextualSpacing/>
              <w:rPr>
                <w:rFonts w:hint="eastAsia" w:ascii="宋体" w:hAnsi="宋体" w:eastAsia="宋体" w:cs="宋体"/>
                <w:bCs/>
                <w:color w:val="FF0000"/>
                <w:sz w:val="21"/>
                <w:szCs w:val="21"/>
                <w:highlight w:val="none"/>
                <w:lang w:eastAsia="zh-CN"/>
              </w:rPr>
            </w:pPr>
            <w:r>
              <w:rPr>
                <w:rFonts w:hint="eastAsia" w:ascii="宋体" w:hAnsi="宋体" w:cs="宋体"/>
                <w:color w:val="auto"/>
                <w:sz w:val="21"/>
                <w:szCs w:val="21"/>
                <w:highlight w:val="none"/>
              </w:rPr>
              <w:t>3.固定管理费：〖</w:t>
            </w:r>
            <w:r>
              <w:rPr>
                <w:rFonts w:hint="eastAsia" w:ascii="宋体" w:hAnsi="宋体" w:cs="宋体"/>
                <w:bCs/>
                <w:color w:val="auto"/>
                <w:sz w:val="21"/>
                <w:szCs w:val="21"/>
                <w:highlight w:val="none"/>
                <w:lang w:val="en-US" w:eastAsia="zh-CN"/>
              </w:rPr>
              <w:t>A份额</w:t>
            </w:r>
            <w:r>
              <w:rPr>
                <w:rFonts w:hint="eastAsia" w:ascii="宋体" w:hAnsi="宋体" w:cs="宋体"/>
                <w:color w:val="auto"/>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4.认购费：本理财计划免除认购费。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5.申购费：</w:t>
            </w:r>
            <w:r>
              <w:rPr>
                <w:rFonts w:hint="eastAsia" w:ascii="宋体" w:hAnsi="宋体" w:cs="宋体"/>
                <w:color w:val="000000"/>
                <w:sz w:val="21"/>
                <w:szCs w:val="21"/>
                <w:highlight w:val="none"/>
              </w:rPr>
              <w:t>本理财计划免除申购费。</w:t>
            </w:r>
          </w:p>
          <w:p>
            <w:pPr>
              <w:widowControl/>
              <w:spacing w:line="360" w:lineRule="auto"/>
              <w:contextualSpacing/>
              <w:rPr>
                <w:rFonts w:ascii="宋体" w:hAnsi="宋体" w:cs="宋体"/>
                <w:bCs/>
                <w:sz w:val="21"/>
                <w:szCs w:val="21"/>
                <w:highlight w:val="none"/>
              </w:rPr>
            </w:pPr>
            <w:r>
              <w:rPr>
                <w:rFonts w:hint="eastAsia" w:ascii="宋体" w:hAnsi="宋体" w:cs="宋体"/>
                <w:bCs/>
                <w:sz w:val="21"/>
                <w:szCs w:val="21"/>
                <w:highlight w:val="none"/>
              </w:rPr>
              <w:t>6.赎回费：</w:t>
            </w:r>
            <w:r>
              <w:rPr>
                <w:rFonts w:hint="eastAsia" w:ascii="宋体" w:hAnsi="宋体" w:cs="宋体"/>
                <w:color w:val="000000"/>
                <w:sz w:val="21"/>
                <w:szCs w:val="21"/>
                <w:highlight w:val="none"/>
              </w:rPr>
              <w:t>本理财计划免除赎回费。</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7.浮动管理费。管理人根据理财计划投资情况计算浮动管理费，本理财计划</w:t>
            </w:r>
            <w:r>
              <w:rPr>
                <w:rFonts w:hint="eastAsia" w:ascii="宋体" w:hAnsi="宋体" w:cs="宋体"/>
                <w:color w:val="000000"/>
                <w:sz w:val="21"/>
                <w:szCs w:val="21"/>
                <w:highlight w:val="none"/>
                <w:lang w:val="en-US" w:eastAsia="zh-CN"/>
              </w:rPr>
              <w:t>份额</w:t>
            </w:r>
            <w:r>
              <w:rPr>
                <w:rFonts w:hint="eastAsia" w:ascii="宋体" w:hAnsi="宋体" w:cs="宋体"/>
                <w:color w:val="000000"/>
                <w:sz w:val="21"/>
                <w:szCs w:val="21"/>
                <w:highlight w:val="none"/>
              </w:rPr>
              <w:t>投资周期的</w:t>
            </w:r>
            <w:r>
              <w:rPr>
                <w:rFonts w:hint="eastAsia" w:ascii="宋体" w:hAnsi="宋体" w:cs="宋体"/>
                <w:sz w:val="21"/>
                <w:szCs w:val="21"/>
                <w:highlight w:val="none"/>
              </w:rPr>
              <w:t>〖</w:t>
            </w:r>
            <w:r>
              <w:rPr>
                <w:rFonts w:hint="eastAsia" w:ascii="宋体" w:hAnsi="宋体" w:cs="宋体"/>
                <w:color w:val="000000"/>
                <w:sz w:val="21"/>
                <w:szCs w:val="21"/>
                <w:highlight w:val="none"/>
              </w:rPr>
              <w:t>折合年化收益率超过</w:t>
            </w:r>
            <w:r>
              <w:rPr>
                <w:rFonts w:hint="eastAsia" w:ascii="宋体" w:hAnsi="宋体" w:cs="宋体"/>
                <w:color w:val="000000"/>
                <w:sz w:val="21"/>
                <w:szCs w:val="21"/>
                <w:highlight w:val="none"/>
                <w:lang w:val="en-US" w:eastAsia="zh-CN"/>
              </w:rPr>
              <w:t>业绩比较基准上限</w:t>
            </w:r>
            <w:r>
              <w:rPr>
                <w:rFonts w:hint="eastAsia" w:ascii="宋体" w:hAnsi="宋体" w:cs="宋体"/>
                <w:sz w:val="21"/>
                <w:szCs w:val="21"/>
                <w:highlight w:val="none"/>
              </w:rPr>
              <w:t>〗</w:t>
            </w:r>
            <w:r>
              <w:rPr>
                <w:rFonts w:hint="eastAsia" w:ascii="宋体" w:hAnsi="宋体" w:cs="宋体"/>
                <w:color w:val="000000"/>
                <w:sz w:val="21"/>
                <w:szCs w:val="21"/>
                <w:highlight w:val="none"/>
              </w:rPr>
              <w:t>的部分,</w:t>
            </w:r>
            <w:r>
              <w:rPr>
                <w:rFonts w:hint="eastAsia" w:ascii="宋体" w:hAnsi="宋体" w:cs="宋体"/>
                <w:b/>
                <w:color w:val="000000"/>
                <w:sz w:val="21"/>
                <w:szCs w:val="21"/>
                <w:highlight w:val="none"/>
              </w:rPr>
              <w:t>管理人提取</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5</w:t>
            </w:r>
            <w:r>
              <w:rPr>
                <w:rFonts w:hint="eastAsia" w:ascii="宋体" w:hAnsi="宋体" w:cs="宋体"/>
                <w:b/>
                <w:bCs/>
                <w:sz w:val="21"/>
                <w:szCs w:val="21"/>
                <w:highlight w:val="none"/>
                <w:lang w:val="en-US" w:eastAsia="zh-CN"/>
              </w:rPr>
              <w:t>0</w:t>
            </w:r>
            <w:r>
              <w:rPr>
                <w:rFonts w:hint="eastAsia" w:ascii="宋体" w:hAnsi="宋体" w:cs="宋体"/>
                <w:b/>
                <w:bCs/>
                <w:sz w:val="21"/>
                <w:szCs w:val="21"/>
                <w:highlight w:val="none"/>
              </w:rPr>
              <w:t>%〗</w:t>
            </w:r>
            <w:r>
              <w:rPr>
                <w:rFonts w:hint="eastAsia" w:ascii="宋体" w:hAnsi="宋体" w:cs="宋体"/>
                <w:b/>
                <w:color w:val="000000"/>
                <w:sz w:val="21"/>
                <w:szCs w:val="21"/>
                <w:highlight w:val="none"/>
              </w:rPr>
              <w:t>作为浮动管理费。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提前终止</w:t>
            </w:r>
          </w:p>
        </w:tc>
        <w:tc>
          <w:tcPr>
            <w:tcW w:w="7185" w:type="dxa"/>
            <w:noWrap w:val="0"/>
            <w:vAlign w:val="center"/>
          </w:tcPr>
          <w:p>
            <w:pPr>
              <w:widowControl/>
              <w:spacing w:line="360" w:lineRule="auto"/>
              <w:contextualSpacing/>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如遇国家金融政策出现重大调整并影响到本理财计划的正常运行的、市场收益率大幅波动可能或实质影响理财计划收益等情况，管理人有权提前</w:t>
            </w:r>
            <w:r>
              <w:rPr>
                <w:rFonts w:hint="eastAsia" w:ascii="宋体" w:hAnsi="宋体" w:cs="宋体"/>
                <w:b/>
                <w:color w:val="000000"/>
                <w:kern w:val="0"/>
                <w:sz w:val="21"/>
                <w:szCs w:val="21"/>
                <w:highlight w:val="none"/>
                <w:lang w:eastAsia="zh-CN"/>
              </w:rPr>
              <w:t>全部或部分</w:t>
            </w:r>
            <w:r>
              <w:rPr>
                <w:rFonts w:hint="eastAsia" w:ascii="宋体" w:hAnsi="宋体" w:cs="宋体"/>
                <w:b/>
                <w:color w:val="000000"/>
                <w:kern w:val="0"/>
                <w:sz w:val="21"/>
                <w:szCs w:val="21"/>
                <w:highlight w:val="none"/>
              </w:rPr>
              <w:t>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税费规定</w:t>
            </w:r>
          </w:p>
        </w:tc>
        <w:tc>
          <w:tcPr>
            <w:tcW w:w="7185" w:type="dxa"/>
            <w:noWrap w:val="0"/>
            <w:vAlign w:val="center"/>
          </w:tcPr>
          <w:p>
            <w:pPr>
              <w:spacing w:line="360" w:lineRule="auto"/>
              <w:outlineLvl w:val="0"/>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融资服务</w:t>
            </w:r>
          </w:p>
        </w:tc>
        <w:tc>
          <w:tcPr>
            <w:tcW w:w="7185" w:type="dxa"/>
            <w:noWrap w:val="0"/>
            <w:vAlign w:val="bottom"/>
          </w:tcPr>
          <w:p>
            <w:pPr>
              <w:spacing w:line="360" w:lineRule="auto"/>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投资者在理财期限内不能提前</w:t>
            </w:r>
            <w:r>
              <w:rPr>
                <w:rFonts w:hint="eastAsia" w:ascii="宋体" w:hAnsi="宋体" w:cs="宋体"/>
                <w:b/>
                <w:color w:val="000000"/>
                <w:kern w:val="0"/>
                <w:sz w:val="21"/>
                <w:szCs w:val="21"/>
                <w:highlight w:val="none"/>
                <w:lang w:eastAsia="zh-CN"/>
              </w:rPr>
              <w:t>赎回</w:t>
            </w:r>
            <w:r>
              <w:rPr>
                <w:rFonts w:hint="eastAsia" w:ascii="宋体" w:hAnsi="宋体" w:cs="宋体"/>
                <w:b/>
                <w:color w:val="000000"/>
                <w:kern w:val="0"/>
                <w:sz w:val="21"/>
                <w:szCs w:val="21"/>
                <w:highlight w:val="none"/>
              </w:rPr>
              <w:t>，如需质押按销售机构相关规定执行。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75"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其他规定</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FF"/>
                <w:kern w:val="0"/>
                <w:sz w:val="21"/>
                <w:szCs w:val="21"/>
                <w:highlight w:val="none"/>
              </w:rPr>
            </w:pPr>
            <w:r>
              <w:rPr>
                <w:rFonts w:hint="eastAsia" w:ascii="宋体" w:hAnsi="宋体" w:cs="宋体"/>
                <w:color w:val="000000"/>
                <w:sz w:val="21"/>
                <w:szCs w:val="21"/>
                <w:highlight w:val="none"/>
              </w:rPr>
              <w:t>认购期内按照活期存款利率计息，认购期内的利息不计入认购本金份额。到期日（或理</w:t>
            </w:r>
            <w:r>
              <w:rPr>
                <w:rFonts w:hint="eastAsia" w:ascii="宋体" w:hAnsi="宋体" w:cs="宋体"/>
                <w:color w:val="auto"/>
                <w:sz w:val="21"/>
                <w:szCs w:val="21"/>
                <w:highlight w:val="none"/>
              </w:rPr>
              <w:t>财计划实际终止日）到理财资金返还到账日为还本清算期，还本清算期内不计付利息。</w:t>
            </w:r>
            <w:r>
              <w:rPr>
                <w:rFonts w:hint="eastAsia" w:ascii="宋体" w:hAnsi="宋体" w:cs="宋体"/>
                <w:color w:val="auto"/>
                <w:kern w:val="0"/>
                <w:sz w:val="21"/>
                <w:szCs w:val="21"/>
                <w:highlight w:val="none"/>
              </w:rPr>
              <w:t>（具体以销售机构规定为准）</w:t>
            </w:r>
          </w:p>
          <w:p>
            <w:pPr>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sz w:val="24"/>
          <w:highlight w:val="none"/>
        </w:rPr>
      </w:pPr>
    </w:p>
    <w:p>
      <w:pPr>
        <w:numPr>
          <w:ilvl w:val="0"/>
          <w:numId w:val="12"/>
        </w:numPr>
        <w:spacing w:line="360" w:lineRule="auto"/>
        <w:ind w:firstLine="482" w:firstLineChars="200"/>
        <w:outlineLvl w:val="1"/>
        <w:rPr>
          <w:rFonts w:hint="eastAsia"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1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14"/>
        </w:numPr>
        <w:spacing w:line="360" w:lineRule="auto"/>
        <w:ind w:firstLine="480" w:firstLineChars="200"/>
        <w:jc w:val="left"/>
        <w:rPr>
          <w:rFonts w:ascii="宋体" w:hAnsi="宋体" w:cs="宋体"/>
          <w:bCs/>
          <w:color w:val="auto"/>
          <w:sz w:val="24"/>
          <w:highlight w:val="none"/>
        </w:rPr>
      </w:pPr>
      <w:r>
        <w:rPr>
          <w:rFonts w:hint="eastAsia" w:ascii="宋体" w:hAnsi="宋体" w:cs="宋体"/>
          <w:bCs/>
          <w:sz w:val="24"/>
          <w:highlight w:val="none"/>
        </w:rPr>
        <w:t>固定收益类资产：包括但不限于各类债券、存款、货币市场金融工具、债券</w:t>
      </w:r>
      <w:r>
        <w:rPr>
          <w:rFonts w:hint="eastAsia" w:ascii="宋体" w:hAnsi="宋体" w:cs="宋体"/>
          <w:bCs/>
          <w:color w:val="auto"/>
          <w:sz w:val="24"/>
          <w:highlight w:val="none"/>
        </w:rPr>
        <w:t>基金、质押式及买断式回购，其他符合监管要求的固定收益类资产及资产管理产品。</w:t>
      </w:r>
    </w:p>
    <w:p>
      <w:pPr>
        <w:numPr>
          <w:ilvl w:val="0"/>
          <w:numId w:val="14"/>
        </w:numP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权益类资产：包括国内发行上市优先股、上市公司股票、定向增发、员工持股计划、以及其他符合监管要求的权益类资产及资产管理产品（不包括未上市企业股权）。</w:t>
      </w:r>
    </w:p>
    <w:p>
      <w:pPr>
        <w:numPr>
          <w:ilvl w:val="0"/>
          <w:numId w:val="1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本理财计划各投资资产占</w:t>
      </w:r>
      <w:r>
        <w:rPr>
          <w:rFonts w:hint="eastAsia" w:ascii="宋体" w:hAnsi="宋体" w:cs="宋体"/>
          <w:bCs/>
          <w:color w:val="000000"/>
          <w:lang w:val="en-US" w:eastAsia="zh-CN"/>
        </w:rPr>
        <w:t>总</w:t>
      </w:r>
      <w:r>
        <w:rPr>
          <w:rFonts w:hint="eastAsia" w:ascii="宋体" w:hAnsi="宋体" w:cs="宋体"/>
          <w:bCs/>
          <w:sz w:val="24"/>
          <w:highlight w:val="none"/>
        </w:rPr>
        <w:t>资产的配置比例如下：</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noWrap w:val="0"/>
            <w:vAlign w:val="top"/>
          </w:tcPr>
          <w:p>
            <w:pPr>
              <w:spacing w:line="360" w:lineRule="auto"/>
              <w:rPr>
                <w:rFonts w:hint="eastAsia" w:ascii="宋体" w:hAnsi="宋体" w:eastAsia="宋体" w:cs="宋体"/>
                <w:bCs/>
                <w:szCs w:val="21"/>
                <w:highlight w:val="none"/>
                <w:lang w:val="en-US" w:eastAsia="zh-CN"/>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投资资产</w:t>
            </w:r>
          </w:p>
        </w:tc>
        <w:tc>
          <w:tcPr>
            <w:tcW w:w="1996"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restart"/>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大类资产类型</w:t>
            </w: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固定收益类资产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权益类资产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0%-20%</w:t>
            </w:r>
          </w:p>
        </w:tc>
      </w:tr>
    </w:tbl>
    <w:p>
      <w:pPr>
        <w:pStyle w:val="16"/>
        <w:adjustRightInd/>
        <w:spacing w:line="360" w:lineRule="auto"/>
        <w:ind w:firstLine="480" w:firstLineChars="200"/>
        <w:rPr>
          <w:rFonts w:hint="eastAsia" w:ascii="宋体" w:hAnsi="宋体" w:cs="宋体"/>
          <w:bCs/>
          <w:color w:val="auto"/>
          <w:kern w:val="2"/>
          <w:highlight w:val="none"/>
          <w:lang w:val="en-US" w:eastAsia="zh-CN"/>
        </w:rPr>
      </w:pPr>
      <w:r>
        <w:rPr>
          <w:rFonts w:hint="eastAsia" w:ascii="宋体" w:hAnsi="宋体" w:cs="宋体"/>
          <w:bCs/>
          <w:color w:val="auto"/>
          <w:kern w:val="2"/>
          <w:highlight w:val="none"/>
          <w:lang w:val="en-US" w:eastAsia="zh-CN"/>
        </w:rPr>
        <w:t>本理财计划可以投资不存在活跃交易市场并且需要采用估值技术确定公允价值的资产，上述资产比例可以达到理财计划净资产的50%以上。</w:t>
      </w:r>
    </w:p>
    <w:p>
      <w:pPr>
        <w:numPr>
          <w:ilvl w:val="0"/>
          <w:numId w:val="1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投资策略</w:t>
      </w:r>
    </w:p>
    <w:p>
      <w:pPr>
        <w:pStyle w:val="16"/>
        <w:spacing w:line="360" w:lineRule="auto"/>
        <w:ind w:firstLine="480" w:firstLineChars="200"/>
        <w:rPr>
          <w:rFonts w:hint="eastAsia" w:ascii="宋体" w:hAnsi="宋体" w:cs="宋体"/>
          <w:b/>
          <w:sz w:val="24"/>
          <w:highlight w:val="none"/>
        </w:rPr>
      </w:pPr>
      <w:r>
        <w:rPr>
          <w:rFonts w:hint="eastAsia" w:ascii="宋体" w:cs="宋体"/>
          <w:sz w:val="24"/>
          <w:szCs w:val="24"/>
          <w:highlight w:val="none"/>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r>
        <w:rPr>
          <w:rFonts w:hint="eastAsia" w:ascii="宋体" w:cs="宋体"/>
          <w:b/>
          <w:sz w:val="24"/>
          <w:szCs w:val="24"/>
          <w:highlight w:val="none"/>
        </w:rPr>
        <w:t>本产品还可能根据市场行情，在监管政策允许的范围内，在适当的时机投资不高于理财产品总资产的20%的资金于其他资产。</w:t>
      </w:r>
    </w:p>
    <w:p>
      <w:pPr>
        <w:numPr>
          <w:ilvl w:val="0"/>
          <w:numId w:val="1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投资限制</w:t>
      </w:r>
    </w:p>
    <w:p>
      <w:pPr>
        <w:numPr>
          <w:ilvl w:val="0"/>
          <w:numId w:val="0"/>
        </w:numPr>
        <w:spacing w:line="360" w:lineRule="auto"/>
        <w:ind w:firstLine="480" w:firstLineChars="200"/>
        <w:jc w:val="left"/>
        <w:outlineLvl w:val="2"/>
        <w:rPr>
          <w:rFonts w:hint="eastAsia" w:ascii="宋体" w:hAnsi="宋体" w:cs="宋体"/>
          <w:b/>
          <w:sz w:val="24"/>
          <w:highlight w:val="none"/>
        </w:rPr>
      </w:pPr>
      <w:r>
        <w:rPr>
          <w:rFonts w:hint="eastAsia" w:ascii="宋体" w:hAnsi="宋体" w:cs="宋体"/>
          <w:b w:val="0"/>
          <w:bCs/>
          <w:sz w:val="24"/>
          <w:highlight w:val="none"/>
          <w:lang w:val="en-US" w:eastAsia="zh-CN"/>
        </w:rPr>
        <w:t>投资限制中列示的资产品种不代表管理人的实际投向，本理财计划投资范围以“投资范围”章节表述为准。</w:t>
      </w:r>
    </w:p>
    <w:p>
      <w:pPr>
        <w:numPr>
          <w:ilvl w:val="0"/>
          <w:numId w:val="15"/>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投资集中度限制</w:t>
      </w:r>
    </w:p>
    <w:p>
      <w:pPr>
        <w:numPr>
          <w:ilvl w:val="0"/>
          <w:numId w:val="16"/>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"https://baike.baidu.com/item/%E8%AF%81%E5%88%B8%E6%8A%95%E8%B5%84%E5%9F%BA%E9%87%91/3746"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证券投资基金</w:t>
      </w:r>
      <w:r>
        <w:rPr>
          <w:rFonts w:ascii="宋体" w:hAnsi="宋体" w:cs="宋体"/>
          <w:bCs/>
          <w:sz w:val="24"/>
          <w:highlight w:val="none"/>
        </w:rP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1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1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numPr>
          <w:ilvl w:val="0"/>
          <w:numId w:val="1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管理人</w:t>
      </w:r>
      <w:r>
        <w:rPr>
          <w:rFonts w:hint="eastAsia" w:ascii="宋体" w:hAnsi="宋体" w:cs="宋体"/>
          <w:bCs/>
          <w:sz w:val="24"/>
          <w:highlight w:val="none"/>
        </w:rPr>
        <w:t>发行的全部</w:t>
      </w:r>
      <w:r>
        <w:rPr>
          <w:rFonts w:hint="eastAsia" w:ascii="宋体" w:hAnsi="宋体"/>
          <w:sz w:val="24"/>
          <w:highlight w:val="none"/>
        </w:rPr>
        <w:t>开放式公募</w:t>
      </w:r>
      <w:r>
        <w:rPr>
          <w:rFonts w:hint="eastAsia" w:ascii="宋体" w:hAnsi="宋体" w:cs="宋体"/>
          <w:bCs/>
          <w:sz w:val="24"/>
          <w:highlight w:val="none"/>
        </w:rPr>
        <w:t>理财计划</w:t>
      </w:r>
      <w:r>
        <w:rPr>
          <w:rFonts w:hint="eastAsia" w:ascii="宋体" w:hAnsi="宋体"/>
          <w:sz w:val="24"/>
          <w:highlight w:val="none"/>
        </w:rPr>
        <w:t>投资单一上市公司发行的股票,不得超过该上市公司可流通股票的15%。</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15"/>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投资期限限制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本理财计划投资的非标准化债权类资产到期日不得晚于理财计划最近一次开放日。</w:t>
      </w:r>
    </w:p>
    <w:p>
      <w:pPr>
        <w:numPr>
          <w:ilvl w:val="0"/>
          <w:numId w:val="15"/>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本理财计划的总资产不得超过净资产的140%。</w:t>
      </w:r>
    </w:p>
    <w:p>
      <w:pPr>
        <w:numPr>
          <w:ilvl w:val="0"/>
          <w:numId w:val="17"/>
        </w:num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流动性限制</w:t>
      </w:r>
    </w:p>
    <w:p>
      <w:pPr>
        <w:numPr>
          <w:ilvl w:val="0"/>
          <w:numId w:val="18"/>
        </w:num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本理财计划直接投资于流动性受限资产的市值在开放日不得超过该理财计划资产净值的15%。</w:t>
      </w:r>
    </w:p>
    <w:p>
      <w:pPr>
        <w:numPr>
          <w:ilvl w:val="0"/>
          <w:numId w:val="18"/>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本理财计划如定期开放周期不低于90天，应当在开放日及开放日前7个工作日内持有不低于该理财计划资产净值5%的现金或者到期日在一年以内的国债、中央银行票据和政策性金融债券；如定期开放周期低于90天，</w:t>
      </w:r>
      <w:r>
        <w:rPr>
          <w:rFonts w:hint="eastAsia" w:ascii="宋体" w:hAnsi="宋体" w:cs="宋体"/>
          <w:bCs/>
          <w:sz w:val="24"/>
          <w:highlight w:val="none"/>
        </w:rPr>
        <w:t>应当持有不低于该理财</w:t>
      </w:r>
      <w:r>
        <w:rPr>
          <w:rFonts w:hint="eastAsia" w:ascii="宋体" w:hAnsi="宋体" w:cs="宋体"/>
          <w:bCs/>
          <w:sz w:val="24"/>
          <w:highlight w:val="none"/>
          <w:lang w:eastAsia="zh-CN"/>
        </w:rPr>
        <w:t>计划</w:t>
      </w:r>
      <w:r>
        <w:rPr>
          <w:rFonts w:hint="eastAsia" w:ascii="宋体" w:hAnsi="宋体" w:cs="宋体"/>
          <w:bCs/>
          <w:sz w:val="24"/>
          <w:highlight w:val="none"/>
        </w:rPr>
        <w:t>资产净值5%的现金或者到期日在一年以内的国债、中央银行票据和政策性金融债券。</w:t>
      </w:r>
    </w:p>
    <w:p>
      <w:pPr>
        <w:numPr>
          <w:ilvl w:val="0"/>
          <w:numId w:val="18"/>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在开放日前一工作日内，本理财计划7个工作日可变现资产的可变现价值应当不低于该理财计划资产净值的10%。</w:t>
      </w:r>
    </w:p>
    <w:p>
      <w:pPr>
        <w:numPr>
          <w:ilvl w:val="0"/>
          <w:numId w:val="18"/>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本理财计划如定期开放周期低于90天，计划投资不存在活跃交易市场，并且需要采用估值技术确定公允价值的资产比例不得超过理财产品净资产50%以上。</w:t>
      </w:r>
    </w:p>
    <w:p>
      <w:pPr>
        <w:numPr>
          <w:ilvl w:val="0"/>
          <w:numId w:val="19"/>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"https://baike.baidu.com/item/%E8%B5%84%E4%BA%A7%E6%94%AF%E6%8C%81%E8%AF%81%E5%88%B8/8989161"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资产支持证券</w:t>
      </w:r>
      <w:r>
        <w:rPr>
          <w:rFonts w:ascii="宋体" w:hAnsi="宋体" w:cs="宋体"/>
          <w:bCs/>
          <w:sz w:val="24"/>
          <w:highlight w:val="none"/>
        </w:rPr>
        <w:fldChar w:fldCharType="end"/>
      </w:r>
      <w:r>
        <w:rPr>
          <w:rFonts w:hint="eastAsia" w:ascii="宋体" w:hAnsi="宋体" w:cs="宋体"/>
          <w:bCs/>
          <w:sz w:val="24"/>
          <w:highlight w:val="none"/>
        </w:rPr>
        <w:t>，不得直接或间接投资于未上市公司股权及其受（收）益权。</w:t>
      </w:r>
    </w:p>
    <w:p>
      <w:pPr>
        <w:numPr>
          <w:ilvl w:val="0"/>
          <w:numId w:val="13"/>
        </w:numPr>
        <w:spacing w:line="360" w:lineRule="auto"/>
        <w:ind w:left="0" w:leftChars="0" w:firstLine="482" w:firstLineChars="200"/>
        <w:jc w:val="left"/>
        <w:outlineLvl w:val="2"/>
        <w:rPr>
          <w:rFonts w:hint="eastAsia" w:ascii="宋体" w:hAnsi="宋体" w:cs="宋体"/>
          <w:b/>
          <w:bCs w:val="0"/>
          <w:sz w:val="24"/>
          <w:highlight w:val="none"/>
        </w:rPr>
      </w:pPr>
      <w:r>
        <w:rPr>
          <w:rFonts w:hint="eastAsia" w:ascii="宋体" w:hAnsi="宋体" w:cs="宋体"/>
          <w:b/>
          <w:bCs w:val="0"/>
          <w:sz w:val="24"/>
          <w:highlight w:val="none"/>
          <w:lang w:eastAsia="zh-CN"/>
        </w:rPr>
        <w:t>拟投资市场、资产的流动性风险评估</w:t>
      </w:r>
    </w:p>
    <w:p>
      <w:pPr>
        <w:numPr>
          <w:ilvl w:val="0"/>
          <w:numId w:val="0"/>
        </w:numPr>
        <w:spacing w:line="360" w:lineRule="auto"/>
        <w:ind w:firstLine="480" w:firstLineChars="200"/>
        <w:jc w:val="left"/>
        <w:rPr>
          <w:rFonts w:hint="eastAsia" w:ascii="宋体" w:hAnsi="宋体" w:cs="宋体"/>
          <w:b w:val="0"/>
          <w:bCs/>
          <w:sz w:val="24"/>
          <w:highlight w:val="none"/>
          <w:lang w:val="en-US" w:eastAsia="zh-CN"/>
        </w:rPr>
      </w:pPr>
      <w:r>
        <w:rPr>
          <w:rFonts w:hint="eastAsia" w:ascii="宋体" w:hAnsi="宋体" w:cs="宋体"/>
          <w:b w:val="0"/>
          <w:bCs/>
          <w:sz w:val="24"/>
          <w:highlight w:val="none"/>
          <w:lang w:eastAsia="zh-CN"/>
        </w:rPr>
        <w:t>本理财计划</w:t>
      </w:r>
      <w:r>
        <w:rPr>
          <w:rFonts w:hint="eastAsia" w:ascii="宋体" w:hAnsi="宋体" w:cs="宋体"/>
          <w:b w:val="0"/>
          <w:bCs/>
          <w:sz w:val="24"/>
          <w:highlight w:val="none"/>
          <w:lang w:val="en-US" w:eastAsia="zh-CN"/>
        </w:rPr>
        <w:t>拟投资市场可能面临的流动性风险如下：</w:t>
      </w:r>
    </w:p>
    <w:p>
      <w:pPr>
        <w:numPr>
          <w:ilvl w:val="0"/>
          <w:numId w:val="20"/>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eastAsia="zh-CN"/>
        </w:rPr>
        <w:t>投资于</w:t>
      </w:r>
      <w:r>
        <w:rPr>
          <w:rFonts w:hint="eastAsia" w:ascii="宋体" w:hAnsi="宋体" w:cs="宋体"/>
          <w:bCs/>
          <w:sz w:val="24"/>
          <w:highlight w:val="none"/>
          <w:lang w:val="en-US" w:eastAsia="zh-CN"/>
        </w:rPr>
        <w:t>标准化固收类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20"/>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20"/>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投资于权益类</w:t>
      </w:r>
      <w:r>
        <w:rPr>
          <w:rFonts w:hint="eastAsia" w:ascii="宋体" w:hAnsi="宋体" w:cs="宋体"/>
          <w:bCs/>
          <w:lang w:eastAsia="zh-CN"/>
        </w:rPr>
        <w:t>、</w:t>
      </w:r>
      <w:r>
        <w:rPr>
          <w:rFonts w:hint="eastAsia" w:ascii="宋体" w:hAnsi="宋体" w:cs="宋体"/>
          <w:bCs/>
          <w:lang w:val="en-US" w:eastAsia="zh-CN"/>
        </w:rPr>
        <w:t>其他类</w:t>
      </w:r>
      <w:r>
        <w:rPr>
          <w:rFonts w:hint="eastAsia" w:ascii="宋体" w:hAnsi="宋体" w:cs="宋体"/>
          <w:bCs/>
          <w:sz w:val="24"/>
          <w:highlight w:val="none"/>
          <w:lang w:val="en-US" w:eastAsia="zh-CN"/>
        </w:rPr>
        <w:t>资产的可能流动性风险（如有）：权益类</w:t>
      </w:r>
      <w:r>
        <w:rPr>
          <w:rFonts w:hint="eastAsia" w:ascii="宋体" w:hAnsi="宋体" w:cs="宋体"/>
          <w:bCs/>
          <w:lang w:eastAsia="zh-CN"/>
        </w:rPr>
        <w:t>、</w:t>
      </w:r>
      <w:r>
        <w:rPr>
          <w:rFonts w:hint="eastAsia" w:ascii="宋体" w:hAnsi="宋体" w:cs="宋体"/>
          <w:bCs/>
          <w:lang w:val="en-US" w:eastAsia="zh-CN"/>
        </w:rPr>
        <w:t>其他类</w:t>
      </w:r>
      <w:r>
        <w:rPr>
          <w:rFonts w:hint="eastAsia" w:ascii="宋体" w:hAnsi="宋体" w:cs="宋体"/>
          <w:bCs/>
          <w:sz w:val="24"/>
          <w:highlight w:val="none"/>
          <w:lang w:val="en-US" w:eastAsia="zh-CN"/>
        </w:rPr>
        <w:t>资产包括但不限于上市公司普通股、上市公司优先股、股票基金、股票定向增发等，受国家政策、经济周期、利率、汇率、股票发行人经营情况</w:t>
      </w:r>
      <w:r>
        <w:rPr>
          <w:rFonts w:hint="eastAsia" w:ascii="宋体" w:hAnsi="宋体" w:cs="宋体"/>
          <w:bCs/>
          <w:lang w:eastAsia="zh-CN"/>
        </w:rPr>
        <w:t>、</w:t>
      </w:r>
      <w:r>
        <w:rPr>
          <w:rFonts w:hint="eastAsia" w:ascii="宋体" w:hAnsi="宋体" w:cs="宋体"/>
          <w:bCs/>
          <w:lang w:val="en-US" w:eastAsia="zh-CN"/>
        </w:rPr>
        <w:t>大宗商品</w:t>
      </w:r>
      <w:r>
        <w:rPr>
          <w:rFonts w:hint="eastAsia" w:ascii="宋体" w:hAnsi="宋体" w:cs="宋体"/>
          <w:bCs/>
          <w:sz w:val="24"/>
          <w:highlight w:val="none"/>
          <w:lang w:val="en-US" w:eastAsia="zh-CN"/>
        </w:rPr>
        <w:t>等因素导致的市场风险，可能导致流通与转让限制、市场参与者交易意愿降低、停牌、退市等情形，从而进一步引发流动性风险。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以上风险仅为列举性质，未能详尽列明拟投资市场和资产面临的全部流动性风险</w:t>
      </w:r>
      <w:r>
        <w:rPr>
          <w:rFonts w:hint="default" w:ascii="宋体" w:hAnsi="宋体" w:cs="宋体"/>
          <w:bCs/>
          <w:sz w:val="24"/>
          <w:highlight w:val="none"/>
          <w:lang w:val="en-US" w:eastAsia="zh-CN"/>
        </w:rPr>
        <w:t>可能导致投资者投资本金及收益损失</w:t>
      </w:r>
      <w:r>
        <w:rPr>
          <w:rFonts w:hint="eastAsia" w:ascii="宋体" w:hAnsi="宋体" w:cs="宋体"/>
          <w:bCs/>
          <w:sz w:val="24"/>
          <w:highlight w:val="none"/>
          <w:lang w:val="en-US" w:eastAsia="zh-CN"/>
        </w:rPr>
        <w:t>或延期兑付</w:t>
      </w:r>
      <w:r>
        <w:rPr>
          <w:rFonts w:hint="default" w:ascii="宋体" w:hAnsi="宋体" w:cs="宋体"/>
          <w:bCs/>
          <w:sz w:val="24"/>
          <w:highlight w:val="none"/>
          <w:lang w:val="en-US" w:eastAsia="zh-CN"/>
        </w:rPr>
        <w:t>的所有因素</w:t>
      </w:r>
      <w:r>
        <w:rPr>
          <w:rFonts w:hint="eastAsia" w:ascii="宋体" w:hAnsi="宋体" w:cs="宋体"/>
          <w:bCs/>
          <w:sz w:val="24"/>
          <w:highlight w:val="none"/>
          <w:lang w:val="en-US" w:eastAsia="zh-CN"/>
        </w:rPr>
        <w:t>。管理人会进行标的的分散化投资并结合对各类标的资产的预期流动性合理进行资产配置，最大程度防范流动性风险。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p>
    <w:p>
      <w:pPr>
        <w:numPr>
          <w:ilvl w:val="0"/>
          <w:numId w:val="21"/>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合作机构及主要职责</w:t>
      </w:r>
    </w:p>
    <w:p>
      <w:pPr>
        <w:numPr>
          <w:ilvl w:val="0"/>
          <w:numId w:val="2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托管人</w:t>
      </w:r>
    </w:p>
    <w:tbl>
      <w:tblPr>
        <w:tblStyle w:val="11"/>
        <w:tblW w:w="8263"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0"/>
        <w:gridCol w:w="6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托管人名称</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托管人住所</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托管人职责</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主要提供包括账户开立、资金保管、资金结算、估值核对等理财产品托管服务。</w:t>
            </w:r>
          </w:p>
        </w:tc>
      </w:tr>
    </w:tbl>
    <w:p>
      <w:pPr>
        <w:numPr>
          <w:ilvl w:val="0"/>
          <w:numId w:val="2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销售机构</w:t>
      </w:r>
    </w:p>
    <w:tbl>
      <w:tblPr>
        <w:tblStyle w:val="11"/>
        <w:tblW w:w="8306"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688"/>
        <w:gridCol w:w="1325"/>
        <w:gridCol w:w="3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restart"/>
            <w:noWrap w:val="0"/>
            <w:vAlign w:val="center"/>
          </w:tcPr>
          <w:p>
            <w:pPr>
              <w:spacing w:line="240" w:lineRule="auto"/>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销售机构</w:t>
            </w:r>
            <w:r>
              <w:rPr>
                <w:rFonts w:hint="eastAsia" w:ascii="宋体" w:hAnsi="宋体" w:eastAsia="宋体" w:cs="宋体"/>
                <w:bCs/>
                <w:sz w:val="21"/>
                <w:szCs w:val="21"/>
                <w:highlight w:val="none"/>
                <w:lang w:val="en-US" w:eastAsia="zh-CN"/>
              </w:rPr>
              <w:t>信息</w:t>
            </w: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cs="宋体"/>
                <w:bCs/>
                <w:sz w:val="21"/>
                <w:szCs w:val="18"/>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兴业银行股份有限公司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福建省福州市台江区江滨中大道398号兴业银行大厦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江苏省南京市中华路26号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厦门市思明区湖滨北路101号商业银行大厦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400-858-8888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厦门国际银行股份有限公司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厦门市思明区鹭江道8-10号国际银行大厦1-6层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400-1623-623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富邦华一银行有限公司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中国(上海)自由贸易试验区世纪大道1168号A座101室、18楼、19楼及20楼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8621—962811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宁波鄞州农村商业银行股份有限公司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浙江省宁波市鄞州区民惠西路88号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深圳前海微众银行股份有限公司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广东省深圳市南山区沙河西路1819号深圳湾科技生态园7栋A座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吉林亿联银行股份有限公司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吉林省长春市南关区人民大街10606号东北亚国际金融中心一期北楼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重庆富民银行股份有限公司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重庆市渝北区财富东路2号涉外商务区一期B1栋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4008－108－999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中信百信银行股份有限公司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北京市朝阳区安定路5号院3号楼8层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aps w:val="0"/>
                <w:color w:val="000000"/>
                <w:spacing w:val="0"/>
                <w:kern w:val="0"/>
                <w:sz w:val="21"/>
                <w:szCs w:val="21"/>
                <w:lang w:bidi="ar"/>
              </w:rPr>
              <w:t>江苏苏商银行股份有限公司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南京市建邺区庐山路248号4号楼7、8、9、27、28、29层，4号楼裙楼第1、2层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val="0"/>
                <w:color w:val="000000"/>
                <w:kern w:val="0"/>
                <w:sz w:val="21"/>
                <w:szCs w:val="21"/>
                <w:highlight w:val="none"/>
                <w:lang w:bidi="ar"/>
              </w:rPr>
            </w:pPr>
            <w:r>
              <w:rPr>
                <w:rFonts w:hint="eastAsia" w:ascii="宋体" w:hAnsi="宋体" w:eastAsia="宋体" w:cs="宋体"/>
                <w:i w:val="0"/>
                <w:caps w:val="0"/>
                <w:color w:val="000000"/>
                <w:spacing w:val="0"/>
                <w:kern w:val="0"/>
                <w:sz w:val="21"/>
                <w:szCs w:val="21"/>
                <w:lang w:bidi="ar"/>
              </w:rPr>
              <w:t>956101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石嘴山银行股份有限公司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宁夏回族自治区石嘴山市大武口区朝阳西街39号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0951-96789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北京市朝阳区光华路10号院1号楼6-30层、32-42层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齐鲁银行股份有限公司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山东省济南市历下区经十路10817号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400-609-6588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广东南粤银行股份有限公司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湛江经济技术开发区乐山路27号财富汇金融中心1层01、02号商铺、2层01号商铺、3层01号商铺、39-45层办公室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4000-961818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东莞银行股份有限公司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东莞市莞城区体育路21号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日照银行股份有限公司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日照市烟台路197号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400-68-96588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苏州银行股份有限公司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江苏省苏州工业园区钟园路728号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杭银理财有限责任公司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浙江省杭州市拱墅区庆春路38号金龙财富中心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400-8950-999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澳门国际银行股份有限公司广州分行</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广州市天河区珠江新城华夏路8号合景国际金融广场1层104房、34层3401房、35层3501房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020-28089999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江苏常熟农村商业银行股份有限公司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江苏省常熟市新世纪大道58号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浙商银行股份有限公司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浙江省杭州市萧山区鸿宁路1788号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九江银行股份有限公司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江西省九江市濂溪区长虹大道619号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北京市西城区月坛南街1号院2号楼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浙江舟山定海海洋农村商业银行股份有限公司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浙江省舟山市定海区环城东路81号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0580-2030956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浙江临安农村商业银行股份有限公司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浙江省杭州市临安区钱王街821号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0571-61105831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浙江青田农村商业银行股份有限公司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浙江省丽水市青田县鹤城街道鹤城东路180号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0578-6833720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南洋商业银行（中国）有限公司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上海市浦明路898号13层至16层、18层至20层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中邮邮惠万家银行有限责任公司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上海市虹口区东大名路1080号25层、26层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cs="宋体"/>
                <w:i w:val="0"/>
                <w:color w:val="000000"/>
                <w:kern w:val="0"/>
                <w:sz w:val="21"/>
                <w:szCs w:val="21"/>
                <w:u w:val="none"/>
                <w:lang w:val="en-US" w:eastAsia="zh-CN" w:bidi="ar"/>
              </w:rPr>
              <w:t>95504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温州银行股份有限公司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浙江省温州市鹿城区会展路1316号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0577-96699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浙江新昌农村商业银行股份有限公司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浙江省新昌县七星街道七星路18号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浙江省永嘉县瓯北镇阳光大道3918号永嘉农商银行总行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4008057705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浙江永康农村商业银行股份有限公司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浙江省永康市九铃东路3259号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绍兴银行股份有限公司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浙江省绍兴市越城区中兴南路1号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4000896528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浙江衢州衢江农村商业银行股份有限公司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浙江省衢州市衢江区信安东路37号衢江农商银行6楼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0570-3026608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新韩银行（中国）有限公司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北京市朝阳区工体北路甲6号中宇大厦12层，11层1101，1102及1109单元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400 6688 600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浙江开化县芹阳办事处永吉二路8号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0570-6025125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秦皇岛银行股份有限公司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河北省秦皇岛市海港区河北大街西段560号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0335-96336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潍坊银行股份有限公司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山东省潍坊市胜利东街5139号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400-61-96588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浙江江山农村商业银行股份有限公司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浙江省江山市江滨路188号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浙江常山农村商业银行股份有限公司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浙江省衢州市常山县紫港街道文教东路258号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浙江武义农村商业银行股份有限公司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浙江省金华市武义县武阳中路37号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0579-87663486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noWrap w:val="0"/>
            <w:vAlign w:val="center"/>
          </w:tcPr>
          <w:p>
            <w:pPr>
              <w:spacing w:line="240" w:lineRule="auto"/>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销售机构职责</w:t>
            </w:r>
          </w:p>
        </w:tc>
        <w:tc>
          <w:tcPr>
            <w:tcW w:w="6888" w:type="dxa"/>
            <w:gridSpan w:val="3"/>
            <w:noWrap w:val="0"/>
            <w:vAlign w:val="center"/>
          </w:tcPr>
          <w:p>
            <w:pPr>
              <w:spacing w:line="240" w:lineRule="auto"/>
              <w:jc w:val="lef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rPr>
              <w:t>主要负责理财计划推广、投资者风险承受能力评估、投资者适当性管理、理财计划份额认购、申购及赎回办理。</w:t>
            </w:r>
            <w:r>
              <w:rPr>
                <w:rFonts w:hint="eastAsia" w:ascii="宋体" w:hAnsi="宋体" w:eastAsia="宋体" w:cs="宋体"/>
                <w:bCs/>
                <w:sz w:val="21"/>
                <w:szCs w:val="21"/>
                <w:highlight w:val="none"/>
              </w:rPr>
              <w:br w:type="textWrapping"/>
            </w:r>
            <w:r>
              <w:rPr>
                <w:rFonts w:hint="eastAsia" w:ascii="宋体" w:hAnsi="宋体" w:eastAsia="宋体" w:cs="宋体"/>
                <w:bCs/>
                <w:sz w:val="21"/>
                <w:szCs w:val="21"/>
                <w:highlight w:val="none"/>
              </w:rPr>
              <w:t>协助管理人负责与投资者签订理财计划合同、与投资者沟通及进行信息披露、接受投资者咨询和客户维护等销售服务。</w:t>
            </w:r>
          </w:p>
        </w:tc>
      </w:tr>
    </w:tbl>
    <w:p>
      <w:pPr>
        <w:spacing w:line="360" w:lineRule="auto"/>
        <w:ind w:firstLine="480" w:firstLineChars="200"/>
        <w:rPr>
          <w:rFonts w:hint="eastAsia" w:ascii="宋体" w:hAnsi="宋体" w:cs="宋体"/>
          <w:b/>
          <w:color w:val="auto"/>
          <w:sz w:val="24"/>
          <w:highlight w:val="none"/>
        </w:rPr>
      </w:pPr>
      <w:r>
        <w:rPr>
          <w:rFonts w:hint="eastAsia" w:ascii="宋体" w:hAnsi="宋体" w:cs="宋体"/>
          <w:bCs/>
          <w:color w:val="000000"/>
          <w:sz w:val="24"/>
          <w:highlight w:val="none"/>
        </w:rPr>
        <w:t>本理财计划后续如新增/减少销售机构或销售机构信息变更，请以管理人最新公告或官方网站展示为准</w:t>
      </w:r>
      <w:r>
        <w:rPr>
          <w:rFonts w:hint="eastAsia" w:ascii="宋体" w:hAnsi="宋体" w:cs="宋体"/>
          <w:bCs/>
          <w:color w:val="auto"/>
          <w:sz w:val="24"/>
          <w:highlight w:val="none"/>
        </w:rPr>
        <w:t>。</w:t>
      </w:r>
    </w:p>
    <w:p>
      <w:pPr>
        <w:spacing w:line="360" w:lineRule="auto"/>
        <w:jc w:val="left"/>
        <w:rPr>
          <w:rFonts w:ascii="宋体" w:hAnsi="宋体" w:cs="宋体"/>
          <w:bCs/>
          <w:sz w:val="24"/>
          <w:highlight w:val="none"/>
        </w:rPr>
      </w:pPr>
    </w:p>
    <w:p>
      <w:pPr>
        <w:numPr>
          <w:ilvl w:val="0"/>
          <w:numId w:val="21"/>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估值</w:t>
      </w:r>
    </w:p>
    <w:p>
      <w:pPr>
        <w:numPr>
          <w:ilvl w:val="0"/>
          <w:numId w:val="2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本理财计划估值日为每个</w:t>
      </w:r>
      <w:r>
        <w:rPr>
          <w:rFonts w:hint="eastAsia" w:ascii="宋体" w:hAnsi="宋体" w:cs="宋体"/>
          <w:bCs/>
          <w:color w:val="000000"/>
          <w:sz w:val="24"/>
          <w:highlight w:val="none"/>
          <w:lang w:eastAsia="zh-CN"/>
        </w:rPr>
        <w:t>工作日</w:t>
      </w:r>
      <w:r>
        <w:rPr>
          <w:rFonts w:hint="eastAsia" w:ascii="宋体" w:hAnsi="宋体" w:cs="宋体"/>
          <w:bCs/>
          <w:color w:val="000000"/>
          <w:sz w:val="24"/>
          <w:highlight w:val="none"/>
        </w:rPr>
        <w:t>，定期由理财管理人和理财托管人核对估值结果并向投资者披露，具体日期以管理人公告为准。</w:t>
      </w:r>
    </w:p>
    <w:p>
      <w:pPr>
        <w:numPr>
          <w:ilvl w:val="0"/>
          <w:numId w:val="2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2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2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25"/>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货币市场工具类资产</w:t>
      </w:r>
    </w:p>
    <w:p>
      <w:pPr>
        <w:pStyle w:val="16"/>
        <w:adjustRightInd/>
        <w:spacing w:line="360" w:lineRule="auto"/>
        <w:ind w:firstLine="480" w:firstLineChars="200"/>
        <w:rPr>
          <w:rFonts w:hint="eastAsia" w:ascii="宋体" w:hAnsi="宋体" w:eastAsia="宋体" w:cs="宋体"/>
          <w:bCs/>
          <w:kern w:val="2"/>
          <w:highlight w:val="none"/>
          <w:lang w:eastAsia="zh-CN"/>
        </w:rPr>
      </w:pPr>
      <w:r>
        <w:rPr>
          <w:rFonts w:hint="eastAsia" w:ascii="宋体" w:hAnsi="宋体" w:cs="宋体"/>
          <w:bCs/>
          <w:kern w:val="2"/>
          <w:highlight w:val="none"/>
          <w:lang w:eastAsia="zh-CN"/>
        </w:rPr>
        <w:t>银行存款</w:t>
      </w:r>
      <w:r>
        <w:rPr>
          <w:rFonts w:hint="eastAsia" w:ascii="宋体" w:hAnsi="宋体" w:cs="宋体"/>
          <w:bCs/>
          <w:kern w:val="2"/>
          <w:highlight w:val="none"/>
        </w:rPr>
        <w:t>及回购，以本金列示，按商定利率在实际持有期间内逐日计提利息。</w:t>
      </w:r>
    </w:p>
    <w:p>
      <w:pPr>
        <w:numPr>
          <w:ilvl w:val="0"/>
          <w:numId w:val="25"/>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债券</w:t>
      </w:r>
      <w:r>
        <w:rPr>
          <w:rFonts w:hint="eastAsia" w:ascii="宋体" w:hAnsi="宋体" w:cs="宋体"/>
          <w:bCs/>
          <w:color w:val="000000"/>
          <w:sz w:val="24"/>
          <w:highlight w:val="none"/>
          <w:lang w:eastAsia="zh-CN"/>
        </w:rPr>
        <w:t>及同业存单类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rPr>
        <w:t>债券及同业存单类资产，按市价法估值。市价法不能确定公允价值的，采用估值技术进行估值。</w:t>
      </w:r>
    </w:p>
    <w:p>
      <w:pPr>
        <w:numPr>
          <w:ilvl w:val="0"/>
          <w:numId w:val="25"/>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债权类</w:t>
      </w:r>
      <w:r>
        <w:rPr>
          <w:rFonts w:hint="eastAsia" w:ascii="宋体" w:hAnsi="宋体" w:cs="宋体"/>
          <w:bCs/>
          <w:color w:val="000000"/>
          <w:sz w:val="24"/>
          <w:highlight w:val="none"/>
        </w:rPr>
        <w:t>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债权类资产，按市价法估值。市价法不能确定其公允价值的，采用估值技术进行估值。</w:t>
      </w:r>
    </w:p>
    <w:p>
      <w:pPr>
        <w:numPr>
          <w:ilvl w:val="0"/>
          <w:numId w:val="25"/>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股权类</w:t>
      </w:r>
      <w:r>
        <w:rPr>
          <w:rFonts w:hint="eastAsia" w:ascii="宋体" w:hAnsi="宋体" w:cs="宋体"/>
          <w:bCs/>
          <w:color w:val="000000"/>
          <w:sz w:val="24"/>
          <w:highlight w:val="none"/>
        </w:rPr>
        <w:t>资产</w:t>
      </w:r>
    </w:p>
    <w:p>
      <w:pPr>
        <w:numPr>
          <w:ilvl w:val="0"/>
          <w:numId w:val="26"/>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上</w:t>
      </w:r>
      <w:r>
        <w:rPr>
          <w:rFonts w:hint="eastAsia" w:ascii="宋体" w:hAnsi="宋体" w:cs="宋体"/>
          <w:bCs/>
          <w:color w:val="000000"/>
          <w:sz w:val="24"/>
          <w:highlight w:val="none"/>
        </w:rPr>
        <w:t>市流通股票按估值日其所在证券交易所的收盘价估值；估值日无交易，且最近交易日后未发生影响公允价值计量的重大事件的，以最近交易日的收盘价估值。</w:t>
      </w:r>
    </w:p>
    <w:p>
      <w:pPr>
        <w:numPr>
          <w:ilvl w:val="0"/>
          <w:numId w:val="26"/>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未上市股票的估值：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lang w:val="en-US" w:eastAsia="zh-CN"/>
        </w:rPr>
        <w:t>1）</w:t>
      </w:r>
      <w:r>
        <w:rPr>
          <w:rFonts w:hint="eastAsia" w:ascii="宋体" w:hAnsi="宋体"/>
          <w:sz w:val="24"/>
          <w:highlight w:val="none"/>
        </w:rPr>
        <w:t>送股、转增股、配股和公开增发新股等发行未上市的股票，按估值日在证券交易所挂牌的同一股票的市价估值；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首次公开发行有明确锁定期的股票，同一股票在交易所上市后，按交易所上市的同一股票的市价估值；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首次发行未上市的股票，按发行价格进行估值；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因持有股票而享有的配股权，采用估值技术确定公允价值。</w:t>
      </w:r>
    </w:p>
    <w:p>
      <w:pPr>
        <w:numPr>
          <w:ilvl w:val="0"/>
          <w:numId w:val="26"/>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非上市股权的估值：</w:t>
      </w:r>
    </w:p>
    <w:p>
      <w:pPr>
        <w:numPr>
          <w:ilvl w:val="0"/>
          <w:numId w:val="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25"/>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基金、资产管理计划类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numPr>
          <w:ilvl w:val="0"/>
          <w:numId w:val="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25"/>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6"/>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16"/>
        <w:spacing w:line="360" w:lineRule="auto"/>
        <w:ind w:firstLine="480" w:firstLineChars="200"/>
        <w:rPr>
          <w:rFonts w:hint="eastAsia" w:ascii="宋体" w:hAnsi="宋体" w:cs="宋体"/>
          <w:bCs/>
          <w:color w:val="000000"/>
          <w:sz w:val="24"/>
          <w:highlight w:val="none"/>
        </w:rPr>
      </w:pPr>
      <w:r>
        <w:rPr>
          <w:rFonts w:hint="eastAsia" w:ascii="宋体" w:hAnsi="宋体" w:cs="宋体"/>
          <w:bCs/>
          <w:kern w:val="2"/>
          <w:highlight w:val="none"/>
          <w:lang w:eastAsia="zh-CN"/>
        </w:rPr>
        <w:t>以</w:t>
      </w:r>
      <w:r>
        <w:rPr>
          <w:rFonts w:hint="eastAsia" w:ascii="宋体" w:hAnsi="宋体" w:cs="宋体"/>
          <w:bCs/>
          <w:color w:val="000000"/>
          <w:sz w:val="24"/>
          <w:highlight w:val="none"/>
        </w:rPr>
        <w:t>摊余成本法计量的资产，按照会计准则规定采用合理的减值计量模型或第三方减值计量结果进行减值计提。计提减值不等同于金融资产已发生损失，仅为对未来风险的审慎预期。</w:t>
      </w:r>
    </w:p>
    <w:p>
      <w:pPr>
        <w:pStyle w:val="16"/>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w:t>
      </w:r>
      <w:r>
        <w:rPr>
          <w:rFonts w:hint="eastAsia" w:ascii="宋体" w:hAnsi="宋体" w:cs="宋体"/>
          <w:bCs/>
          <w:kern w:val="2"/>
          <w:highlight w:val="none"/>
          <w:lang w:eastAsia="zh-CN"/>
        </w:rPr>
        <w:t>按最能反映公允价值的价格估值，</w:t>
      </w:r>
      <w:r>
        <w:rPr>
          <w:rFonts w:hint="eastAsia" w:ascii="宋体" w:hAnsi="宋体" w:cs="宋体"/>
          <w:bCs/>
          <w:kern w:val="2"/>
          <w:highlight w:val="none"/>
        </w:rPr>
        <w:t>并自协商一致日后执行。</w:t>
      </w:r>
    </w:p>
    <w:p>
      <w:pPr>
        <w:pStyle w:val="16"/>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2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2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暂停估值情形</w:t>
      </w:r>
    </w:p>
    <w:p>
      <w:pPr>
        <w:numPr>
          <w:ilvl w:val="0"/>
          <w:numId w:val="2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w:t>
      </w:r>
      <w:r>
        <w:rPr>
          <w:rFonts w:hint="eastAsia" w:ascii="宋体" w:hAnsi="宋体" w:cs="宋体"/>
          <w:bCs/>
          <w:color w:val="000000"/>
          <w:sz w:val="24"/>
          <w:highlight w:val="none"/>
          <w:lang w:eastAsia="zh-CN"/>
        </w:rPr>
        <w:t>提前到上</w:t>
      </w:r>
      <w:r>
        <w:rPr>
          <w:rFonts w:hint="eastAsia" w:ascii="宋体" w:hAnsi="宋体" w:cs="宋体"/>
          <w:bCs/>
          <w:color w:val="000000"/>
          <w:sz w:val="24"/>
          <w:highlight w:val="none"/>
        </w:rPr>
        <w:t>一交易日。</w:t>
      </w:r>
    </w:p>
    <w:p>
      <w:pPr>
        <w:numPr>
          <w:ilvl w:val="0"/>
          <w:numId w:val="2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2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当</w:t>
      </w:r>
      <w:r>
        <w:rPr>
          <w:rFonts w:hint="eastAsia" w:ascii="宋体" w:hAnsi="宋体" w:cs="宋体"/>
          <w:bCs/>
          <w:color w:val="000000"/>
          <w:sz w:val="24"/>
          <w:highlight w:val="none"/>
          <w:lang w:val="en-US" w:eastAsia="zh-CN"/>
        </w:rPr>
        <w:t>前一估值日理财计划资产净值50%以上的资产不具备活跃交易市场或者在活跃市场中无报价，且不能采用估值技术可靠计量公允价值时，管理人应当暂停该理财计划估值，并按照监管规定采取</w:t>
      </w:r>
      <w:r>
        <w:rPr>
          <w:rFonts w:hint="eastAsia" w:ascii="宋体" w:hAnsi="宋体" w:cs="宋体"/>
          <w:bCs/>
          <w:color w:val="000000"/>
          <w:sz w:val="24"/>
          <w:highlight w:val="none"/>
        </w:rPr>
        <w:t>延缓支付赎回款项或暂停接受理财</w:t>
      </w:r>
      <w:r>
        <w:rPr>
          <w:rFonts w:hint="eastAsia" w:ascii="宋体" w:hAnsi="宋体" w:cs="宋体"/>
          <w:bCs/>
          <w:color w:val="000000"/>
          <w:sz w:val="24"/>
          <w:highlight w:val="none"/>
          <w:lang w:eastAsia="zh-CN"/>
        </w:rPr>
        <w:t>计划</w:t>
      </w:r>
      <w:r>
        <w:rPr>
          <w:rFonts w:hint="eastAsia" w:ascii="宋体" w:hAnsi="宋体" w:cs="宋体"/>
          <w:bCs/>
          <w:color w:val="000000"/>
          <w:sz w:val="24"/>
          <w:highlight w:val="none"/>
        </w:rPr>
        <w:t>认购、赎回申请等</w:t>
      </w:r>
      <w:r>
        <w:rPr>
          <w:rFonts w:hint="eastAsia" w:ascii="宋体" w:hAnsi="宋体" w:cs="宋体"/>
          <w:bCs/>
          <w:color w:val="000000"/>
          <w:sz w:val="24"/>
          <w:highlight w:val="none"/>
          <w:lang w:val="en-US" w:eastAsia="zh-CN"/>
        </w:rPr>
        <w:t>措施。</w:t>
      </w:r>
    </w:p>
    <w:p>
      <w:pPr>
        <w:numPr>
          <w:ilvl w:val="0"/>
          <w:numId w:val="2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2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sz w:val="24"/>
          <w:highlight w:val="none"/>
        </w:rPr>
      </w:pPr>
    </w:p>
    <w:p>
      <w:pPr>
        <w:numPr>
          <w:ilvl w:val="0"/>
          <w:numId w:val="21"/>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费用及税收</w:t>
      </w:r>
    </w:p>
    <w:p>
      <w:pPr>
        <w:numPr>
          <w:ilvl w:val="0"/>
          <w:numId w:val="28"/>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w:t>
      </w:r>
      <w:r>
        <w:rPr>
          <w:rFonts w:hint="eastAsia" w:ascii="宋体" w:hAnsi="宋体" w:cs="宋体"/>
          <w:bCs/>
          <w:color w:val="000000"/>
          <w:sz w:val="24"/>
          <w:highlight w:val="none"/>
          <w:lang w:eastAsia="zh-CN"/>
        </w:rPr>
        <w:t>涉及</w:t>
      </w:r>
      <w:r>
        <w:rPr>
          <w:rFonts w:hint="eastAsia" w:ascii="宋体" w:hAnsi="宋体" w:cs="宋体"/>
          <w:bCs/>
          <w:color w:val="000000"/>
          <w:sz w:val="24"/>
          <w:highlight w:val="none"/>
        </w:rPr>
        <w:t>费用包括</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、托管费、固定管理费、认购费、申购费、赎回费、浮动管理费以及理财计划运作和清算中产生的其他费用等。</w:t>
      </w:r>
    </w:p>
    <w:p>
      <w:pPr>
        <w:numPr>
          <w:ilvl w:val="0"/>
          <w:numId w:val="28"/>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费用计提方法、标准及支付方式</w:t>
      </w:r>
    </w:p>
    <w:p>
      <w:pPr>
        <w:numPr>
          <w:ilvl w:val="0"/>
          <w:numId w:val="2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lang w:eastAsia="zh-CN"/>
        </w:rPr>
        <w:t>销售服务费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default" w:ascii="宋体" w:hAnsi="宋体" w:cs="宋体"/>
          <w:bCs/>
          <w:color w:val="000000"/>
          <w:sz w:val="24"/>
          <w:highlight w:val="none"/>
          <w:lang w:val="en-US"/>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B份额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0.25</w:t>
      </w:r>
      <w:r>
        <w:rPr>
          <w:rFonts w:hint="eastAsia" w:ascii="宋体" w:hAnsi="宋体" w:cs="宋体"/>
          <w:bCs/>
          <w:color w:val="000000"/>
          <w:sz w:val="24"/>
          <w:highlight w:val="none"/>
        </w:rPr>
        <w:t>%</w:t>
      </w:r>
      <w:r>
        <w:rPr>
          <w:rFonts w:hint="eastAsia" w:ascii="宋体" w:hAnsi="宋体" w:cs="宋体"/>
          <w:szCs w:val="21"/>
          <w:highlight w:val="none"/>
        </w:rPr>
        <w:t>〗</w:t>
      </w:r>
      <w:r>
        <w:rPr>
          <w:rFonts w:hint="default" w:ascii="宋体" w:hAnsi="宋体" w:cs="宋体"/>
          <w:szCs w:val="21"/>
          <w:highlight w:val="none"/>
          <w:lang w:val="en-US"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C份额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eastAsia="zh-CN"/>
        </w:rPr>
        <w:t>销售服务费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lang w:eastAsia="zh-CN"/>
        </w:rPr>
        <w:t>销售服务费</w:t>
      </w:r>
      <w:r>
        <w:rPr>
          <w:rFonts w:hint="eastAsia" w:ascii="宋体" w:hAnsi="宋体" w:cs="宋体"/>
          <w:bCs/>
          <w:color w:val="auto"/>
          <w:sz w:val="24"/>
          <w:highlight w:val="none"/>
        </w:rPr>
        <w:t>原则上按日计提。</w:t>
      </w:r>
    </w:p>
    <w:p>
      <w:pPr>
        <w:numPr>
          <w:ilvl w:val="0"/>
          <w:numId w:val="2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E为本理财计划</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托管费原则上按日计提。</w:t>
      </w:r>
    </w:p>
    <w:p>
      <w:pPr>
        <w:numPr>
          <w:ilvl w:val="0"/>
          <w:numId w:val="2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B份额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C份额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val="en-US" w:eastAsia="zh-CN"/>
        </w:rPr>
        <w:t>固定</w:t>
      </w:r>
      <w:r>
        <w:rPr>
          <w:rFonts w:hint="eastAsia" w:ascii="宋体" w:hAnsi="宋体" w:cs="宋体"/>
          <w:bCs/>
          <w:color w:val="000000"/>
          <w:sz w:val="24"/>
          <w:highlight w:val="none"/>
        </w:rPr>
        <w:t>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固定管理费原则上按日计提</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eastAsia="zh-CN"/>
        </w:rPr>
        <w:t>如理财计划实际运作结果不达业绩比较基准下限时，管理人有权减免固定管理费。</w:t>
      </w:r>
    </w:p>
    <w:p>
      <w:pPr>
        <w:numPr>
          <w:ilvl w:val="0"/>
          <w:numId w:val="2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本理财计划免除认购费。</w:t>
      </w:r>
    </w:p>
    <w:p>
      <w:pPr>
        <w:numPr>
          <w:ilvl w:val="0"/>
          <w:numId w:val="30"/>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申购费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本理财计划免除申购费。</w:t>
      </w:r>
    </w:p>
    <w:p>
      <w:pPr>
        <w:numPr>
          <w:ilvl w:val="0"/>
          <w:numId w:val="30"/>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赎回费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本理财计划免除赎回费。</w:t>
      </w:r>
    </w:p>
    <w:p>
      <w:pPr>
        <w:numPr>
          <w:ilvl w:val="0"/>
          <w:numId w:val="31"/>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理财管理人根据理财计划投资情况计算浮动管理费，本理财计划</w:t>
      </w:r>
      <w:r>
        <w:rPr>
          <w:rFonts w:hint="eastAsia" w:ascii="宋体" w:hAnsi="宋体" w:cs="宋体"/>
          <w:bCs/>
          <w:color w:val="000000"/>
          <w:sz w:val="24"/>
          <w:highlight w:val="none"/>
          <w:lang w:val="en-US" w:eastAsia="zh-CN"/>
        </w:rPr>
        <w:t>份额</w:t>
      </w:r>
      <w:r>
        <w:rPr>
          <w:rFonts w:hint="eastAsia" w:ascii="宋体" w:hAnsi="宋体" w:cs="宋体"/>
          <w:bCs/>
          <w:color w:val="000000"/>
          <w:sz w:val="24"/>
          <w:highlight w:val="none"/>
        </w:rPr>
        <w:t>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折合年化收益率超过</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的部分管理人提取</w:t>
      </w:r>
      <w:r>
        <w:rPr>
          <w:rFonts w:hint="eastAsia" w:ascii="宋体" w:hAnsi="宋体" w:cs="宋体"/>
          <w:szCs w:val="21"/>
          <w:highlight w:val="none"/>
        </w:rPr>
        <w:t>〖</w:t>
      </w:r>
      <w:r>
        <w:rPr>
          <w:rFonts w:hint="eastAsia" w:ascii="宋体" w:hAnsi="宋体" w:cs="宋体"/>
          <w:szCs w:val="21"/>
          <w:highlight w:val="none"/>
          <w:lang w:val="en-US" w:eastAsia="zh-CN"/>
        </w:rPr>
        <w:t>50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作为浮动管理费，每个投资周期结束后收取。本理财计划</w:t>
      </w:r>
      <w:r>
        <w:rPr>
          <w:rFonts w:hint="eastAsia" w:ascii="宋体" w:hAnsi="宋体" w:cs="宋体"/>
          <w:bCs/>
          <w:color w:val="000000"/>
          <w:sz w:val="24"/>
          <w:highlight w:val="none"/>
          <w:lang w:val="en-US" w:eastAsia="zh-CN"/>
        </w:rPr>
        <w:t>份额</w:t>
      </w:r>
      <w:r>
        <w:rPr>
          <w:rFonts w:hint="eastAsia" w:ascii="宋体" w:hAnsi="宋体" w:cs="宋体"/>
          <w:bCs/>
          <w:color w:val="000000"/>
          <w:sz w:val="24"/>
          <w:highlight w:val="none"/>
        </w:rPr>
        <w:t>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折合年化收益率若小于或等于</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则不收取浮动管理费。</w:t>
      </w:r>
      <w:r>
        <w:rPr>
          <w:rFonts w:hint="eastAsia" w:ascii="宋体" w:hAnsi="宋体" w:cs="宋体"/>
          <w:bCs/>
          <w:color w:val="000000"/>
          <w:sz w:val="24"/>
          <w:highlight w:val="none"/>
          <w:lang w:eastAsia="zh-CN"/>
        </w:rPr>
        <w:t>浮动管理费原则上按估值日计提，</w:t>
      </w:r>
      <w:r>
        <w:rPr>
          <w:rFonts w:hint="eastAsia" w:ascii="宋体" w:hAnsi="宋体" w:cs="宋体"/>
          <w:bCs/>
          <w:color w:val="000000"/>
          <w:sz w:val="24"/>
          <w:highlight w:val="none"/>
          <w:lang w:val="en-US" w:eastAsia="zh-CN"/>
        </w:rPr>
        <w:t>每个投资周期结束后</w:t>
      </w:r>
      <w:r>
        <w:rPr>
          <w:rFonts w:hint="eastAsia" w:ascii="宋体" w:hAnsi="宋体" w:cs="宋体"/>
          <w:bCs/>
          <w:color w:val="000000"/>
          <w:sz w:val="24"/>
          <w:highlight w:val="none"/>
          <w:lang w:eastAsia="zh-CN"/>
        </w:rPr>
        <w:t>收取。以</w:t>
      </w:r>
      <w:r>
        <w:rPr>
          <w:rFonts w:hint="eastAsia" w:ascii="宋体" w:hAnsi="宋体" w:cs="宋体"/>
          <w:sz w:val="24"/>
          <w:szCs w:val="24"/>
          <w:highlight w:val="none"/>
        </w:rPr>
        <w:t>〖</w:t>
      </w:r>
      <w:r>
        <w:rPr>
          <w:rFonts w:hint="eastAsia" w:ascii="宋体" w:hAnsi="宋体" w:cs="宋体"/>
          <w:sz w:val="24"/>
          <w:szCs w:val="24"/>
          <w:highlight w:val="none"/>
          <w:lang w:val="en-US" w:eastAsia="zh-CN"/>
        </w:rPr>
        <w:t>A</w:t>
      </w:r>
      <w:r>
        <w:rPr>
          <w:rFonts w:hint="eastAsia" w:ascii="宋体" w:hAnsi="宋体" w:cs="宋体"/>
          <w:color w:val="000000"/>
          <w:sz w:val="24"/>
          <w:szCs w:val="24"/>
          <w:highlight w:val="none"/>
          <w:lang w:val="en-US" w:eastAsia="zh-CN"/>
        </w:rPr>
        <w:t>份额</w:t>
      </w:r>
      <w:r>
        <w:rPr>
          <w:rFonts w:hint="eastAsia" w:ascii="宋体" w:hAnsi="宋体" w:cs="宋体"/>
          <w:sz w:val="24"/>
          <w:szCs w:val="24"/>
          <w:highlight w:val="none"/>
        </w:rPr>
        <w:t>〗</w:t>
      </w:r>
      <w:r>
        <w:rPr>
          <w:rFonts w:hint="eastAsia" w:ascii="宋体" w:hAnsi="宋体" w:cs="宋体"/>
          <w:sz w:val="24"/>
          <w:szCs w:val="24"/>
          <w:highlight w:val="none"/>
          <w:lang w:eastAsia="zh-CN"/>
        </w:rPr>
        <w:t>为例，</w:t>
      </w:r>
      <w:r>
        <w:rPr>
          <w:rFonts w:hint="eastAsia" w:ascii="宋体" w:hAnsi="宋体" w:cs="宋体"/>
          <w:bCs/>
          <w:color w:val="000000"/>
          <w:sz w:val="24"/>
          <w:highlight w:val="none"/>
        </w:rPr>
        <w:t>具体计算方法如下：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H＝E×NAV0×(K-R)×〖</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%〗×N÷365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其中，K=(NAV1-NAV0+T)÷NAV0×365÷N</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当前确认日应收取浮动管理费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上一个确认日的存续份额</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NAV0为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上一个确认日前一日费后单位净值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NAV1为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当前确认日前一日未扣除浮动管理费前的单位净值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R为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本次投资周期的业绩比较</w:t>
      </w:r>
      <w:r>
        <w:rPr>
          <w:rFonts w:hint="eastAsia" w:ascii="宋体" w:hAnsi="宋体" w:cs="宋体"/>
          <w:bCs/>
          <w:color w:val="000000"/>
          <w:sz w:val="24"/>
          <w:highlight w:val="none"/>
          <w:lang w:val="en-US" w:eastAsia="zh-CN"/>
        </w:rPr>
        <w:t>基准</w:t>
      </w:r>
      <w:r>
        <w:rPr>
          <w:rFonts w:hint="eastAsia" w:ascii="宋体" w:hAnsi="宋体" w:cs="宋体"/>
          <w:bCs/>
          <w:color w:val="000000"/>
          <w:sz w:val="24"/>
          <w:highlight w:val="none"/>
        </w:rPr>
        <w:t>上限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上一个确认日（含）至当前确认日（不含）的实际理财天数</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auto"/>
          <w:sz w:val="24"/>
          <w:highlight w:val="none"/>
        </w:rPr>
        <w:t>T为</w:t>
      </w: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A份额</w:t>
      </w:r>
      <w:r>
        <w:rPr>
          <w:rFonts w:hint="eastAsia" w:ascii="宋体" w:hAnsi="宋体" w:cs="宋体"/>
          <w:bCs/>
          <w:color w:val="auto"/>
          <w:sz w:val="24"/>
          <w:highlight w:val="none"/>
        </w:rPr>
        <w:t>〗</w:t>
      </w:r>
      <w:r>
        <w:rPr>
          <w:rFonts w:hint="eastAsia" w:ascii="宋体" w:hAnsi="宋体" w:cs="宋体"/>
          <w:bCs/>
          <w:color w:val="auto"/>
          <w:sz w:val="24"/>
          <w:highlight w:val="none"/>
        </w:rPr>
        <w:t>当</w:t>
      </w:r>
      <w:r>
        <w:rPr>
          <w:rFonts w:hint="eastAsia" w:ascii="宋体" w:hAnsi="宋体" w:cs="宋体"/>
          <w:bCs/>
          <w:color w:val="000000"/>
          <w:sz w:val="24"/>
          <w:highlight w:val="none"/>
        </w:rPr>
        <w:t>前投资周期内每单位份额的实际分红金额的合计（如有）</w:t>
      </w:r>
    </w:p>
    <w:p>
      <w:pPr>
        <w:numPr>
          <w:ilvl w:val="0"/>
          <w:numId w:val="32"/>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3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3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3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3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3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3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ind w:firstLine="482" w:firstLineChars="200"/>
        <w:jc w:val="left"/>
        <w:rPr>
          <w:rFonts w:ascii="宋体" w:hAnsi="宋体" w:cs="宋体"/>
          <w:bCs/>
          <w:sz w:val="24"/>
          <w:highlight w:val="none"/>
        </w:rPr>
      </w:pPr>
      <w:r>
        <w:rPr>
          <w:rFonts w:hint="eastAsia" w:ascii="宋体" w:hAnsi="宋体" w:cs="宋体"/>
          <w:b/>
          <w:sz w:val="24"/>
          <w:highlight w:val="none"/>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3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税收说明</w:t>
      </w:r>
    </w:p>
    <w:p>
      <w:pPr>
        <w:numPr>
          <w:ilvl w:val="0"/>
          <w:numId w:val="35"/>
        </w:numPr>
        <w:spacing w:line="360" w:lineRule="auto"/>
        <w:ind w:firstLine="480" w:firstLineChars="200"/>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35"/>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sz w:val="24"/>
          <w:highlight w:val="none"/>
        </w:rPr>
      </w:pPr>
    </w:p>
    <w:p>
      <w:pPr>
        <w:numPr>
          <w:ilvl w:val="0"/>
          <w:numId w:val="21"/>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收益计算</w:t>
      </w:r>
    </w:p>
    <w:p>
      <w:pPr>
        <w:numPr>
          <w:ilvl w:val="0"/>
          <w:numId w:val="3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投资者理财收益＝赎回份额×赎回确认日（提前终止日）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单位净值-认购或申购金额+</w:t>
      </w:r>
      <w:r>
        <w:rPr>
          <w:rFonts w:hint="eastAsia" w:ascii="宋体" w:hAnsi="宋体" w:cs="宋体"/>
          <w:bCs/>
          <w:sz w:val="24"/>
          <w:highlight w:val="none"/>
        </w:rPr>
        <w:t>份额持有期间累计分红（如有）</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份额=认购或申购金额/认购或申购确认日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赎回确认日（提前终止日）</w:t>
      </w:r>
      <w:r>
        <w:rPr>
          <w:rFonts w:hint="eastAsia" w:ascii="宋体" w:hAnsi="宋体" w:cs="宋体"/>
          <w:bCs/>
          <w:color w:val="000000"/>
          <w:sz w:val="24"/>
          <w:highlight w:val="none"/>
          <w:lang w:val="en-US" w:eastAsia="zh-CN"/>
        </w:rPr>
        <w:t>前一日的</w:t>
      </w:r>
      <w:r>
        <w:rPr>
          <w:rFonts w:hint="eastAsia" w:ascii="宋体" w:hAnsi="宋体" w:cs="宋体"/>
          <w:bCs/>
          <w:color w:val="000000"/>
          <w:sz w:val="24"/>
          <w:highlight w:val="none"/>
        </w:rPr>
        <w:t>单位净值</w:t>
      </w:r>
      <w:r>
        <w:rPr>
          <w:rFonts w:hint="eastAsia" w:ascii="宋体" w:hAnsi="宋体" w:cs="宋体"/>
          <w:bCs/>
          <w:color w:val="000000"/>
          <w:sz w:val="24"/>
          <w:highlight w:val="none"/>
        </w:rPr>
        <w:t>为提取相关费用及税费后的单位理财计划份额净值。</w:t>
      </w:r>
    </w:p>
    <w:p>
      <w:pPr>
        <w:numPr>
          <w:ilvl w:val="0"/>
          <w:numId w:val="36"/>
        </w:numPr>
        <w:spacing w:line="360" w:lineRule="auto"/>
        <w:jc w:val="left"/>
        <w:outlineLvl w:val="2"/>
        <w:rPr>
          <w:rFonts w:hint="eastAsia" w:ascii="宋体" w:hAnsi="宋体" w:cs="宋体"/>
          <w:bCs/>
          <w:color w:val="000000"/>
          <w:sz w:val="24"/>
          <w:highlight w:val="none"/>
        </w:rPr>
      </w:pPr>
      <w:r>
        <w:rPr>
          <w:rFonts w:hint="eastAsia" w:ascii="宋体" w:hAnsi="宋体" w:cs="宋体"/>
          <w:b/>
          <w:sz w:val="24"/>
          <w:highlight w:val="none"/>
        </w:rPr>
        <w:t>示例说明</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eastAsia="zh-CN"/>
        </w:rPr>
        <w:t>一</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（如有）后，投资收益率超过〖</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w:t>
      </w:r>
      <w:r>
        <w:rPr>
          <w:rFonts w:hint="eastAsia" w:ascii="宋体" w:hAnsi="宋体" w:cs="宋体"/>
          <w:bCs/>
          <w:color w:val="000000"/>
          <w:sz w:val="24"/>
          <w:highlight w:val="none"/>
        </w:rPr>
        <w:t>。假设管理人提取超过〖业绩比较基准上限〗的50%作为浮动管理费，</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（如有）后，如理财计划净值为1.0615，此时，(1.0615/1.00-1)×365/362=6.20%&gt;5.00%，即投资收益超过〖5.00%〗，则投资管理人对超过〖5.00%〗部分收益收取浮动管理费，浮动管理费为：</w:t>
      </w:r>
    </w:p>
    <w:p>
      <w:pPr>
        <w:spacing w:line="360" w:lineRule="auto"/>
        <w:ind w:firstLine="480" w:firstLineChars="200"/>
        <w:jc w:val="left"/>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100,000.00×1.0615-100,000.00×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362/365）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扣除浮动管理费后，投资者最终收益为：</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100,000.00×（1.0615-1.00）-</w:t>
      </w:r>
      <w:r>
        <w:rPr>
          <w:rFonts w:hint="eastAsia" w:ascii="宋体" w:hAnsi="宋体" w:cs="宋体"/>
          <w:bCs/>
          <w:color w:val="000000"/>
          <w:sz w:val="24"/>
          <w:highlight w:val="none"/>
          <w:lang w:val="en-US" w:eastAsia="zh-CN"/>
        </w:rPr>
        <w:t>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 xml:space="preserve"> =5,55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（元），理财计划</w:t>
      </w:r>
      <w:r>
        <w:rPr>
          <w:rFonts w:hint="eastAsia" w:ascii="宋体" w:hAnsi="宋体" w:cs="宋体"/>
          <w:bCs/>
          <w:color w:val="000000"/>
          <w:sz w:val="24"/>
          <w:highlight w:val="none"/>
          <w:lang w:val="en-US" w:eastAsia="zh-CN"/>
        </w:rPr>
        <w:t>赎回</w:t>
      </w:r>
      <w:r>
        <w:rPr>
          <w:rFonts w:hint="eastAsia" w:ascii="宋体" w:hAnsi="宋体" w:cs="宋体"/>
          <w:bCs/>
          <w:color w:val="000000"/>
          <w:sz w:val="24"/>
          <w:highlight w:val="none"/>
        </w:rPr>
        <w:t>时，投资者获得的实际收益相当于达到年化收益率水平为：</w:t>
      </w:r>
      <w:r>
        <w:rPr>
          <w:rFonts w:hint="eastAsia" w:ascii="宋体" w:hAnsi="宋体" w:cs="宋体"/>
          <w:bCs/>
          <w:color w:val="000000"/>
          <w:sz w:val="24"/>
          <w:highlight w:val="none"/>
        </w:rPr>
        <w:t>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/100,000.00×365/362=5.60%。</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示例二</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（如有）后，投资收益率未达到〖</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（如有）后，如理财计划净值为1.0426，此时，(1.0426/1.00-1)×365/362=4.30%&lt;5.00%，即投资收益未达到〖5.00%〗，则投资管理人不收取浮动管理费，投资者最终收益为：100,000.00×(1.0426-1.00）=4,260.00（元）</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示例三</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（如有）后，投资发生亏损。</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（如有）后，如理财计划净值为0.9975，则投资管理人不收取浮动管理费，投资者最终收益为：100,000.00×（0.9975-1.00）=-250.00（元）。</w:t>
      </w:r>
    </w:p>
    <w:p>
      <w:pPr>
        <w:numPr>
          <w:ilvl w:val="0"/>
          <w:numId w:val="3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w:t>
      </w:r>
      <w:r>
        <w:rPr>
          <w:rFonts w:hint="eastAsia" w:ascii="宋体" w:hAnsi="宋体" w:cs="宋体"/>
          <w:bCs/>
          <w:color w:val="000000"/>
          <w:sz w:val="24"/>
          <w:highlight w:val="none"/>
          <w:lang w:val="en-US" w:eastAsia="zh-CN"/>
        </w:rPr>
        <w:t>赎回或</w:t>
      </w:r>
      <w:r>
        <w:rPr>
          <w:rFonts w:hint="eastAsia" w:ascii="宋体" w:hAnsi="宋体" w:cs="宋体"/>
          <w:bCs/>
          <w:color w:val="000000"/>
          <w:sz w:val="24"/>
          <w:highlight w:val="none"/>
        </w:rPr>
        <w:t>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sz w:val="24"/>
          <w:highlight w:val="none"/>
        </w:rPr>
      </w:pPr>
    </w:p>
    <w:p>
      <w:pPr>
        <w:numPr>
          <w:ilvl w:val="0"/>
          <w:numId w:val="21"/>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交易规则</w:t>
      </w:r>
    </w:p>
    <w:p>
      <w:pPr>
        <w:numPr>
          <w:ilvl w:val="0"/>
          <w:numId w:val="38"/>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认购</w:t>
      </w:r>
    </w:p>
    <w:p>
      <w:pPr>
        <w:numPr>
          <w:ilvl w:val="0"/>
          <w:numId w:val="39"/>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r>
        <w:rPr>
          <w:rFonts w:hint="eastAsia" w:ascii="宋体" w:hAnsi="宋体" w:cs="宋体"/>
          <w:bCs/>
          <w:color w:val="000000"/>
          <w:lang w:eastAsia="zh-CN"/>
        </w:rPr>
        <w:t>（</w:t>
      </w:r>
      <w:r>
        <w:rPr>
          <w:rFonts w:hint="eastAsia" w:ascii="宋体" w:hAnsi="宋体" w:cs="宋体"/>
          <w:bCs/>
          <w:color w:val="000000"/>
        </w:rPr>
        <w:t>具体以销售机构要求为准</w:t>
      </w:r>
      <w:r>
        <w:rPr>
          <w:rFonts w:hint="eastAsia" w:ascii="宋体" w:hAnsi="宋体" w:cs="宋体"/>
          <w:bCs/>
          <w:color w:val="000000"/>
          <w:lang w:eastAsia="zh-CN"/>
        </w:rPr>
        <w:t>）</w:t>
      </w:r>
      <w:r>
        <w:rPr>
          <w:rFonts w:hint="eastAsia" w:ascii="宋体" w:hAnsi="宋体" w:cs="宋体"/>
          <w:bCs/>
          <w:color w:val="000000"/>
          <w:sz w:val="24"/>
          <w:highlight w:val="none"/>
        </w:rPr>
        <w:t>。</w:t>
      </w:r>
    </w:p>
    <w:p>
      <w:pPr>
        <w:numPr>
          <w:ilvl w:val="0"/>
          <w:numId w:val="39"/>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39"/>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如新增认</w:t>
      </w:r>
      <w:r>
        <w:rPr>
          <w:rFonts w:hint="eastAsia" w:ascii="宋体" w:hAnsi="宋体" w:cs="宋体"/>
          <w:bCs/>
          <w:color w:val="000000"/>
          <w:sz w:val="24"/>
          <w:highlight w:val="none"/>
          <w:lang w:val="en-US" w:eastAsia="zh-CN"/>
        </w:rPr>
        <w:t>购使得单一投资者持有份额比例超过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38"/>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成立</w:t>
      </w:r>
    </w:p>
    <w:p>
      <w:pPr>
        <w:numPr>
          <w:ilvl w:val="0"/>
          <w:numId w:val="40"/>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40"/>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38"/>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申购及赎回</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交易确认及时间</w:t>
      </w:r>
    </w:p>
    <w:p>
      <w:pPr>
        <w:numPr>
          <w:ilvl w:val="0"/>
          <w:numId w:val="42"/>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本理财计划在每个开放期的开放日工作时间可进行申购</w:t>
      </w:r>
      <w:r>
        <w:rPr>
          <w:rFonts w:hint="eastAsia" w:ascii="宋体" w:hAnsi="宋体" w:cs="宋体"/>
          <w:bCs/>
          <w:sz w:val="24"/>
          <w:highlight w:val="none"/>
          <w:lang w:val="en-US" w:eastAsia="zh-CN"/>
        </w:rPr>
        <w:t>和赎回</w:t>
      </w:r>
      <w:r>
        <w:rPr>
          <w:rFonts w:hint="eastAsia" w:ascii="宋体" w:hAnsi="宋体" w:cs="宋体"/>
          <w:bCs/>
          <w:sz w:val="24"/>
          <w:highlight w:val="none"/>
        </w:rPr>
        <w:t>，申购</w:t>
      </w:r>
      <w:r>
        <w:rPr>
          <w:rFonts w:hint="eastAsia" w:ascii="宋体" w:hAnsi="宋体" w:cs="宋体"/>
          <w:bCs/>
          <w:sz w:val="24"/>
          <w:highlight w:val="none"/>
          <w:lang w:val="en-US" w:eastAsia="zh-CN"/>
        </w:rPr>
        <w:t>和赎回</w:t>
      </w:r>
      <w:r>
        <w:rPr>
          <w:rFonts w:hint="eastAsia" w:ascii="宋体" w:hAnsi="宋体" w:cs="宋体"/>
          <w:bCs/>
          <w:sz w:val="24"/>
          <w:highlight w:val="none"/>
        </w:rPr>
        <w:t>申请将在确认日进行确认，即开放期后的第〖1〗个工作日进行确认。</w:t>
      </w:r>
    </w:p>
    <w:p>
      <w:pPr>
        <w:numPr>
          <w:ilvl w:val="0"/>
          <w:numId w:val="4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工作时间为每个工作日上午〖9:00〗至下午〖17:00〗。</w:t>
      </w:r>
      <w:r>
        <w:rPr>
          <w:rFonts w:hint="eastAsia" w:ascii="宋体" w:hAnsi="宋体" w:cs="宋体"/>
          <w:color w:val="000000"/>
          <w:kern w:val="0"/>
          <w:sz w:val="24"/>
          <w:szCs w:val="24"/>
          <w:highlight w:val="none"/>
        </w:rPr>
        <w:t>（具体以销售机构规定为准）</w:t>
      </w:r>
    </w:p>
    <w:p>
      <w:pPr>
        <w:numPr>
          <w:ilvl w:val="0"/>
          <w:numId w:val="4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如</w:t>
      </w:r>
      <w:r>
        <w:rPr>
          <w:rFonts w:hint="eastAsia" w:ascii="宋体" w:hAnsi="宋体" w:cs="宋体"/>
          <w:bCs/>
          <w:color w:val="000000"/>
          <w:sz w:val="24"/>
          <w:highlight w:val="none"/>
          <w:lang w:eastAsia="zh-CN"/>
        </w:rPr>
        <w:t>新增申</w:t>
      </w:r>
      <w:r>
        <w:rPr>
          <w:rFonts w:hint="eastAsia" w:ascii="宋体" w:hAnsi="宋体" w:cs="宋体"/>
          <w:bCs/>
          <w:color w:val="000000"/>
          <w:sz w:val="24"/>
          <w:highlight w:val="none"/>
          <w:lang w:val="en-US" w:eastAsia="zh-CN"/>
        </w:rPr>
        <w:t>购使得单一投资者持有份额比例超过50％，管理人将不再接受超出部分的申购申请。非因投资管理人主观因素导致突破前款规定比例限制的，在单一投资者持有比例降至50％以下之前，管理人将不再接受该投资者对该理财产品的申购申请。投资者持有份额的计算以管理人登记为准。</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到账时间</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赎回资金确认后，最快〖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〗个工作日内（遇节假日顺延）理财资金与收益将一次性支付。如遇资金在途或法定工作日调整，实际资金到账日以公告为准。</w:t>
      </w:r>
      <w:r>
        <w:rPr>
          <w:rFonts w:hint="eastAsia" w:ascii="宋体" w:hAnsi="宋体" w:cs="宋体"/>
          <w:color w:val="000000"/>
          <w:kern w:val="0"/>
          <w:sz w:val="24"/>
          <w:szCs w:val="24"/>
          <w:highlight w:val="none"/>
        </w:rPr>
        <w:t>（具体以销售机构规定为准）</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numPr>
          <w:ilvl w:val="0"/>
          <w:numId w:val="4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巨额赎回认定</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理财计划存续期内，若理财计划开放日净赎回申请份额超过上一日日终理财计划总份额〖10%〗时，即构成巨额赎回。</w:t>
      </w:r>
    </w:p>
    <w:p>
      <w:pPr>
        <w:numPr>
          <w:ilvl w:val="0"/>
          <w:numId w:val="4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sz w:val="24"/>
          <w:highlight w:val="none"/>
        </w:rPr>
      </w:pPr>
      <w:r>
        <w:rPr>
          <w:rFonts w:hint="eastAsia" w:ascii="宋体" w:hAnsi="宋体" w:cs="宋体"/>
          <w:bCs/>
          <w:sz w:val="24"/>
          <w:highlight w:val="none"/>
        </w:rPr>
        <w:t>当出现巨额赎回时，管理人可以根据资产组合状况决定采取全额赎回或拒绝超出部分的赎回申请。</w:t>
      </w:r>
      <w:r>
        <w:rPr>
          <w:rFonts w:hint="eastAsia" w:ascii="宋体" w:hAnsi="宋体" w:cs="宋体"/>
          <w:bCs/>
          <w:sz w:val="24"/>
          <w:highlight w:val="none"/>
          <w:lang w:val="en-US" w:eastAsia="zh-CN"/>
        </w:rPr>
        <w:t>如连续2日（含）以上开放日发生巨额赎回，对于已经接受的赎回申请，管理人可以延缓支付赎回款项，但延缓期限不得超过5个工作日。</w:t>
      </w:r>
    </w:p>
    <w:p>
      <w:pPr>
        <w:numPr>
          <w:ilvl w:val="0"/>
          <w:numId w:val="4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全部赎回</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当管理人认为全额兑付投资者的赎回申请将不会对本理财计划净值造成较大波动或给本理财计划造成重大损失时，按正常赎回程序执行。</w:t>
      </w:r>
    </w:p>
    <w:p>
      <w:pPr>
        <w:numPr>
          <w:ilvl w:val="0"/>
          <w:numId w:val="4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拒绝超出部分的赎回申请</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赎回开放期重新进行赎回申请。</w:t>
      </w:r>
    </w:p>
    <w:p>
      <w:pPr>
        <w:numPr>
          <w:ilvl w:val="0"/>
          <w:numId w:val="4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在</w:t>
      </w:r>
      <w:r>
        <w:rPr>
          <w:rFonts w:hint="eastAsia" w:ascii="宋体" w:hAnsi="宋体" w:cs="宋体"/>
          <w:bCs/>
          <w:sz w:val="24"/>
          <w:highlight w:val="none"/>
        </w:rPr>
        <w:t>理财计划存续期内，管理人有权根据市场情况调整巨额赎回金额比例，并及时进行对外公告。</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暂停申购、赎回及延期支付赎回的情形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发生以下情形，管理人可暂停接受全部或部分投资者的申购申请：</w:t>
      </w:r>
    </w:p>
    <w:p>
      <w:pPr>
        <w:numPr>
          <w:ilvl w:val="0"/>
          <w:numId w:val="4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w:t>
      </w:r>
      <w:r>
        <w:rPr>
          <w:rFonts w:hint="eastAsia" w:ascii="宋体" w:hAnsi="宋体" w:cs="宋体"/>
          <w:bCs/>
          <w:sz w:val="24"/>
          <w:highlight w:val="none"/>
          <w:lang w:val="en-US" w:eastAsia="zh-CN"/>
        </w:rPr>
        <w:t>资产规模过大，继续接受申购可能对理财计划业绩产生负面影响，从而损害现有份额持有人利益的情形时</w:t>
      </w:r>
      <w:r>
        <w:rPr>
          <w:rFonts w:hint="eastAsia" w:ascii="宋体" w:hAnsi="宋体" w:cs="宋体"/>
          <w:bCs/>
          <w:sz w:val="24"/>
          <w:highlight w:val="none"/>
        </w:rPr>
        <w:t>。</w:t>
      </w:r>
    </w:p>
    <w:p>
      <w:pPr>
        <w:numPr>
          <w:ilvl w:val="0"/>
          <w:numId w:val="4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当</w:t>
      </w:r>
      <w:r>
        <w:rPr>
          <w:rFonts w:hint="eastAsia" w:ascii="宋体" w:hAnsi="宋体" w:cs="宋体"/>
          <w:bCs/>
          <w:sz w:val="24"/>
          <w:highlight w:val="none"/>
          <w:lang w:val="en-US" w:eastAsia="zh-CN"/>
        </w:rPr>
        <w:t>管理人认为某笔申购申请会有损于其他份额持有人利益的情形时。</w:t>
      </w:r>
    </w:p>
    <w:p>
      <w:pPr>
        <w:numPr>
          <w:ilvl w:val="0"/>
          <w:numId w:val="4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发生产品说明书约定的暂停估值的情形时。</w:t>
      </w:r>
    </w:p>
    <w:p>
      <w:pPr>
        <w:numPr>
          <w:ilvl w:val="0"/>
          <w:numId w:val="4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发生以下情形，对超出前一日终理财产品总份额10%的赎回申请，管理人可暂停接受全部或部分、延期办理投资者的赎回申请：</w:t>
      </w:r>
    </w:p>
    <w:p>
      <w:pPr>
        <w:numPr>
          <w:ilvl w:val="0"/>
          <w:numId w:val="4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理财计划发生巨额赎回情形时。</w:t>
      </w:r>
    </w:p>
    <w:p>
      <w:pPr>
        <w:numPr>
          <w:ilvl w:val="0"/>
          <w:numId w:val="4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当继续</w:t>
      </w:r>
      <w:r>
        <w:rPr>
          <w:rFonts w:hint="default" w:ascii="宋体" w:hAnsi="宋体" w:cs="宋体"/>
          <w:bCs/>
          <w:sz w:val="24"/>
          <w:highlight w:val="none"/>
          <w:lang w:val="en-US" w:eastAsia="zh-CN"/>
        </w:rPr>
        <w:t>接受赎回申请将损害存量投资者利益的情形</w:t>
      </w:r>
      <w:r>
        <w:rPr>
          <w:rFonts w:hint="eastAsia" w:ascii="宋体" w:hAnsi="宋体" w:cs="宋体"/>
          <w:bCs/>
          <w:sz w:val="24"/>
          <w:highlight w:val="none"/>
          <w:lang w:val="en-US" w:eastAsia="zh-CN"/>
        </w:rPr>
        <w:t>时。</w:t>
      </w:r>
    </w:p>
    <w:p>
      <w:pPr>
        <w:numPr>
          <w:ilvl w:val="0"/>
          <w:numId w:val="4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w:t>
      </w:r>
      <w:r>
        <w:rPr>
          <w:rFonts w:hint="default" w:ascii="宋体" w:hAnsi="宋体" w:cs="宋体"/>
          <w:bCs/>
          <w:sz w:val="24"/>
          <w:highlight w:val="none"/>
          <w:lang w:val="en-US" w:eastAsia="zh-CN"/>
        </w:rPr>
        <w:t>前一估值日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4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发生</w:t>
      </w:r>
      <w:r>
        <w:rPr>
          <w:rFonts w:hint="eastAsia" w:ascii="宋体" w:hAnsi="宋体" w:cs="宋体"/>
          <w:bCs/>
          <w:sz w:val="24"/>
          <w:highlight w:val="none"/>
          <w:lang w:eastAsia="zh-CN"/>
        </w:rPr>
        <w:t>产品说明书约定的暂停估值的情形时。</w:t>
      </w:r>
    </w:p>
    <w:p>
      <w:pPr>
        <w:numPr>
          <w:ilvl w:val="0"/>
          <w:numId w:val="4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发生以下情形，管理人对已接受的赎回申请，可延期支付赎回款项：</w:t>
      </w:r>
    </w:p>
    <w:p>
      <w:pPr>
        <w:numPr>
          <w:ilvl w:val="0"/>
          <w:numId w:val="4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因</w:t>
      </w:r>
      <w:r>
        <w:rPr>
          <w:rFonts w:hint="eastAsia" w:ascii="宋体" w:hAnsi="宋体" w:cs="宋体"/>
          <w:bCs/>
          <w:sz w:val="24"/>
          <w:highlight w:val="none"/>
          <w:lang w:val="en-US" w:eastAsia="zh-CN"/>
        </w:rPr>
        <w:t>不可抗力等原因，导致管理人接受赎回申请后无法及时兑付的情形时。</w:t>
      </w:r>
    </w:p>
    <w:p>
      <w:pPr>
        <w:numPr>
          <w:ilvl w:val="0"/>
          <w:numId w:val="4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连续</w:t>
      </w:r>
      <w:r>
        <w:rPr>
          <w:rFonts w:hint="default" w:ascii="宋体" w:hAnsi="宋体" w:cs="宋体"/>
          <w:bCs/>
          <w:sz w:val="24"/>
          <w:highlight w:val="none"/>
          <w:lang w:val="en-US" w:eastAsia="zh-CN"/>
        </w:rPr>
        <w:t>2</w:t>
      </w:r>
      <w:r>
        <w:rPr>
          <w:rFonts w:hint="eastAsia" w:ascii="宋体" w:hAnsi="宋体" w:cs="宋体"/>
          <w:bCs/>
          <w:sz w:val="24"/>
          <w:highlight w:val="none"/>
          <w:lang w:val="en-US" w:eastAsia="zh-CN"/>
        </w:rPr>
        <w:t>日</w:t>
      </w:r>
      <w:r>
        <w:rPr>
          <w:rFonts w:hint="default" w:ascii="宋体" w:hAnsi="宋体" w:cs="宋体"/>
          <w:bCs/>
          <w:sz w:val="24"/>
          <w:highlight w:val="none"/>
          <w:lang w:val="en-US" w:eastAsia="zh-CN"/>
        </w:rPr>
        <w:t>（含）以上开放日发生巨额赎回的</w:t>
      </w:r>
      <w:r>
        <w:rPr>
          <w:rFonts w:hint="eastAsia" w:ascii="宋体" w:hAnsi="宋体" w:cs="宋体"/>
          <w:bCs/>
          <w:sz w:val="24"/>
          <w:highlight w:val="none"/>
          <w:lang w:val="en-US" w:eastAsia="zh-CN"/>
        </w:rPr>
        <w:t>情形时。</w:t>
      </w:r>
    </w:p>
    <w:p>
      <w:pPr>
        <w:numPr>
          <w:ilvl w:val="0"/>
          <w:numId w:val="4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当前</w:t>
      </w:r>
      <w:r>
        <w:rPr>
          <w:rFonts w:hint="default" w:ascii="宋体" w:hAnsi="宋体" w:cs="宋体"/>
          <w:bCs/>
          <w:sz w:val="24"/>
          <w:highlight w:val="none"/>
          <w:lang w:val="en-US" w:eastAsia="zh-CN"/>
        </w:rPr>
        <w:t>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4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法律法规规定或监管机构认定的其他情形。</w:t>
      </w:r>
    </w:p>
    <w:p>
      <w:pPr>
        <w:numPr>
          <w:ilvl w:val="0"/>
          <w:numId w:val="38"/>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〗个工作日内（遇节假日顺延）将资金按规定的要求划入投资者授权指定的理财账户。</w:t>
      </w:r>
      <w:r>
        <w:rPr>
          <w:rFonts w:hint="eastAsia" w:ascii="宋体" w:hAnsi="宋体" w:cs="宋体"/>
          <w:color w:val="000000"/>
          <w:kern w:val="0"/>
          <w:sz w:val="24"/>
          <w:szCs w:val="24"/>
          <w:highlight w:val="none"/>
        </w:rPr>
        <w:t>（具体以销售机构规定为准）</w:t>
      </w:r>
    </w:p>
    <w:p>
      <w:pPr>
        <w:numPr>
          <w:ilvl w:val="0"/>
          <w:numId w:val="38"/>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szCs w:val="24"/>
          <w:highlight w:val="none"/>
        </w:rPr>
        <w:t>〖</w:t>
      </w:r>
      <w:r>
        <w:rPr>
          <w:rFonts w:hint="eastAsia" w:ascii="宋体" w:hAnsi="宋体" w:cs="宋体"/>
          <w:sz w:val="24"/>
          <w:szCs w:val="24"/>
          <w:highlight w:val="none"/>
          <w:lang w:val="en-US" w:eastAsia="zh-CN"/>
        </w:rPr>
        <w:t>1</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szCs w:val="24"/>
          <w:highlight w:val="none"/>
        </w:rPr>
        <w:t>〖</w:t>
      </w:r>
      <w:r>
        <w:rPr>
          <w:rFonts w:hint="eastAsia" w:ascii="宋体" w:hAnsi="宋体" w:cs="宋体"/>
          <w:szCs w:val="21"/>
          <w:highlight w:val="none"/>
          <w:lang w:val="en-US" w:eastAsia="zh-CN"/>
        </w:rPr>
        <w:t>3</w:t>
      </w:r>
      <w:r>
        <w:rPr>
          <w:rFonts w:hint="eastAsia" w:ascii="宋体" w:hAnsi="宋体" w:cs="宋体"/>
          <w:bCs/>
          <w:color w:val="000000"/>
          <w:sz w:val="24"/>
          <w:highlight w:val="none"/>
        </w:rPr>
        <w:t>〗</w:t>
      </w:r>
      <w:r>
        <w:rPr>
          <w:rFonts w:hint="eastAsia" w:ascii="宋体" w:hAnsi="宋体" w:cs="宋体"/>
          <w:bCs/>
          <w:sz w:val="24"/>
          <w:highlight w:val="none"/>
        </w:rPr>
        <w:t>个工作日内将可兑付款项按规定的要求划入投资者授权指定的理财账户。终止日至资金实际到账日之间，投资者资金不计息。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如发生以下事项时，管理人可对本理财计划行使全部</w:t>
      </w:r>
      <w:r>
        <w:rPr>
          <w:rFonts w:hint="eastAsia" w:ascii="宋体" w:hAnsi="宋体" w:cs="宋体"/>
          <w:b/>
          <w:sz w:val="24"/>
          <w:highlight w:val="none"/>
          <w:lang w:eastAsia="zh-CN"/>
        </w:rPr>
        <w:t>或部分</w:t>
      </w:r>
      <w:r>
        <w:rPr>
          <w:rFonts w:hint="eastAsia" w:ascii="宋体" w:hAnsi="宋体" w:cs="宋体"/>
          <w:b/>
          <w:sz w:val="24"/>
          <w:highlight w:val="none"/>
        </w:rPr>
        <w:t>提前终止权：</w:t>
      </w:r>
    </w:p>
    <w:p>
      <w:pPr>
        <w:numPr>
          <w:ilvl w:val="0"/>
          <w:numId w:val="4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4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4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4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4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市场收益率大幅波动，可能或实质影响理财计划投资收益的。</w:t>
      </w:r>
    </w:p>
    <w:p>
      <w:pPr>
        <w:numPr>
          <w:ilvl w:val="0"/>
          <w:numId w:val="4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lang w:eastAsia="zh-CN"/>
        </w:rPr>
        <w:t>融资人行使提前到期或还款权利的。</w:t>
      </w:r>
    </w:p>
    <w:p>
      <w:pPr>
        <w:numPr>
          <w:ilvl w:val="0"/>
          <w:numId w:val="4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numPr>
          <w:ilvl w:val="0"/>
          <w:numId w:val="38"/>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4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4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4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4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4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21"/>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信息披露</w:t>
      </w:r>
    </w:p>
    <w:p>
      <w:pPr>
        <w:numPr>
          <w:ilvl w:val="0"/>
          <w:numId w:val="49"/>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披露内容及时间</w:t>
      </w:r>
    </w:p>
    <w:p>
      <w:pPr>
        <w:numPr>
          <w:ilvl w:val="0"/>
          <w:numId w:val="50"/>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认购信息披露</w:t>
      </w:r>
    </w:p>
    <w:p>
      <w:pPr>
        <w:numPr>
          <w:ilvl w:val="0"/>
          <w:numId w:val="51"/>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风险揭示书、</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产品说明书、投资者权益须知</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理财计划投资协议书</w:t>
      </w:r>
      <w:r>
        <w:rPr>
          <w:rFonts w:hint="eastAsia" w:ascii="宋体" w:hAnsi="宋体" w:cs="宋体"/>
          <w:bCs/>
          <w:color w:val="000000"/>
          <w:sz w:val="24"/>
          <w:highlight w:val="none"/>
          <w:lang w:eastAsia="zh-CN"/>
        </w:rPr>
        <w:t>以及理财计划销售协议书</w:t>
      </w:r>
      <w:r>
        <w:rPr>
          <w:rFonts w:hint="eastAsia" w:ascii="宋体" w:hAnsi="宋体" w:cs="宋体"/>
          <w:bCs/>
          <w:color w:val="000000"/>
          <w:sz w:val="24"/>
          <w:highlight w:val="none"/>
        </w:rPr>
        <w:t>。</w:t>
      </w:r>
    </w:p>
    <w:p>
      <w:pPr>
        <w:numPr>
          <w:ilvl w:val="0"/>
          <w:numId w:val="51"/>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rPr>
        <w:t>个工作日内披露，包括成立日期、募集规模等信息。</w:t>
      </w:r>
    </w:p>
    <w:p>
      <w:pPr>
        <w:numPr>
          <w:ilvl w:val="0"/>
          <w:numId w:val="50"/>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运作信息披露</w:t>
      </w:r>
    </w:p>
    <w:p>
      <w:pPr>
        <w:numPr>
          <w:ilvl w:val="0"/>
          <w:numId w:val="5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理财计划净值：管理人应在理财计划成立后，每个开放确认日后</w:t>
      </w:r>
      <w:r>
        <w:rPr>
          <w:rFonts w:hint="eastAsia" w:ascii="宋体" w:hAnsi="宋体" w:cs="宋体"/>
          <w:bCs/>
          <w:color w:val="000000"/>
          <w:sz w:val="24"/>
          <w:highlight w:val="none"/>
          <w:lang w:val="en-US" w:eastAsia="zh-CN"/>
        </w:rPr>
        <w:t>2</w:t>
      </w:r>
      <w:r>
        <w:rPr>
          <w:rFonts w:hint="eastAsia" w:ascii="宋体" w:hAnsi="宋体" w:cs="宋体"/>
          <w:bCs/>
          <w:color w:val="000000"/>
          <w:sz w:val="24"/>
          <w:highlight w:val="none"/>
        </w:rPr>
        <w:t>个工作日内披露本理财计划净值。</w:t>
      </w:r>
    </w:p>
    <w:p>
      <w:pPr>
        <w:numPr>
          <w:ilvl w:val="0"/>
          <w:numId w:val="52"/>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r>
        <w:rPr>
          <w:rFonts w:hint="eastAsia" w:ascii="宋体" w:hAnsi="宋体" w:cs="宋体"/>
          <w:bCs/>
          <w:color w:val="000000"/>
          <w:highlight w:val="none"/>
        </w:rPr>
        <w:t>理财产品成立不足90个工作日或者存续期不超过90个工作日的，不编制理财产品当期的季度、半年和年度报告。</w:t>
      </w:r>
    </w:p>
    <w:p>
      <w:pPr>
        <w:numPr>
          <w:ilvl w:val="0"/>
          <w:numId w:val="52"/>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50"/>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临时信息披露</w:t>
      </w:r>
    </w:p>
    <w:p>
      <w:pPr>
        <w:numPr>
          <w:ilvl w:val="0"/>
          <w:numId w:val="5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重大事项公告：</w:t>
      </w:r>
      <w:r>
        <w:rPr>
          <w:rFonts w:hint="eastAsia" w:ascii="宋体" w:hAnsi="宋体" w:cs="宋体"/>
          <w:bCs/>
          <w:color w:val="000000"/>
          <w:sz w:val="24"/>
          <w:highlight w:val="none"/>
          <w:lang w:eastAsia="zh-CN"/>
        </w:rPr>
        <w:t>管理人应在运用</w:t>
      </w:r>
      <w:r>
        <w:rPr>
          <w:rFonts w:hint="eastAsia" w:ascii="宋体" w:hAnsi="宋体" w:cs="宋体"/>
          <w:bCs/>
          <w:color w:val="000000"/>
          <w:sz w:val="24"/>
          <w:highlight w:val="none"/>
        </w:rPr>
        <w:t>收取短期赎回费、摆动定价等措施后，3个交易日内</w:t>
      </w:r>
      <w:r>
        <w:rPr>
          <w:rFonts w:hint="eastAsia" w:ascii="宋体" w:hAnsi="宋体" w:cs="宋体"/>
          <w:bCs/>
          <w:color w:val="000000"/>
          <w:sz w:val="24"/>
          <w:highlight w:val="none"/>
          <w:lang w:eastAsia="zh-CN"/>
        </w:rPr>
        <w:t>发布相关事项公告；应在</w:t>
      </w:r>
      <w:r>
        <w:rPr>
          <w:rFonts w:hint="eastAsia" w:ascii="宋体" w:hAnsi="宋体" w:cs="宋体"/>
          <w:bCs/>
          <w:color w:val="000000"/>
          <w:sz w:val="24"/>
          <w:highlight w:val="none"/>
          <w:lang w:val="en-US" w:eastAsia="zh-CN"/>
        </w:rPr>
        <w:t>运用暂停认购、延期办理巨额赎回申请、暂停接受赎回申请、延缓支付赎回款项、暂停理财产品估值等措施后，</w:t>
      </w:r>
      <w:r>
        <w:rPr>
          <w:rFonts w:hint="eastAsia" w:ascii="宋体" w:hAnsi="宋体" w:cs="宋体"/>
          <w:bCs/>
          <w:color w:val="000000"/>
          <w:sz w:val="24"/>
          <w:highlight w:val="none"/>
        </w:rPr>
        <w:t>3个交易日内</w:t>
      </w:r>
      <w:r>
        <w:rPr>
          <w:rFonts w:hint="eastAsia" w:ascii="宋体" w:hAnsi="宋体" w:cs="宋体"/>
          <w:bCs/>
          <w:color w:val="000000"/>
          <w:sz w:val="24"/>
          <w:highlight w:val="none"/>
          <w:lang w:eastAsia="zh-CN"/>
        </w:rPr>
        <w:t>发布相关事项公告，</w:t>
      </w:r>
      <w:r>
        <w:rPr>
          <w:rFonts w:hint="eastAsia" w:ascii="宋体" w:hAnsi="宋体" w:cs="宋体"/>
          <w:bCs/>
          <w:color w:val="000000"/>
          <w:sz w:val="24"/>
          <w:highlight w:val="none"/>
          <w:lang w:val="en-US" w:eastAsia="zh-CN"/>
        </w:rPr>
        <w:t>说明运用相关措施的原因、拟采取的应对安排等；</w:t>
      </w:r>
      <w:r>
        <w:rPr>
          <w:rFonts w:hint="eastAsia" w:ascii="宋体" w:hAnsi="宋体" w:cs="宋体"/>
          <w:bCs/>
          <w:color w:val="000000"/>
          <w:sz w:val="24"/>
          <w:highlight w:val="none"/>
          <w:lang w:eastAsia="zh-CN"/>
        </w:rPr>
        <w:t>应在发生可能对理财计划投资者或者理财计划收益产</w:t>
      </w:r>
      <w:r>
        <w:rPr>
          <w:rFonts w:hint="eastAsia" w:ascii="宋体" w:hAnsi="宋体" w:cs="宋体"/>
          <w:bCs/>
          <w:color w:val="000000"/>
          <w:sz w:val="24"/>
          <w:highlight w:val="none"/>
        </w:rPr>
        <w:t>生重大事项的事件后2个工作日内发布重大事项公告。</w:t>
      </w:r>
    </w:p>
    <w:p>
      <w:pPr>
        <w:numPr>
          <w:ilvl w:val="0"/>
          <w:numId w:val="53"/>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w:t>
      </w:r>
      <w:r>
        <w:rPr>
          <w:rFonts w:hint="eastAsia" w:ascii="宋体" w:hAnsi="宋体" w:cs="宋体"/>
          <w:bCs/>
          <w:color w:val="000000"/>
          <w:sz w:val="24"/>
          <w:highlight w:val="none"/>
          <w:lang w:eastAsia="zh-CN"/>
        </w:rPr>
        <w:t>换</w:t>
      </w:r>
      <w:r>
        <w:rPr>
          <w:rFonts w:hint="eastAsia" w:ascii="宋体" w:hAnsi="宋体" w:cs="宋体"/>
          <w:bCs/>
          <w:color w:val="000000"/>
          <w:sz w:val="24"/>
          <w:highlight w:val="none"/>
        </w:rPr>
        <w:t>理财计划管理人和托管人、涉及理财计划管理业务的重大诉讼、涉及费率相关事项的变动、理财计划延期兑付等。</w:t>
      </w:r>
    </w:p>
    <w:p>
      <w:pPr>
        <w:numPr>
          <w:ilvl w:val="0"/>
          <w:numId w:val="49"/>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sz w:val="24"/>
          <w:highlight w:val="none"/>
        </w:rPr>
      </w:pPr>
    </w:p>
    <w:p>
      <w:pPr>
        <w:numPr>
          <w:ilvl w:val="0"/>
          <w:numId w:val="21"/>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其他</w:t>
      </w:r>
    </w:p>
    <w:p>
      <w:pPr>
        <w:numPr>
          <w:ilvl w:val="0"/>
          <w:numId w:val="5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5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numPr>
          <w:ilvl w:val="0"/>
          <w:numId w:val="5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w:t>
      </w:r>
      <w:r>
        <w:rPr>
          <w:rFonts w:hint="eastAsia" w:ascii="宋体" w:hAnsi="宋体" w:cs="宋体"/>
          <w:bCs/>
          <w:color w:val="000000"/>
          <w:sz w:val="24"/>
          <w:highlight w:val="none"/>
          <w:lang w:eastAsia="zh-CN"/>
        </w:rPr>
        <w:t>销售机构或</w:t>
      </w:r>
      <w:r>
        <w:rPr>
          <w:rFonts w:hint="eastAsia" w:ascii="宋体" w:hAnsi="宋体" w:cs="宋体"/>
          <w:bCs/>
          <w:color w:val="000000"/>
          <w:sz w:val="24"/>
          <w:highlight w:val="none"/>
        </w:rPr>
        <w:t>管理人所在地有管辖权的人民法院诉讼解决。</w:t>
      </w:r>
    </w:p>
    <w:p>
      <w:pPr>
        <w:numPr>
          <w:ilvl w:val="0"/>
          <w:numId w:val="5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rPr>
          <w:rFonts w:ascii="宋体" w:hAnsi="宋体" w:cs="宋体"/>
          <w:bCs/>
          <w:color w:val="000000"/>
          <w:sz w:val="24"/>
          <w:highlight w:val="none"/>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left"/>
      <w:rPr>
        <w:rFonts w:hint="default" w:eastAsia="宋体"/>
        <w:b/>
        <w:bCs/>
        <w:lang w:val="en-US" w:eastAsia="zh-CN"/>
      </w:rPr>
    </w:pPr>
    <w:r>
      <w:rPr>
        <w:rFonts w:hint="default" w:eastAsia="宋体"/>
        <w:b/>
        <w:bCs/>
        <w:color w:val="auto"/>
        <w:lang w:val="en-US" w:eastAsia="zh-CN"/>
      </w:rPr>
      <w:drawing>
        <wp:anchor distT="0" distB="0" distL="114300" distR="114300" simplePos="0" relativeHeight="251659264" behindDoc="1" locked="0" layoutInCell="1" allowOverlap="1">
          <wp:simplePos x="0" y="0"/>
          <wp:positionH relativeFrom="column">
            <wp:posOffset>5181600</wp:posOffset>
          </wp:positionH>
          <wp:positionV relativeFrom="paragraph">
            <wp:posOffset>-585470</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2"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b/>
        <w:bCs/>
        <w:color w:val="auto"/>
        <w:lang w:eastAsia="zh-CN"/>
      </w:rPr>
      <w:t>理财非存款</w:t>
    </w:r>
    <w:r>
      <w:rPr>
        <w:rFonts w:hint="eastAsia"/>
        <w:b/>
        <w:bCs/>
        <w:color w:val="auto"/>
        <w:lang w:val="en-US" w:eastAsia="zh-CN"/>
      </w:rPr>
      <w:t xml:space="preserve"> 产品有风险 投资须谨慎</w:t>
    </w:r>
    <w:r>
      <w:rPr>
        <w:rFonts w:hint="eastAsia"/>
        <w:b/>
        <w:bCs/>
        <w:color w:val="FF0000"/>
        <w:lang w:val="en-US" w:eastAsia="zh-CN"/>
      </w:rPr>
      <w:t xml:space="preserve">  </w:t>
    </w:r>
    <w:r>
      <w:rPr>
        <w:rFonts w:hint="eastAsia"/>
        <w:b/>
        <w:bCs/>
        <w:color w:val="auto"/>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79860"/>
    <w:multiLevelType w:val="singleLevel"/>
    <w:tmpl w:val="81879860"/>
    <w:lvl w:ilvl="0" w:tentative="0">
      <w:start w:val="8"/>
      <w:numFmt w:val="decimal"/>
      <w:suff w:val="nothing"/>
      <w:lvlText w:val="%1．"/>
      <w:lvlJc w:val="left"/>
      <w:pPr>
        <w:ind w:left="0" w:firstLine="403"/>
      </w:pPr>
      <w:rPr>
        <w:rFonts w:hint="default"/>
      </w:rPr>
    </w:lvl>
  </w:abstractNum>
  <w:abstractNum w:abstractNumId="1">
    <w:nsid w:val="85460E80"/>
    <w:multiLevelType w:val="singleLevel"/>
    <w:tmpl w:val="85460E80"/>
    <w:lvl w:ilvl="0" w:tentative="0">
      <w:start w:val="1"/>
      <w:numFmt w:val="decimal"/>
      <w:suff w:val="nothing"/>
      <w:lvlText w:val="（%1）"/>
      <w:lvlJc w:val="left"/>
      <w:rPr>
        <w:rFonts w:hint="default"/>
        <w:b w:val="0"/>
        <w:bCs w:val="0"/>
      </w:rPr>
    </w:lvl>
  </w:abstractNum>
  <w:abstractNum w:abstractNumId="2">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3">
    <w:nsid w:val="8906C252"/>
    <w:multiLevelType w:val="singleLevel"/>
    <w:tmpl w:val="8906C252"/>
    <w:lvl w:ilvl="0" w:tentative="0">
      <w:start w:val="1"/>
      <w:numFmt w:val="decimal"/>
      <w:suff w:val="nothing"/>
      <w:lvlText w:val="（%1）"/>
      <w:lvlJc w:val="left"/>
      <w:rPr>
        <w:rFonts w:hint="default"/>
        <w:b w:val="0"/>
        <w:bCs w:val="0"/>
      </w:rPr>
    </w:lvl>
  </w:abstractNum>
  <w:abstractNum w:abstractNumId="4">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5">
    <w:nsid w:val="8A61C70B"/>
    <w:multiLevelType w:val="singleLevel"/>
    <w:tmpl w:val="8A61C70B"/>
    <w:lvl w:ilvl="0" w:tentative="0">
      <w:start w:val="1"/>
      <w:numFmt w:val="decimal"/>
      <w:lvlText w:val="%1."/>
      <w:lvlJc w:val="left"/>
      <w:pPr>
        <w:tabs>
          <w:tab w:val="left" w:pos="312"/>
        </w:tabs>
      </w:pPr>
    </w:lvl>
  </w:abstractNum>
  <w:abstractNum w:abstractNumId="6">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7">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8">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9">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0">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1">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2">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3">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4">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15">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16">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17">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18">
    <w:nsid w:val="D51C2339"/>
    <w:multiLevelType w:val="singleLevel"/>
    <w:tmpl w:val="D51C2339"/>
    <w:lvl w:ilvl="0" w:tentative="0">
      <w:start w:val="1"/>
      <w:numFmt w:val="decimal"/>
      <w:suff w:val="nothing"/>
      <w:lvlText w:val="%1．"/>
      <w:lvlJc w:val="left"/>
      <w:pPr>
        <w:ind w:left="-2" w:firstLine="400"/>
      </w:pPr>
      <w:rPr>
        <w:rFonts w:hint="default" w:ascii="宋体" w:hAnsi="宋体" w:eastAsia="宋体" w:cs="宋体"/>
        <w:b/>
        <w:bCs/>
      </w:rPr>
    </w:lvl>
  </w:abstractNum>
  <w:abstractNum w:abstractNumId="19">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20">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1">
    <w:nsid w:val="D8D75090"/>
    <w:multiLevelType w:val="singleLevel"/>
    <w:tmpl w:val="D8D75090"/>
    <w:lvl w:ilvl="0" w:tentative="0">
      <w:start w:val="1"/>
      <w:numFmt w:val="decimal"/>
      <w:suff w:val="nothing"/>
      <w:lvlText w:val="（%1）"/>
      <w:lvlJc w:val="left"/>
      <w:rPr>
        <w:rFonts w:hint="default"/>
        <w:b w:val="0"/>
        <w:bCs w:val="0"/>
      </w:rPr>
    </w:lvl>
  </w:abstractNum>
  <w:abstractNum w:abstractNumId="22">
    <w:nsid w:val="DD2251DF"/>
    <w:multiLevelType w:val="singleLevel"/>
    <w:tmpl w:val="DD2251DF"/>
    <w:lvl w:ilvl="0" w:tentative="0">
      <w:start w:val="1"/>
      <w:numFmt w:val="decimal"/>
      <w:suff w:val="nothing"/>
      <w:lvlText w:val="（%1）"/>
      <w:lvlJc w:val="left"/>
      <w:rPr>
        <w:rFonts w:hint="default"/>
        <w:b w:val="0"/>
        <w:bCs w:val="0"/>
      </w:rPr>
    </w:lvl>
  </w:abstractNum>
  <w:abstractNum w:abstractNumId="23">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24">
    <w:nsid w:val="E70DF796"/>
    <w:multiLevelType w:val="singleLevel"/>
    <w:tmpl w:val="E70DF796"/>
    <w:lvl w:ilvl="0" w:tentative="0">
      <w:start w:val="1"/>
      <w:numFmt w:val="decimal"/>
      <w:suff w:val="nothing"/>
      <w:lvlText w:val="（%1）"/>
      <w:lvlJc w:val="left"/>
    </w:lvl>
  </w:abstractNum>
  <w:abstractNum w:abstractNumId="25">
    <w:nsid w:val="EFF37F09"/>
    <w:multiLevelType w:val="singleLevel"/>
    <w:tmpl w:val="EFF37F09"/>
    <w:lvl w:ilvl="0" w:tentative="0">
      <w:start w:val="1"/>
      <w:numFmt w:val="decimal"/>
      <w:suff w:val="nothing"/>
      <w:lvlText w:val="（%1）"/>
      <w:lvlJc w:val="left"/>
      <w:rPr>
        <w:rFonts w:hint="default"/>
        <w:b w:val="0"/>
        <w:bCs w:val="0"/>
      </w:rPr>
    </w:lvl>
  </w:abstractNum>
  <w:abstractNum w:abstractNumId="26">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27">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28">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29">
    <w:nsid w:val="F574F5B6"/>
    <w:multiLevelType w:val="singleLevel"/>
    <w:tmpl w:val="F574F5B6"/>
    <w:lvl w:ilvl="0" w:tentative="0">
      <w:start w:val="1"/>
      <w:numFmt w:val="decimal"/>
      <w:suff w:val="nothing"/>
      <w:lvlText w:val="（%1）"/>
      <w:lvlJc w:val="left"/>
    </w:lvl>
  </w:abstractNum>
  <w:abstractNum w:abstractNumId="30">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1">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2">
    <w:nsid w:val="084A6179"/>
    <w:multiLevelType w:val="singleLevel"/>
    <w:tmpl w:val="084A6179"/>
    <w:lvl w:ilvl="0" w:tentative="0">
      <w:start w:val="1"/>
      <w:numFmt w:val="decimal"/>
      <w:suff w:val="nothing"/>
      <w:lvlText w:val="（%1）"/>
      <w:lvlJc w:val="left"/>
      <w:rPr>
        <w:rFonts w:hint="default"/>
        <w:highlight w:val="none"/>
      </w:rPr>
    </w:lvl>
  </w:abstractNum>
  <w:abstractNum w:abstractNumId="33">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rPr>
    </w:lvl>
  </w:abstractNum>
  <w:abstractNum w:abstractNumId="34">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35">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36">
    <w:nsid w:val="167B0BB4"/>
    <w:multiLevelType w:val="singleLevel"/>
    <w:tmpl w:val="167B0BB4"/>
    <w:lvl w:ilvl="0" w:tentative="0">
      <w:start w:val="1"/>
      <w:numFmt w:val="decimal"/>
      <w:suff w:val="nothing"/>
      <w:lvlText w:val="（%1）"/>
      <w:lvlJc w:val="left"/>
    </w:lvl>
  </w:abstractNum>
  <w:abstractNum w:abstractNumId="37">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highlight w:val="none"/>
      </w:rPr>
    </w:lvl>
  </w:abstractNum>
  <w:abstractNum w:abstractNumId="38">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39">
    <w:nsid w:val="2A987C4E"/>
    <w:multiLevelType w:val="singleLevel"/>
    <w:tmpl w:val="2A987C4E"/>
    <w:lvl w:ilvl="0" w:tentative="0">
      <w:start w:val="5"/>
      <w:numFmt w:val="decimal"/>
      <w:suff w:val="nothing"/>
      <w:lvlText w:val="%1．"/>
      <w:lvlJc w:val="left"/>
      <w:pPr>
        <w:ind w:left="0" w:firstLine="403"/>
      </w:pPr>
      <w:rPr>
        <w:rFonts w:hint="default"/>
      </w:rPr>
    </w:lvl>
  </w:abstractNum>
  <w:abstractNum w:abstractNumId="40">
    <w:nsid w:val="2CB63BE6"/>
    <w:multiLevelType w:val="singleLevel"/>
    <w:tmpl w:val="2CB63BE6"/>
    <w:lvl w:ilvl="0" w:tentative="0">
      <w:start w:val="1"/>
      <w:numFmt w:val="decimal"/>
      <w:suff w:val="nothing"/>
      <w:lvlText w:val="（%1）"/>
      <w:lvlJc w:val="left"/>
      <w:rPr>
        <w:rFonts w:hint="default"/>
        <w:b w:val="0"/>
        <w:bCs w:val="0"/>
      </w:rPr>
    </w:lvl>
  </w:abstractNum>
  <w:abstractNum w:abstractNumId="41">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42">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43">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44">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45">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46">
    <w:nsid w:val="4A032168"/>
    <w:multiLevelType w:val="singleLevel"/>
    <w:tmpl w:val="4A032168"/>
    <w:lvl w:ilvl="0" w:tentative="0">
      <w:start w:val="4"/>
      <w:numFmt w:val="decimal"/>
      <w:suff w:val="nothing"/>
      <w:lvlText w:val="%1．"/>
      <w:lvlJc w:val="left"/>
      <w:pPr>
        <w:ind w:left="0" w:firstLine="403"/>
      </w:pPr>
      <w:rPr>
        <w:rFonts w:hint="default"/>
        <w:highlight w:val="none"/>
      </w:rPr>
    </w:lvl>
  </w:abstractNum>
  <w:abstractNum w:abstractNumId="47">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48">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49">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50">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51">
    <w:nsid w:val="5BA91325"/>
    <w:multiLevelType w:val="singleLevel"/>
    <w:tmpl w:val="5BA91325"/>
    <w:lvl w:ilvl="0" w:tentative="0">
      <w:start w:val="1"/>
      <w:numFmt w:val="decimal"/>
      <w:suff w:val="nothing"/>
      <w:lvlText w:val="（%1）"/>
      <w:lvlJc w:val="left"/>
    </w:lvl>
  </w:abstractNum>
  <w:abstractNum w:abstractNumId="52">
    <w:nsid w:val="61F30F62"/>
    <w:multiLevelType w:val="singleLevel"/>
    <w:tmpl w:val="61F30F62"/>
    <w:lvl w:ilvl="0" w:tentative="0">
      <w:start w:val="1"/>
      <w:numFmt w:val="decimal"/>
      <w:suff w:val="nothing"/>
      <w:lvlText w:val="（%1）"/>
      <w:lvlJc w:val="left"/>
      <w:rPr>
        <w:rFonts w:hint="default"/>
        <w:b w:val="0"/>
        <w:bCs w:val="0"/>
      </w:rPr>
    </w:lvl>
  </w:abstractNum>
  <w:abstractNum w:abstractNumId="53">
    <w:nsid w:val="6BA7AFBC"/>
    <w:multiLevelType w:val="singleLevel"/>
    <w:tmpl w:val="6BA7AFBC"/>
    <w:lvl w:ilvl="0" w:tentative="0">
      <w:start w:val="1"/>
      <w:numFmt w:val="chineseCounting"/>
      <w:suff w:val="nothing"/>
      <w:lvlText w:val="（%1）"/>
      <w:lvlJc w:val="left"/>
      <w:pPr>
        <w:ind w:left="0" w:firstLine="420"/>
      </w:pPr>
      <w:rPr>
        <w:rFonts w:hint="eastAsia"/>
      </w:rPr>
    </w:lvl>
  </w:abstractNum>
  <w:num w:numId="1">
    <w:abstractNumId w:val="49"/>
  </w:num>
  <w:num w:numId="2">
    <w:abstractNumId w:val="45"/>
  </w:num>
  <w:num w:numId="3">
    <w:abstractNumId w:val="30"/>
  </w:num>
  <w:num w:numId="4">
    <w:abstractNumId w:val="27"/>
  </w:num>
  <w:num w:numId="5">
    <w:abstractNumId w:val="34"/>
  </w:num>
  <w:num w:numId="6">
    <w:abstractNumId w:val="26"/>
  </w:num>
  <w:num w:numId="7">
    <w:abstractNumId w:val="18"/>
  </w:num>
  <w:num w:numId="8">
    <w:abstractNumId w:val="11"/>
  </w:num>
  <w:num w:numId="9">
    <w:abstractNumId w:val="15"/>
  </w:num>
  <w:num w:numId="10">
    <w:abstractNumId w:val="8"/>
  </w:num>
  <w:num w:numId="11">
    <w:abstractNumId w:val="5"/>
  </w:num>
  <w:num w:numId="12">
    <w:abstractNumId w:val="9"/>
  </w:num>
  <w:num w:numId="13">
    <w:abstractNumId w:val="7"/>
  </w:num>
  <w:num w:numId="14">
    <w:abstractNumId w:val="33"/>
  </w:num>
  <w:num w:numId="15">
    <w:abstractNumId w:val="44"/>
  </w:num>
  <w:num w:numId="16">
    <w:abstractNumId w:val="29"/>
  </w:num>
  <w:num w:numId="17">
    <w:abstractNumId w:val="46"/>
  </w:num>
  <w:num w:numId="18">
    <w:abstractNumId w:val="51"/>
  </w:num>
  <w:num w:numId="19">
    <w:abstractNumId w:val="39"/>
  </w:num>
  <w:num w:numId="20">
    <w:abstractNumId w:val="17"/>
  </w:num>
  <w:num w:numId="21">
    <w:abstractNumId w:val="38"/>
  </w:num>
  <w:num w:numId="22">
    <w:abstractNumId w:val="20"/>
  </w:num>
  <w:num w:numId="23">
    <w:abstractNumId w:val="6"/>
  </w:num>
  <w:num w:numId="24">
    <w:abstractNumId w:val="48"/>
  </w:num>
  <w:num w:numId="25">
    <w:abstractNumId w:val="4"/>
  </w:num>
  <w:num w:numId="26">
    <w:abstractNumId w:val="32"/>
  </w:num>
  <w:num w:numId="27">
    <w:abstractNumId w:val="37"/>
  </w:num>
  <w:num w:numId="28">
    <w:abstractNumId w:val="53"/>
  </w:num>
  <w:num w:numId="29">
    <w:abstractNumId w:val="31"/>
  </w:num>
  <w:num w:numId="30">
    <w:abstractNumId w:val="19"/>
  </w:num>
  <w:num w:numId="31">
    <w:abstractNumId w:val="41"/>
  </w:num>
  <w:num w:numId="32">
    <w:abstractNumId w:val="0"/>
  </w:num>
  <w:num w:numId="33">
    <w:abstractNumId w:val="22"/>
  </w:num>
  <w:num w:numId="34">
    <w:abstractNumId w:val="43"/>
  </w:num>
  <w:num w:numId="35">
    <w:abstractNumId w:val="2"/>
  </w:num>
  <w:num w:numId="36">
    <w:abstractNumId w:val="23"/>
  </w:num>
  <w:num w:numId="37">
    <w:abstractNumId w:val="14"/>
  </w:num>
  <w:num w:numId="38">
    <w:abstractNumId w:val="47"/>
  </w:num>
  <w:num w:numId="39">
    <w:abstractNumId w:val="35"/>
  </w:num>
  <w:num w:numId="40">
    <w:abstractNumId w:val="16"/>
  </w:num>
  <w:num w:numId="41">
    <w:abstractNumId w:val="28"/>
  </w:num>
  <w:num w:numId="42">
    <w:abstractNumId w:val="24"/>
  </w:num>
  <w:num w:numId="43">
    <w:abstractNumId w:val="25"/>
  </w:num>
  <w:num w:numId="44">
    <w:abstractNumId w:val="52"/>
  </w:num>
  <w:num w:numId="45">
    <w:abstractNumId w:val="40"/>
  </w:num>
  <w:num w:numId="46">
    <w:abstractNumId w:val="1"/>
  </w:num>
  <w:num w:numId="47">
    <w:abstractNumId w:val="50"/>
  </w:num>
  <w:num w:numId="48">
    <w:abstractNumId w:val="12"/>
  </w:num>
  <w:num w:numId="49">
    <w:abstractNumId w:val="10"/>
  </w:num>
  <w:num w:numId="50">
    <w:abstractNumId w:val="13"/>
  </w:num>
  <w:num w:numId="51">
    <w:abstractNumId w:val="36"/>
  </w:num>
  <w:num w:numId="52">
    <w:abstractNumId w:val="21"/>
  </w:num>
  <w:num w:numId="53">
    <w:abstractNumId w:val="3"/>
  </w:num>
  <w:num w:numId="5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OWZhYjNhMDcwZTUwMzk1N2Q1ZTljMmJlZmYyNzcifQ=="/>
  </w:docVars>
  <w:rsids>
    <w:rsidRoot w:val="00172A27"/>
    <w:rsid w:val="004A3A51"/>
    <w:rsid w:val="00D5498D"/>
    <w:rsid w:val="01364432"/>
    <w:rsid w:val="01523B8E"/>
    <w:rsid w:val="01E60817"/>
    <w:rsid w:val="01FD241C"/>
    <w:rsid w:val="0298358B"/>
    <w:rsid w:val="03A32FCF"/>
    <w:rsid w:val="046C4318"/>
    <w:rsid w:val="05E05E4D"/>
    <w:rsid w:val="06420CFA"/>
    <w:rsid w:val="06503B59"/>
    <w:rsid w:val="06CD31DB"/>
    <w:rsid w:val="06F301FD"/>
    <w:rsid w:val="0752555A"/>
    <w:rsid w:val="07E45984"/>
    <w:rsid w:val="0828699A"/>
    <w:rsid w:val="087D4021"/>
    <w:rsid w:val="08DE57E9"/>
    <w:rsid w:val="09155E8F"/>
    <w:rsid w:val="097E3F67"/>
    <w:rsid w:val="097E4163"/>
    <w:rsid w:val="09FE573C"/>
    <w:rsid w:val="0A0C6349"/>
    <w:rsid w:val="0A1347F5"/>
    <w:rsid w:val="0A1F3796"/>
    <w:rsid w:val="0A2A32B9"/>
    <w:rsid w:val="0B8E27E3"/>
    <w:rsid w:val="0BF71AE2"/>
    <w:rsid w:val="0C9C7394"/>
    <w:rsid w:val="0CA6603D"/>
    <w:rsid w:val="0CB44C8B"/>
    <w:rsid w:val="0D0B1B00"/>
    <w:rsid w:val="0D3F210A"/>
    <w:rsid w:val="0E36795A"/>
    <w:rsid w:val="0E4A4B6F"/>
    <w:rsid w:val="0E9465E2"/>
    <w:rsid w:val="0EAE473F"/>
    <w:rsid w:val="0EF65480"/>
    <w:rsid w:val="0F3349D0"/>
    <w:rsid w:val="0FC34204"/>
    <w:rsid w:val="10776FA2"/>
    <w:rsid w:val="10E7087B"/>
    <w:rsid w:val="10FA5463"/>
    <w:rsid w:val="11BA058F"/>
    <w:rsid w:val="12081858"/>
    <w:rsid w:val="12B62B3B"/>
    <w:rsid w:val="12F57C75"/>
    <w:rsid w:val="12F96486"/>
    <w:rsid w:val="13031153"/>
    <w:rsid w:val="13181417"/>
    <w:rsid w:val="135A629F"/>
    <w:rsid w:val="13CF7B8E"/>
    <w:rsid w:val="14B80FF2"/>
    <w:rsid w:val="14C57FED"/>
    <w:rsid w:val="150C5665"/>
    <w:rsid w:val="15485BE1"/>
    <w:rsid w:val="15C56302"/>
    <w:rsid w:val="15EB3C7C"/>
    <w:rsid w:val="160940BB"/>
    <w:rsid w:val="1659752C"/>
    <w:rsid w:val="168E6069"/>
    <w:rsid w:val="16E43A7F"/>
    <w:rsid w:val="175F7C56"/>
    <w:rsid w:val="17E446B8"/>
    <w:rsid w:val="185A3DA1"/>
    <w:rsid w:val="198C4B50"/>
    <w:rsid w:val="19BB4557"/>
    <w:rsid w:val="19DA4F78"/>
    <w:rsid w:val="19F13F4F"/>
    <w:rsid w:val="1A102675"/>
    <w:rsid w:val="1A276601"/>
    <w:rsid w:val="1A5F6E5F"/>
    <w:rsid w:val="1AFA5FFE"/>
    <w:rsid w:val="1B280245"/>
    <w:rsid w:val="1B581220"/>
    <w:rsid w:val="1B843575"/>
    <w:rsid w:val="1BBE4697"/>
    <w:rsid w:val="1CFF303E"/>
    <w:rsid w:val="1D177BAB"/>
    <w:rsid w:val="1D4D5B7F"/>
    <w:rsid w:val="1D4E6356"/>
    <w:rsid w:val="1D5076C2"/>
    <w:rsid w:val="1D552DD9"/>
    <w:rsid w:val="1DAB6D83"/>
    <w:rsid w:val="1E3173A3"/>
    <w:rsid w:val="1E792E51"/>
    <w:rsid w:val="1F0F5A19"/>
    <w:rsid w:val="1F1D6E1F"/>
    <w:rsid w:val="1F3E7F7D"/>
    <w:rsid w:val="1F51312D"/>
    <w:rsid w:val="1FC9553A"/>
    <w:rsid w:val="204D3B12"/>
    <w:rsid w:val="205A2AB3"/>
    <w:rsid w:val="209E00F9"/>
    <w:rsid w:val="20B6224D"/>
    <w:rsid w:val="21025026"/>
    <w:rsid w:val="21036497"/>
    <w:rsid w:val="21CE3241"/>
    <w:rsid w:val="222B5013"/>
    <w:rsid w:val="22A04AF7"/>
    <w:rsid w:val="22A73C8E"/>
    <w:rsid w:val="22D3594B"/>
    <w:rsid w:val="22F12819"/>
    <w:rsid w:val="234F46D7"/>
    <w:rsid w:val="23753F06"/>
    <w:rsid w:val="238E1AAE"/>
    <w:rsid w:val="24030B6D"/>
    <w:rsid w:val="24345B9A"/>
    <w:rsid w:val="245517BD"/>
    <w:rsid w:val="2483647E"/>
    <w:rsid w:val="256F076F"/>
    <w:rsid w:val="25AF7681"/>
    <w:rsid w:val="26820AF7"/>
    <w:rsid w:val="26C12605"/>
    <w:rsid w:val="272878A4"/>
    <w:rsid w:val="27947E62"/>
    <w:rsid w:val="27EB2573"/>
    <w:rsid w:val="292668E3"/>
    <w:rsid w:val="29361BBD"/>
    <w:rsid w:val="2A124404"/>
    <w:rsid w:val="2A1B5D68"/>
    <w:rsid w:val="2A5975B6"/>
    <w:rsid w:val="2A991D32"/>
    <w:rsid w:val="2AB92324"/>
    <w:rsid w:val="2AD6555A"/>
    <w:rsid w:val="2B376BE0"/>
    <w:rsid w:val="2B5B0398"/>
    <w:rsid w:val="2BC36E28"/>
    <w:rsid w:val="2C1B1E9D"/>
    <w:rsid w:val="2CAB68C5"/>
    <w:rsid w:val="2E354AE5"/>
    <w:rsid w:val="2EBC6D03"/>
    <w:rsid w:val="2F196945"/>
    <w:rsid w:val="2F1F666C"/>
    <w:rsid w:val="2FD32A37"/>
    <w:rsid w:val="30551FFC"/>
    <w:rsid w:val="311F702A"/>
    <w:rsid w:val="31A82883"/>
    <w:rsid w:val="320E3E15"/>
    <w:rsid w:val="327B27BD"/>
    <w:rsid w:val="32B15B31"/>
    <w:rsid w:val="32C937E9"/>
    <w:rsid w:val="333F6AA7"/>
    <w:rsid w:val="34622D78"/>
    <w:rsid w:val="3480359E"/>
    <w:rsid w:val="34BE4ED5"/>
    <w:rsid w:val="35476F5E"/>
    <w:rsid w:val="354D3F58"/>
    <w:rsid w:val="359A216E"/>
    <w:rsid w:val="35CB65AD"/>
    <w:rsid w:val="36631FD8"/>
    <w:rsid w:val="36880DAD"/>
    <w:rsid w:val="36C419F2"/>
    <w:rsid w:val="36E72D9B"/>
    <w:rsid w:val="36FD7080"/>
    <w:rsid w:val="379F2ED6"/>
    <w:rsid w:val="37CA172C"/>
    <w:rsid w:val="37DC2068"/>
    <w:rsid w:val="38071350"/>
    <w:rsid w:val="38224FD0"/>
    <w:rsid w:val="39775E90"/>
    <w:rsid w:val="39AC0F1B"/>
    <w:rsid w:val="39B95084"/>
    <w:rsid w:val="3A3E2041"/>
    <w:rsid w:val="3B131EF6"/>
    <w:rsid w:val="3B490D86"/>
    <w:rsid w:val="3BD74075"/>
    <w:rsid w:val="3C2F2290"/>
    <w:rsid w:val="3E7B7E25"/>
    <w:rsid w:val="3EA67C14"/>
    <w:rsid w:val="3EAD1B36"/>
    <w:rsid w:val="3ECB6A21"/>
    <w:rsid w:val="3F056B9E"/>
    <w:rsid w:val="3F354A62"/>
    <w:rsid w:val="3F773AFB"/>
    <w:rsid w:val="3FB01289"/>
    <w:rsid w:val="3FE233B8"/>
    <w:rsid w:val="3FF54C55"/>
    <w:rsid w:val="40181F9C"/>
    <w:rsid w:val="406370BC"/>
    <w:rsid w:val="40D71A49"/>
    <w:rsid w:val="40FB7670"/>
    <w:rsid w:val="41B60000"/>
    <w:rsid w:val="423C06E2"/>
    <w:rsid w:val="42815397"/>
    <w:rsid w:val="42C94634"/>
    <w:rsid w:val="45540446"/>
    <w:rsid w:val="458F3937"/>
    <w:rsid w:val="459F641E"/>
    <w:rsid w:val="45A93DC9"/>
    <w:rsid w:val="45BB5620"/>
    <w:rsid w:val="45EC58A2"/>
    <w:rsid w:val="45F127ED"/>
    <w:rsid w:val="46263D02"/>
    <w:rsid w:val="46CD66A0"/>
    <w:rsid w:val="472803B7"/>
    <w:rsid w:val="478411E4"/>
    <w:rsid w:val="488B59A4"/>
    <w:rsid w:val="48CC5267"/>
    <w:rsid w:val="494502E1"/>
    <w:rsid w:val="494C4325"/>
    <w:rsid w:val="49C202DA"/>
    <w:rsid w:val="4A010AC9"/>
    <w:rsid w:val="4A7F0ADF"/>
    <w:rsid w:val="4AA612F0"/>
    <w:rsid w:val="4B0D3113"/>
    <w:rsid w:val="4B182109"/>
    <w:rsid w:val="4BAC5E6D"/>
    <w:rsid w:val="4C1A730D"/>
    <w:rsid w:val="4C6B0DDA"/>
    <w:rsid w:val="4C6E1306"/>
    <w:rsid w:val="4C7368E1"/>
    <w:rsid w:val="4CC946ED"/>
    <w:rsid w:val="4CF979F4"/>
    <w:rsid w:val="4D8C0BC8"/>
    <w:rsid w:val="4E186164"/>
    <w:rsid w:val="4E247E9A"/>
    <w:rsid w:val="4E2F1033"/>
    <w:rsid w:val="4E8274B0"/>
    <w:rsid w:val="4E875576"/>
    <w:rsid w:val="4EA65BC4"/>
    <w:rsid w:val="4EFC1B31"/>
    <w:rsid w:val="4F2836A5"/>
    <w:rsid w:val="4FF363B3"/>
    <w:rsid w:val="501216FC"/>
    <w:rsid w:val="50565FE2"/>
    <w:rsid w:val="50B73634"/>
    <w:rsid w:val="51434E1B"/>
    <w:rsid w:val="51504FE6"/>
    <w:rsid w:val="5270265F"/>
    <w:rsid w:val="546534B9"/>
    <w:rsid w:val="54E91D9C"/>
    <w:rsid w:val="550F1EA3"/>
    <w:rsid w:val="55A47BB4"/>
    <w:rsid w:val="56B44788"/>
    <w:rsid w:val="57481AEB"/>
    <w:rsid w:val="57B655F7"/>
    <w:rsid w:val="57BB6218"/>
    <w:rsid w:val="57FF3AAA"/>
    <w:rsid w:val="58DD2EEE"/>
    <w:rsid w:val="58E96C7A"/>
    <w:rsid w:val="59263C31"/>
    <w:rsid w:val="59AD3C67"/>
    <w:rsid w:val="5A4B183F"/>
    <w:rsid w:val="5B0D630F"/>
    <w:rsid w:val="5B602150"/>
    <w:rsid w:val="5B9919B4"/>
    <w:rsid w:val="5BB70148"/>
    <w:rsid w:val="5C107127"/>
    <w:rsid w:val="5C3C3DDC"/>
    <w:rsid w:val="5D160516"/>
    <w:rsid w:val="5D713BC5"/>
    <w:rsid w:val="5D7D0F36"/>
    <w:rsid w:val="5DB61BFF"/>
    <w:rsid w:val="5DEF454B"/>
    <w:rsid w:val="5E5A6C63"/>
    <w:rsid w:val="5F3C6712"/>
    <w:rsid w:val="5F4B58F3"/>
    <w:rsid w:val="6053481F"/>
    <w:rsid w:val="60553A8D"/>
    <w:rsid w:val="606E0DED"/>
    <w:rsid w:val="60AB2000"/>
    <w:rsid w:val="61BE3E8C"/>
    <w:rsid w:val="61C97391"/>
    <w:rsid w:val="61D85325"/>
    <w:rsid w:val="62860AAA"/>
    <w:rsid w:val="628B7CEE"/>
    <w:rsid w:val="629D5796"/>
    <w:rsid w:val="6382523F"/>
    <w:rsid w:val="63FA4C5C"/>
    <w:rsid w:val="64102A52"/>
    <w:rsid w:val="64BC6713"/>
    <w:rsid w:val="66F54088"/>
    <w:rsid w:val="671E2162"/>
    <w:rsid w:val="67C2281F"/>
    <w:rsid w:val="680C1A56"/>
    <w:rsid w:val="684F0C72"/>
    <w:rsid w:val="68D8721E"/>
    <w:rsid w:val="6A831914"/>
    <w:rsid w:val="6B610D05"/>
    <w:rsid w:val="6BAC21D5"/>
    <w:rsid w:val="6CED1CB3"/>
    <w:rsid w:val="6D3B42C3"/>
    <w:rsid w:val="6D571DD8"/>
    <w:rsid w:val="6D5A3D63"/>
    <w:rsid w:val="6D9A4080"/>
    <w:rsid w:val="6DFD5353"/>
    <w:rsid w:val="6E7E575F"/>
    <w:rsid w:val="6EC27507"/>
    <w:rsid w:val="6EF15941"/>
    <w:rsid w:val="6F926461"/>
    <w:rsid w:val="6F9921A1"/>
    <w:rsid w:val="6FA453FA"/>
    <w:rsid w:val="720B7A64"/>
    <w:rsid w:val="720F6016"/>
    <w:rsid w:val="73407EBD"/>
    <w:rsid w:val="73932176"/>
    <w:rsid w:val="73EF4563"/>
    <w:rsid w:val="74037319"/>
    <w:rsid w:val="74175679"/>
    <w:rsid w:val="744124AA"/>
    <w:rsid w:val="74664F47"/>
    <w:rsid w:val="756E538F"/>
    <w:rsid w:val="75D950C9"/>
    <w:rsid w:val="76F41323"/>
    <w:rsid w:val="77100360"/>
    <w:rsid w:val="778222EA"/>
    <w:rsid w:val="77A30DC4"/>
    <w:rsid w:val="77E0572E"/>
    <w:rsid w:val="77ED4104"/>
    <w:rsid w:val="78EF4372"/>
    <w:rsid w:val="79771B00"/>
    <w:rsid w:val="7980282D"/>
    <w:rsid w:val="798F6426"/>
    <w:rsid w:val="79B94653"/>
    <w:rsid w:val="7ACA272A"/>
    <w:rsid w:val="7B055D33"/>
    <w:rsid w:val="7B0E7C70"/>
    <w:rsid w:val="7B2E004A"/>
    <w:rsid w:val="7B76641B"/>
    <w:rsid w:val="7BBF1397"/>
    <w:rsid w:val="7C1C102D"/>
    <w:rsid w:val="7CED52DC"/>
    <w:rsid w:val="7E6F339A"/>
    <w:rsid w:val="7E810662"/>
    <w:rsid w:val="7ED67E61"/>
    <w:rsid w:val="7F590A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4"/>
      <w:szCs w:val="24"/>
      <w:lang w:val="en-US" w:eastAsia="zh-CN" w:bidi="ar-SA"/>
    </w:rPr>
  </w:style>
  <w:style w:type="paragraph" w:styleId="2">
    <w:name w:val="heading 1"/>
    <w:basedOn w:val="1"/>
    <w:next w:val="1"/>
    <w:link w:val="21"/>
    <w:qFormat/>
    <w:uiPriority w:val="0"/>
    <w:pPr>
      <w:keepNext/>
      <w:keepLines/>
      <w:spacing w:before="100" w:beforeLines="0" w:beforeAutospacing="0" w:after="90" w:afterLines="0" w:afterAutospacing="0" w:line="240" w:lineRule="auto"/>
      <w:jc w:val="center"/>
      <w:outlineLvl w:val="0"/>
    </w:pPr>
    <w:rPr>
      <w:rFonts w:eastAsia="宋体"/>
      <w:b/>
      <w:kern w:val="44"/>
      <w:sz w:val="44"/>
    </w:rPr>
  </w:style>
  <w:style w:type="paragraph" w:styleId="3">
    <w:name w:val="heading 2"/>
    <w:basedOn w:val="1"/>
    <w:next w:val="1"/>
    <w:link w:val="20"/>
    <w:unhideWhenUsed/>
    <w:qFormat/>
    <w:uiPriority w:val="0"/>
    <w:pPr>
      <w:keepNext/>
      <w:keepLines/>
      <w:spacing w:before="20" w:beforeLines="0" w:beforeAutospacing="0" w:after="20" w:afterLines="0" w:afterAutospacing="0" w:line="240" w:lineRule="auto"/>
      <w:outlineLvl w:val="1"/>
    </w:pPr>
    <w:rPr>
      <w:rFonts w:ascii="Arial" w:hAnsi="Arial" w:eastAsia="宋体"/>
      <w:b/>
      <w:sz w:val="24"/>
    </w:rPr>
  </w:style>
  <w:style w:type="paragraph" w:styleId="4">
    <w:name w:val="heading 3"/>
    <w:basedOn w:val="1"/>
    <w:next w:val="1"/>
    <w:link w:val="22"/>
    <w:unhideWhenUsed/>
    <w:qFormat/>
    <w:uiPriority w:val="0"/>
    <w:pPr>
      <w:keepNext/>
      <w:keepLines/>
      <w:spacing w:before="20" w:beforeLines="0" w:beforeAutospacing="0" w:after="20" w:afterLines="0" w:afterAutospacing="0" w:line="360" w:lineRule="auto"/>
      <w:outlineLvl w:val="2"/>
    </w:pPr>
    <w:rPr>
      <w:rFonts w:hAnsi="Calibri" w:eastAsia="宋体"/>
      <w:b/>
      <w:sz w:val="24"/>
    </w:rPr>
  </w:style>
  <w:style w:type="character" w:default="1" w:styleId="13">
    <w:name w:val="Default Paragraph Font"/>
    <w:semiHidden/>
    <w:qFormat/>
    <w:uiPriority w:val="0"/>
  </w:style>
  <w:style w:type="table" w:default="1" w:styleId="11">
    <w:name w:val="Normal Table"/>
    <w:unhideWhenUsed/>
    <w:uiPriority w:val="99"/>
    <w:tblPr>
      <w:tblStyle w:val="11"/>
      <w:tblLayout w:type="fixed"/>
      <w:tblCellMar>
        <w:top w:w="0" w:type="dxa"/>
        <w:left w:w="108" w:type="dxa"/>
        <w:bottom w:w="0" w:type="dxa"/>
        <w:right w:w="108" w:type="dxa"/>
      </w:tblCellMar>
    </w:tblPr>
  </w:style>
  <w:style w:type="paragraph" w:styleId="5">
    <w:name w:val="annotation text"/>
    <w:basedOn w:val="1"/>
    <w:link w:val="19"/>
    <w:uiPriority w:val="0"/>
    <w:pPr>
      <w:jc w:val="left"/>
    </w:pPr>
  </w:style>
  <w:style w:type="paragraph" w:styleId="6">
    <w:name w:val="Balloon Text"/>
    <w:basedOn w:val="1"/>
    <w:link w:val="23"/>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iPriority w:val="0"/>
    <w:rPr>
      <w:sz w:val="24"/>
    </w:rPr>
  </w:style>
  <w:style w:type="paragraph" w:styleId="10">
    <w:name w:val="annotation subject"/>
    <w:basedOn w:val="5"/>
    <w:next w:val="5"/>
    <w:link w:val="24"/>
    <w:uiPriority w:val="0"/>
    <w:rPr>
      <w:b/>
      <w:bCs/>
    </w:rPr>
  </w:style>
  <w:style w:type="table" w:styleId="12">
    <w:name w:val="Table Grid"/>
    <w:basedOn w:val="11"/>
    <w:unhideWhenUsed/>
    <w:uiPriority w:val="99"/>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qFormat/>
    <w:uiPriority w:val="0"/>
    <w:rPr>
      <w:color w:val="0000FF"/>
      <w:u w:val="single"/>
    </w:rPr>
  </w:style>
  <w:style w:type="character" w:styleId="15">
    <w:name w:val="annotation reference"/>
    <w:uiPriority w:val="0"/>
    <w:rPr>
      <w:sz w:val="21"/>
      <w:szCs w:val="21"/>
    </w:rPr>
  </w:style>
  <w:style w:type="paragraph" w:customStyle="1" w:styleId="16">
    <w:name w:val="Default"/>
    <w:qFormat/>
    <w:uiPriority w:val="0"/>
    <w:pPr>
      <w:widowControl w:val="0"/>
      <w:autoSpaceDE w:val="0"/>
      <w:autoSpaceDN w:val="0"/>
      <w:adjustRightInd w:val="0"/>
    </w:pPr>
    <w:rPr>
      <w:color w:val="000000"/>
      <w:sz w:val="24"/>
      <w:szCs w:val="24"/>
      <w:lang w:val="en-US" w:eastAsia="zh-CN" w:bidi="ar-SA"/>
    </w:rPr>
  </w:style>
  <w:style w:type="paragraph" w:customStyle="1" w:styleId="17">
    <w:name w:val="List Paragraph"/>
    <w:basedOn w:val="1"/>
    <w:unhideWhenUsed/>
    <w:uiPriority w:val="99"/>
    <w:pPr>
      <w:ind w:firstLine="420" w:firstLineChars="200"/>
    </w:pPr>
  </w:style>
  <w:style w:type="paragraph" w:customStyle="1" w:styleId="18">
    <w:name w:val="样式1"/>
    <w:basedOn w:val="1"/>
    <w:next w:val="1"/>
    <w:uiPriority w:val="0"/>
    <w:pPr>
      <w:keepNext/>
      <w:keepLines/>
      <w:spacing w:before="340" w:beforeLines="0" w:after="330" w:afterLines="0" w:line="576" w:lineRule="auto"/>
      <w:outlineLvl w:val="0"/>
    </w:pPr>
    <w:rPr>
      <w:rFonts w:hint="eastAsia"/>
      <w:b/>
      <w:kern w:val="44"/>
      <w:sz w:val="44"/>
    </w:rPr>
  </w:style>
  <w:style w:type="character" w:customStyle="1" w:styleId="19">
    <w:name w:val="批注文字 Char"/>
    <w:link w:val="5"/>
    <w:uiPriority w:val="0"/>
    <w:rPr>
      <w:rFonts w:ascii="Calibri" w:hAnsi="Calibri" w:cs="黑体"/>
      <w:kern w:val="2"/>
      <w:sz w:val="21"/>
      <w:szCs w:val="24"/>
    </w:rPr>
  </w:style>
  <w:style w:type="character" w:customStyle="1" w:styleId="20">
    <w:name w:val="标题 2 Char"/>
    <w:link w:val="3"/>
    <w:uiPriority w:val="0"/>
    <w:rPr>
      <w:rFonts w:ascii="Arial" w:hAnsi="Arial" w:eastAsia="宋体"/>
      <w:b/>
      <w:sz w:val="24"/>
    </w:rPr>
  </w:style>
  <w:style w:type="character" w:customStyle="1" w:styleId="21">
    <w:name w:val="标题 1 Char"/>
    <w:link w:val="2"/>
    <w:uiPriority w:val="0"/>
    <w:rPr>
      <w:rFonts w:eastAsia="宋体"/>
      <w:b/>
      <w:kern w:val="44"/>
      <w:sz w:val="44"/>
    </w:rPr>
  </w:style>
  <w:style w:type="character" w:customStyle="1" w:styleId="22">
    <w:name w:val="标题 3 Char"/>
    <w:link w:val="4"/>
    <w:uiPriority w:val="0"/>
    <w:rPr>
      <w:rFonts w:hAnsi="Calibri" w:eastAsia="宋体"/>
      <w:b/>
      <w:sz w:val="24"/>
    </w:rPr>
  </w:style>
  <w:style w:type="character" w:customStyle="1" w:styleId="23">
    <w:name w:val="批注框文本 Char"/>
    <w:link w:val="6"/>
    <w:uiPriority w:val="0"/>
    <w:rPr>
      <w:rFonts w:ascii="Calibri" w:hAnsi="Calibri" w:cs="黑体"/>
      <w:kern w:val="2"/>
      <w:sz w:val="18"/>
      <w:szCs w:val="18"/>
    </w:rPr>
  </w:style>
  <w:style w:type="character" w:customStyle="1" w:styleId="24">
    <w:name w:val="批注主题 Char"/>
    <w:link w:val="10"/>
    <w:uiPriority w:val="0"/>
    <w:rPr>
      <w:rFonts w:ascii="Calibri" w:hAnsi="Calibri" w:cs="黑体"/>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36598</Words>
  <Characters>38992</Characters>
  <Lines>1</Lines>
  <Paragraphs>1</Paragraphs>
  <TotalTime>6</TotalTime>
  <ScaleCrop>false</ScaleCrop>
  <LinksUpToDate>false</LinksUpToDate>
  <CharactersWithSpaces>39219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陈舒虹</dc:creator>
  <cp:lastModifiedBy>hccb</cp:lastModifiedBy>
  <dcterms:modified xsi:type="dcterms:W3CDTF">2025-04-08T06:11:57Z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06A49D61929F4201B4ADB8DA4C945300</vt:lpwstr>
  </property>
</Properties>
</file>