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ascii="楷体" w:hAnsi="楷体" w:eastAsia="楷体"/>
          <w:highlight w:val="none"/>
        </w:rPr>
      </w:pPr>
      <w:r>
        <w:rPr>
          <w:highlight w:val="none"/>
        </w:rPr>
        <mc:AlternateContent>
          <mc:Choice Requires="wps">
            <w:drawing>
              <wp:anchor distT="45720" distB="45720" distL="114300" distR="114300" simplePos="0" relativeHeight="251663360" behindDoc="0" locked="0" layoutInCell="1" allowOverlap="1">
                <wp:simplePos x="0" y="0"/>
                <wp:positionH relativeFrom="margin">
                  <wp:posOffset>-193040</wp:posOffset>
                </wp:positionH>
                <wp:positionV relativeFrom="paragraph">
                  <wp:posOffset>163195</wp:posOffset>
                </wp:positionV>
                <wp:extent cx="5834380" cy="2642870"/>
                <wp:effectExtent l="0" t="0" r="13970" b="2413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34380" cy="2642870"/>
                        </a:xfrm>
                        <a:prstGeom prst="rect">
                          <a:avLst/>
                        </a:prstGeom>
                        <a:solidFill>
                          <a:srgbClr val="FFFFFF"/>
                        </a:solidFill>
                        <a:ln w="9525">
                          <a:solidFill>
                            <a:srgbClr val="000000"/>
                          </a:solidFill>
                          <a:miter lim="800000"/>
                        </a:ln>
                        <a:effectLst/>
                      </wps:spPr>
                      <wps:txbx>
                        <w:txbxContent>
                          <w:p>
                            <w:pPr>
                              <w:jc w:val="center"/>
                              <w:rPr>
                                <w:rFonts w:ascii="楷体" w:hAnsi="楷体" w:eastAsia="楷体"/>
                                <w:b/>
                                <w:bCs/>
                                <w:sz w:val="28"/>
                                <w:szCs w:val="32"/>
                              </w:rPr>
                            </w:pPr>
                            <w:r>
                              <w:rPr>
                                <w:rFonts w:ascii="楷体" w:hAnsi="楷体" w:eastAsia="楷体"/>
                                <w:b/>
                                <w:bCs/>
                                <w:sz w:val="28"/>
                                <w:szCs w:val="32"/>
                              </w:rPr>
                              <w:t>特别</w:t>
                            </w:r>
                            <w:r>
                              <w:rPr>
                                <w:rFonts w:hint="eastAsia" w:ascii="楷体" w:hAnsi="楷体" w:eastAsia="楷体"/>
                                <w:b/>
                                <w:bCs/>
                                <w:sz w:val="28"/>
                                <w:szCs w:val="32"/>
                              </w:rPr>
                              <w:t>提示</w:t>
                            </w:r>
                          </w:p>
                          <w:p>
                            <w:pPr>
                              <w:numPr>
                                <w:ilvl w:val="0"/>
                                <w:numId w:val="1"/>
                              </w:numPr>
                              <w:jc w:val="left"/>
                              <w:rPr>
                                <w:rFonts w:ascii="楷体" w:hAnsi="楷体" w:eastAsia="楷体"/>
                                <w:b/>
                                <w:u w:val="single"/>
                              </w:rPr>
                            </w:pPr>
                            <w:r>
                              <w:rPr>
                                <w:rFonts w:hint="eastAsia" w:ascii="楷体" w:hAnsi="楷体" w:eastAsia="楷体"/>
                                <w:b/>
                                <w:u w:val="single"/>
                              </w:rPr>
                              <w:t>本产品销售机构可为投资者提供每个自然日1万元额度的“快速赎回”增值服务，客户可通过销售机构进行快速赎回，如无特殊情况，快速赎回资金将于赎回申请日当日到账。特别说明“快速赎回”为本理财产品的增值服务，非法定义务，是否开通以销售机构设置为准，“快速赎回”业务处理规则以销售机构的快速赎回服务协议约定为准。销售机构因特殊情况（包括但不限于专门用于快速赎回业务的账户异常或账户余额不足等）无法继续提供快速赎回服务的，销售机构有权暂停或终止“快速赎回”业务，这可能影响您的资金使用安排。</w:t>
                            </w:r>
                          </w:p>
                          <w:p>
                            <w:pPr>
                              <w:numPr>
                                <w:ilvl w:val="0"/>
                                <w:numId w:val="1"/>
                              </w:numPr>
                              <w:jc w:val="left"/>
                              <w:rPr>
                                <w:rFonts w:ascii="楷体" w:hAnsi="楷体" w:eastAsia="楷体"/>
                                <w:b/>
                                <w:u w:val="single"/>
                              </w:rPr>
                            </w:pPr>
                            <w:r>
                              <w:rPr>
                                <w:rFonts w:hint="eastAsia" w:ascii="楷体" w:hAnsi="楷体" w:eastAsia="楷体"/>
                                <w:b/>
                                <w:u w:val="single"/>
                              </w:rPr>
                              <w:t>份额确认前投资者已扣划的申购资金属于在途待确认份额状态，苏银理财不计付在途资金从扣款日至份额确认日间的利息。</w:t>
                            </w:r>
                          </w:p>
                          <w:p>
                            <w:pPr>
                              <w:numPr>
                                <w:ilvl w:val="0"/>
                                <w:numId w:val="1"/>
                              </w:numPr>
                              <w:jc w:val="left"/>
                              <w:rPr>
                                <w:rFonts w:ascii="楷体" w:hAnsi="楷体" w:eastAsia="楷体"/>
                                <w:b/>
                                <w:u w:val="single"/>
                              </w:rPr>
                            </w:pPr>
                            <w:r>
                              <w:rPr>
                                <w:rFonts w:hint="eastAsia" w:ascii="楷体" w:hAnsi="楷体" w:eastAsia="楷体"/>
                                <w:b/>
                                <w:u w:val="single"/>
                              </w:rPr>
                              <w:t>本产品每日分红、红利再投，客户继续持有的红利份额可参与后续理财产品投资收益分配。</w:t>
                            </w:r>
                          </w:p>
                          <w:p>
                            <w:pPr>
                              <w:numPr>
                                <w:ilvl w:val="0"/>
                                <w:numId w:val="1"/>
                              </w:numPr>
                              <w:jc w:val="left"/>
                              <w:rPr>
                                <w:rFonts w:ascii="楷体" w:hAnsi="楷体" w:eastAsia="楷体"/>
                                <w:b/>
                                <w:u w:val="single"/>
                              </w:rPr>
                            </w:pPr>
                            <w:r>
                              <w:rPr>
                                <w:rFonts w:hint="eastAsia" w:ascii="楷体" w:hAnsi="楷体" w:eastAsia="楷体"/>
                                <w:b/>
                                <w:u w:val="single"/>
                              </w:rPr>
                              <w:t>客户服务热线：95319-</w:t>
                            </w:r>
                            <w:r>
                              <w:rPr>
                                <w:rFonts w:hint="eastAsia" w:ascii="楷体" w:hAnsi="楷体" w:eastAsia="楷体"/>
                                <w:b/>
                                <w:u w:val="single"/>
                                <w:lang w:val="en-US" w:eastAsia="zh-CN"/>
                              </w:rPr>
                              <w:t>8-2</w:t>
                            </w:r>
                            <w:r>
                              <w:rPr>
                                <w:rFonts w:hint="eastAsia" w:ascii="楷体" w:hAnsi="楷体" w:eastAsia="楷体"/>
                                <w:b/>
                                <w:u w:val="single"/>
                              </w:rPr>
                              <w:t>。</w:t>
                            </w:r>
                          </w:p>
                          <w:p>
                            <w:pPr>
                              <w:ind w:right="115" w:rightChars="55"/>
                              <w:rPr>
                                <w:rFonts w:ascii="楷体" w:hAnsi="楷体" w:eastAsia="楷体"/>
                              </w:rPr>
                            </w:pPr>
                            <w:r>
                              <w:rPr>
                                <w:rFonts w:hint="eastAsia" w:ascii="楷体" w:hAnsi="楷体" w:eastAsia="楷体"/>
                              </w:rPr>
                              <w:t>以上为本产品的特别提示，详细内容请仔细阅读理财产品合同。</w:t>
                            </w:r>
                          </w:p>
                          <w:p>
                            <w:pPr>
                              <w:ind w:right="115" w:rightChars="55"/>
                              <w:rPr>
                                <w:rFonts w:ascii="楷体" w:hAnsi="楷体" w:eastAsia="楷体"/>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2pt;margin-top:12.85pt;height:208.1pt;width:459.4pt;mso-position-horizontal-relative:margin;mso-wrap-distance-bottom:3.6pt;mso-wrap-distance-left:9pt;mso-wrap-distance-right:9pt;mso-wrap-distance-top:3.6pt;z-index:251663360;mso-width-relative:page;mso-height-relative:page;" fillcolor="#FFFFFF" filled="t" stroked="t" coordsize="21600,21600" o:gfxdata="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NYB2LaAAAACgEAAA8AAAAAAAAA&#10;AQAgAAAAIgAAAGRycy9kb3ducmV2LnhtbFBLAQIUABQAAAAIAIdO4kDf+p+OSAIAAJYEAAAOAAAA&#10;AAAAAAEAIAAAACkBAABkcnMvZTJvRG9jLnhtbFBLBQYAAAAABgAGAFkBAADjBQAAAAA=&#10;">
                <v:fill on="t" focussize="0,0"/>
                <v:stroke color="#000000" miterlimit="8" joinstyle="miter"/>
                <v:imagedata o:title=""/>
                <o:lock v:ext="edit" aspectratio="f"/>
                <v:textbox>
                  <w:txbxContent>
                    <w:p>
                      <w:pPr>
                        <w:jc w:val="center"/>
                        <w:rPr>
                          <w:rFonts w:ascii="楷体" w:hAnsi="楷体" w:eastAsia="楷体"/>
                          <w:b/>
                          <w:bCs/>
                          <w:sz w:val="28"/>
                          <w:szCs w:val="32"/>
                        </w:rPr>
                      </w:pPr>
                      <w:r>
                        <w:rPr>
                          <w:rFonts w:ascii="楷体" w:hAnsi="楷体" w:eastAsia="楷体"/>
                          <w:b/>
                          <w:bCs/>
                          <w:sz w:val="28"/>
                          <w:szCs w:val="32"/>
                        </w:rPr>
                        <w:t>特别</w:t>
                      </w:r>
                      <w:r>
                        <w:rPr>
                          <w:rFonts w:hint="eastAsia" w:ascii="楷体" w:hAnsi="楷体" w:eastAsia="楷体"/>
                          <w:b/>
                          <w:bCs/>
                          <w:sz w:val="28"/>
                          <w:szCs w:val="32"/>
                        </w:rPr>
                        <w:t>提示</w:t>
                      </w:r>
                    </w:p>
                    <w:p>
                      <w:pPr>
                        <w:numPr>
                          <w:ilvl w:val="0"/>
                          <w:numId w:val="1"/>
                        </w:numPr>
                        <w:jc w:val="left"/>
                        <w:rPr>
                          <w:rFonts w:ascii="楷体" w:hAnsi="楷体" w:eastAsia="楷体"/>
                          <w:b/>
                          <w:u w:val="single"/>
                        </w:rPr>
                      </w:pPr>
                      <w:r>
                        <w:rPr>
                          <w:rFonts w:hint="eastAsia" w:ascii="楷体" w:hAnsi="楷体" w:eastAsia="楷体"/>
                          <w:b/>
                          <w:u w:val="single"/>
                        </w:rPr>
                        <w:t>本产品销售机构可为投资者提供每个自然日1万元额度的“快速赎回”增值服务，客户可通过销售机构进行快速赎回，如无特殊情况，快速赎回资金将于赎回申请日当日到账。特别说明“快速赎回”为本理财产品的增值服务，非法定义务，是否开通以销售机构设置为准，“快速赎回”业务处理规则以销售机构的快速赎回服务协议约定为准。销售机构因特殊情况（包括但不限于专门用于快速赎回业务的账户异常或账户余额不足等）无法继续提供快速赎回服务的，销售机构有权暂停或终止“快速赎回”业务，这可能影响您的资金使用安排。</w:t>
                      </w:r>
                    </w:p>
                    <w:p>
                      <w:pPr>
                        <w:numPr>
                          <w:ilvl w:val="0"/>
                          <w:numId w:val="1"/>
                        </w:numPr>
                        <w:jc w:val="left"/>
                        <w:rPr>
                          <w:rFonts w:ascii="楷体" w:hAnsi="楷体" w:eastAsia="楷体"/>
                          <w:b/>
                          <w:u w:val="single"/>
                        </w:rPr>
                      </w:pPr>
                      <w:r>
                        <w:rPr>
                          <w:rFonts w:hint="eastAsia" w:ascii="楷体" w:hAnsi="楷体" w:eastAsia="楷体"/>
                          <w:b/>
                          <w:u w:val="single"/>
                        </w:rPr>
                        <w:t>份额确认前投资者已扣划的申购资金属于在途待确认份额状态，苏银理财不计付在途资金从扣款日至份额确认日间的利息。</w:t>
                      </w:r>
                    </w:p>
                    <w:p>
                      <w:pPr>
                        <w:numPr>
                          <w:ilvl w:val="0"/>
                          <w:numId w:val="1"/>
                        </w:numPr>
                        <w:jc w:val="left"/>
                        <w:rPr>
                          <w:rFonts w:ascii="楷体" w:hAnsi="楷体" w:eastAsia="楷体"/>
                          <w:b/>
                          <w:u w:val="single"/>
                        </w:rPr>
                      </w:pPr>
                      <w:r>
                        <w:rPr>
                          <w:rFonts w:hint="eastAsia" w:ascii="楷体" w:hAnsi="楷体" w:eastAsia="楷体"/>
                          <w:b/>
                          <w:u w:val="single"/>
                        </w:rPr>
                        <w:t>本产品每日分红、红利再投，客户继续持有的红利份额可参与后续理财产品投资收益分配。</w:t>
                      </w:r>
                    </w:p>
                    <w:p>
                      <w:pPr>
                        <w:numPr>
                          <w:ilvl w:val="0"/>
                          <w:numId w:val="1"/>
                        </w:numPr>
                        <w:jc w:val="left"/>
                        <w:rPr>
                          <w:rFonts w:ascii="楷体" w:hAnsi="楷体" w:eastAsia="楷体"/>
                          <w:b/>
                          <w:u w:val="single"/>
                        </w:rPr>
                      </w:pPr>
                      <w:r>
                        <w:rPr>
                          <w:rFonts w:hint="eastAsia" w:ascii="楷体" w:hAnsi="楷体" w:eastAsia="楷体"/>
                          <w:b/>
                          <w:u w:val="single"/>
                        </w:rPr>
                        <w:t>客户服务热线：95319-</w:t>
                      </w:r>
                      <w:r>
                        <w:rPr>
                          <w:rFonts w:hint="eastAsia" w:ascii="楷体" w:hAnsi="楷体" w:eastAsia="楷体"/>
                          <w:b/>
                          <w:u w:val="single"/>
                          <w:lang w:val="en-US" w:eastAsia="zh-CN"/>
                        </w:rPr>
                        <w:t>8-2</w:t>
                      </w:r>
                      <w:r>
                        <w:rPr>
                          <w:rFonts w:hint="eastAsia" w:ascii="楷体" w:hAnsi="楷体" w:eastAsia="楷体"/>
                          <w:b/>
                          <w:u w:val="single"/>
                        </w:rPr>
                        <w:t>。</w:t>
                      </w:r>
                    </w:p>
                    <w:p>
                      <w:pPr>
                        <w:ind w:right="115" w:rightChars="55"/>
                        <w:rPr>
                          <w:rFonts w:ascii="楷体" w:hAnsi="楷体" w:eastAsia="楷体"/>
                        </w:rPr>
                      </w:pPr>
                      <w:r>
                        <w:rPr>
                          <w:rFonts w:hint="eastAsia" w:ascii="楷体" w:hAnsi="楷体" w:eastAsia="楷体"/>
                        </w:rPr>
                        <w:t>以上为本产品的特别提示，详细内容请仔细阅读理财产品合同。</w:t>
                      </w:r>
                    </w:p>
                    <w:p>
                      <w:pPr>
                        <w:ind w:right="115" w:rightChars="55"/>
                        <w:rPr>
                          <w:rFonts w:ascii="楷体" w:hAnsi="楷体" w:eastAsia="楷体"/>
                        </w:rPr>
                      </w:pPr>
                    </w:p>
                  </w:txbxContent>
                </v:textbox>
                <w10:wrap type="square"/>
              </v:shape>
            </w:pict>
          </mc:Fallback>
        </mc:AlternateContent>
      </w:r>
    </w:p>
    <w:p>
      <w:pPr>
        <w:pStyle w:val="13"/>
        <w:spacing w:before="0" w:beforeAutospacing="0" w:after="0" w:afterAutospacing="0" w:line="360" w:lineRule="auto"/>
        <w:jc w:val="center"/>
        <w:outlineLvl w:val="0"/>
        <w:rPr>
          <w:rFonts w:ascii="楷体" w:hAnsi="楷体" w:eastAsia="楷体"/>
          <w:b/>
          <w:sz w:val="36"/>
          <w:szCs w:val="36"/>
          <w:highlight w:val="none"/>
        </w:rPr>
      </w:pPr>
      <w:r>
        <w:rPr>
          <w:rFonts w:hint="eastAsia" w:ascii="楷体" w:hAnsi="楷体" w:eastAsia="楷体"/>
          <w:b/>
          <w:sz w:val="36"/>
          <w:szCs w:val="36"/>
          <w:highlight w:val="none"/>
        </w:rPr>
        <w:t>“苏银理财启源</w:t>
      </w:r>
      <w:r>
        <w:rPr>
          <w:rFonts w:hint="eastAsia" w:ascii="楷体" w:hAnsi="楷体" w:eastAsia="楷体"/>
          <w:b/>
          <w:sz w:val="36"/>
          <w:szCs w:val="36"/>
          <w:highlight w:val="none"/>
          <w:lang w:eastAsia="zh-CN"/>
        </w:rPr>
        <w:t>货币3号</w:t>
      </w:r>
      <w:r>
        <w:rPr>
          <w:rFonts w:hint="eastAsia" w:ascii="楷体" w:hAnsi="楷体" w:eastAsia="楷体"/>
          <w:b/>
          <w:sz w:val="36"/>
          <w:szCs w:val="36"/>
          <w:highlight w:val="none"/>
        </w:rPr>
        <w:t>”</w:t>
      </w:r>
    </w:p>
    <w:p>
      <w:pPr>
        <w:pStyle w:val="13"/>
        <w:spacing w:before="0" w:beforeAutospacing="0" w:after="0" w:afterAutospacing="0" w:line="360" w:lineRule="auto"/>
        <w:jc w:val="center"/>
        <w:outlineLvl w:val="0"/>
        <w:rPr>
          <w:rFonts w:ascii="楷体" w:hAnsi="楷体" w:eastAsia="楷体"/>
          <w:b/>
          <w:sz w:val="36"/>
          <w:szCs w:val="36"/>
          <w:highlight w:val="none"/>
        </w:rPr>
      </w:pPr>
      <w:r>
        <w:rPr>
          <w:rFonts w:hint="eastAsia" w:ascii="楷体" w:hAnsi="楷体" w:eastAsia="楷体"/>
          <w:b/>
          <w:sz w:val="36"/>
          <w:szCs w:val="36"/>
          <w:highlight w:val="none"/>
        </w:rPr>
        <w:t>理财产品合同</w:t>
      </w:r>
    </w:p>
    <w:p>
      <w:pPr>
        <w:pStyle w:val="13"/>
        <w:spacing w:before="0" w:beforeAutospacing="0" w:after="0" w:afterAutospacing="0" w:line="360" w:lineRule="auto"/>
        <w:jc w:val="center"/>
        <w:outlineLvl w:val="1"/>
        <w:rPr>
          <w:rFonts w:ascii="楷体" w:hAnsi="楷体" w:eastAsia="楷体"/>
          <w:b/>
          <w:highlight w:val="none"/>
        </w:rPr>
      </w:pPr>
      <w:r>
        <w:rPr>
          <w:rFonts w:hint="eastAsia" w:ascii="楷体" w:hAnsi="楷体" w:eastAsia="楷体"/>
          <w:b/>
          <w:sz w:val="32"/>
          <w:szCs w:val="32"/>
          <w:highlight w:val="none"/>
        </w:rPr>
        <w:t>理财非存款、产品有风险、投资须谨慎</w:t>
      </w:r>
    </w:p>
    <w:p>
      <w:pPr>
        <w:pStyle w:val="13"/>
        <w:spacing w:before="0" w:beforeAutospacing="0" w:after="0" w:afterAutospacing="0" w:line="360" w:lineRule="auto"/>
        <w:jc w:val="center"/>
        <w:rPr>
          <w:rFonts w:ascii="楷体" w:hAnsi="楷体" w:eastAsia="楷体"/>
          <w:b/>
          <w:highlight w:val="none"/>
        </w:rPr>
      </w:pPr>
      <w:r>
        <w:rPr>
          <w:rFonts w:hint="eastAsia" w:ascii="楷体" w:hAnsi="楷体" w:eastAsia="楷体"/>
          <w:b/>
          <w:highlight w:val="none"/>
        </w:rPr>
        <w:t>（202</w:t>
      </w:r>
      <w:r>
        <w:rPr>
          <w:rFonts w:hint="eastAsia" w:ascii="楷体" w:hAnsi="楷体" w:eastAsia="楷体"/>
          <w:b/>
          <w:highlight w:val="none"/>
          <w:lang w:val="en-US" w:eastAsia="zh-CN"/>
        </w:rPr>
        <w:t>5</w:t>
      </w:r>
      <w:r>
        <w:rPr>
          <w:rFonts w:hint="eastAsia" w:ascii="楷体" w:hAnsi="楷体" w:eastAsia="楷体"/>
          <w:b/>
          <w:highlight w:val="none"/>
        </w:rPr>
        <w:t>年</w:t>
      </w:r>
      <w:r>
        <w:rPr>
          <w:rFonts w:hint="eastAsia" w:ascii="楷体" w:hAnsi="楷体" w:eastAsia="楷体"/>
          <w:b/>
          <w:highlight w:val="none"/>
          <w:lang w:val="en-US" w:eastAsia="zh-CN"/>
        </w:rPr>
        <w:t>3</w:t>
      </w:r>
      <w:r>
        <w:rPr>
          <w:rFonts w:hint="eastAsia" w:ascii="楷体" w:hAnsi="楷体" w:eastAsia="楷体"/>
          <w:b/>
          <w:highlight w:val="none"/>
        </w:rPr>
        <w:t>月版）</w:t>
      </w:r>
    </w:p>
    <w:p>
      <w:pPr>
        <w:pStyle w:val="13"/>
        <w:spacing w:before="0" w:beforeAutospacing="0" w:after="0" w:afterAutospacing="0" w:line="360" w:lineRule="auto"/>
        <w:rPr>
          <w:rFonts w:ascii="楷体" w:hAnsi="楷体" w:eastAsia="楷体"/>
          <w:b/>
          <w:sz w:val="30"/>
          <w:szCs w:val="30"/>
          <w:highlight w:val="none"/>
        </w:rPr>
      </w:pPr>
    </w:p>
    <w:tbl>
      <w:tblPr>
        <w:tblStyle w:val="15"/>
        <w:tblW w:w="895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094"/>
        <w:gridCol w:w="286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93" w:type="dxa"/>
            <w:tcBorders>
              <w:top w:val="single" w:color="auto" w:sz="12" w:space="0"/>
              <w:left w:val="single" w:color="auto" w:sz="12" w:space="0"/>
              <w:bottom w:val="single" w:color="auto" w:sz="12" w:space="0"/>
              <w:right w:val="single" w:color="auto" w:sz="12" w:space="0"/>
            </w:tcBorders>
          </w:tcPr>
          <w:p>
            <w:pPr>
              <w:pStyle w:val="13"/>
              <w:spacing w:before="0" w:beforeAutospacing="0" w:after="0" w:afterAutospacing="0" w:line="360" w:lineRule="auto"/>
              <w:jc w:val="center"/>
              <w:rPr>
                <w:rFonts w:ascii="楷体" w:hAnsi="楷体" w:eastAsia="楷体"/>
                <w:sz w:val="18"/>
                <w:szCs w:val="18"/>
                <w:highlight w:val="none"/>
              </w:rPr>
            </w:pPr>
            <w:r>
              <w:rPr>
                <w:rStyle w:val="18"/>
                <w:rFonts w:hint="eastAsia" w:ascii="楷体" w:hAnsi="楷体" w:eastAsia="楷体"/>
                <w:bCs w:val="0"/>
                <w:sz w:val="18"/>
                <w:szCs w:val="18"/>
                <w:highlight w:val="none"/>
              </w:rPr>
              <w:t>序号</w:t>
            </w:r>
          </w:p>
        </w:tc>
        <w:tc>
          <w:tcPr>
            <w:tcW w:w="5094" w:type="dxa"/>
            <w:tcBorders>
              <w:top w:val="single" w:color="auto" w:sz="12" w:space="0"/>
              <w:left w:val="single" w:color="auto" w:sz="12" w:space="0"/>
              <w:bottom w:val="single" w:color="auto" w:sz="12" w:space="0"/>
              <w:right w:val="single" w:color="auto" w:sz="12" w:space="0"/>
            </w:tcBorders>
          </w:tcPr>
          <w:p>
            <w:pPr>
              <w:pStyle w:val="13"/>
              <w:spacing w:before="0" w:beforeAutospacing="0" w:after="0" w:afterAutospacing="0" w:line="360" w:lineRule="auto"/>
              <w:jc w:val="center"/>
              <w:rPr>
                <w:rFonts w:ascii="楷体" w:hAnsi="楷体" w:eastAsia="楷体"/>
                <w:sz w:val="18"/>
                <w:szCs w:val="18"/>
                <w:highlight w:val="none"/>
              </w:rPr>
            </w:pPr>
            <w:r>
              <w:rPr>
                <w:rStyle w:val="18"/>
                <w:rFonts w:hint="eastAsia" w:ascii="楷体" w:hAnsi="楷体" w:eastAsia="楷体"/>
                <w:bCs w:val="0"/>
                <w:sz w:val="18"/>
                <w:szCs w:val="18"/>
                <w:highlight w:val="none"/>
              </w:rPr>
              <w:t>理财产品合同中的具体文件名称</w:t>
            </w:r>
          </w:p>
        </w:tc>
        <w:tc>
          <w:tcPr>
            <w:tcW w:w="2867" w:type="dxa"/>
            <w:tcBorders>
              <w:top w:val="single" w:color="auto" w:sz="12" w:space="0"/>
              <w:left w:val="single" w:color="auto" w:sz="12" w:space="0"/>
              <w:bottom w:val="single" w:color="auto" w:sz="12" w:space="0"/>
              <w:right w:val="single" w:color="auto" w:sz="12" w:space="0"/>
            </w:tcBorders>
          </w:tcPr>
          <w:p>
            <w:pPr>
              <w:pStyle w:val="13"/>
              <w:spacing w:before="0" w:beforeAutospacing="0" w:after="0" w:afterAutospacing="0" w:line="360" w:lineRule="auto"/>
              <w:jc w:val="center"/>
              <w:rPr>
                <w:rFonts w:ascii="楷体" w:hAnsi="楷体" w:eastAsia="楷体"/>
                <w:sz w:val="18"/>
                <w:szCs w:val="18"/>
                <w:highlight w:val="none"/>
              </w:rPr>
            </w:pPr>
            <w:r>
              <w:rPr>
                <w:rStyle w:val="18"/>
                <w:rFonts w:hint="eastAsia" w:ascii="楷体" w:hAnsi="楷体" w:eastAsia="楷体"/>
                <w:bCs w:val="0"/>
                <w:sz w:val="18"/>
                <w:szCs w:val="18"/>
                <w:highlight w:val="none"/>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93" w:type="dxa"/>
            <w:tcBorders>
              <w:top w:val="single" w:color="auto" w:sz="12" w:space="0"/>
              <w:left w:val="single" w:color="auto" w:sz="12" w:space="0"/>
              <w:bottom w:val="single" w:color="auto" w:sz="12" w:space="0"/>
              <w:right w:val="single" w:color="auto" w:sz="12" w:space="0"/>
            </w:tcBorders>
          </w:tcPr>
          <w:p>
            <w:pPr>
              <w:pStyle w:val="13"/>
              <w:spacing w:before="0" w:beforeAutospacing="0" w:after="0" w:afterAutospacing="0" w:line="360" w:lineRule="auto"/>
              <w:jc w:val="center"/>
              <w:rPr>
                <w:rFonts w:ascii="楷体" w:hAnsi="楷体" w:eastAsia="楷体"/>
                <w:sz w:val="18"/>
                <w:szCs w:val="18"/>
                <w:highlight w:val="none"/>
              </w:rPr>
            </w:pPr>
            <w:r>
              <w:rPr>
                <w:rFonts w:hint="eastAsia" w:ascii="楷体" w:hAnsi="楷体" w:eastAsia="楷体"/>
                <w:sz w:val="18"/>
                <w:szCs w:val="18"/>
                <w:highlight w:val="none"/>
              </w:rPr>
              <w:t>1</w:t>
            </w:r>
          </w:p>
        </w:tc>
        <w:tc>
          <w:tcPr>
            <w:tcW w:w="5094" w:type="dxa"/>
            <w:tcBorders>
              <w:top w:val="single" w:color="auto" w:sz="12" w:space="0"/>
              <w:left w:val="single" w:color="auto" w:sz="12" w:space="0"/>
              <w:bottom w:val="single" w:color="auto" w:sz="12" w:space="0"/>
              <w:right w:val="single" w:color="auto" w:sz="12" w:space="0"/>
            </w:tcBorders>
          </w:tcPr>
          <w:p>
            <w:pPr>
              <w:pStyle w:val="13"/>
              <w:spacing w:before="0" w:beforeAutospacing="0" w:after="0" w:afterAutospacing="0" w:line="360" w:lineRule="auto"/>
              <w:jc w:val="center"/>
              <w:rPr>
                <w:rFonts w:ascii="楷体" w:hAnsi="楷体" w:eastAsia="楷体"/>
                <w:sz w:val="18"/>
                <w:szCs w:val="18"/>
                <w:highlight w:val="none"/>
              </w:rPr>
            </w:pPr>
            <w:r>
              <w:rPr>
                <w:rFonts w:hint="eastAsia" w:ascii="楷体" w:hAnsi="楷体" w:eastAsia="楷体"/>
                <w:sz w:val="18"/>
                <w:szCs w:val="18"/>
                <w:highlight w:val="none"/>
              </w:rPr>
              <w:t>“苏银理财启源</w:t>
            </w:r>
            <w:r>
              <w:rPr>
                <w:rFonts w:hint="eastAsia" w:ascii="楷体" w:hAnsi="楷体" w:eastAsia="楷体"/>
                <w:sz w:val="18"/>
                <w:szCs w:val="18"/>
                <w:highlight w:val="none"/>
                <w:lang w:eastAsia="zh-CN"/>
              </w:rPr>
              <w:t>货币3号</w:t>
            </w:r>
            <w:r>
              <w:rPr>
                <w:rFonts w:hint="eastAsia" w:ascii="楷体" w:hAnsi="楷体" w:eastAsia="楷体"/>
                <w:sz w:val="18"/>
                <w:szCs w:val="18"/>
                <w:highlight w:val="none"/>
              </w:rPr>
              <w:t>”理财产品风险揭示书</w:t>
            </w:r>
          </w:p>
        </w:tc>
        <w:tc>
          <w:tcPr>
            <w:tcW w:w="2867" w:type="dxa"/>
            <w:tcBorders>
              <w:top w:val="single" w:color="auto" w:sz="12" w:space="0"/>
              <w:left w:val="single" w:color="auto" w:sz="12" w:space="0"/>
              <w:bottom w:val="single" w:color="auto" w:sz="12" w:space="0"/>
              <w:right w:val="single" w:color="auto" w:sz="12" w:space="0"/>
            </w:tcBorders>
          </w:tcPr>
          <w:p>
            <w:pPr>
              <w:pStyle w:val="13"/>
              <w:spacing w:before="0" w:beforeAutospacing="0" w:after="0" w:afterAutospacing="0" w:line="360" w:lineRule="auto"/>
              <w:jc w:val="center"/>
              <w:rPr>
                <w:rFonts w:ascii="楷体" w:hAnsi="楷体" w:eastAsia="楷体"/>
                <w:sz w:val="18"/>
                <w:szCs w:val="18"/>
                <w:highlight w:val="none"/>
              </w:rPr>
            </w:pPr>
            <w:r>
              <w:rPr>
                <w:rFonts w:hint="eastAsia" w:ascii="楷体" w:hAnsi="楷体" w:eastAsia="楷体"/>
                <w:sz w:val="18"/>
                <w:szCs w:val="18"/>
                <w:highlight w:val="none"/>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93" w:type="dxa"/>
            <w:tcBorders>
              <w:top w:val="single" w:color="auto" w:sz="12" w:space="0"/>
              <w:left w:val="single" w:color="auto" w:sz="12" w:space="0"/>
              <w:bottom w:val="single" w:color="auto" w:sz="12" w:space="0"/>
              <w:right w:val="single" w:color="auto" w:sz="12" w:space="0"/>
            </w:tcBorders>
          </w:tcPr>
          <w:p>
            <w:pPr>
              <w:pStyle w:val="13"/>
              <w:spacing w:before="0" w:beforeAutospacing="0" w:after="0" w:afterAutospacing="0" w:line="360" w:lineRule="auto"/>
              <w:jc w:val="center"/>
              <w:rPr>
                <w:rFonts w:ascii="楷体" w:hAnsi="楷体" w:eastAsia="楷体"/>
                <w:sz w:val="18"/>
                <w:szCs w:val="18"/>
                <w:highlight w:val="none"/>
              </w:rPr>
            </w:pPr>
            <w:r>
              <w:rPr>
                <w:rFonts w:hint="eastAsia" w:ascii="楷体" w:hAnsi="楷体" w:eastAsia="楷体"/>
                <w:sz w:val="18"/>
                <w:szCs w:val="18"/>
                <w:highlight w:val="none"/>
              </w:rPr>
              <w:t>2</w:t>
            </w:r>
          </w:p>
        </w:tc>
        <w:tc>
          <w:tcPr>
            <w:tcW w:w="5094" w:type="dxa"/>
            <w:tcBorders>
              <w:top w:val="single" w:color="auto" w:sz="12" w:space="0"/>
              <w:left w:val="single" w:color="auto" w:sz="12" w:space="0"/>
              <w:bottom w:val="single" w:color="auto" w:sz="12" w:space="0"/>
              <w:right w:val="single" w:color="auto" w:sz="12" w:space="0"/>
            </w:tcBorders>
          </w:tcPr>
          <w:p>
            <w:pPr>
              <w:pStyle w:val="13"/>
              <w:spacing w:before="0" w:beforeAutospacing="0" w:after="0" w:afterAutospacing="0" w:line="360" w:lineRule="auto"/>
              <w:jc w:val="center"/>
              <w:rPr>
                <w:rFonts w:ascii="楷体" w:hAnsi="楷体" w:eastAsia="楷体"/>
                <w:sz w:val="18"/>
                <w:szCs w:val="18"/>
                <w:highlight w:val="none"/>
              </w:rPr>
            </w:pPr>
            <w:r>
              <w:rPr>
                <w:rFonts w:hint="eastAsia" w:ascii="楷体" w:hAnsi="楷体" w:eastAsia="楷体"/>
                <w:sz w:val="18"/>
                <w:szCs w:val="18"/>
                <w:highlight w:val="none"/>
              </w:rPr>
              <w:t>“苏银理财启源</w:t>
            </w:r>
            <w:r>
              <w:rPr>
                <w:rFonts w:hint="eastAsia" w:ascii="楷体" w:hAnsi="楷体" w:eastAsia="楷体"/>
                <w:sz w:val="18"/>
                <w:szCs w:val="18"/>
                <w:highlight w:val="none"/>
                <w:lang w:eastAsia="zh-CN"/>
              </w:rPr>
              <w:t>货币3号</w:t>
            </w:r>
            <w:r>
              <w:rPr>
                <w:rFonts w:hint="eastAsia" w:ascii="楷体" w:hAnsi="楷体" w:eastAsia="楷体"/>
                <w:sz w:val="18"/>
                <w:szCs w:val="18"/>
                <w:highlight w:val="none"/>
              </w:rPr>
              <w:t>”理财产品说明书</w:t>
            </w:r>
          </w:p>
        </w:tc>
        <w:tc>
          <w:tcPr>
            <w:tcW w:w="2867" w:type="dxa"/>
            <w:tcBorders>
              <w:top w:val="single" w:color="auto" w:sz="12" w:space="0"/>
              <w:left w:val="single" w:color="auto" w:sz="12" w:space="0"/>
              <w:bottom w:val="single" w:color="auto" w:sz="12" w:space="0"/>
              <w:right w:val="single" w:color="auto" w:sz="12" w:space="0"/>
            </w:tcBorders>
          </w:tcPr>
          <w:p>
            <w:pPr>
              <w:pStyle w:val="13"/>
              <w:spacing w:before="0" w:beforeAutospacing="0" w:after="0" w:afterAutospacing="0" w:line="360" w:lineRule="auto"/>
              <w:jc w:val="center"/>
              <w:rPr>
                <w:rFonts w:ascii="楷体" w:hAnsi="楷体" w:eastAsia="楷体"/>
                <w:sz w:val="18"/>
                <w:szCs w:val="18"/>
                <w:highlight w:val="none"/>
              </w:rPr>
            </w:pPr>
            <w:r>
              <w:rPr>
                <w:rFonts w:hint="eastAsia" w:ascii="楷体" w:hAnsi="楷体" w:eastAsia="楷体"/>
                <w:sz w:val="18"/>
                <w:szCs w:val="18"/>
                <w:highlight w:val="none"/>
              </w:rPr>
              <w:t>理财产品说明书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93" w:type="dxa"/>
            <w:tcBorders>
              <w:top w:val="single" w:color="auto" w:sz="12" w:space="0"/>
              <w:left w:val="single" w:color="auto" w:sz="12" w:space="0"/>
              <w:bottom w:val="single" w:color="auto" w:sz="12" w:space="0"/>
              <w:right w:val="single" w:color="auto" w:sz="12" w:space="0"/>
            </w:tcBorders>
          </w:tcPr>
          <w:p>
            <w:pPr>
              <w:pStyle w:val="13"/>
              <w:spacing w:before="0" w:beforeAutospacing="0" w:after="0" w:afterAutospacing="0" w:line="360" w:lineRule="auto"/>
              <w:jc w:val="center"/>
              <w:rPr>
                <w:rFonts w:ascii="楷体" w:hAnsi="楷体" w:eastAsia="楷体"/>
                <w:sz w:val="18"/>
                <w:szCs w:val="18"/>
                <w:highlight w:val="none"/>
              </w:rPr>
            </w:pPr>
            <w:r>
              <w:rPr>
                <w:rFonts w:hint="eastAsia" w:ascii="楷体" w:hAnsi="楷体" w:eastAsia="楷体"/>
                <w:sz w:val="18"/>
                <w:szCs w:val="18"/>
                <w:highlight w:val="none"/>
              </w:rPr>
              <w:t>3</w:t>
            </w:r>
          </w:p>
        </w:tc>
        <w:tc>
          <w:tcPr>
            <w:tcW w:w="5094" w:type="dxa"/>
            <w:tcBorders>
              <w:top w:val="single" w:color="auto" w:sz="12" w:space="0"/>
              <w:left w:val="single" w:color="auto" w:sz="12" w:space="0"/>
              <w:bottom w:val="single" w:color="auto" w:sz="12" w:space="0"/>
              <w:right w:val="single" w:color="auto" w:sz="12" w:space="0"/>
            </w:tcBorders>
          </w:tcPr>
          <w:p>
            <w:pPr>
              <w:pStyle w:val="13"/>
              <w:spacing w:before="0" w:beforeAutospacing="0" w:after="0" w:afterAutospacing="0" w:line="360" w:lineRule="auto"/>
              <w:jc w:val="center"/>
              <w:rPr>
                <w:rFonts w:ascii="楷体" w:hAnsi="楷体" w:eastAsia="楷体"/>
                <w:sz w:val="18"/>
                <w:szCs w:val="18"/>
                <w:highlight w:val="none"/>
              </w:rPr>
            </w:pPr>
            <w:r>
              <w:rPr>
                <w:rFonts w:hint="eastAsia" w:ascii="楷体" w:hAnsi="楷体" w:eastAsia="楷体"/>
                <w:sz w:val="18"/>
                <w:szCs w:val="18"/>
                <w:highlight w:val="none"/>
              </w:rPr>
              <w:t>苏银理财有限责任公司理财产品投资协议书</w:t>
            </w:r>
          </w:p>
        </w:tc>
        <w:tc>
          <w:tcPr>
            <w:tcW w:w="2867" w:type="dxa"/>
            <w:tcBorders>
              <w:top w:val="single" w:color="auto" w:sz="12" w:space="0"/>
              <w:left w:val="single" w:color="auto" w:sz="12" w:space="0"/>
              <w:bottom w:val="single" w:color="auto" w:sz="12" w:space="0"/>
              <w:right w:val="single" w:color="auto" w:sz="12" w:space="0"/>
            </w:tcBorders>
          </w:tcPr>
          <w:p>
            <w:pPr>
              <w:pStyle w:val="13"/>
              <w:spacing w:before="0" w:beforeAutospacing="0" w:after="0" w:afterAutospacing="0" w:line="360" w:lineRule="auto"/>
              <w:jc w:val="center"/>
              <w:rPr>
                <w:rFonts w:ascii="楷体" w:hAnsi="楷体" w:eastAsia="楷体"/>
                <w:sz w:val="18"/>
                <w:szCs w:val="18"/>
                <w:highlight w:val="none"/>
              </w:rPr>
            </w:pPr>
            <w:r>
              <w:rPr>
                <w:rFonts w:hint="eastAsia" w:ascii="楷体" w:hAnsi="楷体" w:eastAsia="楷体"/>
                <w:sz w:val="18"/>
                <w:szCs w:val="18"/>
                <w:highlight w:val="none"/>
              </w:rPr>
              <w:t>理财产品投资协议书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93" w:type="dxa"/>
            <w:tcBorders>
              <w:top w:val="single" w:color="auto" w:sz="12" w:space="0"/>
              <w:left w:val="single" w:color="auto" w:sz="12" w:space="0"/>
              <w:bottom w:val="single" w:color="auto" w:sz="12" w:space="0"/>
              <w:right w:val="single" w:color="auto" w:sz="12" w:space="0"/>
            </w:tcBorders>
          </w:tcPr>
          <w:p>
            <w:pPr>
              <w:pStyle w:val="13"/>
              <w:spacing w:before="0" w:beforeAutospacing="0" w:after="0" w:afterAutospacing="0" w:line="360" w:lineRule="auto"/>
              <w:jc w:val="center"/>
              <w:rPr>
                <w:rFonts w:ascii="楷体" w:hAnsi="楷体" w:eastAsia="楷体"/>
                <w:sz w:val="18"/>
                <w:szCs w:val="18"/>
                <w:highlight w:val="none"/>
              </w:rPr>
            </w:pPr>
            <w:r>
              <w:rPr>
                <w:rFonts w:hint="eastAsia" w:ascii="楷体" w:hAnsi="楷体" w:eastAsia="楷体"/>
                <w:sz w:val="18"/>
                <w:szCs w:val="18"/>
                <w:highlight w:val="none"/>
              </w:rPr>
              <w:t>4</w:t>
            </w:r>
          </w:p>
        </w:tc>
        <w:tc>
          <w:tcPr>
            <w:tcW w:w="5094" w:type="dxa"/>
            <w:tcBorders>
              <w:top w:val="single" w:color="auto" w:sz="12" w:space="0"/>
              <w:left w:val="single" w:color="auto" w:sz="12" w:space="0"/>
              <w:bottom w:val="single" w:color="auto" w:sz="12" w:space="0"/>
              <w:right w:val="single" w:color="auto" w:sz="12" w:space="0"/>
            </w:tcBorders>
          </w:tcPr>
          <w:p>
            <w:pPr>
              <w:pStyle w:val="13"/>
              <w:spacing w:before="0" w:beforeAutospacing="0" w:after="0" w:afterAutospacing="0" w:line="360" w:lineRule="auto"/>
              <w:jc w:val="center"/>
              <w:rPr>
                <w:rFonts w:ascii="楷体" w:hAnsi="楷体" w:eastAsia="楷体"/>
                <w:sz w:val="18"/>
                <w:szCs w:val="18"/>
                <w:highlight w:val="none"/>
              </w:rPr>
            </w:pPr>
            <w:r>
              <w:rPr>
                <w:rFonts w:hint="eastAsia" w:ascii="楷体" w:hAnsi="楷体" w:eastAsia="楷体"/>
                <w:sz w:val="18"/>
                <w:szCs w:val="18"/>
                <w:highlight w:val="none"/>
              </w:rPr>
              <w:t>投资者权益须知</w:t>
            </w:r>
            <w:r>
              <w:rPr>
                <w:rStyle w:val="21"/>
                <w:rFonts w:ascii="楷体" w:hAnsi="楷体" w:eastAsia="楷体"/>
                <w:highlight w:val="none"/>
              </w:rPr>
              <w:footnoteReference w:id="0"/>
            </w:r>
          </w:p>
        </w:tc>
        <w:tc>
          <w:tcPr>
            <w:tcW w:w="2867" w:type="dxa"/>
            <w:tcBorders>
              <w:top w:val="single" w:color="auto" w:sz="12" w:space="0"/>
              <w:left w:val="single" w:color="auto" w:sz="12" w:space="0"/>
              <w:bottom w:val="single" w:color="auto" w:sz="12" w:space="0"/>
              <w:right w:val="single" w:color="auto" w:sz="12" w:space="0"/>
            </w:tcBorders>
          </w:tcPr>
          <w:p>
            <w:pPr>
              <w:pStyle w:val="13"/>
              <w:spacing w:before="0" w:beforeAutospacing="0" w:after="0" w:afterAutospacing="0" w:line="360" w:lineRule="auto"/>
              <w:jc w:val="center"/>
              <w:rPr>
                <w:rFonts w:ascii="楷体" w:hAnsi="楷体" w:eastAsia="楷体"/>
                <w:sz w:val="18"/>
                <w:szCs w:val="18"/>
                <w:highlight w:val="none"/>
              </w:rPr>
            </w:pPr>
            <w:r>
              <w:rPr>
                <w:rFonts w:hint="eastAsia" w:ascii="楷体" w:hAnsi="楷体" w:eastAsia="楷体"/>
                <w:sz w:val="18"/>
                <w:szCs w:val="18"/>
                <w:highlight w:val="none"/>
              </w:rPr>
              <w:t>投资者权益须知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jc w:val="center"/>
        </w:trPr>
        <w:tc>
          <w:tcPr>
            <w:tcW w:w="993" w:type="dxa"/>
            <w:tcBorders>
              <w:top w:val="single" w:color="auto" w:sz="12" w:space="0"/>
              <w:left w:val="single" w:color="auto" w:sz="12" w:space="0"/>
              <w:bottom w:val="single" w:color="auto" w:sz="12" w:space="0"/>
              <w:right w:val="single" w:color="auto" w:sz="12" w:space="0"/>
            </w:tcBorders>
          </w:tcPr>
          <w:p>
            <w:pPr>
              <w:pStyle w:val="13"/>
              <w:spacing w:before="0" w:beforeAutospacing="0" w:after="0" w:afterAutospacing="0" w:line="360" w:lineRule="auto"/>
              <w:jc w:val="center"/>
              <w:rPr>
                <w:rFonts w:ascii="楷体" w:hAnsi="楷体" w:eastAsia="楷体"/>
                <w:sz w:val="18"/>
                <w:szCs w:val="18"/>
                <w:highlight w:val="none"/>
              </w:rPr>
            </w:pPr>
            <w:r>
              <w:rPr>
                <w:rFonts w:hint="eastAsia" w:ascii="楷体" w:hAnsi="楷体" w:eastAsia="楷体"/>
                <w:sz w:val="18"/>
                <w:szCs w:val="18"/>
                <w:highlight w:val="none"/>
              </w:rPr>
              <w:t>5</w:t>
            </w:r>
          </w:p>
        </w:tc>
        <w:tc>
          <w:tcPr>
            <w:tcW w:w="5094" w:type="dxa"/>
            <w:tcBorders>
              <w:top w:val="single" w:color="auto" w:sz="12" w:space="0"/>
              <w:left w:val="single" w:color="auto" w:sz="12" w:space="0"/>
              <w:bottom w:val="single" w:color="auto" w:sz="12" w:space="0"/>
              <w:right w:val="single" w:color="auto" w:sz="12" w:space="0"/>
            </w:tcBorders>
          </w:tcPr>
          <w:p>
            <w:pPr>
              <w:pStyle w:val="13"/>
              <w:spacing w:before="0" w:beforeAutospacing="0" w:after="0" w:afterAutospacing="0" w:line="360" w:lineRule="auto"/>
              <w:jc w:val="center"/>
              <w:rPr>
                <w:rFonts w:ascii="楷体" w:hAnsi="楷体" w:eastAsia="楷体"/>
                <w:sz w:val="18"/>
                <w:szCs w:val="18"/>
                <w:highlight w:val="none"/>
              </w:rPr>
            </w:pPr>
            <w:r>
              <w:rPr>
                <w:rFonts w:hint="eastAsia" w:ascii="楷体" w:hAnsi="楷体" w:eastAsia="楷体"/>
                <w:sz w:val="18"/>
                <w:szCs w:val="18"/>
                <w:highlight w:val="none"/>
              </w:rPr>
              <w:t>理财产品（代理）销售协议书</w:t>
            </w:r>
            <w:r>
              <w:rPr>
                <w:rStyle w:val="21"/>
                <w:rFonts w:ascii="楷体" w:hAnsi="楷体" w:eastAsia="楷体"/>
                <w:highlight w:val="none"/>
              </w:rPr>
              <w:footnoteReference w:id="1"/>
            </w:r>
          </w:p>
        </w:tc>
        <w:tc>
          <w:tcPr>
            <w:tcW w:w="2867" w:type="dxa"/>
            <w:tcBorders>
              <w:top w:val="single" w:color="auto" w:sz="12" w:space="0"/>
              <w:left w:val="single" w:color="auto" w:sz="12" w:space="0"/>
              <w:bottom w:val="single" w:color="auto" w:sz="12" w:space="0"/>
              <w:right w:val="single" w:color="auto" w:sz="12" w:space="0"/>
            </w:tcBorders>
          </w:tcPr>
          <w:p>
            <w:pPr>
              <w:pStyle w:val="13"/>
              <w:spacing w:before="0" w:beforeAutospacing="0" w:after="0" w:afterAutospacing="0" w:line="360" w:lineRule="auto"/>
              <w:jc w:val="center"/>
              <w:rPr>
                <w:rFonts w:ascii="楷体" w:hAnsi="楷体" w:eastAsia="楷体"/>
                <w:sz w:val="18"/>
                <w:szCs w:val="18"/>
                <w:highlight w:val="none"/>
              </w:rPr>
            </w:pPr>
            <w:r>
              <w:rPr>
                <w:rFonts w:hint="eastAsia" w:ascii="楷体" w:hAnsi="楷体" w:eastAsia="楷体"/>
                <w:sz w:val="18"/>
                <w:szCs w:val="18"/>
                <w:highlight w:val="none"/>
              </w:rPr>
              <w:t>理财产品（代理）销售协议书</w:t>
            </w:r>
          </w:p>
        </w:tc>
      </w:tr>
    </w:tbl>
    <w:p>
      <w:pPr>
        <w:pStyle w:val="13"/>
        <w:spacing w:before="0" w:beforeAutospacing="0" w:after="0" w:afterAutospacing="0" w:line="280" w:lineRule="atLeast"/>
        <w:rPr>
          <w:highlight w:val="none"/>
        </w:rPr>
      </w:pPr>
    </w:p>
    <w:p>
      <w:pPr>
        <w:pStyle w:val="13"/>
        <w:spacing w:before="0" w:beforeAutospacing="0" w:after="0" w:afterAutospacing="0" w:line="280" w:lineRule="atLeast"/>
        <w:rPr>
          <w:rFonts w:ascii="楷体" w:hAnsi="楷体" w:eastAsia="楷体"/>
          <w:highlight w:val="none"/>
        </w:rPr>
      </w:pPr>
      <w:r>
        <w:rPr>
          <w:rStyle w:val="18"/>
          <w:rFonts w:hint="eastAsia" w:ascii="楷体" w:hAnsi="楷体" w:eastAsia="楷体"/>
          <w:bCs w:val="0"/>
          <w:highlight w:val="none"/>
        </w:rPr>
        <w:t>郑重提示：</w:t>
      </w:r>
    </w:p>
    <w:p>
      <w:pPr>
        <w:pStyle w:val="13"/>
        <w:spacing w:before="0" w:beforeAutospacing="0" w:after="0" w:afterAutospacing="0" w:line="280" w:lineRule="atLeast"/>
        <w:rPr>
          <w:rFonts w:ascii="楷体" w:hAnsi="楷体" w:eastAsia="楷体"/>
          <w:highlight w:val="none"/>
        </w:rPr>
      </w:pPr>
    </w:p>
    <w:p>
      <w:pPr>
        <w:pStyle w:val="13"/>
        <w:spacing w:before="0" w:beforeAutospacing="0" w:after="0" w:afterAutospacing="0"/>
        <w:ind w:firstLine="480" w:firstLineChars="200"/>
        <w:rPr>
          <w:rFonts w:ascii="楷体" w:hAnsi="楷体" w:eastAsia="楷体"/>
          <w:highlight w:val="none"/>
        </w:rPr>
      </w:pPr>
      <w:r>
        <w:rPr>
          <w:rFonts w:hint="eastAsia" w:ascii="楷体" w:hAnsi="楷体" w:eastAsia="楷体" w:cs="Times New Roman"/>
          <w:highlight w:val="none"/>
        </w:rPr>
        <w:t>《风险揭示书》、《理财产品说明书》、《理财产品（代理）销售协议书》、《理财产品投资协议书》、《投资者权益须知》等文件共同构成一份完整且不可分割的理财产品合同。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13"/>
        <w:spacing w:before="0" w:beforeAutospacing="0" w:after="0" w:afterAutospacing="0"/>
        <w:ind w:firstLine="480" w:firstLineChars="200"/>
        <w:rPr>
          <w:rFonts w:ascii="楷体" w:hAnsi="楷体" w:eastAsia="楷体"/>
          <w:highlight w:val="none"/>
        </w:rPr>
      </w:pPr>
    </w:p>
    <w:p>
      <w:pPr>
        <w:pStyle w:val="13"/>
        <w:spacing w:before="0" w:beforeAutospacing="0" w:after="0" w:afterAutospacing="0"/>
        <w:ind w:firstLine="480" w:firstLineChars="200"/>
        <w:rPr>
          <w:rFonts w:ascii="楷体" w:hAnsi="楷体" w:eastAsia="楷体" w:cs="Times New Roman"/>
          <w:highlight w:val="none"/>
        </w:rPr>
      </w:pPr>
      <w:r>
        <w:rPr>
          <w:rFonts w:hint="eastAsia" w:ascii="楷体" w:hAnsi="楷体" w:eastAsia="楷体" w:cs="Times New Roman"/>
          <w:highlight w:val="none"/>
        </w:rPr>
        <w:t>为了维护您的权益，请在签署有关理财产品销售文件前，仔细阅读理财产品销售文件各条款（特别是“黑体字”、划线条款以及“★”标识），充分了解理财业务的运作细则，各方的权利、义务和责任。如有疑问，可向理财产品管理人或销售机构咨询。</w:t>
      </w:r>
    </w:p>
    <w:p>
      <w:pPr>
        <w:ind w:firstLine="360" w:firstLineChars="150"/>
        <w:jc w:val="right"/>
        <w:rPr>
          <w:rFonts w:ascii="楷体" w:hAnsi="楷体" w:eastAsia="楷体"/>
          <w:sz w:val="24"/>
          <w:szCs w:val="24"/>
          <w:highlight w:val="none"/>
        </w:rPr>
      </w:pPr>
    </w:p>
    <w:p>
      <w:pPr>
        <w:rPr>
          <w:rFonts w:ascii="楷体" w:hAnsi="楷体" w:eastAsia="楷体"/>
          <w:highlight w:val="none"/>
        </w:rPr>
        <w:sectPr>
          <w:headerReference r:id="rId6" w:type="first"/>
          <w:headerReference r:id="rId4" w:type="default"/>
          <w:footerReference r:id="rId7" w:type="default"/>
          <w:headerReference r:id="rId5" w:type="even"/>
          <w:pgSz w:w="11906" w:h="16838"/>
          <w:pgMar w:top="1440" w:right="1800" w:bottom="1440" w:left="1701" w:header="851" w:footer="992" w:gutter="0"/>
          <w:cols w:space="720" w:num="1"/>
          <w:docGrid w:type="lines" w:linePitch="312" w:charSpace="0"/>
        </w:sectPr>
      </w:pPr>
    </w:p>
    <w:p>
      <w:pPr>
        <w:pStyle w:val="13"/>
        <w:spacing w:before="0" w:beforeAutospacing="0" w:after="0" w:afterAutospacing="0" w:line="360" w:lineRule="auto"/>
        <w:jc w:val="center"/>
        <w:outlineLvl w:val="0"/>
        <w:rPr>
          <w:rFonts w:ascii="楷体" w:hAnsi="楷体" w:eastAsia="楷体"/>
          <w:b/>
          <w:sz w:val="36"/>
          <w:szCs w:val="36"/>
          <w:highlight w:val="none"/>
        </w:rPr>
      </w:pPr>
      <w:r>
        <w:rPr>
          <w:rFonts w:hint="eastAsia" w:ascii="楷体" w:hAnsi="楷体" w:eastAsia="楷体"/>
          <w:b/>
          <w:sz w:val="36"/>
          <w:szCs w:val="36"/>
          <w:highlight w:val="none"/>
        </w:rPr>
        <w:t>“苏银理财启源</w:t>
      </w:r>
      <w:r>
        <w:rPr>
          <w:rFonts w:hint="eastAsia" w:ascii="楷体" w:hAnsi="楷体" w:eastAsia="楷体"/>
          <w:b/>
          <w:sz w:val="36"/>
          <w:szCs w:val="36"/>
          <w:highlight w:val="none"/>
          <w:lang w:eastAsia="zh-CN"/>
        </w:rPr>
        <w:t>货币3号</w:t>
      </w:r>
      <w:r>
        <w:rPr>
          <w:rFonts w:hint="eastAsia" w:ascii="楷体" w:hAnsi="楷体" w:eastAsia="楷体"/>
          <w:b/>
          <w:sz w:val="36"/>
          <w:szCs w:val="36"/>
          <w:highlight w:val="none"/>
        </w:rPr>
        <w:t>”理财产品说明书</w:t>
      </w:r>
    </w:p>
    <w:p>
      <w:pPr>
        <w:jc w:val="center"/>
        <w:rPr>
          <w:rFonts w:ascii="楷体" w:hAnsi="楷体" w:eastAsia="楷体"/>
          <w:b/>
          <w:sz w:val="28"/>
          <w:szCs w:val="28"/>
          <w:highlight w:val="none"/>
        </w:rPr>
      </w:pPr>
      <w:r>
        <w:rPr>
          <w:rFonts w:hint="eastAsia" w:ascii="楷体" w:hAnsi="楷体" w:eastAsia="楷体" w:cs="宋体"/>
          <w:b/>
          <w:kern w:val="0"/>
          <w:sz w:val="32"/>
          <w:szCs w:val="32"/>
          <w:highlight w:val="none"/>
        </w:rPr>
        <w:t>理财非存款、产品有风险、投资须谨慎</w:t>
      </w:r>
    </w:p>
    <w:p>
      <w:pPr>
        <w:rPr>
          <w:rFonts w:ascii="楷体" w:hAnsi="楷体" w:eastAsia="楷体"/>
          <w:b/>
          <w:sz w:val="28"/>
          <w:szCs w:val="28"/>
          <w:highlight w:val="none"/>
        </w:rPr>
      </w:pPr>
      <w:r>
        <w:rPr>
          <w:rFonts w:hint="eastAsia" w:ascii="楷体" w:hAnsi="楷体" w:eastAsia="楷体"/>
          <w:b/>
          <w:sz w:val="28"/>
          <w:szCs w:val="28"/>
          <w:highlight w:val="none"/>
        </w:rPr>
        <w:t>重要须知</w:t>
      </w:r>
    </w:p>
    <w:p>
      <w:pPr>
        <w:numPr>
          <w:ilvl w:val="0"/>
          <w:numId w:val="2"/>
        </w:numPr>
        <w:rPr>
          <w:rFonts w:ascii="楷体" w:hAnsi="楷体" w:eastAsia="楷体"/>
          <w:sz w:val="24"/>
          <w:szCs w:val="24"/>
          <w:highlight w:val="none"/>
        </w:rPr>
      </w:pPr>
      <w:r>
        <w:rPr>
          <w:rFonts w:hint="eastAsia" w:ascii="楷体" w:hAnsi="楷体" w:eastAsia="楷体"/>
          <w:sz w:val="24"/>
          <w:szCs w:val="24"/>
          <w:highlight w:val="none"/>
        </w:rPr>
        <w:t>在购买本理财产品前，投资者应确保自己完全理解该项投资的性质和所涉及的风险，详细了解和审慎评估该理财产品的资金方向、风险类型等基本情况，在慎重考虑后自行决定购买与自身风险承受能力和资产管理需求匹配的理财产品。</w:t>
      </w:r>
    </w:p>
    <w:p>
      <w:pPr>
        <w:numPr>
          <w:ilvl w:val="0"/>
          <w:numId w:val="2"/>
        </w:numPr>
        <w:rPr>
          <w:rFonts w:ascii="楷体" w:hAnsi="楷体" w:eastAsia="楷体"/>
          <w:b/>
          <w:sz w:val="24"/>
          <w:szCs w:val="24"/>
          <w:highlight w:val="none"/>
          <w:u w:val="single"/>
        </w:rPr>
      </w:pPr>
      <w:r>
        <w:rPr>
          <w:rFonts w:hint="eastAsia" w:ascii="楷体" w:hAnsi="楷体" w:eastAsia="楷体"/>
          <w:b/>
          <w:sz w:val="24"/>
          <w:szCs w:val="24"/>
          <w:highlight w:val="none"/>
          <w:u w:val="single"/>
        </w:rPr>
        <w:t>本理财产品不保证本金及收益，您的本金可能因市场变动或者交易违约等事项而蒙受相应损失，投资者应充分认识投资风险，谨慎投资；本理财产品过往业绩不代表其未来表现，不等于理财产品实际收益，投资须谨慎；理财非存款、产品有风险、投资须谨慎。</w:t>
      </w:r>
    </w:p>
    <w:p>
      <w:pPr>
        <w:numPr>
          <w:ilvl w:val="0"/>
          <w:numId w:val="2"/>
        </w:numPr>
        <w:rPr>
          <w:rFonts w:ascii="楷体" w:hAnsi="楷体" w:eastAsia="楷体"/>
          <w:b/>
          <w:sz w:val="24"/>
          <w:szCs w:val="24"/>
          <w:highlight w:val="none"/>
          <w:u w:val="single"/>
        </w:rPr>
      </w:pPr>
      <w:r>
        <w:rPr>
          <w:rFonts w:hint="eastAsia" w:ascii="楷体" w:hAnsi="楷体" w:eastAsia="楷体"/>
          <w:b/>
          <w:sz w:val="24"/>
          <w:szCs w:val="24"/>
          <w:highlight w:val="none"/>
          <w:u w:val="single"/>
        </w:rPr>
        <w:t>本理财产品的任何业绩比较区间、业绩比较基准类似表述均属不具有法律约束力的用语，不代表投资者可能获得的实际收益，亦不构成苏银理财有限责任公司（以下简称“苏银理财”）对本理财产品的任何收益承诺。</w:t>
      </w:r>
    </w:p>
    <w:p>
      <w:pPr>
        <w:numPr>
          <w:ilvl w:val="0"/>
          <w:numId w:val="2"/>
        </w:numPr>
        <w:rPr>
          <w:rFonts w:ascii="楷体" w:hAnsi="楷体" w:eastAsia="楷体"/>
          <w:sz w:val="24"/>
          <w:szCs w:val="24"/>
          <w:highlight w:val="none"/>
        </w:rPr>
      </w:pPr>
      <w:r>
        <w:rPr>
          <w:rFonts w:hint="eastAsia" w:ascii="楷体" w:hAnsi="楷体" w:eastAsia="楷体"/>
          <w:sz w:val="24"/>
          <w:szCs w:val="24"/>
          <w:highlight w:val="none"/>
        </w:rPr>
        <w:t>《理财产品说明书》、《风险揭示书》、《投资者权益须知》、《理财产品投资协议书》、《理财产品（代理）销售协议书》共同构成本理财产品完整的不可分割的理财产品合同。</w:t>
      </w:r>
    </w:p>
    <w:p>
      <w:pPr>
        <w:numPr>
          <w:ilvl w:val="0"/>
          <w:numId w:val="2"/>
        </w:numPr>
        <w:rPr>
          <w:rFonts w:ascii="楷体" w:hAnsi="楷体" w:eastAsia="楷体"/>
          <w:sz w:val="24"/>
          <w:szCs w:val="24"/>
          <w:highlight w:val="none"/>
        </w:rPr>
      </w:pPr>
      <w:r>
        <w:rPr>
          <w:rFonts w:hint="eastAsia" w:ascii="楷体" w:hAnsi="楷体" w:eastAsia="楷体"/>
          <w:sz w:val="24"/>
          <w:szCs w:val="24"/>
          <w:highlight w:val="none"/>
        </w:rPr>
        <w:t>本理财产品涉及的主要风险包括政策风险、信用风险、市场风险、流动性风险、管理风险、操作风险、产品不成立风险、延期兑付风险、提前终止风险、信息传递风险、税务风险、代销风险（如有）、其他风险等。请仔细阅读《“苏银理财启源</w:t>
      </w:r>
      <w:r>
        <w:rPr>
          <w:rFonts w:hint="eastAsia" w:ascii="楷体" w:hAnsi="楷体" w:eastAsia="楷体"/>
          <w:sz w:val="24"/>
          <w:szCs w:val="24"/>
          <w:highlight w:val="none"/>
          <w:lang w:eastAsia="zh-CN"/>
        </w:rPr>
        <w:t>货币3号</w:t>
      </w:r>
      <w:r>
        <w:rPr>
          <w:rFonts w:hint="eastAsia" w:ascii="楷体" w:hAnsi="楷体" w:eastAsia="楷体"/>
          <w:sz w:val="24"/>
          <w:szCs w:val="24"/>
          <w:highlight w:val="none"/>
        </w:rPr>
        <w:t>”理财产品风险揭示书》的“风险揭示”部分。</w:t>
      </w:r>
    </w:p>
    <w:p>
      <w:pPr>
        <w:numPr>
          <w:ilvl w:val="0"/>
          <w:numId w:val="2"/>
        </w:numPr>
        <w:rPr>
          <w:rFonts w:ascii="楷体" w:hAnsi="楷体" w:eastAsia="楷体"/>
          <w:b/>
          <w:sz w:val="24"/>
          <w:szCs w:val="24"/>
          <w:highlight w:val="none"/>
          <w:u w:val="single"/>
        </w:rPr>
      </w:pPr>
      <w:r>
        <w:rPr>
          <w:rFonts w:hint="eastAsia" w:ascii="楷体" w:hAnsi="楷体" w:eastAsia="楷体"/>
          <w:b/>
          <w:sz w:val="24"/>
          <w:szCs w:val="24"/>
          <w:highlight w:val="none"/>
          <w:u w:val="single"/>
        </w:rPr>
        <w:t>投资者不得使用贷款、发行债券等筹集的非自有资金投资本理财产品。</w:t>
      </w:r>
    </w:p>
    <w:p>
      <w:pPr>
        <w:numPr>
          <w:ilvl w:val="0"/>
          <w:numId w:val="2"/>
        </w:numPr>
        <w:rPr>
          <w:rFonts w:ascii="楷体" w:hAnsi="楷体" w:eastAsia="楷体"/>
          <w:b/>
          <w:bCs/>
          <w:sz w:val="24"/>
          <w:szCs w:val="24"/>
          <w:highlight w:val="none"/>
        </w:rPr>
      </w:pPr>
      <w:r>
        <w:rPr>
          <w:rFonts w:hint="eastAsia" w:ascii="楷体" w:hAnsi="楷体" w:eastAsia="楷体"/>
          <w:sz w:val="24"/>
          <w:szCs w:val="24"/>
          <w:highlight w:val="none"/>
        </w:rPr>
        <w:t>本理财产品类型为</w:t>
      </w:r>
      <w:r>
        <w:rPr>
          <w:rFonts w:hint="eastAsia" w:ascii="楷体" w:hAnsi="楷体" w:eastAsia="楷体"/>
          <w:b/>
          <w:sz w:val="24"/>
          <w:szCs w:val="24"/>
          <w:highlight w:val="none"/>
          <w:u w:val="single"/>
        </w:rPr>
        <w:t>固定收益类</w:t>
      </w:r>
      <w:r>
        <w:rPr>
          <w:rFonts w:hint="eastAsia" w:ascii="楷体" w:hAnsi="楷体" w:eastAsia="楷体"/>
          <w:sz w:val="24"/>
          <w:szCs w:val="24"/>
          <w:highlight w:val="none"/>
        </w:rPr>
        <w:t>产品。若法律法规、监管政策及市场情况发生变化，苏银理财有权在不改变产品类型的情况下，可对本说明书中已约定的投资范围、投资品种、投资比例以及收费项目、条件、标准、方式和收益分配原则进行调整。</w:t>
      </w:r>
      <w:r>
        <w:rPr>
          <w:rFonts w:hint="eastAsia" w:ascii="楷体" w:hAnsi="楷体" w:eastAsia="楷体"/>
          <w:b/>
          <w:bCs/>
          <w:sz w:val="24"/>
          <w:szCs w:val="24"/>
          <w:highlight w:val="none"/>
          <w:u w:val="single"/>
          <w:lang w:val="en-US" w:eastAsia="zh-CN"/>
        </w:rPr>
        <w:t>产品管理人将于调整事项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r>
        <w:rPr>
          <w:rFonts w:hint="eastAsia" w:ascii="楷体" w:hAnsi="楷体" w:eastAsia="楷体"/>
          <w:b/>
          <w:bCs/>
          <w:sz w:val="24"/>
          <w:szCs w:val="24"/>
          <w:highlight w:val="none"/>
          <w:u w:val="single"/>
        </w:rPr>
        <w:t>。</w:t>
      </w:r>
    </w:p>
    <w:p>
      <w:pPr>
        <w:numPr>
          <w:ilvl w:val="0"/>
          <w:numId w:val="2"/>
        </w:numPr>
        <w:rPr>
          <w:rFonts w:ascii="楷体" w:hAnsi="楷体" w:eastAsia="楷体"/>
          <w:sz w:val="24"/>
          <w:szCs w:val="24"/>
          <w:highlight w:val="none"/>
        </w:rPr>
      </w:pPr>
      <w:r>
        <w:rPr>
          <w:rFonts w:hint="eastAsia" w:ascii="楷体" w:hAnsi="楷体" w:eastAsia="楷体"/>
          <w:sz w:val="24"/>
          <w:szCs w:val="24"/>
          <w:highlight w:val="none"/>
        </w:rPr>
        <w:t>为贯彻落实金融监管总局和银行业理财登记托管中心的要求，苏银理财将向监管机构报送理财产品投资者身份信息、每日交易、持仓等信息。后续金融监管总局和银行业理财登记托管中心等机关如果提出新的信息报送要求，苏银理财将按照该等机关的要求执行。投资者签署本理财产品销售文件即视为已经同意苏银理财将按照相关机关要求报送投资者相关信息。</w:t>
      </w:r>
    </w:p>
    <w:p>
      <w:pPr>
        <w:numPr>
          <w:ilvl w:val="0"/>
          <w:numId w:val="2"/>
        </w:numPr>
        <w:rPr>
          <w:rFonts w:ascii="楷体" w:hAnsi="楷体" w:eastAsia="楷体"/>
          <w:sz w:val="24"/>
          <w:szCs w:val="24"/>
          <w:highlight w:val="none"/>
        </w:rPr>
      </w:pPr>
      <w:r>
        <w:rPr>
          <w:rFonts w:hint="eastAsia" w:ascii="楷体" w:hAnsi="楷体" w:eastAsia="楷体"/>
          <w:sz w:val="24"/>
          <w:szCs w:val="24"/>
          <w:highlight w:val="none"/>
        </w:rPr>
        <w:t>在本产品存续期内，如因监管政策或法律法规发生变化，在不损害投资者利益的前提下，苏银理财有权单方对本产品条款进行修订，并按说明书约定的信息披露方式予以披露。</w:t>
      </w:r>
    </w:p>
    <w:p>
      <w:pPr>
        <w:numPr>
          <w:ilvl w:val="0"/>
          <w:numId w:val="2"/>
        </w:numPr>
        <w:rPr>
          <w:rFonts w:ascii="楷体" w:hAnsi="楷体" w:eastAsia="楷体"/>
          <w:sz w:val="24"/>
          <w:szCs w:val="24"/>
          <w:highlight w:val="none"/>
        </w:rPr>
      </w:pPr>
      <w:r>
        <w:rPr>
          <w:rFonts w:hint="eastAsia" w:ascii="楷体" w:hAnsi="楷体" w:eastAsia="楷体"/>
          <w:sz w:val="24"/>
          <w:szCs w:val="24"/>
          <w:highlight w:val="none"/>
        </w:rPr>
        <w:t>在购买本理财产品后，投资者应随时关注该理财产品的信息披露情况，及时获取相关信息。</w:t>
      </w:r>
    </w:p>
    <w:p>
      <w:pPr>
        <w:numPr>
          <w:ilvl w:val="0"/>
          <w:numId w:val="2"/>
        </w:numPr>
        <w:rPr>
          <w:rFonts w:ascii="楷体" w:hAnsi="楷体" w:eastAsia="楷体"/>
          <w:highlight w:val="none"/>
        </w:rPr>
      </w:pPr>
      <w:r>
        <w:rPr>
          <w:rFonts w:hint="eastAsia" w:ascii="楷体" w:hAnsi="楷体" w:eastAsia="楷体"/>
          <w:sz w:val="24"/>
          <w:szCs w:val="24"/>
          <w:highlight w:val="none"/>
        </w:rPr>
        <w:t>本理财产品说明书在法律许可的范围内由苏银理财负责解释。</w:t>
      </w:r>
    </w:p>
    <w:p>
      <w:pPr>
        <w:numPr>
          <w:ilvl w:val="0"/>
          <w:numId w:val="3"/>
        </w:numPr>
        <w:tabs>
          <w:tab w:val="left" w:pos="1134"/>
        </w:tabs>
        <w:ind w:firstLine="562" w:firstLineChars="200"/>
        <w:outlineLvl w:val="0"/>
        <w:rPr>
          <w:rFonts w:ascii="楷体" w:hAnsi="楷体" w:eastAsia="楷体"/>
          <w:b/>
          <w:sz w:val="28"/>
          <w:szCs w:val="28"/>
          <w:highlight w:val="none"/>
        </w:rPr>
      </w:pPr>
      <w:r>
        <w:rPr>
          <w:rFonts w:hint="eastAsia" w:ascii="楷体" w:hAnsi="楷体" w:eastAsia="楷体"/>
          <w:b/>
          <w:sz w:val="28"/>
          <w:szCs w:val="28"/>
          <w:highlight w:val="none"/>
        </w:rPr>
        <w:t>产品要素</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为保护投资者合法权益，尊重投资者的知情权和自主选择权，现将本理财产品的基本要素说明如下：</w:t>
      </w:r>
    </w:p>
    <w:tbl>
      <w:tblPr>
        <w:tblStyle w:val="15"/>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90"/>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vAlign w:val="center"/>
          </w:tcPr>
          <w:p>
            <w:pPr>
              <w:pStyle w:val="37"/>
              <w:kinsoku w:val="0"/>
              <w:overflowPunct w:val="0"/>
              <w:spacing w:before="11"/>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产品名称</w:t>
            </w:r>
          </w:p>
        </w:tc>
        <w:tc>
          <w:tcPr>
            <w:tcW w:w="6794" w:type="dxa"/>
            <w:vAlign w:val="center"/>
          </w:tcPr>
          <w:p>
            <w:pPr>
              <w:pStyle w:val="37"/>
              <w:kinsoku w:val="0"/>
              <w:overflowPunct w:val="0"/>
              <w:spacing w:before="13"/>
              <w:ind w:left="42" w:leftChars="20" w:right="115" w:rightChars="55"/>
              <w:jc w:val="both"/>
              <w:rPr>
                <w:rFonts w:hint="eastAsia" w:ascii="楷体" w:hAnsi="楷体" w:eastAsia="楷体" w:cs="宋体"/>
                <w:spacing w:val="-2"/>
                <w:sz w:val="21"/>
                <w:szCs w:val="21"/>
                <w:highlight w:val="none"/>
                <w:lang w:eastAsia="zh-CN"/>
              </w:rPr>
            </w:pPr>
            <w:r>
              <w:rPr>
                <w:rFonts w:hint="eastAsia" w:ascii="楷体" w:hAnsi="楷体" w:eastAsia="楷体" w:cs="宋体"/>
                <w:spacing w:val="-2"/>
                <w:sz w:val="21"/>
                <w:szCs w:val="21"/>
                <w:highlight w:val="none"/>
              </w:rPr>
              <w:t>苏银理财启源</w:t>
            </w:r>
            <w:r>
              <w:rPr>
                <w:rFonts w:hint="eastAsia" w:ascii="楷体" w:hAnsi="楷体" w:eastAsia="楷体" w:cs="宋体"/>
                <w:spacing w:val="-2"/>
                <w:sz w:val="21"/>
                <w:szCs w:val="21"/>
                <w:highlight w:val="none"/>
                <w:lang w:eastAsia="zh-CN"/>
              </w:rPr>
              <w:t>货币3号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vAlign w:val="center"/>
          </w:tcPr>
          <w:p>
            <w:pPr>
              <w:pStyle w:val="37"/>
              <w:kinsoku w:val="0"/>
              <w:overflowPunct w:val="0"/>
              <w:spacing w:before="140"/>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理财产品登记编码</w:t>
            </w:r>
          </w:p>
        </w:tc>
        <w:tc>
          <w:tcPr>
            <w:tcW w:w="6794" w:type="dxa"/>
            <w:vAlign w:val="center"/>
          </w:tcPr>
          <w:p>
            <w:pPr>
              <w:pStyle w:val="37"/>
              <w:kinsoku w:val="0"/>
              <w:overflowPunct w:val="0"/>
              <w:ind w:left="42" w:leftChars="20" w:right="115" w:rightChars="55"/>
              <w:jc w:val="both"/>
              <w:rPr>
                <w:rFonts w:ascii="楷体" w:hAnsi="楷体" w:eastAsia="楷体" w:cs="宋体"/>
                <w:spacing w:val="-2"/>
                <w:sz w:val="21"/>
                <w:szCs w:val="21"/>
                <w:highlight w:val="none"/>
              </w:rPr>
            </w:pPr>
            <w:r>
              <w:rPr>
                <w:rFonts w:hint="eastAsia" w:ascii="楷体" w:hAnsi="楷体" w:eastAsia="楷体" w:cs="宋体"/>
                <w:spacing w:val="-2"/>
                <w:sz w:val="21"/>
                <w:szCs w:val="21"/>
                <w:highlight w:val="none"/>
              </w:rPr>
              <w:t>Z7003125000025</w:t>
            </w:r>
          </w:p>
          <w:p>
            <w:pPr>
              <w:pStyle w:val="37"/>
              <w:kinsoku w:val="0"/>
              <w:overflowPunct w:val="0"/>
              <w:ind w:left="42" w:leftChars="20" w:right="115" w:rightChars="55"/>
              <w:jc w:val="both"/>
              <w:rPr>
                <w:rFonts w:ascii="楷体" w:hAnsi="楷体" w:eastAsia="楷体" w:cs="宋体"/>
                <w:spacing w:val="-2"/>
                <w:sz w:val="21"/>
                <w:szCs w:val="21"/>
                <w:highlight w:val="none"/>
              </w:rPr>
            </w:pPr>
            <w:r>
              <w:rPr>
                <w:rFonts w:hint="eastAsia" w:ascii="楷体" w:hAnsi="楷体" w:eastAsia="楷体" w:cs="宋体"/>
                <w:spacing w:val="-2"/>
                <w:sz w:val="21"/>
                <w:szCs w:val="21"/>
                <w:highlight w:val="none"/>
              </w:rPr>
              <w:t>（投资者可依据该编码在中国理财网</w:t>
            </w:r>
            <w:r>
              <w:rPr>
                <w:rFonts w:ascii="楷体" w:hAnsi="楷体" w:eastAsia="楷体" w:cs="宋体"/>
                <w:spacing w:val="-2"/>
                <w:sz w:val="21"/>
                <w:szCs w:val="21"/>
                <w:highlight w:val="none"/>
              </w:rPr>
              <w:t>www.chinawealth.com．cn</w:t>
            </w:r>
            <w:r>
              <w:rPr>
                <w:rFonts w:hint="eastAsia" w:ascii="楷体" w:hAnsi="楷体" w:eastAsia="楷体" w:cs="宋体"/>
                <w:spacing w:val="-2"/>
                <w:sz w:val="21"/>
                <w:szCs w:val="21"/>
                <w:highlight w:val="none"/>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vAlign w:val="center"/>
          </w:tcPr>
          <w:p>
            <w:pPr>
              <w:pStyle w:val="37"/>
              <w:kinsoku w:val="0"/>
              <w:overflowPunct w:val="0"/>
              <w:spacing w:before="13"/>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销售简称/销售代码</w:t>
            </w:r>
          </w:p>
        </w:tc>
        <w:tc>
          <w:tcPr>
            <w:tcW w:w="6794" w:type="dxa"/>
            <w:vAlign w:val="center"/>
          </w:tcPr>
          <w:p>
            <w:pPr>
              <w:pStyle w:val="37"/>
              <w:kinsoku w:val="0"/>
              <w:overflowPunct w:val="0"/>
              <w:spacing w:before="12"/>
              <w:ind w:left="42" w:leftChars="20" w:right="115" w:rightChars="55"/>
              <w:jc w:val="both"/>
              <w:rPr>
                <w:rFonts w:hint="eastAsia" w:ascii="楷体" w:hAnsi="楷体" w:eastAsia="楷体" w:cs="宋体"/>
                <w:spacing w:val="-2"/>
                <w:sz w:val="21"/>
                <w:szCs w:val="21"/>
                <w:highlight w:val="none"/>
              </w:rPr>
            </w:pPr>
            <w:r>
              <w:rPr>
                <w:rFonts w:hint="eastAsia" w:ascii="楷体" w:hAnsi="楷体" w:eastAsia="楷体" w:cs="宋体"/>
                <w:spacing w:val="-2"/>
                <w:sz w:val="21"/>
                <w:szCs w:val="21"/>
                <w:highlight w:val="none"/>
              </w:rPr>
              <w:t>苏银理财启源货币3号A/J03836</w:t>
            </w:r>
          </w:p>
          <w:p>
            <w:pPr>
              <w:pStyle w:val="37"/>
              <w:kinsoku w:val="0"/>
              <w:overflowPunct w:val="0"/>
              <w:spacing w:before="12"/>
              <w:ind w:left="42" w:leftChars="20" w:right="115" w:rightChars="55"/>
              <w:jc w:val="both"/>
              <w:rPr>
                <w:rFonts w:hint="eastAsia" w:ascii="楷体" w:hAnsi="楷体" w:eastAsia="楷体" w:cs="宋体"/>
                <w:spacing w:val="-2"/>
                <w:sz w:val="21"/>
                <w:szCs w:val="21"/>
                <w:highlight w:val="none"/>
              </w:rPr>
            </w:pPr>
            <w:r>
              <w:rPr>
                <w:rFonts w:hint="eastAsia" w:ascii="楷体" w:hAnsi="楷体" w:eastAsia="楷体" w:cs="宋体"/>
                <w:spacing w:val="-2"/>
                <w:sz w:val="21"/>
                <w:szCs w:val="21"/>
                <w:highlight w:val="none"/>
              </w:rPr>
              <w:t>苏银理财启源货币3号B/J03837</w:t>
            </w:r>
          </w:p>
          <w:p>
            <w:pPr>
              <w:pStyle w:val="37"/>
              <w:kinsoku w:val="0"/>
              <w:overflowPunct w:val="0"/>
              <w:spacing w:before="12"/>
              <w:ind w:left="42" w:leftChars="20" w:right="115" w:rightChars="55"/>
              <w:jc w:val="both"/>
              <w:rPr>
                <w:rFonts w:hint="eastAsia" w:ascii="楷体" w:hAnsi="楷体" w:eastAsia="楷体" w:cs="宋体"/>
                <w:spacing w:val="-2"/>
                <w:sz w:val="21"/>
                <w:szCs w:val="21"/>
                <w:highlight w:val="none"/>
              </w:rPr>
            </w:pPr>
            <w:r>
              <w:rPr>
                <w:rFonts w:hint="eastAsia" w:ascii="楷体" w:hAnsi="楷体" w:eastAsia="楷体" w:cs="宋体"/>
                <w:spacing w:val="-2"/>
                <w:sz w:val="21"/>
                <w:szCs w:val="21"/>
                <w:highlight w:val="none"/>
              </w:rPr>
              <w:t>苏银理财启源货币3号F/J03838</w:t>
            </w:r>
          </w:p>
          <w:p>
            <w:pPr>
              <w:pStyle w:val="37"/>
              <w:kinsoku w:val="0"/>
              <w:overflowPunct w:val="0"/>
              <w:spacing w:before="12"/>
              <w:ind w:left="42" w:leftChars="20" w:right="115" w:rightChars="55"/>
              <w:jc w:val="both"/>
              <w:rPr>
                <w:rFonts w:hint="eastAsia" w:ascii="楷体" w:hAnsi="楷体" w:eastAsia="楷体" w:cs="宋体"/>
                <w:spacing w:val="-2"/>
                <w:sz w:val="21"/>
                <w:szCs w:val="21"/>
                <w:highlight w:val="none"/>
              </w:rPr>
            </w:pPr>
            <w:r>
              <w:rPr>
                <w:rFonts w:hint="eastAsia" w:ascii="楷体" w:hAnsi="楷体" w:eastAsia="楷体" w:cs="宋体"/>
                <w:spacing w:val="-2"/>
                <w:sz w:val="21"/>
                <w:szCs w:val="21"/>
                <w:highlight w:val="none"/>
              </w:rPr>
              <w:t>苏银理财启源货币3号G/J03839</w:t>
            </w:r>
          </w:p>
          <w:p>
            <w:pPr>
              <w:pStyle w:val="37"/>
              <w:kinsoku w:val="0"/>
              <w:overflowPunct w:val="0"/>
              <w:spacing w:before="12"/>
              <w:ind w:left="42" w:leftChars="20" w:right="115" w:rightChars="55"/>
              <w:jc w:val="both"/>
              <w:rPr>
                <w:rFonts w:hint="default" w:ascii="楷体" w:hAnsi="楷体" w:eastAsia="楷体" w:cs="宋体"/>
                <w:spacing w:val="-2"/>
                <w:sz w:val="21"/>
                <w:szCs w:val="21"/>
                <w:highlight w:val="none"/>
                <w:lang w:val="en-US" w:eastAsia="zh-CN"/>
              </w:rPr>
            </w:pPr>
            <w:r>
              <w:rPr>
                <w:rFonts w:hint="eastAsia" w:ascii="楷体" w:hAnsi="楷体" w:eastAsia="楷体" w:cs="宋体"/>
                <w:spacing w:val="-2"/>
                <w:sz w:val="21"/>
                <w:szCs w:val="21"/>
                <w:highlight w:val="none"/>
              </w:rPr>
              <w:t>苏银理财启源货币3号H/J03840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vAlign w:val="center"/>
          </w:tcPr>
          <w:p>
            <w:pPr>
              <w:pStyle w:val="37"/>
              <w:kinsoku w:val="0"/>
              <w:overflowPunct w:val="0"/>
              <w:spacing w:before="14"/>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产品管理人</w:t>
            </w:r>
          </w:p>
        </w:tc>
        <w:tc>
          <w:tcPr>
            <w:tcW w:w="6794" w:type="dxa"/>
            <w:vAlign w:val="center"/>
          </w:tcPr>
          <w:p>
            <w:pPr>
              <w:pStyle w:val="37"/>
              <w:kinsoku w:val="0"/>
              <w:overflowPunct w:val="0"/>
              <w:spacing w:before="12"/>
              <w:ind w:left="42" w:leftChars="20" w:right="115" w:rightChars="55"/>
              <w:jc w:val="both"/>
              <w:rPr>
                <w:rFonts w:ascii="楷体" w:hAnsi="楷体" w:eastAsia="楷体" w:cs="宋体"/>
                <w:spacing w:val="-2"/>
                <w:sz w:val="21"/>
                <w:szCs w:val="21"/>
                <w:highlight w:val="none"/>
              </w:rPr>
            </w:pPr>
            <w:r>
              <w:rPr>
                <w:rFonts w:hint="eastAsia" w:ascii="楷体" w:hAnsi="楷体" w:eastAsia="楷体" w:cs="宋体"/>
                <w:spacing w:val="-2"/>
                <w:sz w:val="21"/>
                <w:szCs w:val="21"/>
                <w:highlight w:val="none"/>
              </w:rPr>
              <w:t>苏银理财有限责任公司，详见下文“二、产品管理人”。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vAlign w:val="center"/>
          </w:tcPr>
          <w:p>
            <w:pPr>
              <w:pStyle w:val="37"/>
              <w:kinsoku w:val="0"/>
              <w:overflowPunct w:val="0"/>
              <w:spacing w:before="13"/>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产品托管人</w:t>
            </w:r>
          </w:p>
        </w:tc>
        <w:tc>
          <w:tcPr>
            <w:tcW w:w="6794" w:type="dxa"/>
            <w:vAlign w:val="center"/>
          </w:tcPr>
          <w:p>
            <w:pPr>
              <w:pStyle w:val="37"/>
              <w:kinsoku w:val="0"/>
              <w:overflowPunct w:val="0"/>
              <w:spacing w:before="12"/>
              <w:ind w:left="42" w:leftChars="20" w:right="115" w:rightChars="55"/>
              <w:jc w:val="both"/>
              <w:rPr>
                <w:rFonts w:ascii="楷体" w:hAnsi="楷体" w:eastAsia="楷体" w:cs="宋体"/>
                <w:spacing w:val="-2"/>
                <w:sz w:val="21"/>
                <w:szCs w:val="21"/>
                <w:highlight w:val="none"/>
              </w:rPr>
            </w:pPr>
            <w:r>
              <w:rPr>
                <w:rFonts w:hint="eastAsia" w:ascii="楷体" w:hAnsi="楷体" w:eastAsia="楷体" w:cs="宋体"/>
                <w:spacing w:val="-2"/>
                <w:sz w:val="21"/>
                <w:szCs w:val="21"/>
                <w:highlight w:val="none"/>
              </w:rPr>
              <w:t>江苏银行股份有限公司，详见下文“十五、产品托管人”。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vAlign w:val="center"/>
          </w:tcPr>
          <w:p>
            <w:pPr>
              <w:pStyle w:val="37"/>
              <w:kinsoku w:val="0"/>
              <w:overflowPunct w:val="0"/>
              <w:spacing w:before="13"/>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销售机构</w:t>
            </w:r>
          </w:p>
        </w:tc>
        <w:tc>
          <w:tcPr>
            <w:tcW w:w="6794" w:type="dxa"/>
            <w:vAlign w:val="center"/>
          </w:tcPr>
          <w:p>
            <w:pPr>
              <w:pStyle w:val="37"/>
              <w:kinsoku w:val="0"/>
              <w:overflowPunct w:val="0"/>
              <w:spacing w:before="13"/>
              <w:ind w:left="42" w:leftChars="20" w:right="115" w:rightChars="55"/>
              <w:jc w:val="both"/>
              <w:rPr>
                <w:rFonts w:ascii="楷体" w:hAnsi="楷体" w:eastAsia="楷体" w:cs="宋体"/>
                <w:spacing w:val="-2"/>
                <w:sz w:val="21"/>
                <w:szCs w:val="21"/>
                <w:highlight w:val="none"/>
              </w:rPr>
            </w:pPr>
            <w:r>
              <w:rPr>
                <w:rFonts w:hint="eastAsia" w:ascii="楷体" w:hAnsi="楷体" w:eastAsia="楷体" w:cs="宋体"/>
                <w:spacing w:val="-2"/>
                <w:sz w:val="21"/>
                <w:szCs w:val="21"/>
                <w:highlight w:val="none"/>
              </w:rPr>
              <w:t>详见下文“三、销售机构”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2" w:hRule="atLeast"/>
          <w:jc w:val="center"/>
        </w:trPr>
        <w:tc>
          <w:tcPr>
            <w:tcW w:w="2390" w:type="dxa"/>
            <w:vAlign w:val="center"/>
          </w:tcPr>
          <w:p>
            <w:pPr>
              <w:pStyle w:val="37"/>
              <w:kinsoku w:val="0"/>
              <w:overflowPunct w:val="0"/>
              <w:spacing w:before="13"/>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产品内部风险评级</w:t>
            </w:r>
          </w:p>
        </w:tc>
        <w:tc>
          <w:tcPr>
            <w:tcW w:w="6794" w:type="dxa"/>
            <w:vAlign w:val="center"/>
          </w:tcPr>
          <w:p>
            <w:pPr>
              <w:pStyle w:val="37"/>
              <w:kinsoku w:val="0"/>
              <w:overflowPunct w:val="0"/>
              <w:spacing w:before="13"/>
              <w:ind w:left="42" w:leftChars="20" w:right="115" w:rightChars="55"/>
              <w:jc w:val="both"/>
              <w:rPr>
                <w:rFonts w:ascii="楷体" w:hAnsi="楷体" w:eastAsia="楷体" w:cs="宋体"/>
                <w:b/>
                <w:spacing w:val="-2"/>
                <w:sz w:val="21"/>
                <w:szCs w:val="21"/>
                <w:highlight w:val="none"/>
                <w:u w:val="single"/>
              </w:rPr>
            </w:pPr>
            <w:r>
              <w:rPr>
                <w:rFonts w:hint="eastAsia" w:ascii="楷体" w:hAnsi="楷体" w:eastAsia="楷体" w:cs="宋体"/>
                <w:spacing w:val="-2"/>
                <w:sz w:val="21"/>
                <w:szCs w:val="21"/>
                <w:highlight w:val="none"/>
              </w:rPr>
              <w:t>1、★一级，本评级为苏银理财有限责任公司内部评级，由苏银理财根据理财产品的投资组合、同类产品过往业绩和风险状况等因素，对理财产品进行评级，仅供客户参考。</w:t>
            </w:r>
          </w:p>
          <w:p>
            <w:pPr>
              <w:pStyle w:val="37"/>
              <w:kinsoku w:val="0"/>
              <w:overflowPunct w:val="0"/>
              <w:spacing w:before="13"/>
              <w:ind w:left="42" w:leftChars="20" w:right="115" w:rightChars="55"/>
              <w:jc w:val="both"/>
              <w:rPr>
                <w:rFonts w:ascii="楷体" w:hAnsi="楷体" w:eastAsia="楷体" w:cs="宋体"/>
                <w:spacing w:val="-2"/>
                <w:sz w:val="21"/>
                <w:szCs w:val="21"/>
                <w:highlight w:val="none"/>
              </w:rPr>
            </w:pPr>
            <w:r>
              <w:rPr>
                <w:rFonts w:hint="eastAsia" w:ascii="楷体" w:hAnsi="楷体" w:eastAsia="楷体" w:cs="宋体"/>
                <w:spacing w:val="-2"/>
                <w:sz w:val="21"/>
                <w:szCs w:val="21"/>
                <w:highlight w:val="none"/>
              </w:rPr>
              <w:t>2、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w:t>
            </w:r>
            <w:r>
              <w:rPr>
                <w:rFonts w:ascii="楷体" w:hAnsi="楷体" w:eastAsia="楷体" w:cs="宋体"/>
                <w:spacing w:val="-2"/>
                <w:sz w:val="21"/>
                <w:szCs w:val="21"/>
                <w:highlight w:val="none"/>
              </w:rPr>
              <w:t>销售评级与</w:t>
            </w:r>
            <w:r>
              <w:rPr>
                <w:rFonts w:hint="eastAsia" w:ascii="楷体" w:hAnsi="楷体" w:eastAsia="楷体" w:cs="宋体"/>
                <w:spacing w:val="-2"/>
                <w:sz w:val="21"/>
                <w:szCs w:val="21"/>
                <w:highlight w:val="none"/>
              </w:rPr>
              <w:t>苏银理财</w:t>
            </w:r>
            <w:r>
              <w:rPr>
                <w:rFonts w:ascii="楷体" w:hAnsi="楷体" w:eastAsia="楷体" w:cs="宋体"/>
                <w:spacing w:val="-2"/>
                <w:sz w:val="21"/>
                <w:szCs w:val="21"/>
                <w:highlight w:val="none"/>
              </w:rPr>
              <w:t>产品评级结果不一致的，代理销售机构应当采用对应较高风险等级的评级结果并予以披露</w:t>
            </w:r>
            <w:r>
              <w:rPr>
                <w:rFonts w:hint="eastAsia" w:ascii="楷体" w:hAnsi="楷体" w:eastAsia="楷体" w:cs="宋体"/>
                <w:spacing w:val="-2"/>
                <w:sz w:val="21"/>
                <w:szCs w:val="21"/>
                <w:highlight w:val="none"/>
              </w:rPr>
              <w:t>。</w:t>
            </w:r>
          </w:p>
          <w:p>
            <w:pPr>
              <w:pStyle w:val="37"/>
              <w:kinsoku w:val="0"/>
              <w:overflowPunct w:val="0"/>
              <w:spacing w:before="13"/>
              <w:ind w:left="42" w:leftChars="20" w:right="115" w:rightChars="55"/>
              <w:jc w:val="both"/>
              <w:rPr>
                <w:rFonts w:ascii="楷体" w:hAnsi="楷体" w:eastAsia="楷体" w:cs="宋体"/>
                <w:spacing w:val="-2"/>
                <w:sz w:val="21"/>
                <w:szCs w:val="21"/>
                <w:highlight w:val="none"/>
              </w:rPr>
            </w:pPr>
            <w:r>
              <w:rPr>
                <w:rFonts w:hint="eastAsia" w:ascii="楷体" w:hAnsi="楷体" w:eastAsia="楷体" w:cs="宋体"/>
                <w:bCs/>
                <w:spacing w:val="-2"/>
                <w:sz w:val="21"/>
                <w:szCs w:val="21"/>
                <w:highlight w:val="none"/>
              </w:rPr>
              <w:t>3、</w:t>
            </w:r>
            <w:r>
              <w:rPr>
                <w:rFonts w:hint="eastAsia" w:ascii="楷体" w:hAnsi="楷体" w:eastAsia="楷体" w:cs="宋体"/>
                <w:b/>
                <w:spacing w:val="-2"/>
                <w:sz w:val="21"/>
                <w:szCs w:val="21"/>
                <w:highlight w:val="none"/>
                <w:u w:val="single"/>
              </w:rPr>
              <w:t>如本产品</w:t>
            </w:r>
            <w:r>
              <w:rPr>
                <w:rFonts w:ascii="楷体" w:hAnsi="楷体" w:eastAsia="楷体" w:cs="宋体"/>
                <w:b/>
                <w:spacing w:val="-2"/>
                <w:sz w:val="21"/>
                <w:szCs w:val="21"/>
                <w:highlight w:val="none"/>
                <w:u w:val="single"/>
              </w:rPr>
              <w:t>通过代理销售机构渠道销售，理财产品评级</w:t>
            </w:r>
            <w:r>
              <w:rPr>
                <w:rFonts w:hint="eastAsia" w:ascii="楷体" w:hAnsi="楷体" w:eastAsia="楷体" w:cs="宋体"/>
                <w:b/>
                <w:spacing w:val="-2"/>
                <w:sz w:val="21"/>
                <w:szCs w:val="21"/>
                <w:highlight w:val="none"/>
                <w:u w:val="single"/>
              </w:rPr>
              <w:t>以</w:t>
            </w:r>
            <w:r>
              <w:rPr>
                <w:rFonts w:ascii="楷体" w:hAnsi="楷体" w:eastAsia="楷体" w:cs="宋体"/>
                <w:b/>
                <w:spacing w:val="-2"/>
                <w:sz w:val="21"/>
                <w:szCs w:val="21"/>
                <w:highlight w:val="none"/>
                <w:u w:val="single"/>
              </w:rPr>
              <w:t>代理销售机构最终披露的评级结果为准</w:t>
            </w:r>
            <w:r>
              <w:rPr>
                <w:rFonts w:hint="eastAsia" w:ascii="楷体" w:hAnsi="楷体" w:eastAsia="楷体" w:cs="宋体"/>
                <w:b/>
                <w:spacing w:val="-2"/>
                <w:sz w:val="21"/>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vAlign w:val="center"/>
          </w:tcPr>
          <w:p>
            <w:pPr>
              <w:pStyle w:val="37"/>
              <w:kinsoku w:val="0"/>
              <w:overflowPunct w:val="0"/>
              <w:spacing w:before="12"/>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收益类型</w:t>
            </w:r>
          </w:p>
        </w:tc>
        <w:tc>
          <w:tcPr>
            <w:tcW w:w="6794" w:type="dxa"/>
            <w:vAlign w:val="center"/>
          </w:tcPr>
          <w:p>
            <w:pPr>
              <w:pStyle w:val="37"/>
              <w:kinsoku w:val="0"/>
              <w:overflowPunct w:val="0"/>
              <w:spacing w:before="12"/>
              <w:ind w:left="42" w:leftChars="20" w:right="115" w:rightChars="55"/>
              <w:jc w:val="both"/>
              <w:rPr>
                <w:rFonts w:ascii="楷体" w:hAnsi="楷体" w:eastAsia="楷体" w:cs="宋体"/>
                <w:spacing w:val="-2"/>
                <w:sz w:val="21"/>
                <w:szCs w:val="21"/>
                <w:highlight w:val="none"/>
              </w:rPr>
            </w:pPr>
            <w:r>
              <w:rPr>
                <w:rFonts w:hint="eastAsia" w:ascii="楷体" w:hAnsi="楷体" w:eastAsia="楷体" w:cs="宋体"/>
                <w:spacing w:val="-2"/>
                <w:sz w:val="21"/>
                <w:szCs w:val="21"/>
                <w:highlight w:val="none"/>
              </w:rPr>
              <w:t>净值型（非保本浮动收益）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vAlign w:val="center"/>
          </w:tcPr>
          <w:p>
            <w:pPr>
              <w:pStyle w:val="37"/>
              <w:kinsoku w:val="0"/>
              <w:overflowPunct w:val="0"/>
              <w:spacing w:before="13"/>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产品类型</w:t>
            </w:r>
          </w:p>
        </w:tc>
        <w:tc>
          <w:tcPr>
            <w:tcW w:w="6794" w:type="dxa"/>
            <w:vAlign w:val="center"/>
          </w:tcPr>
          <w:p>
            <w:pPr>
              <w:pStyle w:val="37"/>
              <w:kinsoku w:val="0"/>
              <w:overflowPunct w:val="0"/>
              <w:spacing w:before="12"/>
              <w:ind w:left="42" w:leftChars="20" w:right="115" w:rightChars="55"/>
              <w:jc w:val="both"/>
              <w:rPr>
                <w:rFonts w:ascii="楷体" w:hAnsi="楷体" w:eastAsia="楷体" w:cs="宋体"/>
                <w:b/>
                <w:spacing w:val="-2"/>
                <w:sz w:val="21"/>
                <w:szCs w:val="21"/>
                <w:highlight w:val="none"/>
                <w:u w:val="single"/>
              </w:rPr>
            </w:pPr>
            <w:r>
              <w:rPr>
                <w:rFonts w:hint="eastAsia" w:ascii="楷体" w:hAnsi="楷体" w:eastAsia="楷体" w:cs="宋体"/>
                <w:b/>
                <w:spacing w:val="-2"/>
                <w:sz w:val="21"/>
                <w:szCs w:val="21"/>
                <w:highlight w:val="none"/>
                <w:u w:val="single"/>
              </w:rPr>
              <w:t>现金管理类、固定收益类、公募、开放式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vAlign w:val="center"/>
          </w:tcPr>
          <w:p>
            <w:pPr>
              <w:pStyle w:val="37"/>
              <w:kinsoku w:val="0"/>
              <w:overflowPunct w:val="0"/>
              <w:spacing w:before="13"/>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销售对象</w:t>
            </w:r>
          </w:p>
        </w:tc>
        <w:tc>
          <w:tcPr>
            <w:tcW w:w="6794" w:type="dxa"/>
            <w:vAlign w:val="center"/>
          </w:tcPr>
          <w:p>
            <w:pPr>
              <w:pStyle w:val="37"/>
              <w:kinsoku w:val="0"/>
              <w:overflowPunct w:val="0"/>
              <w:spacing w:before="12"/>
              <w:ind w:left="42" w:leftChars="20" w:right="115" w:rightChars="55"/>
              <w:jc w:val="both"/>
              <w:rPr>
                <w:rFonts w:hint="eastAsia" w:ascii="楷体" w:hAnsi="楷体" w:eastAsia="楷体" w:cs="宋体"/>
                <w:spacing w:val="-2"/>
                <w:sz w:val="21"/>
                <w:szCs w:val="21"/>
                <w:highlight w:val="none"/>
              </w:rPr>
            </w:pPr>
            <w:r>
              <w:rPr>
                <w:rFonts w:hint="eastAsia" w:ascii="楷体" w:hAnsi="楷体" w:eastAsia="楷体" w:cs="宋体"/>
                <w:spacing w:val="-2"/>
                <w:sz w:val="21"/>
                <w:szCs w:val="21"/>
                <w:highlight w:val="none"/>
              </w:rPr>
              <w:t>苏银理财启源</w:t>
            </w:r>
            <w:r>
              <w:rPr>
                <w:rFonts w:hint="eastAsia" w:ascii="楷体" w:hAnsi="楷体" w:eastAsia="楷体" w:cs="宋体"/>
                <w:spacing w:val="-2"/>
                <w:sz w:val="21"/>
                <w:szCs w:val="21"/>
                <w:highlight w:val="none"/>
                <w:lang w:eastAsia="zh-CN"/>
              </w:rPr>
              <w:t>货币3号</w:t>
            </w:r>
            <w:r>
              <w:rPr>
                <w:rFonts w:hint="eastAsia" w:ascii="楷体" w:hAnsi="楷体" w:eastAsia="楷体" w:cs="宋体"/>
                <w:spacing w:val="-2"/>
                <w:sz w:val="21"/>
                <w:szCs w:val="21"/>
                <w:highlight w:val="none"/>
              </w:rPr>
              <w:t>A：个人</w:t>
            </w:r>
            <w:r>
              <w:rPr>
                <w:rFonts w:hint="eastAsia" w:ascii="楷体" w:hAnsi="楷体" w:eastAsia="楷体" w:cs="宋体"/>
                <w:spacing w:val="-2"/>
                <w:sz w:val="21"/>
                <w:szCs w:val="21"/>
                <w:highlight w:val="none"/>
                <w:lang w:val="en-US" w:eastAsia="zh-CN"/>
              </w:rPr>
              <w:t>和</w:t>
            </w:r>
            <w:r>
              <w:rPr>
                <w:rFonts w:hint="eastAsia" w:ascii="楷体" w:hAnsi="楷体" w:eastAsia="楷体" w:cs="宋体"/>
                <w:spacing w:val="-2"/>
                <w:sz w:val="21"/>
                <w:szCs w:val="21"/>
                <w:highlight w:val="none"/>
              </w:rPr>
              <w:t>机构投资者。</w:t>
            </w:r>
          </w:p>
          <w:p>
            <w:pPr>
              <w:pStyle w:val="37"/>
              <w:kinsoku w:val="0"/>
              <w:overflowPunct w:val="0"/>
              <w:spacing w:before="12"/>
              <w:ind w:left="42" w:leftChars="20" w:right="115" w:rightChars="55"/>
              <w:jc w:val="both"/>
              <w:rPr>
                <w:rFonts w:hint="eastAsia" w:ascii="楷体" w:hAnsi="楷体" w:eastAsia="楷体" w:cs="宋体"/>
                <w:spacing w:val="-2"/>
                <w:sz w:val="21"/>
                <w:szCs w:val="21"/>
                <w:highlight w:val="none"/>
              </w:rPr>
            </w:pPr>
            <w:r>
              <w:rPr>
                <w:rFonts w:hint="eastAsia" w:ascii="楷体" w:hAnsi="楷体" w:eastAsia="楷体" w:cs="宋体"/>
                <w:spacing w:val="-2"/>
                <w:sz w:val="21"/>
                <w:szCs w:val="21"/>
                <w:highlight w:val="none"/>
              </w:rPr>
              <w:t>苏银理财启源</w:t>
            </w:r>
            <w:r>
              <w:rPr>
                <w:rFonts w:hint="eastAsia" w:ascii="楷体" w:hAnsi="楷体" w:eastAsia="楷体" w:cs="宋体"/>
                <w:spacing w:val="-2"/>
                <w:sz w:val="21"/>
                <w:szCs w:val="21"/>
                <w:highlight w:val="none"/>
                <w:lang w:eastAsia="zh-CN"/>
              </w:rPr>
              <w:t>货币3号</w:t>
            </w:r>
            <w:r>
              <w:rPr>
                <w:rFonts w:hint="eastAsia" w:ascii="楷体" w:hAnsi="楷体" w:eastAsia="楷体" w:cs="宋体"/>
                <w:spacing w:val="-2"/>
                <w:sz w:val="21"/>
                <w:szCs w:val="21"/>
                <w:highlight w:val="none"/>
                <w:lang w:val="en-US" w:eastAsia="zh-CN"/>
              </w:rPr>
              <w:t>B</w:t>
            </w:r>
            <w:r>
              <w:rPr>
                <w:rFonts w:hint="eastAsia" w:ascii="楷体" w:hAnsi="楷体" w:eastAsia="楷体" w:cs="宋体"/>
                <w:spacing w:val="-2"/>
                <w:sz w:val="21"/>
                <w:szCs w:val="21"/>
                <w:highlight w:val="none"/>
              </w:rPr>
              <w:t>：个人</w:t>
            </w:r>
            <w:r>
              <w:rPr>
                <w:rFonts w:hint="eastAsia" w:ascii="楷体" w:hAnsi="楷体" w:eastAsia="楷体" w:cs="宋体"/>
                <w:spacing w:val="-2"/>
                <w:sz w:val="21"/>
                <w:szCs w:val="21"/>
                <w:highlight w:val="none"/>
                <w:lang w:val="en-US" w:eastAsia="zh-CN"/>
              </w:rPr>
              <w:t>和</w:t>
            </w:r>
            <w:r>
              <w:rPr>
                <w:rFonts w:hint="eastAsia" w:ascii="楷体" w:hAnsi="楷体" w:eastAsia="楷体" w:cs="宋体"/>
                <w:spacing w:val="-2"/>
                <w:sz w:val="21"/>
                <w:szCs w:val="21"/>
                <w:highlight w:val="none"/>
              </w:rPr>
              <w:t>机构投资者。</w:t>
            </w:r>
          </w:p>
          <w:p>
            <w:pPr>
              <w:pStyle w:val="37"/>
              <w:kinsoku w:val="0"/>
              <w:overflowPunct w:val="0"/>
              <w:spacing w:before="12"/>
              <w:ind w:left="42" w:leftChars="20" w:right="115" w:rightChars="55"/>
              <w:jc w:val="both"/>
              <w:rPr>
                <w:rFonts w:hint="eastAsia" w:ascii="楷体" w:hAnsi="楷体" w:eastAsia="楷体" w:cs="宋体"/>
                <w:spacing w:val="-2"/>
                <w:sz w:val="21"/>
                <w:szCs w:val="21"/>
                <w:highlight w:val="none"/>
              </w:rPr>
            </w:pPr>
            <w:r>
              <w:rPr>
                <w:rFonts w:hint="eastAsia" w:ascii="楷体" w:hAnsi="楷体" w:eastAsia="楷体" w:cs="宋体"/>
                <w:spacing w:val="-2"/>
                <w:sz w:val="21"/>
                <w:szCs w:val="21"/>
                <w:highlight w:val="none"/>
              </w:rPr>
              <w:t>苏银理财启源</w:t>
            </w:r>
            <w:r>
              <w:rPr>
                <w:rFonts w:hint="eastAsia" w:ascii="楷体" w:hAnsi="楷体" w:eastAsia="楷体" w:cs="宋体"/>
                <w:spacing w:val="-2"/>
                <w:sz w:val="21"/>
                <w:szCs w:val="21"/>
                <w:highlight w:val="none"/>
                <w:lang w:eastAsia="zh-CN"/>
              </w:rPr>
              <w:t>货币3号</w:t>
            </w:r>
            <w:r>
              <w:rPr>
                <w:rFonts w:hint="eastAsia" w:ascii="楷体" w:hAnsi="楷体" w:eastAsia="楷体" w:cs="宋体"/>
                <w:spacing w:val="-2"/>
                <w:sz w:val="21"/>
                <w:szCs w:val="21"/>
                <w:highlight w:val="none"/>
                <w:lang w:val="en-US" w:eastAsia="zh-CN"/>
              </w:rPr>
              <w:t>F</w:t>
            </w:r>
            <w:r>
              <w:rPr>
                <w:rFonts w:hint="eastAsia" w:ascii="楷体" w:hAnsi="楷体" w:eastAsia="楷体" w:cs="宋体"/>
                <w:spacing w:val="-2"/>
                <w:sz w:val="21"/>
                <w:szCs w:val="21"/>
                <w:highlight w:val="none"/>
              </w:rPr>
              <w:t>：个人</w:t>
            </w:r>
            <w:r>
              <w:rPr>
                <w:rFonts w:hint="eastAsia" w:ascii="楷体" w:hAnsi="楷体" w:eastAsia="楷体" w:cs="宋体"/>
                <w:spacing w:val="-2"/>
                <w:sz w:val="21"/>
                <w:szCs w:val="21"/>
                <w:highlight w:val="none"/>
                <w:lang w:val="en-US" w:eastAsia="zh-CN"/>
              </w:rPr>
              <w:t>投资者</w:t>
            </w:r>
            <w:r>
              <w:rPr>
                <w:rFonts w:hint="eastAsia" w:ascii="楷体" w:hAnsi="楷体" w:eastAsia="楷体" w:cs="宋体"/>
                <w:spacing w:val="-2"/>
                <w:sz w:val="21"/>
                <w:szCs w:val="21"/>
                <w:highlight w:val="none"/>
              </w:rPr>
              <w:t>（</w:t>
            </w:r>
            <w:r>
              <w:rPr>
                <w:rFonts w:hint="eastAsia" w:ascii="楷体" w:hAnsi="楷体" w:eastAsia="楷体" w:cs="宋体"/>
                <w:spacing w:val="-2"/>
                <w:sz w:val="21"/>
                <w:szCs w:val="21"/>
                <w:highlight w:val="none"/>
                <w:lang w:val="en-US" w:eastAsia="zh-CN"/>
              </w:rPr>
              <w:t>仅限</w:t>
            </w:r>
            <w:r>
              <w:rPr>
                <w:rFonts w:hint="eastAsia" w:ascii="楷体" w:hAnsi="楷体" w:eastAsia="楷体" w:cs="宋体"/>
                <w:spacing w:val="-2"/>
                <w:sz w:val="21"/>
                <w:szCs w:val="21"/>
                <w:highlight w:val="none"/>
              </w:rPr>
              <w:t>销售机构</w:t>
            </w:r>
            <w:r>
              <w:rPr>
                <w:rFonts w:hint="eastAsia" w:ascii="楷体" w:hAnsi="楷体" w:eastAsia="楷体" w:cs="宋体"/>
                <w:spacing w:val="-2"/>
                <w:sz w:val="21"/>
                <w:szCs w:val="21"/>
                <w:highlight w:val="none"/>
                <w:lang w:val="en-US" w:eastAsia="zh-CN"/>
              </w:rPr>
              <w:t>中国邮政储蓄银行股份有限公司新客</w:t>
            </w:r>
            <w:r>
              <w:rPr>
                <w:rFonts w:hint="eastAsia" w:ascii="楷体" w:hAnsi="楷体" w:eastAsia="楷体" w:cs="宋体"/>
                <w:spacing w:val="-2"/>
                <w:sz w:val="21"/>
                <w:szCs w:val="21"/>
                <w:highlight w:val="none"/>
              </w:rPr>
              <w:t>购买，</w:t>
            </w:r>
            <w:r>
              <w:rPr>
                <w:rFonts w:hint="eastAsia" w:ascii="楷体" w:hAnsi="楷体" w:eastAsia="楷体" w:cs="宋体"/>
                <w:spacing w:val="-2"/>
                <w:sz w:val="21"/>
                <w:szCs w:val="21"/>
                <w:highlight w:val="none"/>
                <w:lang w:val="en-US" w:eastAsia="zh-CN"/>
              </w:rPr>
              <w:t>具体以销售机构设置为准</w:t>
            </w:r>
            <w:r>
              <w:rPr>
                <w:rFonts w:hint="eastAsia" w:ascii="楷体" w:hAnsi="楷体" w:eastAsia="楷体" w:cs="宋体"/>
                <w:spacing w:val="-2"/>
                <w:sz w:val="21"/>
                <w:szCs w:val="21"/>
                <w:highlight w:val="none"/>
              </w:rPr>
              <w:t>）。</w:t>
            </w:r>
          </w:p>
          <w:p>
            <w:pPr>
              <w:pStyle w:val="37"/>
              <w:kinsoku w:val="0"/>
              <w:overflowPunct w:val="0"/>
              <w:spacing w:before="12"/>
              <w:ind w:left="42" w:leftChars="20" w:right="115" w:rightChars="55"/>
              <w:jc w:val="both"/>
              <w:rPr>
                <w:rFonts w:hint="eastAsia" w:ascii="楷体" w:hAnsi="楷体" w:eastAsia="楷体" w:cs="宋体"/>
                <w:spacing w:val="-2"/>
                <w:sz w:val="21"/>
                <w:szCs w:val="21"/>
                <w:highlight w:val="none"/>
              </w:rPr>
            </w:pPr>
            <w:r>
              <w:rPr>
                <w:rFonts w:hint="eastAsia" w:ascii="楷体" w:hAnsi="楷体" w:eastAsia="楷体" w:cs="宋体"/>
                <w:spacing w:val="-2"/>
                <w:sz w:val="21"/>
                <w:szCs w:val="21"/>
                <w:highlight w:val="none"/>
              </w:rPr>
              <w:t>苏银理财启源</w:t>
            </w:r>
            <w:r>
              <w:rPr>
                <w:rFonts w:hint="eastAsia" w:ascii="楷体" w:hAnsi="楷体" w:eastAsia="楷体" w:cs="宋体"/>
                <w:spacing w:val="-2"/>
                <w:sz w:val="21"/>
                <w:szCs w:val="21"/>
                <w:highlight w:val="none"/>
                <w:lang w:eastAsia="zh-CN"/>
              </w:rPr>
              <w:t>货币3号</w:t>
            </w:r>
            <w:r>
              <w:rPr>
                <w:rFonts w:hint="eastAsia" w:ascii="楷体" w:hAnsi="楷体" w:eastAsia="楷体" w:cs="宋体"/>
                <w:spacing w:val="-2"/>
                <w:sz w:val="21"/>
                <w:szCs w:val="21"/>
                <w:highlight w:val="none"/>
                <w:lang w:val="en-US" w:eastAsia="zh-CN"/>
              </w:rPr>
              <w:t>G</w:t>
            </w:r>
            <w:r>
              <w:rPr>
                <w:rFonts w:hint="eastAsia" w:ascii="楷体" w:hAnsi="楷体" w:eastAsia="楷体" w:cs="宋体"/>
                <w:spacing w:val="-2"/>
                <w:sz w:val="21"/>
                <w:szCs w:val="21"/>
                <w:highlight w:val="none"/>
              </w:rPr>
              <w:t>：个人</w:t>
            </w:r>
            <w:r>
              <w:rPr>
                <w:rFonts w:hint="eastAsia" w:ascii="楷体" w:hAnsi="楷体" w:eastAsia="楷体" w:cs="宋体"/>
                <w:spacing w:val="-2"/>
                <w:sz w:val="21"/>
                <w:szCs w:val="21"/>
                <w:highlight w:val="none"/>
                <w:lang w:val="en-US" w:eastAsia="zh-CN"/>
              </w:rPr>
              <w:t>和</w:t>
            </w:r>
            <w:r>
              <w:rPr>
                <w:rFonts w:hint="eastAsia" w:ascii="楷体" w:hAnsi="楷体" w:eastAsia="楷体" w:cs="宋体"/>
                <w:spacing w:val="-2"/>
                <w:sz w:val="21"/>
                <w:szCs w:val="21"/>
                <w:highlight w:val="none"/>
              </w:rPr>
              <w:t>机构投资者。</w:t>
            </w:r>
          </w:p>
          <w:p>
            <w:pPr>
              <w:pStyle w:val="37"/>
              <w:kinsoku w:val="0"/>
              <w:overflowPunct w:val="0"/>
              <w:spacing w:before="12"/>
              <w:ind w:left="42" w:leftChars="20" w:right="115" w:rightChars="55"/>
              <w:jc w:val="both"/>
              <w:rPr>
                <w:rFonts w:hint="eastAsia" w:ascii="楷体" w:hAnsi="楷体" w:eastAsia="楷体" w:cs="宋体"/>
                <w:spacing w:val="-2"/>
                <w:sz w:val="21"/>
                <w:szCs w:val="21"/>
                <w:highlight w:val="none"/>
                <w:lang w:val="en-US" w:eastAsia="zh-CN"/>
              </w:rPr>
            </w:pPr>
            <w:r>
              <w:rPr>
                <w:rFonts w:hint="eastAsia" w:ascii="楷体" w:hAnsi="楷体" w:eastAsia="楷体" w:cs="宋体"/>
                <w:spacing w:val="-2"/>
                <w:sz w:val="21"/>
                <w:szCs w:val="21"/>
                <w:highlight w:val="none"/>
              </w:rPr>
              <w:t>苏银理财启源</w:t>
            </w:r>
            <w:r>
              <w:rPr>
                <w:rFonts w:hint="eastAsia" w:ascii="楷体" w:hAnsi="楷体" w:eastAsia="楷体" w:cs="宋体"/>
                <w:spacing w:val="-2"/>
                <w:sz w:val="21"/>
                <w:szCs w:val="21"/>
                <w:highlight w:val="none"/>
                <w:lang w:eastAsia="zh-CN"/>
              </w:rPr>
              <w:t>货币3号</w:t>
            </w:r>
            <w:r>
              <w:rPr>
                <w:rFonts w:hint="eastAsia" w:ascii="楷体" w:hAnsi="楷体" w:eastAsia="楷体" w:cs="宋体"/>
                <w:spacing w:val="-2"/>
                <w:sz w:val="21"/>
                <w:szCs w:val="21"/>
                <w:highlight w:val="none"/>
              </w:rPr>
              <w:t>H</w:t>
            </w:r>
            <w:r>
              <w:rPr>
                <w:rFonts w:hint="eastAsia" w:ascii="楷体" w:hAnsi="楷体" w:eastAsia="楷体" w:cs="宋体"/>
                <w:spacing w:val="-2"/>
                <w:sz w:val="21"/>
                <w:szCs w:val="21"/>
                <w:highlight w:val="none"/>
                <w:lang w:eastAsia="zh-CN"/>
              </w:rPr>
              <w:t>：</w:t>
            </w:r>
            <w:r>
              <w:rPr>
                <w:rFonts w:hint="eastAsia" w:ascii="楷体" w:hAnsi="楷体" w:eastAsia="楷体" w:cs="宋体"/>
                <w:spacing w:val="-2"/>
                <w:sz w:val="21"/>
                <w:szCs w:val="21"/>
                <w:highlight w:val="none"/>
              </w:rPr>
              <w:t>个人</w:t>
            </w:r>
            <w:r>
              <w:rPr>
                <w:rFonts w:hint="eastAsia" w:ascii="楷体" w:hAnsi="楷体" w:eastAsia="楷体" w:cs="宋体"/>
                <w:spacing w:val="-2"/>
                <w:sz w:val="21"/>
                <w:szCs w:val="21"/>
                <w:highlight w:val="none"/>
                <w:lang w:val="en-US" w:eastAsia="zh-CN"/>
              </w:rPr>
              <w:t>和</w:t>
            </w:r>
            <w:r>
              <w:rPr>
                <w:rFonts w:hint="eastAsia" w:ascii="楷体" w:hAnsi="楷体" w:eastAsia="楷体" w:cs="宋体"/>
                <w:spacing w:val="-2"/>
                <w:sz w:val="21"/>
                <w:szCs w:val="21"/>
                <w:highlight w:val="none"/>
              </w:rPr>
              <w:t>机构投资者。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vAlign w:val="center"/>
          </w:tcPr>
          <w:p>
            <w:pPr>
              <w:pStyle w:val="37"/>
              <w:kinsoku w:val="0"/>
              <w:overflowPunct w:val="0"/>
              <w:spacing w:before="14"/>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募集币种</w:t>
            </w:r>
          </w:p>
        </w:tc>
        <w:tc>
          <w:tcPr>
            <w:tcW w:w="6794" w:type="dxa"/>
            <w:vAlign w:val="center"/>
          </w:tcPr>
          <w:p>
            <w:pPr>
              <w:pStyle w:val="37"/>
              <w:kinsoku w:val="0"/>
              <w:overflowPunct w:val="0"/>
              <w:spacing w:before="14"/>
              <w:ind w:left="42" w:leftChars="20" w:right="115" w:rightChars="55"/>
              <w:jc w:val="both"/>
              <w:rPr>
                <w:rFonts w:ascii="楷体" w:hAnsi="楷体" w:eastAsia="楷体" w:cs="宋体"/>
                <w:spacing w:val="-2"/>
                <w:sz w:val="21"/>
                <w:szCs w:val="21"/>
                <w:highlight w:val="none"/>
              </w:rPr>
            </w:pPr>
            <w:r>
              <w:rPr>
                <w:rFonts w:hint="eastAsia" w:ascii="楷体" w:hAnsi="楷体" w:eastAsia="楷体" w:cs="宋体"/>
                <w:spacing w:val="-2"/>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vAlign w:val="center"/>
          </w:tcPr>
          <w:p>
            <w:pPr>
              <w:pStyle w:val="37"/>
              <w:kinsoku w:val="0"/>
              <w:overflowPunct w:val="0"/>
              <w:spacing w:before="12"/>
              <w:ind w:left="115" w:right="115" w:rightChars="55"/>
              <w:jc w:val="both"/>
              <w:rPr>
                <w:rFonts w:ascii="楷体" w:hAnsi="楷体" w:eastAsia="楷体" w:cs="宋体"/>
                <w:spacing w:val="-2"/>
                <w:sz w:val="21"/>
                <w:szCs w:val="21"/>
                <w:highlight w:val="none"/>
              </w:rPr>
            </w:pPr>
            <w:r>
              <w:rPr>
                <w:rFonts w:hint="eastAsia" w:ascii="楷体" w:hAnsi="楷体" w:eastAsia="楷体" w:cs="宋体"/>
                <w:b/>
                <w:bCs/>
                <w:spacing w:val="-2"/>
                <w:sz w:val="21"/>
                <w:szCs w:val="21"/>
                <w:highlight w:val="none"/>
              </w:rPr>
              <w:t>计划发行规模</w:t>
            </w:r>
          </w:p>
        </w:tc>
        <w:tc>
          <w:tcPr>
            <w:tcW w:w="6794" w:type="dxa"/>
            <w:vAlign w:val="center"/>
          </w:tcPr>
          <w:p>
            <w:pPr>
              <w:pStyle w:val="37"/>
              <w:kinsoku w:val="0"/>
              <w:overflowPunct w:val="0"/>
              <w:spacing w:before="12"/>
              <w:ind w:left="42" w:leftChars="20" w:right="115" w:rightChars="55"/>
              <w:jc w:val="both"/>
              <w:rPr>
                <w:rFonts w:ascii="楷体" w:hAnsi="楷体" w:eastAsia="楷体" w:cs="宋体"/>
                <w:spacing w:val="-2"/>
                <w:sz w:val="21"/>
                <w:szCs w:val="21"/>
                <w:highlight w:val="none"/>
              </w:rPr>
            </w:pPr>
            <w:r>
              <w:rPr>
                <w:rFonts w:hint="eastAsia" w:ascii="楷体" w:hAnsi="楷体" w:eastAsia="楷体" w:cs="宋体"/>
                <w:spacing w:val="-2"/>
                <w:sz w:val="21"/>
                <w:szCs w:val="21"/>
                <w:highlight w:val="none"/>
              </w:rPr>
              <w:t>初始募集规模</w:t>
            </w:r>
            <w:r>
              <w:rPr>
                <w:rFonts w:hint="eastAsia" w:ascii="楷体" w:hAnsi="楷体" w:eastAsia="楷体" w:cs="宋体"/>
                <w:spacing w:val="-2"/>
                <w:sz w:val="21"/>
                <w:szCs w:val="21"/>
                <w:highlight w:val="none"/>
                <w:lang w:val="en-US" w:eastAsia="zh-CN"/>
              </w:rPr>
              <w:t>1</w:t>
            </w:r>
            <w:r>
              <w:rPr>
                <w:rFonts w:hint="eastAsia" w:ascii="楷体" w:hAnsi="楷体" w:eastAsia="楷体" w:cs="宋体"/>
                <w:spacing w:val="-2"/>
                <w:sz w:val="21"/>
                <w:szCs w:val="21"/>
                <w:highlight w:val="none"/>
              </w:rPr>
              <w:t>亿元，存量规模上限为</w:t>
            </w:r>
            <w:r>
              <w:rPr>
                <w:rFonts w:hint="eastAsia" w:ascii="楷体" w:hAnsi="楷体" w:eastAsia="楷体" w:cs="宋体"/>
                <w:spacing w:val="-2"/>
                <w:sz w:val="21"/>
                <w:szCs w:val="21"/>
                <w:highlight w:val="none"/>
                <w:lang w:val="en-US" w:eastAsia="zh-CN"/>
              </w:rPr>
              <w:t>500</w:t>
            </w:r>
            <w:r>
              <w:rPr>
                <w:rFonts w:hint="eastAsia" w:ascii="楷体" w:hAnsi="楷体" w:eastAsia="楷体" w:cs="宋体"/>
                <w:spacing w:val="-2"/>
                <w:sz w:val="21"/>
                <w:szCs w:val="21"/>
                <w:highlight w:val="none"/>
              </w:rPr>
              <w:t>亿元，各份额发行规模上限如下：</w:t>
            </w:r>
          </w:p>
          <w:p>
            <w:pPr>
              <w:pStyle w:val="37"/>
              <w:kinsoku w:val="0"/>
              <w:overflowPunct w:val="0"/>
              <w:spacing w:before="12"/>
              <w:ind w:left="42" w:leftChars="20" w:right="115" w:rightChars="55"/>
              <w:jc w:val="both"/>
              <w:rPr>
                <w:rFonts w:hint="eastAsia" w:ascii="楷体" w:hAnsi="楷体" w:eastAsia="楷体" w:cs="宋体"/>
                <w:spacing w:val="-2"/>
                <w:sz w:val="21"/>
                <w:szCs w:val="21"/>
                <w:highlight w:val="none"/>
              </w:rPr>
            </w:pPr>
            <w:r>
              <w:rPr>
                <w:rFonts w:hint="eastAsia" w:ascii="楷体" w:hAnsi="楷体" w:eastAsia="楷体" w:cs="宋体"/>
                <w:spacing w:val="-2"/>
                <w:sz w:val="21"/>
                <w:szCs w:val="21"/>
                <w:highlight w:val="none"/>
              </w:rPr>
              <w:t>苏银理财启源</w:t>
            </w:r>
            <w:r>
              <w:rPr>
                <w:rFonts w:hint="eastAsia" w:ascii="楷体" w:hAnsi="楷体" w:eastAsia="楷体" w:cs="宋体"/>
                <w:spacing w:val="-2"/>
                <w:sz w:val="21"/>
                <w:szCs w:val="21"/>
                <w:highlight w:val="none"/>
                <w:lang w:eastAsia="zh-CN"/>
              </w:rPr>
              <w:t>货币3号</w:t>
            </w:r>
            <w:r>
              <w:rPr>
                <w:rFonts w:hint="eastAsia" w:ascii="楷体" w:hAnsi="楷体" w:eastAsia="楷体" w:cs="宋体"/>
                <w:spacing w:val="-2"/>
                <w:sz w:val="21"/>
                <w:szCs w:val="21"/>
                <w:highlight w:val="none"/>
              </w:rPr>
              <w:t>A：发行规模上限</w:t>
            </w:r>
            <w:r>
              <w:rPr>
                <w:rFonts w:hint="eastAsia" w:ascii="楷体" w:hAnsi="楷体" w:eastAsia="楷体" w:cs="宋体"/>
                <w:spacing w:val="-2"/>
                <w:sz w:val="21"/>
                <w:szCs w:val="21"/>
                <w:highlight w:val="none"/>
                <w:lang w:val="en-US" w:eastAsia="zh-CN"/>
              </w:rPr>
              <w:t>1</w:t>
            </w:r>
            <w:r>
              <w:rPr>
                <w:rFonts w:ascii="楷体" w:hAnsi="楷体" w:eastAsia="楷体" w:cs="宋体"/>
                <w:spacing w:val="-2"/>
                <w:sz w:val="21"/>
                <w:szCs w:val="21"/>
                <w:highlight w:val="none"/>
              </w:rPr>
              <w:t>00</w:t>
            </w:r>
            <w:r>
              <w:rPr>
                <w:rFonts w:hint="eastAsia" w:ascii="楷体" w:hAnsi="楷体" w:eastAsia="楷体" w:cs="宋体"/>
                <w:spacing w:val="-2"/>
                <w:sz w:val="21"/>
                <w:szCs w:val="21"/>
                <w:highlight w:val="none"/>
              </w:rPr>
              <w:t>亿元。</w:t>
            </w:r>
          </w:p>
          <w:p>
            <w:pPr>
              <w:pStyle w:val="37"/>
              <w:kinsoku w:val="0"/>
              <w:overflowPunct w:val="0"/>
              <w:spacing w:before="12"/>
              <w:ind w:left="42" w:leftChars="20" w:right="115" w:rightChars="55"/>
              <w:jc w:val="both"/>
              <w:rPr>
                <w:rFonts w:hint="eastAsia" w:ascii="楷体" w:hAnsi="楷体" w:eastAsia="楷体" w:cs="宋体"/>
                <w:spacing w:val="-2"/>
                <w:sz w:val="21"/>
                <w:szCs w:val="21"/>
                <w:highlight w:val="none"/>
              </w:rPr>
            </w:pPr>
            <w:r>
              <w:rPr>
                <w:rFonts w:hint="eastAsia" w:ascii="楷体" w:hAnsi="楷体" w:eastAsia="楷体" w:cs="宋体"/>
                <w:spacing w:val="-2"/>
                <w:sz w:val="21"/>
                <w:szCs w:val="21"/>
                <w:highlight w:val="none"/>
              </w:rPr>
              <w:t>苏银理财启源</w:t>
            </w:r>
            <w:r>
              <w:rPr>
                <w:rFonts w:hint="eastAsia" w:ascii="楷体" w:hAnsi="楷体" w:eastAsia="楷体" w:cs="宋体"/>
                <w:spacing w:val="-2"/>
                <w:sz w:val="21"/>
                <w:szCs w:val="21"/>
                <w:highlight w:val="none"/>
                <w:lang w:eastAsia="zh-CN"/>
              </w:rPr>
              <w:t>货币3号</w:t>
            </w:r>
            <w:r>
              <w:rPr>
                <w:rFonts w:hint="eastAsia" w:ascii="楷体" w:hAnsi="楷体" w:eastAsia="楷体" w:cs="宋体"/>
                <w:spacing w:val="-2"/>
                <w:sz w:val="21"/>
                <w:szCs w:val="21"/>
                <w:highlight w:val="none"/>
                <w:lang w:val="en-US" w:eastAsia="zh-CN"/>
              </w:rPr>
              <w:t>B</w:t>
            </w:r>
            <w:r>
              <w:rPr>
                <w:rFonts w:hint="eastAsia" w:ascii="楷体" w:hAnsi="楷体" w:eastAsia="楷体" w:cs="宋体"/>
                <w:spacing w:val="-2"/>
                <w:sz w:val="21"/>
                <w:szCs w:val="21"/>
                <w:highlight w:val="none"/>
              </w:rPr>
              <w:t>：发行规模上限</w:t>
            </w:r>
            <w:r>
              <w:rPr>
                <w:rFonts w:hint="eastAsia" w:ascii="楷体" w:hAnsi="楷体" w:eastAsia="楷体" w:cs="宋体"/>
                <w:spacing w:val="-2"/>
                <w:sz w:val="21"/>
                <w:szCs w:val="21"/>
                <w:highlight w:val="none"/>
                <w:lang w:val="en-US" w:eastAsia="zh-CN"/>
              </w:rPr>
              <w:t>1</w:t>
            </w:r>
            <w:r>
              <w:rPr>
                <w:rFonts w:ascii="楷体" w:hAnsi="楷体" w:eastAsia="楷体" w:cs="宋体"/>
                <w:spacing w:val="-2"/>
                <w:sz w:val="21"/>
                <w:szCs w:val="21"/>
                <w:highlight w:val="none"/>
              </w:rPr>
              <w:t>00</w:t>
            </w:r>
            <w:r>
              <w:rPr>
                <w:rFonts w:hint="eastAsia" w:ascii="楷体" w:hAnsi="楷体" w:eastAsia="楷体" w:cs="宋体"/>
                <w:spacing w:val="-2"/>
                <w:sz w:val="21"/>
                <w:szCs w:val="21"/>
                <w:highlight w:val="none"/>
              </w:rPr>
              <w:t>亿元。</w:t>
            </w:r>
          </w:p>
          <w:p>
            <w:pPr>
              <w:pStyle w:val="37"/>
              <w:kinsoku w:val="0"/>
              <w:overflowPunct w:val="0"/>
              <w:spacing w:before="12"/>
              <w:ind w:left="42" w:leftChars="20" w:right="115" w:rightChars="55"/>
              <w:jc w:val="both"/>
              <w:rPr>
                <w:rFonts w:hint="eastAsia" w:ascii="楷体" w:hAnsi="楷体" w:eastAsia="楷体" w:cs="宋体"/>
                <w:spacing w:val="-2"/>
                <w:sz w:val="21"/>
                <w:szCs w:val="21"/>
                <w:highlight w:val="none"/>
              </w:rPr>
            </w:pPr>
            <w:r>
              <w:rPr>
                <w:rFonts w:hint="eastAsia" w:ascii="楷体" w:hAnsi="楷体" w:eastAsia="楷体" w:cs="宋体"/>
                <w:spacing w:val="-2"/>
                <w:sz w:val="21"/>
                <w:szCs w:val="21"/>
                <w:highlight w:val="none"/>
              </w:rPr>
              <w:t>苏银理财启源</w:t>
            </w:r>
            <w:r>
              <w:rPr>
                <w:rFonts w:hint="eastAsia" w:ascii="楷体" w:hAnsi="楷体" w:eastAsia="楷体" w:cs="宋体"/>
                <w:spacing w:val="-2"/>
                <w:sz w:val="21"/>
                <w:szCs w:val="21"/>
                <w:highlight w:val="none"/>
                <w:lang w:eastAsia="zh-CN"/>
              </w:rPr>
              <w:t>货币3号</w:t>
            </w:r>
            <w:r>
              <w:rPr>
                <w:rFonts w:hint="eastAsia" w:ascii="楷体" w:hAnsi="楷体" w:eastAsia="楷体" w:cs="宋体"/>
                <w:spacing w:val="-2"/>
                <w:sz w:val="21"/>
                <w:szCs w:val="21"/>
                <w:highlight w:val="none"/>
                <w:lang w:val="en-US" w:eastAsia="zh-CN"/>
              </w:rPr>
              <w:t>F</w:t>
            </w:r>
            <w:r>
              <w:rPr>
                <w:rFonts w:hint="eastAsia" w:ascii="楷体" w:hAnsi="楷体" w:eastAsia="楷体" w:cs="宋体"/>
                <w:spacing w:val="-2"/>
                <w:sz w:val="21"/>
                <w:szCs w:val="21"/>
                <w:highlight w:val="none"/>
              </w:rPr>
              <w:t>：发行规模上限</w:t>
            </w:r>
            <w:r>
              <w:rPr>
                <w:rFonts w:ascii="楷体" w:hAnsi="楷体" w:eastAsia="楷体" w:cs="宋体"/>
                <w:spacing w:val="-2"/>
                <w:sz w:val="21"/>
                <w:szCs w:val="21"/>
                <w:highlight w:val="none"/>
              </w:rPr>
              <w:t>100</w:t>
            </w:r>
            <w:r>
              <w:rPr>
                <w:rFonts w:hint="eastAsia" w:ascii="楷体" w:hAnsi="楷体" w:eastAsia="楷体" w:cs="宋体"/>
                <w:spacing w:val="-2"/>
                <w:sz w:val="21"/>
                <w:szCs w:val="21"/>
                <w:highlight w:val="none"/>
              </w:rPr>
              <w:t>亿元。</w:t>
            </w:r>
          </w:p>
          <w:p>
            <w:pPr>
              <w:pStyle w:val="37"/>
              <w:kinsoku w:val="0"/>
              <w:overflowPunct w:val="0"/>
              <w:spacing w:before="12"/>
              <w:ind w:left="42" w:leftChars="20" w:right="115" w:rightChars="55"/>
              <w:jc w:val="both"/>
              <w:rPr>
                <w:rFonts w:hint="eastAsia" w:ascii="楷体" w:hAnsi="楷体" w:eastAsia="楷体" w:cs="宋体"/>
                <w:spacing w:val="-2"/>
                <w:sz w:val="21"/>
                <w:szCs w:val="21"/>
                <w:highlight w:val="none"/>
              </w:rPr>
            </w:pPr>
            <w:r>
              <w:rPr>
                <w:rFonts w:hint="eastAsia" w:ascii="楷体" w:hAnsi="楷体" w:eastAsia="楷体" w:cs="宋体"/>
                <w:spacing w:val="-2"/>
                <w:sz w:val="21"/>
                <w:szCs w:val="21"/>
                <w:highlight w:val="none"/>
              </w:rPr>
              <w:t>苏银理财启源</w:t>
            </w:r>
            <w:r>
              <w:rPr>
                <w:rFonts w:hint="eastAsia" w:ascii="楷体" w:hAnsi="楷体" w:eastAsia="楷体" w:cs="宋体"/>
                <w:spacing w:val="-2"/>
                <w:sz w:val="21"/>
                <w:szCs w:val="21"/>
                <w:highlight w:val="none"/>
                <w:lang w:eastAsia="zh-CN"/>
              </w:rPr>
              <w:t>货币3号</w:t>
            </w:r>
            <w:r>
              <w:rPr>
                <w:rFonts w:hint="eastAsia" w:ascii="楷体" w:hAnsi="楷体" w:eastAsia="楷体" w:cs="宋体"/>
                <w:spacing w:val="-2"/>
                <w:sz w:val="21"/>
                <w:szCs w:val="21"/>
                <w:highlight w:val="none"/>
                <w:lang w:val="en-US" w:eastAsia="zh-CN"/>
              </w:rPr>
              <w:t>G</w:t>
            </w:r>
            <w:r>
              <w:rPr>
                <w:rFonts w:hint="eastAsia" w:ascii="楷体" w:hAnsi="楷体" w:eastAsia="楷体" w:cs="宋体"/>
                <w:spacing w:val="-2"/>
                <w:sz w:val="21"/>
                <w:szCs w:val="21"/>
                <w:highlight w:val="none"/>
              </w:rPr>
              <w:t>：发行规模上限</w:t>
            </w:r>
            <w:r>
              <w:rPr>
                <w:rFonts w:ascii="楷体" w:hAnsi="楷体" w:eastAsia="楷体" w:cs="宋体"/>
                <w:spacing w:val="-2"/>
                <w:sz w:val="21"/>
                <w:szCs w:val="21"/>
                <w:highlight w:val="none"/>
              </w:rPr>
              <w:t>100</w:t>
            </w:r>
            <w:r>
              <w:rPr>
                <w:rFonts w:hint="eastAsia" w:ascii="楷体" w:hAnsi="楷体" w:eastAsia="楷体" w:cs="宋体"/>
                <w:spacing w:val="-2"/>
                <w:sz w:val="21"/>
                <w:szCs w:val="21"/>
                <w:highlight w:val="none"/>
              </w:rPr>
              <w:t>亿元。</w:t>
            </w:r>
          </w:p>
          <w:p>
            <w:pPr>
              <w:pStyle w:val="37"/>
              <w:kinsoku w:val="0"/>
              <w:overflowPunct w:val="0"/>
              <w:spacing w:before="12"/>
              <w:ind w:left="42" w:leftChars="20" w:right="115" w:rightChars="55"/>
              <w:jc w:val="both"/>
              <w:rPr>
                <w:rFonts w:hint="eastAsia" w:ascii="楷体" w:hAnsi="楷体" w:eastAsia="楷体" w:cs="宋体"/>
                <w:spacing w:val="-2"/>
                <w:sz w:val="21"/>
                <w:szCs w:val="21"/>
                <w:highlight w:val="none"/>
              </w:rPr>
            </w:pPr>
            <w:r>
              <w:rPr>
                <w:rFonts w:hint="eastAsia" w:ascii="楷体" w:hAnsi="楷体" w:eastAsia="楷体" w:cs="宋体"/>
                <w:spacing w:val="-2"/>
                <w:sz w:val="21"/>
                <w:szCs w:val="21"/>
                <w:highlight w:val="none"/>
              </w:rPr>
              <w:t>苏银理财启源</w:t>
            </w:r>
            <w:r>
              <w:rPr>
                <w:rFonts w:hint="eastAsia" w:ascii="楷体" w:hAnsi="楷体" w:eastAsia="楷体" w:cs="宋体"/>
                <w:spacing w:val="-2"/>
                <w:sz w:val="21"/>
                <w:szCs w:val="21"/>
                <w:highlight w:val="none"/>
                <w:lang w:eastAsia="zh-CN"/>
              </w:rPr>
              <w:t>货币3号</w:t>
            </w:r>
            <w:r>
              <w:rPr>
                <w:rFonts w:hint="eastAsia" w:ascii="楷体" w:hAnsi="楷体" w:eastAsia="楷体" w:cs="宋体"/>
                <w:spacing w:val="-2"/>
                <w:sz w:val="21"/>
                <w:szCs w:val="21"/>
                <w:highlight w:val="none"/>
                <w:lang w:val="en-US" w:eastAsia="zh-CN"/>
              </w:rPr>
              <w:t>H</w:t>
            </w:r>
            <w:r>
              <w:rPr>
                <w:rFonts w:hint="eastAsia" w:ascii="楷体" w:hAnsi="楷体" w:eastAsia="楷体" w:cs="宋体"/>
                <w:spacing w:val="-2"/>
                <w:sz w:val="21"/>
                <w:szCs w:val="21"/>
                <w:highlight w:val="none"/>
              </w:rPr>
              <w:t>：发行规模上限</w:t>
            </w:r>
            <w:r>
              <w:rPr>
                <w:rFonts w:ascii="楷体" w:hAnsi="楷体" w:eastAsia="楷体" w:cs="宋体"/>
                <w:spacing w:val="-2"/>
                <w:sz w:val="21"/>
                <w:szCs w:val="21"/>
                <w:highlight w:val="none"/>
              </w:rPr>
              <w:t>100</w:t>
            </w:r>
            <w:r>
              <w:rPr>
                <w:rFonts w:hint="eastAsia" w:ascii="楷体" w:hAnsi="楷体" w:eastAsia="楷体" w:cs="宋体"/>
                <w:spacing w:val="-2"/>
                <w:sz w:val="21"/>
                <w:szCs w:val="21"/>
                <w:highlight w:val="none"/>
              </w:rPr>
              <w:t>亿元。</w:t>
            </w:r>
          </w:p>
          <w:p>
            <w:pPr>
              <w:pStyle w:val="37"/>
              <w:kinsoku w:val="0"/>
              <w:overflowPunct w:val="0"/>
              <w:spacing w:before="12"/>
              <w:ind w:left="42" w:leftChars="20" w:right="115" w:rightChars="55"/>
              <w:jc w:val="both"/>
              <w:rPr>
                <w:rFonts w:ascii="楷体" w:hAnsi="楷体" w:eastAsia="楷体" w:cs="宋体"/>
                <w:spacing w:val="-2"/>
                <w:sz w:val="21"/>
                <w:szCs w:val="21"/>
                <w:highlight w:val="none"/>
              </w:rPr>
            </w:pPr>
            <w:r>
              <w:rPr>
                <w:rFonts w:hint="eastAsia" w:ascii="楷体" w:hAnsi="楷体" w:eastAsia="楷体" w:cs="宋体"/>
                <w:spacing w:val="-2"/>
                <w:sz w:val="21"/>
                <w:szCs w:val="21"/>
                <w:highlight w:val="none"/>
              </w:rPr>
              <w:t>管理人有权对</w:t>
            </w:r>
            <w:r>
              <w:rPr>
                <w:rFonts w:hint="eastAsia" w:ascii="楷体" w:hAnsi="楷体" w:eastAsia="楷体" w:cs="宋体"/>
                <w:spacing w:val="-2"/>
                <w:sz w:val="21"/>
                <w:szCs w:val="21"/>
                <w:highlight w:val="none"/>
                <w:lang w:val="en-US" w:eastAsia="zh-CN"/>
              </w:rPr>
              <w:t>各份额</w:t>
            </w:r>
            <w:r>
              <w:rPr>
                <w:rFonts w:hint="eastAsia" w:ascii="楷体" w:hAnsi="楷体" w:eastAsia="楷体" w:cs="宋体"/>
                <w:spacing w:val="-2"/>
                <w:sz w:val="21"/>
                <w:szCs w:val="21"/>
                <w:highlight w:val="none"/>
              </w:rPr>
              <w:t>发行规模上限根据实际业务需求进行调整。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vAlign w:val="center"/>
          </w:tcPr>
          <w:p>
            <w:pPr>
              <w:pStyle w:val="37"/>
              <w:kinsoku w:val="0"/>
              <w:overflowPunct w:val="0"/>
              <w:spacing w:before="12"/>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购买起点</w:t>
            </w:r>
            <w:r>
              <w:rPr>
                <w:rFonts w:ascii="楷体" w:hAnsi="楷体" w:eastAsia="楷体" w:cs="宋体"/>
                <w:b/>
                <w:spacing w:val="-2"/>
                <w:sz w:val="21"/>
                <w:szCs w:val="21"/>
                <w:highlight w:val="none"/>
              </w:rPr>
              <w:t>/</w:t>
            </w:r>
            <w:r>
              <w:rPr>
                <w:rFonts w:hint="eastAsia" w:ascii="楷体" w:hAnsi="楷体" w:eastAsia="楷体" w:cs="宋体"/>
                <w:b/>
                <w:spacing w:val="-2"/>
                <w:sz w:val="21"/>
                <w:szCs w:val="21"/>
                <w:highlight w:val="none"/>
              </w:rPr>
              <w:t>追加金额</w:t>
            </w:r>
          </w:p>
        </w:tc>
        <w:tc>
          <w:tcPr>
            <w:tcW w:w="6794" w:type="dxa"/>
            <w:vAlign w:val="center"/>
          </w:tcPr>
          <w:p>
            <w:pPr>
              <w:pStyle w:val="37"/>
              <w:kinsoku w:val="0"/>
              <w:overflowPunct w:val="0"/>
              <w:spacing w:before="12"/>
              <w:ind w:left="42" w:leftChars="20" w:right="115" w:rightChars="55"/>
              <w:jc w:val="both"/>
              <w:rPr>
                <w:rFonts w:hint="eastAsia" w:ascii="楷体" w:hAnsi="楷体" w:eastAsia="楷体" w:cs="宋体"/>
                <w:spacing w:val="-2"/>
                <w:sz w:val="21"/>
                <w:szCs w:val="21"/>
                <w:highlight w:val="none"/>
              </w:rPr>
            </w:pPr>
            <w:r>
              <w:rPr>
                <w:rFonts w:hint="eastAsia" w:ascii="楷体" w:hAnsi="楷体" w:eastAsia="楷体" w:cs="宋体"/>
                <w:spacing w:val="-2"/>
                <w:sz w:val="21"/>
                <w:szCs w:val="21"/>
                <w:highlight w:val="none"/>
              </w:rPr>
              <w:t>苏银理财启源</w:t>
            </w:r>
            <w:r>
              <w:rPr>
                <w:rFonts w:hint="eastAsia" w:ascii="楷体" w:hAnsi="楷体" w:eastAsia="楷体" w:cs="宋体"/>
                <w:spacing w:val="-2"/>
                <w:sz w:val="21"/>
                <w:szCs w:val="21"/>
                <w:highlight w:val="none"/>
                <w:lang w:eastAsia="zh-CN"/>
              </w:rPr>
              <w:t>货币3号</w:t>
            </w:r>
            <w:r>
              <w:rPr>
                <w:rFonts w:hint="eastAsia" w:ascii="楷体" w:hAnsi="楷体" w:eastAsia="楷体" w:cs="宋体"/>
                <w:spacing w:val="-2"/>
                <w:sz w:val="21"/>
                <w:szCs w:val="21"/>
                <w:highlight w:val="none"/>
              </w:rPr>
              <w:t>A：首次认/申购起点金额为0.01元,追加金额为0</w:t>
            </w:r>
            <w:r>
              <w:rPr>
                <w:rFonts w:ascii="楷体" w:hAnsi="楷体" w:eastAsia="楷体" w:cs="宋体"/>
                <w:spacing w:val="-2"/>
                <w:sz w:val="21"/>
                <w:szCs w:val="21"/>
                <w:highlight w:val="none"/>
              </w:rPr>
              <w:t>.</w:t>
            </w:r>
            <w:r>
              <w:rPr>
                <w:rFonts w:hint="eastAsia" w:ascii="楷体" w:hAnsi="楷体" w:eastAsia="楷体" w:cs="宋体"/>
                <w:spacing w:val="-2"/>
                <w:sz w:val="21"/>
                <w:szCs w:val="21"/>
                <w:highlight w:val="none"/>
              </w:rPr>
              <w:t>01元的整数倍。</w:t>
            </w:r>
          </w:p>
          <w:p>
            <w:pPr>
              <w:pStyle w:val="37"/>
              <w:kinsoku w:val="0"/>
              <w:overflowPunct w:val="0"/>
              <w:spacing w:before="12"/>
              <w:ind w:left="42" w:leftChars="20" w:right="115" w:rightChars="55"/>
              <w:jc w:val="both"/>
              <w:rPr>
                <w:rFonts w:hint="eastAsia" w:ascii="楷体" w:hAnsi="楷体" w:eastAsia="楷体" w:cs="宋体"/>
                <w:spacing w:val="-2"/>
                <w:sz w:val="21"/>
                <w:szCs w:val="21"/>
                <w:highlight w:val="none"/>
              </w:rPr>
            </w:pPr>
            <w:r>
              <w:rPr>
                <w:rFonts w:hint="eastAsia" w:ascii="楷体" w:hAnsi="楷体" w:eastAsia="楷体" w:cs="宋体"/>
                <w:spacing w:val="-2"/>
                <w:sz w:val="21"/>
                <w:szCs w:val="21"/>
                <w:highlight w:val="none"/>
              </w:rPr>
              <w:t>苏银理财启源</w:t>
            </w:r>
            <w:r>
              <w:rPr>
                <w:rFonts w:hint="eastAsia" w:ascii="楷体" w:hAnsi="楷体" w:eastAsia="楷体" w:cs="宋体"/>
                <w:spacing w:val="-2"/>
                <w:sz w:val="21"/>
                <w:szCs w:val="21"/>
                <w:highlight w:val="none"/>
                <w:lang w:eastAsia="zh-CN"/>
              </w:rPr>
              <w:t>货币3号</w:t>
            </w:r>
            <w:r>
              <w:rPr>
                <w:rFonts w:hint="eastAsia" w:ascii="楷体" w:hAnsi="楷体" w:eastAsia="楷体" w:cs="宋体"/>
                <w:spacing w:val="-2"/>
                <w:sz w:val="21"/>
                <w:szCs w:val="21"/>
                <w:highlight w:val="none"/>
                <w:lang w:val="en-US" w:eastAsia="zh-CN"/>
              </w:rPr>
              <w:t>B</w:t>
            </w:r>
            <w:r>
              <w:rPr>
                <w:rFonts w:hint="eastAsia" w:ascii="楷体" w:hAnsi="楷体" w:eastAsia="楷体" w:cs="宋体"/>
                <w:spacing w:val="-2"/>
                <w:sz w:val="21"/>
                <w:szCs w:val="21"/>
                <w:highlight w:val="none"/>
              </w:rPr>
              <w:t>：首次认/申购起点金额为0.01元,追加金额为0</w:t>
            </w:r>
            <w:r>
              <w:rPr>
                <w:rFonts w:ascii="楷体" w:hAnsi="楷体" w:eastAsia="楷体" w:cs="宋体"/>
                <w:spacing w:val="-2"/>
                <w:sz w:val="21"/>
                <w:szCs w:val="21"/>
                <w:highlight w:val="none"/>
              </w:rPr>
              <w:t>.</w:t>
            </w:r>
            <w:r>
              <w:rPr>
                <w:rFonts w:hint="eastAsia" w:ascii="楷体" w:hAnsi="楷体" w:eastAsia="楷体" w:cs="宋体"/>
                <w:spacing w:val="-2"/>
                <w:sz w:val="21"/>
                <w:szCs w:val="21"/>
                <w:highlight w:val="none"/>
              </w:rPr>
              <w:t>01元的整数倍。</w:t>
            </w:r>
          </w:p>
          <w:p>
            <w:pPr>
              <w:pStyle w:val="37"/>
              <w:kinsoku w:val="0"/>
              <w:overflowPunct w:val="0"/>
              <w:spacing w:before="12"/>
              <w:ind w:left="42" w:leftChars="20" w:right="115" w:rightChars="55"/>
              <w:jc w:val="both"/>
              <w:rPr>
                <w:rFonts w:ascii="楷体" w:hAnsi="楷体" w:eastAsia="楷体" w:cs="宋体"/>
                <w:spacing w:val="-2"/>
                <w:sz w:val="21"/>
                <w:szCs w:val="21"/>
                <w:highlight w:val="none"/>
              </w:rPr>
            </w:pPr>
            <w:r>
              <w:rPr>
                <w:rFonts w:hint="eastAsia" w:ascii="楷体" w:hAnsi="楷体" w:eastAsia="楷体" w:cs="宋体"/>
                <w:spacing w:val="-2"/>
                <w:sz w:val="21"/>
                <w:szCs w:val="21"/>
                <w:highlight w:val="none"/>
              </w:rPr>
              <w:t>苏银理财启源</w:t>
            </w:r>
            <w:r>
              <w:rPr>
                <w:rFonts w:hint="eastAsia" w:ascii="楷体" w:hAnsi="楷体" w:eastAsia="楷体" w:cs="宋体"/>
                <w:spacing w:val="-2"/>
                <w:sz w:val="21"/>
                <w:szCs w:val="21"/>
                <w:highlight w:val="none"/>
                <w:lang w:eastAsia="zh-CN"/>
              </w:rPr>
              <w:t>货币3号</w:t>
            </w:r>
            <w:r>
              <w:rPr>
                <w:rFonts w:hint="eastAsia" w:ascii="楷体" w:hAnsi="楷体" w:eastAsia="楷体" w:cs="宋体"/>
                <w:spacing w:val="-2"/>
                <w:sz w:val="21"/>
                <w:szCs w:val="21"/>
                <w:highlight w:val="none"/>
                <w:lang w:val="en-US" w:eastAsia="zh-CN"/>
              </w:rPr>
              <w:t>F</w:t>
            </w:r>
            <w:r>
              <w:rPr>
                <w:rFonts w:hint="eastAsia" w:ascii="楷体" w:hAnsi="楷体" w:eastAsia="楷体" w:cs="宋体"/>
                <w:spacing w:val="-2"/>
                <w:sz w:val="21"/>
                <w:szCs w:val="21"/>
                <w:highlight w:val="none"/>
              </w:rPr>
              <w:t>：首次认/申购起点金额为0.01元,追加金额为0</w:t>
            </w:r>
            <w:r>
              <w:rPr>
                <w:rFonts w:ascii="楷体" w:hAnsi="楷体" w:eastAsia="楷体" w:cs="宋体"/>
                <w:spacing w:val="-2"/>
                <w:sz w:val="21"/>
                <w:szCs w:val="21"/>
                <w:highlight w:val="none"/>
              </w:rPr>
              <w:t>.</w:t>
            </w:r>
            <w:r>
              <w:rPr>
                <w:rFonts w:hint="eastAsia" w:ascii="楷体" w:hAnsi="楷体" w:eastAsia="楷体" w:cs="宋体"/>
                <w:spacing w:val="-2"/>
                <w:sz w:val="21"/>
                <w:szCs w:val="21"/>
                <w:highlight w:val="none"/>
              </w:rPr>
              <w:t>01元的整数倍。</w:t>
            </w:r>
          </w:p>
          <w:p>
            <w:pPr>
              <w:pStyle w:val="37"/>
              <w:kinsoku w:val="0"/>
              <w:overflowPunct w:val="0"/>
              <w:spacing w:before="12"/>
              <w:ind w:left="42" w:leftChars="20" w:right="115" w:rightChars="55"/>
              <w:jc w:val="both"/>
              <w:rPr>
                <w:rFonts w:hint="eastAsia" w:ascii="楷体" w:hAnsi="楷体" w:eastAsia="楷体" w:cs="宋体"/>
                <w:spacing w:val="-2"/>
                <w:sz w:val="21"/>
                <w:szCs w:val="21"/>
                <w:highlight w:val="none"/>
              </w:rPr>
            </w:pPr>
            <w:r>
              <w:rPr>
                <w:rFonts w:hint="eastAsia" w:ascii="楷体" w:hAnsi="楷体" w:eastAsia="楷体" w:cs="宋体"/>
                <w:spacing w:val="-2"/>
                <w:sz w:val="21"/>
                <w:szCs w:val="21"/>
                <w:highlight w:val="none"/>
              </w:rPr>
              <w:t>苏银理财启源</w:t>
            </w:r>
            <w:r>
              <w:rPr>
                <w:rFonts w:hint="eastAsia" w:ascii="楷体" w:hAnsi="楷体" w:eastAsia="楷体" w:cs="宋体"/>
                <w:spacing w:val="-2"/>
                <w:sz w:val="21"/>
                <w:szCs w:val="21"/>
                <w:highlight w:val="none"/>
                <w:lang w:eastAsia="zh-CN"/>
              </w:rPr>
              <w:t>货币3号</w:t>
            </w:r>
            <w:r>
              <w:rPr>
                <w:rFonts w:hint="eastAsia" w:ascii="楷体" w:hAnsi="楷体" w:eastAsia="楷体" w:cs="宋体"/>
                <w:spacing w:val="-2"/>
                <w:sz w:val="21"/>
                <w:szCs w:val="21"/>
                <w:highlight w:val="none"/>
                <w:lang w:val="en-US" w:eastAsia="zh-CN"/>
              </w:rPr>
              <w:t>G</w:t>
            </w:r>
            <w:r>
              <w:rPr>
                <w:rFonts w:hint="eastAsia" w:ascii="楷体" w:hAnsi="楷体" w:eastAsia="楷体" w:cs="宋体"/>
                <w:spacing w:val="-2"/>
                <w:sz w:val="21"/>
                <w:szCs w:val="21"/>
                <w:highlight w:val="none"/>
              </w:rPr>
              <w:t>：首次认/申购起点金额为0.01元,追加金额为0</w:t>
            </w:r>
            <w:r>
              <w:rPr>
                <w:rFonts w:ascii="楷体" w:hAnsi="楷体" w:eastAsia="楷体" w:cs="宋体"/>
                <w:spacing w:val="-2"/>
                <w:sz w:val="21"/>
                <w:szCs w:val="21"/>
                <w:highlight w:val="none"/>
              </w:rPr>
              <w:t>.</w:t>
            </w:r>
            <w:r>
              <w:rPr>
                <w:rFonts w:hint="eastAsia" w:ascii="楷体" w:hAnsi="楷体" w:eastAsia="楷体" w:cs="宋体"/>
                <w:spacing w:val="-2"/>
                <w:sz w:val="21"/>
                <w:szCs w:val="21"/>
                <w:highlight w:val="none"/>
              </w:rPr>
              <w:t>01元的整数倍。</w:t>
            </w:r>
          </w:p>
          <w:p>
            <w:pPr>
              <w:pStyle w:val="37"/>
              <w:kinsoku w:val="0"/>
              <w:overflowPunct w:val="0"/>
              <w:spacing w:before="12"/>
              <w:ind w:left="42" w:leftChars="20" w:right="115" w:rightChars="55"/>
              <w:jc w:val="both"/>
              <w:rPr>
                <w:rFonts w:hint="eastAsia" w:ascii="楷体" w:hAnsi="楷体" w:eastAsia="楷体" w:cs="宋体"/>
                <w:spacing w:val="-2"/>
                <w:sz w:val="21"/>
                <w:szCs w:val="21"/>
                <w:highlight w:val="none"/>
              </w:rPr>
            </w:pPr>
            <w:r>
              <w:rPr>
                <w:rFonts w:hint="eastAsia" w:ascii="楷体" w:hAnsi="楷体" w:eastAsia="楷体" w:cs="宋体"/>
                <w:spacing w:val="-2"/>
                <w:sz w:val="21"/>
                <w:szCs w:val="21"/>
                <w:highlight w:val="none"/>
              </w:rPr>
              <w:t>苏银理财启源</w:t>
            </w:r>
            <w:r>
              <w:rPr>
                <w:rFonts w:hint="eastAsia" w:ascii="楷体" w:hAnsi="楷体" w:eastAsia="楷体" w:cs="宋体"/>
                <w:spacing w:val="-2"/>
                <w:sz w:val="21"/>
                <w:szCs w:val="21"/>
                <w:highlight w:val="none"/>
                <w:lang w:eastAsia="zh-CN"/>
              </w:rPr>
              <w:t>货币3号</w:t>
            </w:r>
            <w:r>
              <w:rPr>
                <w:rFonts w:hint="eastAsia" w:ascii="楷体" w:hAnsi="楷体" w:eastAsia="楷体" w:cs="宋体"/>
                <w:spacing w:val="-2"/>
                <w:sz w:val="21"/>
                <w:szCs w:val="21"/>
                <w:highlight w:val="none"/>
                <w:lang w:val="en-US" w:eastAsia="zh-CN"/>
              </w:rPr>
              <w:t>H</w:t>
            </w:r>
            <w:r>
              <w:rPr>
                <w:rFonts w:hint="eastAsia" w:ascii="楷体" w:hAnsi="楷体" w:eastAsia="楷体" w:cs="宋体"/>
                <w:spacing w:val="-2"/>
                <w:sz w:val="21"/>
                <w:szCs w:val="21"/>
                <w:highlight w:val="none"/>
              </w:rPr>
              <w:t>：首次认/申购起点金额为0.01元,追加金额为0</w:t>
            </w:r>
            <w:r>
              <w:rPr>
                <w:rFonts w:ascii="楷体" w:hAnsi="楷体" w:eastAsia="楷体" w:cs="宋体"/>
                <w:spacing w:val="-2"/>
                <w:sz w:val="21"/>
                <w:szCs w:val="21"/>
                <w:highlight w:val="none"/>
              </w:rPr>
              <w:t>.</w:t>
            </w:r>
            <w:r>
              <w:rPr>
                <w:rFonts w:hint="eastAsia" w:ascii="楷体" w:hAnsi="楷体" w:eastAsia="楷体" w:cs="宋体"/>
                <w:spacing w:val="-2"/>
                <w:sz w:val="21"/>
                <w:szCs w:val="21"/>
                <w:highlight w:val="none"/>
              </w:rPr>
              <w:t>01元的整数倍。</w:t>
            </w:r>
          </w:p>
          <w:p>
            <w:pPr>
              <w:pStyle w:val="37"/>
              <w:kinsoku w:val="0"/>
              <w:overflowPunct w:val="0"/>
              <w:spacing w:before="12"/>
              <w:ind w:left="42" w:leftChars="20" w:right="115" w:rightChars="55"/>
              <w:jc w:val="both"/>
              <w:rPr>
                <w:rFonts w:ascii="楷体" w:hAnsi="楷体" w:eastAsia="楷体" w:cs="宋体"/>
                <w:spacing w:val="-2"/>
                <w:sz w:val="21"/>
                <w:szCs w:val="21"/>
                <w:highlight w:val="none"/>
              </w:rPr>
            </w:pPr>
            <w:r>
              <w:rPr>
                <w:rFonts w:hint="eastAsia" w:ascii="楷体" w:hAnsi="楷体" w:eastAsia="楷体" w:cs="宋体"/>
                <w:spacing w:val="-2"/>
                <w:sz w:val="21"/>
                <w:szCs w:val="21"/>
                <w:highlight w:val="none"/>
              </w:rPr>
              <w:t>产品购买起点和追加金额具体以销售机构设置为准，苏银理财有权对上述起点金额和递增金额进行调整，并在调整前进行公告。</w:t>
            </w:r>
          </w:p>
          <w:p>
            <w:pPr>
              <w:ind w:left="42" w:leftChars="20" w:right="115" w:rightChars="55"/>
              <w:rPr>
                <w:rFonts w:ascii="楷体" w:hAnsi="楷体" w:eastAsia="楷体" w:cs="宋体"/>
                <w:spacing w:val="-2"/>
                <w:szCs w:val="21"/>
                <w:highlight w:val="none"/>
              </w:rPr>
            </w:pPr>
            <w:r>
              <w:rPr>
                <w:rFonts w:hint="eastAsia" w:ascii="楷体" w:hAnsi="楷体" w:eastAsia="楷体"/>
                <w:szCs w:val="21"/>
                <w:highlight w:val="none"/>
              </w:rPr>
              <w:t>认购资金的清算和认购份额的计算详见下文“八、产品认购”。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vAlign w:val="center"/>
          </w:tcPr>
          <w:p>
            <w:pPr>
              <w:pStyle w:val="37"/>
              <w:kinsoku w:val="0"/>
              <w:overflowPunct w:val="0"/>
              <w:spacing w:before="13"/>
              <w:ind w:left="85"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份额面值</w:t>
            </w:r>
          </w:p>
        </w:tc>
        <w:tc>
          <w:tcPr>
            <w:tcW w:w="6794" w:type="dxa"/>
            <w:vAlign w:val="center"/>
          </w:tcPr>
          <w:p>
            <w:pPr>
              <w:pStyle w:val="37"/>
              <w:kinsoku w:val="0"/>
              <w:overflowPunct w:val="0"/>
              <w:spacing w:before="12"/>
              <w:ind w:left="42" w:leftChars="20" w:right="115" w:rightChars="55"/>
              <w:jc w:val="both"/>
              <w:rPr>
                <w:rFonts w:ascii="楷体" w:hAnsi="楷体" w:eastAsia="楷体" w:cs="宋体"/>
                <w:spacing w:val="-2"/>
                <w:kern w:val="2"/>
                <w:sz w:val="21"/>
                <w:szCs w:val="21"/>
                <w:highlight w:val="none"/>
              </w:rPr>
            </w:pPr>
            <w:r>
              <w:rPr>
                <w:rFonts w:hint="eastAsia" w:ascii="楷体" w:hAnsi="楷体" w:eastAsia="楷体" w:cs="宋体"/>
                <w:spacing w:val="-2"/>
                <w:sz w:val="21"/>
                <w:szCs w:val="21"/>
                <w:highlight w:val="none"/>
              </w:rPr>
              <w:t>1元/份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vAlign w:val="center"/>
          </w:tcPr>
          <w:p>
            <w:pPr>
              <w:pStyle w:val="37"/>
              <w:kinsoku w:val="0"/>
              <w:overflowPunct w:val="0"/>
              <w:spacing w:before="13"/>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单一投资者认/申购上限</w:t>
            </w:r>
          </w:p>
        </w:tc>
        <w:tc>
          <w:tcPr>
            <w:tcW w:w="6794" w:type="dxa"/>
            <w:vAlign w:val="center"/>
          </w:tcPr>
          <w:p>
            <w:pPr>
              <w:pStyle w:val="37"/>
              <w:kinsoku w:val="0"/>
              <w:overflowPunct w:val="0"/>
              <w:spacing w:before="12"/>
              <w:ind w:left="42" w:leftChars="20" w:right="115" w:rightChars="55"/>
              <w:jc w:val="both"/>
              <w:rPr>
                <w:rFonts w:ascii="楷体" w:hAnsi="楷体" w:eastAsia="楷体" w:cs="宋体"/>
                <w:b/>
                <w:spacing w:val="-2"/>
                <w:sz w:val="21"/>
                <w:szCs w:val="21"/>
                <w:highlight w:val="none"/>
                <w:u w:val="single"/>
              </w:rPr>
            </w:pPr>
            <w:r>
              <w:rPr>
                <w:rFonts w:hint="eastAsia" w:ascii="楷体" w:hAnsi="楷体" w:eastAsia="楷体" w:cs="宋体"/>
                <w:spacing w:val="-2"/>
                <w:sz w:val="21"/>
                <w:szCs w:val="21"/>
                <w:highlight w:val="none"/>
              </w:rPr>
              <w:t>各</w:t>
            </w:r>
            <w:r>
              <w:rPr>
                <w:rFonts w:hint="eastAsia" w:ascii="楷体" w:hAnsi="楷体" w:eastAsia="楷体" w:cs="宋体"/>
                <w:spacing w:val="-2"/>
                <w:sz w:val="21"/>
                <w:szCs w:val="21"/>
                <w:highlight w:val="none"/>
                <w:lang w:val="en-US" w:eastAsia="zh-CN"/>
              </w:rPr>
              <w:t>份额</w:t>
            </w:r>
            <w:r>
              <w:rPr>
                <w:rFonts w:hint="eastAsia" w:ascii="楷体" w:hAnsi="楷体" w:eastAsia="楷体" w:cs="宋体"/>
                <w:spacing w:val="-2"/>
                <w:sz w:val="21"/>
                <w:szCs w:val="21"/>
                <w:highlight w:val="none"/>
              </w:rPr>
              <w:t>单一投资者单日累计认/申购上限:暂无。超过单日累计认/申购上限时，管理人和销售机构有权拒绝投资者的认/申购申请。产品存续期内管理人和销售机构有权根据实际情况调整单日累计认</w:t>
            </w:r>
            <w:r>
              <w:rPr>
                <w:rFonts w:ascii="楷体" w:hAnsi="楷体" w:eastAsia="楷体" w:cs="宋体"/>
                <w:spacing w:val="-2"/>
                <w:sz w:val="21"/>
                <w:szCs w:val="21"/>
                <w:highlight w:val="none"/>
              </w:rPr>
              <w:t>/申购上限。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vAlign w:val="center"/>
          </w:tcPr>
          <w:p>
            <w:pPr>
              <w:pStyle w:val="37"/>
              <w:kinsoku w:val="0"/>
              <w:overflowPunct w:val="0"/>
              <w:spacing w:before="13"/>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单一投资者持有比例上限</w:t>
            </w:r>
          </w:p>
        </w:tc>
        <w:tc>
          <w:tcPr>
            <w:tcW w:w="6794" w:type="dxa"/>
            <w:vAlign w:val="center"/>
          </w:tcPr>
          <w:p>
            <w:pPr>
              <w:pStyle w:val="37"/>
              <w:kinsoku w:val="0"/>
              <w:overflowPunct w:val="0"/>
              <w:spacing w:before="12"/>
              <w:ind w:left="42" w:leftChars="20" w:right="115" w:rightChars="55"/>
              <w:jc w:val="both"/>
              <w:rPr>
                <w:rFonts w:ascii="楷体" w:hAnsi="楷体" w:eastAsia="楷体" w:cs="宋体"/>
                <w:spacing w:val="-2"/>
                <w:sz w:val="21"/>
                <w:szCs w:val="21"/>
                <w:highlight w:val="none"/>
              </w:rPr>
            </w:pPr>
            <w:r>
              <w:rPr>
                <w:rFonts w:hint="eastAsia" w:ascii="楷体" w:hAnsi="楷体" w:eastAsia="楷体" w:cs="宋体"/>
                <w:b/>
                <w:spacing w:val="-2"/>
                <w:sz w:val="21"/>
                <w:szCs w:val="21"/>
                <w:highlight w:val="none"/>
                <w:u w:val="single"/>
              </w:rPr>
              <w:t>本理财产品不允许单一投资者持有份额超过本理财产品总份额的</w:t>
            </w:r>
            <w:r>
              <w:rPr>
                <w:rFonts w:ascii="楷体" w:hAnsi="楷体" w:eastAsia="楷体" w:cs="宋体"/>
                <w:b/>
                <w:spacing w:val="-2"/>
                <w:sz w:val="21"/>
                <w:szCs w:val="21"/>
                <w:highlight w:val="none"/>
                <w:u w:val="single"/>
              </w:rPr>
              <w:t>50%</w:t>
            </w:r>
            <w:r>
              <w:rPr>
                <w:rFonts w:hint="eastAsia" w:ascii="楷体" w:hAnsi="楷体" w:eastAsia="楷体" w:cs="宋体"/>
                <w:b/>
                <w:spacing w:val="-2"/>
                <w:sz w:val="21"/>
                <w:szCs w:val="21"/>
                <w:highlight w:val="none"/>
                <w:u w:val="single"/>
                <w:lang w:eastAsia="zh-CN"/>
              </w:rPr>
              <w:t>，</w:t>
            </w:r>
            <w:r>
              <w:rPr>
                <w:rFonts w:hint="eastAsia" w:ascii="楷体" w:hAnsi="楷体" w:eastAsia="楷体" w:cs="宋体"/>
                <w:spacing w:val="-2"/>
                <w:sz w:val="21"/>
                <w:szCs w:val="21"/>
                <w:highlight w:val="none"/>
              </w:rPr>
              <w:t>对于因理财产品销售募集情况、理财产品规模变化等非因管理人主观因素导致单一投资者持有理财产品份额的比例达到或超过50%的，管理人有权采取控制措施，包括但不限于暂停接受该投资者的认/申购申请、对持有理财产品份额的比例达到或超过50%的单一投资者采取比例确认等方式进行认/申购申请限制等。</w:t>
            </w:r>
          </w:p>
          <w:p>
            <w:pPr>
              <w:pStyle w:val="37"/>
              <w:kinsoku w:val="0"/>
              <w:overflowPunct w:val="0"/>
              <w:spacing w:before="12"/>
              <w:ind w:left="42" w:leftChars="20" w:right="115" w:rightChars="55"/>
              <w:jc w:val="both"/>
              <w:rPr>
                <w:rFonts w:ascii="楷体" w:hAnsi="楷体" w:eastAsia="楷体" w:cs="宋体"/>
                <w:spacing w:val="-2"/>
                <w:sz w:val="21"/>
                <w:szCs w:val="21"/>
                <w:highlight w:val="none"/>
              </w:rPr>
            </w:pPr>
            <w:r>
              <w:rPr>
                <w:rFonts w:hint="eastAsia" w:ascii="楷体" w:hAnsi="楷体" w:eastAsia="楷体" w:cs="宋体"/>
                <w:spacing w:val="-2"/>
                <w:sz w:val="21"/>
                <w:szCs w:val="21"/>
                <w:highlight w:val="none"/>
              </w:rPr>
              <w:t>产品存续期内管理人和销售机构有权根据实际情况调整单一投资者持有上限</w:t>
            </w:r>
            <w:r>
              <w:rPr>
                <w:rFonts w:ascii="楷体" w:hAnsi="楷体" w:eastAsia="楷体" w:cs="宋体"/>
                <w:spacing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vAlign w:val="center"/>
          </w:tcPr>
          <w:p>
            <w:pPr>
              <w:pStyle w:val="37"/>
              <w:kinsoku w:val="0"/>
              <w:overflowPunct w:val="0"/>
              <w:spacing w:before="13"/>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单一投资者</w:t>
            </w:r>
            <w:r>
              <w:rPr>
                <w:rFonts w:ascii="楷体" w:hAnsi="楷体" w:eastAsia="楷体" w:cs="宋体"/>
                <w:b/>
                <w:spacing w:val="-2"/>
                <w:sz w:val="21"/>
                <w:szCs w:val="21"/>
                <w:highlight w:val="none"/>
              </w:rPr>
              <w:t>赎回</w:t>
            </w:r>
            <w:r>
              <w:rPr>
                <w:rFonts w:hint="eastAsia" w:ascii="楷体" w:hAnsi="楷体" w:eastAsia="楷体" w:cs="宋体"/>
                <w:b/>
                <w:spacing w:val="-2"/>
                <w:sz w:val="21"/>
                <w:szCs w:val="21"/>
                <w:highlight w:val="none"/>
              </w:rPr>
              <w:t>上限</w:t>
            </w:r>
          </w:p>
        </w:tc>
        <w:tc>
          <w:tcPr>
            <w:tcW w:w="6794" w:type="dxa"/>
            <w:vAlign w:val="center"/>
          </w:tcPr>
          <w:p>
            <w:pPr>
              <w:pStyle w:val="37"/>
              <w:kinsoku w:val="0"/>
              <w:overflowPunct w:val="0"/>
              <w:spacing w:before="12"/>
              <w:ind w:left="42" w:leftChars="20" w:right="115" w:rightChars="55"/>
              <w:jc w:val="both"/>
              <w:rPr>
                <w:rFonts w:ascii="楷体" w:hAnsi="楷体" w:eastAsia="楷体" w:cs="宋体"/>
                <w:spacing w:val="-2"/>
                <w:sz w:val="21"/>
                <w:szCs w:val="21"/>
                <w:highlight w:val="none"/>
              </w:rPr>
            </w:pPr>
            <w:r>
              <w:rPr>
                <w:rFonts w:hint="eastAsia" w:ascii="楷体" w:hAnsi="楷体" w:eastAsia="楷体" w:cs="宋体"/>
                <w:b/>
                <w:bCs/>
                <w:spacing w:val="-2"/>
                <w:sz w:val="21"/>
                <w:szCs w:val="21"/>
                <w:highlight w:val="none"/>
                <w:u w:val="single"/>
              </w:rPr>
              <w:t>1亿份</w:t>
            </w:r>
            <w:r>
              <w:rPr>
                <w:rFonts w:hint="eastAsia" w:ascii="楷体" w:hAnsi="楷体" w:eastAsia="楷体" w:cs="宋体"/>
                <w:b/>
                <w:bCs/>
                <w:spacing w:val="-2"/>
                <w:sz w:val="21"/>
                <w:szCs w:val="21"/>
                <w:highlight w:val="none"/>
                <w:u w:val="single"/>
                <w:lang w:eastAsia="zh-CN"/>
              </w:rPr>
              <w:t>，</w:t>
            </w:r>
            <w:r>
              <w:rPr>
                <w:rFonts w:hint="eastAsia" w:ascii="楷体" w:hAnsi="楷体" w:eastAsia="楷体" w:cs="宋体"/>
                <w:b/>
                <w:bCs/>
                <w:spacing w:val="-2"/>
                <w:sz w:val="21"/>
                <w:szCs w:val="21"/>
                <w:highlight w:val="none"/>
                <w:u w:val="single"/>
              </w:rPr>
              <w:t>超过单个客户赎回限额时，管理人有权拒绝投资者的</w:t>
            </w:r>
            <w:r>
              <w:rPr>
                <w:rFonts w:hint="eastAsia" w:ascii="楷体" w:hAnsi="楷体" w:eastAsia="楷体" w:cs="宋体"/>
                <w:b/>
                <w:bCs/>
                <w:spacing w:val="-2"/>
                <w:sz w:val="21"/>
                <w:szCs w:val="21"/>
                <w:highlight w:val="none"/>
                <w:u w:val="single"/>
                <w:lang w:val="en-US" w:eastAsia="zh-CN"/>
              </w:rPr>
              <w:t>赎回</w:t>
            </w:r>
            <w:r>
              <w:rPr>
                <w:rFonts w:hint="eastAsia" w:ascii="楷体" w:hAnsi="楷体" w:eastAsia="楷体" w:cs="宋体"/>
                <w:b/>
                <w:bCs/>
                <w:spacing w:val="-2"/>
                <w:sz w:val="21"/>
                <w:szCs w:val="21"/>
                <w:highlight w:val="none"/>
                <w:u w:val="single"/>
              </w:rPr>
              <w:t>申请。对于单个投资者单个开放日申请赎回理财份额超过上一交易日日终理财产品总份额的10%的部分，管理人有权暂停接受其赎回申请。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vAlign w:val="center"/>
          </w:tcPr>
          <w:p>
            <w:pPr>
              <w:pStyle w:val="37"/>
              <w:kinsoku w:val="0"/>
              <w:overflowPunct w:val="0"/>
              <w:spacing w:before="13"/>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募集期</w:t>
            </w:r>
          </w:p>
        </w:tc>
        <w:tc>
          <w:tcPr>
            <w:tcW w:w="6794" w:type="dxa"/>
            <w:vAlign w:val="center"/>
          </w:tcPr>
          <w:p>
            <w:pPr>
              <w:pStyle w:val="37"/>
              <w:kinsoku w:val="0"/>
              <w:overflowPunct w:val="0"/>
              <w:spacing w:before="12"/>
              <w:ind w:left="42" w:leftChars="20" w:right="115" w:rightChars="55"/>
              <w:jc w:val="both"/>
              <w:rPr>
                <w:rFonts w:hint="eastAsia" w:ascii="楷体" w:hAnsi="楷体" w:eastAsia="楷体" w:cs="宋体"/>
                <w:spacing w:val="-2"/>
                <w:sz w:val="21"/>
                <w:szCs w:val="21"/>
                <w:highlight w:val="none"/>
                <w:lang w:eastAsia="zh-CN"/>
              </w:rPr>
            </w:pPr>
            <w:r>
              <w:rPr>
                <w:rFonts w:hint="eastAsia" w:ascii="楷体" w:hAnsi="楷体" w:eastAsia="楷体" w:cs="宋体"/>
                <w:spacing w:val="-2"/>
                <w:sz w:val="21"/>
                <w:szCs w:val="21"/>
                <w:highlight w:val="none"/>
              </w:rPr>
              <w:t>A</w:t>
            </w:r>
            <w:r>
              <w:rPr>
                <w:rFonts w:hint="eastAsia" w:ascii="楷体" w:hAnsi="楷体" w:eastAsia="楷体" w:cs="宋体"/>
                <w:spacing w:val="-2"/>
                <w:sz w:val="21"/>
                <w:szCs w:val="21"/>
                <w:highlight w:val="none"/>
                <w:lang w:val="en-US" w:eastAsia="zh-CN"/>
              </w:rPr>
              <w:t>/B/F/G/H</w:t>
            </w:r>
            <w:r>
              <w:rPr>
                <w:rFonts w:hint="eastAsia" w:ascii="楷体" w:hAnsi="楷体" w:eastAsia="楷体" w:cs="宋体"/>
                <w:spacing w:val="-2"/>
                <w:sz w:val="21"/>
                <w:szCs w:val="21"/>
                <w:highlight w:val="none"/>
              </w:rPr>
              <w:t>份额：20</w:t>
            </w:r>
            <w:r>
              <w:rPr>
                <w:rFonts w:hint="eastAsia" w:ascii="楷体" w:hAnsi="楷体" w:eastAsia="楷体" w:cs="宋体"/>
                <w:spacing w:val="-2"/>
                <w:sz w:val="21"/>
                <w:szCs w:val="21"/>
                <w:highlight w:val="none"/>
                <w:lang w:val="en-US" w:eastAsia="zh-CN"/>
              </w:rPr>
              <w:t>25</w:t>
            </w:r>
            <w:r>
              <w:rPr>
                <w:rFonts w:hint="eastAsia" w:ascii="楷体" w:hAnsi="楷体" w:eastAsia="楷体" w:cs="宋体"/>
                <w:spacing w:val="-2"/>
                <w:sz w:val="21"/>
                <w:szCs w:val="21"/>
                <w:highlight w:val="none"/>
              </w:rPr>
              <w:t>年</w:t>
            </w:r>
            <w:r>
              <w:rPr>
                <w:rFonts w:hint="eastAsia" w:ascii="楷体" w:hAnsi="楷体" w:eastAsia="楷体" w:cs="宋体"/>
                <w:spacing w:val="-2"/>
                <w:sz w:val="21"/>
                <w:szCs w:val="21"/>
                <w:highlight w:val="none"/>
                <w:lang w:val="en-US" w:eastAsia="zh-CN"/>
              </w:rPr>
              <w:t>3</w:t>
            </w:r>
            <w:r>
              <w:rPr>
                <w:rFonts w:hint="eastAsia" w:ascii="楷体" w:hAnsi="楷体" w:eastAsia="楷体" w:cs="宋体"/>
                <w:spacing w:val="-2"/>
                <w:sz w:val="21"/>
                <w:szCs w:val="21"/>
                <w:highlight w:val="none"/>
              </w:rPr>
              <w:t>月</w:t>
            </w:r>
            <w:r>
              <w:rPr>
                <w:rFonts w:hint="eastAsia" w:ascii="楷体" w:hAnsi="楷体" w:eastAsia="楷体" w:cs="宋体"/>
                <w:spacing w:val="-2"/>
                <w:sz w:val="21"/>
                <w:szCs w:val="21"/>
                <w:highlight w:val="none"/>
                <w:lang w:val="en-US" w:eastAsia="zh-CN"/>
              </w:rPr>
              <w:t>11</w:t>
            </w:r>
            <w:r>
              <w:rPr>
                <w:rFonts w:hint="eastAsia" w:ascii="楷体" w:hAnsi="楷体" w:eastAsia="楷体" w:cs="宋体"/>
                <w:spacing w:val="-2"/>
                <w:sz w:val="21"/>
                <w:szCs w:val="21"/>
                <w:highlight w:val="none"/>
              </w:rPr>
              <w:t>日9:00至20</w:t>
            </w:r>
            <w:r>
              <w:rPr>
                <w:rFonts w:hint="eastAsia" w:ascii="楷体" w:hAnsi="楷体" w:eastAsia="楷体" w:cs="宋体"/>
                <w:spacing w:val="-2"/>
                <w:sz w:val="21"/>
                <w:szCs w:val="21"/>
                <w:highlight w:val="none"/>
                <w:lang w:val="en-US" w:eastAsia="zh-CN"/>
              </w:rPr>
              <w:t>25</w:t>
            </w:r>
            <w:r>
              <w:rPr>
                <w:rFonts w:hint="eastAsia" w:ascii="楷体" w:hAnsi="楷体" w:eastAsia="楷体" w:cs="宋体"/>
                <w:spacing w:val="-2"/>
                <w:sz w:val="21"/>
                <w:szCs w:val="21"/>
                <w:highlight w:val="none"/>
              </w:rPr>
              <w:t>年</w:t>
            </w:r>
            <w:r>
              <w:rPr>
                <w:rFonts w:hint="eastAsia" w:ascii="楷体" w:hAnsi="楷体" w:eastAsia="楷体" w:cs="宋体"/>
                <w:spacing w:val="-2"/>
                <w:sz w:val="21"/>
                <w:szCs w:val="21"/>
                <w:highlight w:val="none"/>
                <w:lang w:val="en-US" w:eastAsia="zh-CN"/>
              </w:rPr>
              <w:t>3</w:t>
            </w:r>
            <w:r>
              <w:rPr>
                <w:rFonts w:hint="eastAsia" w:ascii="楷体" w:hAnsi="楷体" w:eastAsia="楷体" w:cs="宋体"/>
                <w:spacing w:val="-2"/>
                <w:sz w:val="21"/>
                <w:szCs w:val="21"/>
                <w:highlight w:val="none"/>
              </w:rPr>
              <w:t>月</w:t>
            </w:r>
            <w:r>
              <w:rPr>
                <w:rFonts w:hint="eastAsia" w:ascii="楷体" w:hAnsi="楷体" w:eastAsia="楷体" w:cs="宋体"/>
                <w:spacing w:val="-2"/>
                <w:sz w:val="21"/>
                <w:szCs w:val="21"/>
                <w:highlight w:val="none"/>
                <w:lang w:val="en-US" w:eastAsia="zh-CN"/>
              </w:rPr>
              <w:t>14</w:t>
            </w:r>
            <w:r>
              <w:rPr>
                <w:rFonts w:hint="eastAsia" w:ascii="楷体" w:hAnsi="楷体" w:eastAsia="楷体" w:cs="宋体"/>
                <w:spacing w:val="-2"/>
                <w:sz w:val="21"/>
                <w:szCs w:val="21"/>
                <w:highlight w:val="none"/>
              </w:rPr>
              <w:t>日17:00</w:t>
            </w:r>
            <w:r>
              <w:rPr>
                <w:rFonts w:hint="eastAsia" w:ascii="楷体" w:hAnsi="楷体" w:eastAsia="楷体" w:cs="宋体"/>
                <w:spacing w:val="-2"/>
                <w:sz w:val="21"/>
                <w:szCs w:val="21"/>
                <w:highlight w:val="none"/>
                <w:lang w:eastAsia="zh-CN"/>
              </w:rPr>
              <w:t>；</w:t>
            </w:r>
          </w:p>
          <w:p>
            <w:pPr>
              <w:pStyle w:val="37"/>
              <w:kinsoku w:val="0"/>
              <w:overflowPunct w:val="0"/>
              <w:spacing w:before="12"/>
              <w:ind w:left="42" w:leftChars="20" w:right="115" w:rightChars="55"/>
              <w:jc w:val="both"/>
              <w:rPr>
                <w:rFonts w:ascii="楷体" w:hAnsi="楷体" w:eastAsia="楷体" w:cs="宋体"/>
                <w:spacing w:val="-2"/>
                <w:sz w:val="21"/>
                <w:szCs w:val="21"/>
                <w:highlight w:val="none"/>
              </w:rPr>
            </w:pPr>
            <w:r>
              <w:rPr>
                <w:rFonts w:hint="eastAsia" w:ascii="楷体" w:hAnsi="楷体" w:eastAsia="楷体" w:cs="宋体"/>
                <w:spacing w:val="-2"/>
                <w:sz w:val="21"/>
                <w:szCs w:val="21"/>
                <w:highlight w:val="none"/>
              </w:rPr>
              <w:t>管理人在法律允许的范围内保留延长或提前终止产品</w:t>
            </w:r>
            <w:r>
              <w:rPr>
                <w:rFonts w:hint="eastAsia" w:ascii="楷体" w:hAnsi="楷体" w:eastAsia="楷体" w:cs="宋体"/>
                <w:spacing w:val="-2"/>
                <w:sz w:val="21"/>
                <w:szCs w:val="21"/>
                <w:highlight w:val="none"/>
                <w:lang w:val="en-US" w:eastAsia="zh-CN"/>
              </w:rPr>
              <w:t>募集</w:t>
            </w:r>
            <w:r>
              <w:rPr>
                <w:rFonts w:hint="eastAsia" w:ascii="楷体" w:hAnsi="楷体" w:eastAsia="楷体" w:cs="宋体"/>
                <w:spacing w:val="-2"/>
                <w:sz w:val="21"/>
                <w:szCs w:val="21"/>
                <w:highlight w:val="none"/>
              </w:rPr>
              <w:t>期的权利。如有变动，实际产品</w:t>
            </w:r>
            <w:r>
              <w:rPr>
                <w:rFonts w:hint="eastAsia" w:ascii="楷体" w:hAnsi="楷体" w:eastAsia="楷体" w:cs="宋体"/>
                <w:spacing w:val="-2"/>
                <w:sz w:val="21"/>
                <w:szCs w:val="21"/>
                <w:highlight w:val="none"/>
                <w:lang w:val="en-US" w:eastAsia="zh-CN"/>
              </w:rPr>
              <w:t>募集</w:t>
            </w:r>
            <w:r>
              <w:rPr>
                <w:rFonts w:hint="eastAsia" w:ascii="楷体" w:hAnsi="楷体" w:eastAsia="楷体" w:cs="宋体"/>
                <w:spacing w:val="-2"/>
                <w:sz w:val="21"/>
                <w:szCs w:val="21"/>
                <w:highlight w:val="none"/>
              </w:rPr>
              <w:t>期以管理人公告或各销售机构设置的</w:t>
            </w:r>
            <w:r>
              <w:rPr>
                <w:rFonts w:hint="eastAsia" w:ascii="楷体" w:hAnsi="楷体" w:eastAsia="楷体" w:cs="宋体"/>
                <w:spacing w:val="-2"/>
                <w:sz w:val="21"/>
                <w:szCs w:val="21"/>
                <w:highlight w:val="none"/>
                <w:lang w:val="en-US" w:eastAsia="zh-CN"/>
              </w:rPr>
              <w:t>募集</w:t>
            </w:r>
            <w:r>
              <w:rPr>
                <w:rFonts w:hint="eastAsia" w:ascii="楷体" w:hAnsi="楷体" w:eastAsia="楷体" w:cs="宋体"/>
                <w:spacing w:val="-2"/>
                <w:sz w:val="21"/>
                <w:szCs w:val="21"/>
                <w:highlight w:val="none"/>
              </w:rPr>
              <w:t>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vAlign w:val="center"/>
          </w:tcPr>
          <w:p>
            <w:pPr>
              <w:pStyle w:val="37"/>
              <w:kinsoku w:val="0"/>
              <w:overflowPunct w:val="0"/>
              <w:spacing w:before="12"/>
              <w:ind w:left="85" w:right="65" w:rightChars="31"/>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认购份额计算</w:t>
            </w:r>
          </w:p>
        </w:tc>
        <w:tc>
          <w:tcPr>
            <w:tcW w:w="6794" w:type="dxa"/>
            <w:vAlign w:val="center"/>
          </w:tcPr>
          <w:p>
            <w:pPr>
              <w:ind w:left="42" w:leftChars="20" w:right="115" w:rightChars="55"/>
              <w:jc w:val="left"/>
              <w:rPr>
                <w:rFonts w:ascii="楷体" w:hAnsi="楷体" w:eastAsia="楷体" w:cs="宋体"/>
                <w:spacing w:val="-2"/>
                <w:szCs w:val="21"/>
                <w:highlight w:val="none"/>
              </w:rPr>
            </w:pPr>
            <w:r>
              <w:rPr>
                <w:rFonts w:hint="eastAsia" w:ascii="楷体" w:hAnsi="楷体" w:eastAsia="楷体" w:cs="宋体"/>
                <w:spacing w:val="-2"/>
                <w:szCs w:val="21"/>
                <w:highlight w:val="none"/>
              </w:rPr>
              <w:t>认购份额=认购金额/产品份额面值（1元/份）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vAlign w:val="center"/>
          </w:tcPr>
          <w:p>
            <w:pPr>
              <w:pStyle w:val="37"/>
              <w:kinsoku w:val="0"/>
              <w:overflowPunct w:val="0"/>
              <w:spacing w:before="12"/>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产品成立日</w:t>
            </w:r>
          </w:p>
        </w:tc>
        <w:tc>
          <w:tcPr>
            <w:tcW w:w="6794" w:type="dxa"/>
            <w:vAlign w:val="center"/>
          </w:tcPr>
          <w:p>
            <w:pPr>
              <w:pStyle w:val="37"/>
              <w:kinsoku w:val="0"/>
              <w:overflowPunct w:val="0"/>
              <w:spacing w:before="12"/>
              <w:ind w:left="42" w:leftChars="20" w:right="115" w:rightChars="55"/>
              <w:jc w:val="both"/>
              <w:rPr>
                <w:rFonts w:hint="eastAsia" w:ascii="楷体" w:hAnsi="楷体" w:eastAsia="楷体" w:cs="宋体"/>
                <w:spacing w:val="-2"/>
                <w:sz w:val="21"/>
                <w:szCs w:val="21"/>
                <w:highlight w:val="none"/>
                <w:lang w:eastAsia="zh-CN"/>
              </w:rPr>
            </w:pPr>
            <w:r>
              <w:rPr>
                <w:rFonts w:hint="eastAsia" w:ascii="楷体" w:hAnsi="楷体" w:eastAsia="楷体" w:cs="宋体"/>
                <w:spacing w:val="-2"/>
                <w:sz w:val="21"/>
                <w:szCs w:val="21"/>
                <w:highlight w:val="none"/>
              </w:rPr>
              <w:t>A</w:t>
            </w:r>
            <w:r>
              <w:rPr>
                <w:rFonts w:hint="eastAsia" w:ascii="楷体" w:hAnsi="楷体" w:eastAsia="楷体" w:cs="宋体"/>
                <w:spacing w:val="-2"/>
                <w:sz w:val="21"/>
                <w:szCs w:val="21"/>
                <w:highlight w:val="none"/>
                <w:lang w:val="en-US" w:eastAsia="zh-CN"/>
              </w:rPr>
              <w:t>/B/F/G/H</w:t>
            </w:r>
            <w:r>
              <w:rPr>
                <w:rFonts w:hint="eastAsia" w:ascii="楷体" w:hAnsi="楷体" w:eastAsia="楷体" w:cs="宋体"/>
                <w:spacing w:val="-2"/>
                <w:sz w:val="21"/>
                <w:szCs w:val="21"/>
                <w:highlight w:val="none"/>
              </w:rPr>
              <w:t>份额：20</w:t>
            </w:r>
            <w:r>
              <w:rPr>
                <w:rFonts w:hint="eastAsia" w:ascii="楷体" w:hAnsi="楷体" w:eastAsia="楷体" w:cs="宋体"/>
                <w:spacing w:val="-2"/>
                <w:sz w:val="21"/>
                <w:szCs w:val="21"/>
                <w:highlight w:val="none"/>
                <w:lang w:val="en-US" w:eastAsia="zh-CN"/>
              </w:rPr>
              <w:t>25</w:t>
            </w:r>
            <w:r>
              <w:rPr>
                <w:rFonts w:hint="eastAsia" w:ascii="楷体" w:hAnsi="楷体" w:eastAsia="楷体" w:cs="宋体"/>
                <w:spacing w:val="-2"/>
                <w:sz w:val="21"/>
                <w:szCs w:val="21"/>
                <w:highlight w:val="none"/>
              </w:rPr>
              <w:t>年</w:t>
            </w:r>
            <w:r>
              <w:rPr>
                <w:rFonts w:hint="eastAsia" w:ascii="楷体" w:hAnsi="楷体" w:eastAsia="楷体" w:cs="宋体"/>
                <w:spacing w:val="-2"/>
                <w:sz w:val="21"/>
                <w:szCs w:val="21"/>
                <w:highlight w:val="none"/>
                <w:lang w:val="en-US" w:eastAsia="zh-CN"/>
              </w:rPr>
              <w:t>3</w:t>
            </w:r>
            <w:r>
              <w:rPr>
                <w:rFonts w:hint="eastAsia" w:ascii="楷体" w:hAnsi="楷体" w:eastAsia="楷体" w:cs="宋体"/>
                <w:spacing w:val="-2"/>
                <w:sz w:val="21"/>
                <w:szCs w:val="21"/>
                <w:highlight w:val="none"/>
              </w:rPr>
              <w:t>月</w:t>
            </w:r>
            <w:r>
              <w:rPr>
                <w:rFonts w:hint="eastAsia" w:ascii="楷体" w:hAnsi="楷体" w:eastAsia="楷体" w:cs="宋体"/>
                <w:spacing w:val="-2"/>
                <w:sz w:val="21"/>
                <w:szCs w:val="21"/>
                <w:highlight w:val="none"/>
                <w:lang w:val="en-US" w:eastAsia="zh-CN"/>
              </w:rPr>
              <w:t>17</w:t>
            </w:r>
            <w:r>
              <w:rPr>
                <w:rFonts w:hint="eastAsia" w:ascii="楷体" w:hAnsi="楷体" w:eastAsia="楷体" w:cs="宋体"/>
                <w:spacing w:val="-2"/>
                <w:sz w:val="21"/>
                <w:szCs w:val="21"/>
                <w:highlight w:val="none"/>
              </w:rPr>
              <w:t>日</w:t>
            </w:r>
            <w:r>
              <w:rPr>
                <w:rFonts w:hint="eastAsia" w:ascii="楷体" w:hAnsi="楷体" w:eastAsia="楷体" w:cs="宋体"/>
                <w:spacing w:val="-2"/>
                <w:sz w:val="21"/>
                <w:szCs w:val="21"/>
                <w:highlight w:val="none"/>
                <w:lang w:eastAsia="zh-CN"/>
              </w:rPr>
              <w:t>；</w:t>
            </w:r>
          </w:p>
          <w:p>
            <w:pPr>
              <w:pStyle w:val="37"/>
              <w:kinsoku w:val="0"/>
              <w:overflowPunct w:val="0"/>
              <w:spacing w:before="12"/>
              <w:ind w:left="42" w:leftChars="20" w:right="115" w:rightChars="55"/>
              <w:jc w:val="both"/>
              <w:rPr>
                <w:rFonts w:ascii="楷体" w:hAnsi="楷体" w:eastAsia="楷体" w:cs="宋体"/>
                <w:spacing w:val="-2"/>
                <w:sz w:val="21"/>
                <w:szCs w:val="21"/>
                <w:highlight w:val="none"/>
              </w:rPr>
            </w:pPr>
            <w:r>
              <w:rPr>
                <w:rFonts w:hint="eastAsia" w:ascii="楷体" w:hAnsi="楷体" w:eastAsia="楷体" w:cs="宋体"/>
                <w:spacing w:val="-2"/>
                <w:sz w:val="21"/>
                <w:szCs w:val="21"/>
                <w:highlight w:val="none"/>
              </w:rPr>
              <w:t>若产品认购份额未达到最低发行总规模3000万，或新的法律、法规导致本产品无法合法合规运行，或出现其他导致影响产品成立不可抗力因素，产品管理人有权利但无义务宣布产品不成立，并于产品认购期结束后5个工作日内将投资者认购资金返还至投资者资金账户，在途期间投资者投资本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vAlign w:val="center"/>
          </w:tcPr>
          <w:p>
            <w:pPr>
              <w:pStyle w:val="37"/>
              <w:kinsoku w:val="0"/>
              <w:overflowPunct w:val="0"/>
              <w:spacing w:before="12"/>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产品到期日</w:t>
            </w:r>
          </w:p>
        </w:tc>
        <w:tc>
          <w:tcPr>
            <w:tcW w:w="6794" w:type="dxa"/>
            <w:vAlign w:val="center"/>
          </w:tcPr>
          <w:p>
            <w:pPr>
              <w:pStyle w:val="37"/>
              <w:kinsoku w:val="0"/>
              <w:overflowPunct w:val="0"/>
              <w:spacing w:before="12"/>
              <w:ind w:left="42" w:leftChars="20" w:right="115" w:rightChars="55"/>
              <w:jc w:val="both"/>
              <w:rPr>
                <w:rFonts w:ascii="楷体" w:hAnsi="楷体" w:eastAsia="楷体" w:cs="宋体"/>
                <w:spacing w:val="-2"/>
                <w:sz w:val="21"/>
                <w:szCs w:val="21"/>
                <w:highlight w:val="none"/>
              </w:rPr>
            </w:pPr>
            <w:r>
              <w:rPr>
                <w:rFonts w:hint="eastAsia" w:ascii="楷体" w:hAnsi="楷体" w:eastAsia="楷体" w:cs="宋体"/>
                <w:spacing w:val="-2"/>
                <w:sz w:val="21"/>
                <w:szCs w:val="21"/>
                <w:highlight w:val="none"/>
              </w:rPr>
              <w:t>203</w:t>
            </w:r>
            <w:r>
              <w:rPr>
                <w:rFonts w:hint="eastAsia" w:ascii="楷体" w:hAnsi="楷体" w:eastAsia="楷体" w:cs="宋体"/>
                <w:spacing w:val="-2"/>
                <w:sz w:val="21"/>
                <w:szCs w:val="21"/>
                <w:highlight w:val="none"/>
                <w:lang w:val="en-US" w:eastAsia="zh-CN"/>
              </w:rPr>
              <w:t>4</w:t>
            </w:r>
            <w:r>
              <w:rPr>
                <w:rFonts w:hint="eastAsia" w:ascii="楷体" w:hAnsi="楷体" w:eastAsia="楷体" w:cs="宋体"/>
                <w:spacing w:val="-2"/>
                <w:sz w:val="21"/>
                <w:szCs w:val="21"/>
                <w:highlight w:val="none"/>
              </w:rPr>
              <w:t>年12月</w:t>
            </w:r>
            <w:r>
              <w:rPr>
                <w:rFonts w:hint="eastAsia" w:ascii="楷体" w:hAnsi="楷体" w:eastAsia="楷体" w:cs="宋体"/>
                <w:spacing w:val="-2"/>
                <w:sz w:val="21"/>
                <w:szCs w:val="21"/>
                <w:highlight w:val="none"/>
                <w:lang w:val="en-US" w:eastAsia="zh-CN"/>
              </w:rPr>
              <w:t>29</w:t>
            </w:r>
            <w:r>
              <w:rPr>
                <w:rFonts w:hint="eastAsia" w:ascii="楷体" w:hAnsi="楷体" w:eastAsia="楷体" w:cs="宋体"/>
                <w:spacing w:val="-2"/>
                <w:sz w:val="21"/>
                <w:szCs w:val="21"/>
                <w:highlight w:val="none"/>
              </w:rPr>
              <w:t>日（如遇节假日，顺延至下一工作日）</w:t>
            </w:r>
          </w:p>
          <w:p>
            <w:pPr>
              <w:pStyle w:val="37"/>
              <w:kinsoku w:val="0"/>
              <w:overflowPunct w:val="0"/>
              <w:spacing w:before="12"/>
              <w:ind w:left="42" w:leftChars="20" w:right="115" w:rightChars="55"/>
              <w:jc w:val="both"/>
              <w:rPr>
                <w:rFonts w:ascii="楷体" w:hAnsi="楷体" w:eastAsia="楷体" w:cs="宋体"/>
                <w:spacing w:val="-2"/>
                <w:sz w:val="21"/>
                <w:szCs w:val="21"/>
                <w:highlight w:val="none"/>
              </w:rPr>
            </w:pPr>
            <w:r>
              <w:rPr>
                <w:rFonts w:hint="eastAsia" w:ascii="楷体" w:hAnsi="楷体" w:eastAsia="楷体" w:cs="宋体"/>
                <w:spacing w:val="-2"/>
                <w:sz w:val="21"/>
                <w:szCs w:val="21"/>
                <w:highlight w:val="none"/>
              </w:rPr>
              <w:t>在符合本理财产品说明书约定的条件下，管理人有权提前终止该产品，产品到期日受制于提前终止条款。详见下文“十三、产品的终止与清算”。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vAlign w:val="center"/>
          </w:tcPr>
          <w:p>
            <w:pPr>
              <w:pStyle w:val="37"/>
              <w:kinsoku w:val="0"/>
              <w:overflowPunct w:val="0"/>
              <w:spacing w:before="14"/>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开放日</w:t>
            </w:r>
          </w:p>
        </w:tc>
        <w:tc>
          <w:tcPr>
            <w:tcW w:w="6794" w:type="dxa"/>
            <w:vAlign w:val="center"/>
          </w:tcPr>
          <w:p>
            <w:pPr>
              <w:pStyle w:val="37"/>
              <w:kinsoku w:val="0"/>
              <w:overflowPunct w:val="0"/>
              <w:spacing w:before="12"/>
              <w:ind w:left="42" w:leftChars="20" w:right="115" w:rightChars="55"/>
              <w:jc w:val="both"/>
              <w:rPr>
                <w:rFonts w:ascii="楷体" w:hAnsi="楷体" w:eastAsia="楷体" w:cs="宋体"/>
                <w:spacing w:val="-2"/>
                <w:sz w:val="21"/>
                <w:szCs w:val="21"/>
                <w:highlight w:val="none"/>
              </w:rPr>
            </w:pPr>
            <w:r>
              <w:rPr>
                <w:rFonts w:hint="eastAsia" w:ascii="楷体" w:hAnsi="楷体" w:eastAsia="楷体" w:cs="宋体"/>
                <w:spacing w:val="-2"/>
                <w:sz w:val="21"/>
                <w:szCs w:val="21"/>
                <w:highlight w:val="none"/>
              </w:rPr>
              <w:t>本理财产品存续期间，产品每个工作日为开放日（T日），管理人仅在工作日对投资者的申购、赎回申请进行确认。管理人有权根据资产运作情况、节假日安排调整开放日，并在调整前进行公告。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390" w:type="dxa"/>
            <w:vAlign w:val="center"/>
          </w:tcPr>
          <w:p>
            <w:pPr>
              <w:pStyle w:val="37"/>
              <w:kinsoku w:val="0"/>
              <w:overflowPunct w:val="0"/>
              <w:spacing w:before="18"/>
              <w:ind w:left="83" w:leftChars="0" w:right="65" w:rightChars="31"/>
              <w:jc w:val="both"/>
              <w:rPr>
                <w:rFonts w:ascii="楷体" w:hAnsi="楷体" w:eastAsia="楷体" w:cs="宋体"/>
                <w:b/>
                <w:spacing w:val="-2"/>
                <w:kern w:val="0"/>
                <w:sz w:val="21"/>
                <w:szCs w:val="21"/>
                <w:highlight w:val="none"/>
                <w:lang w:val="en-US" w:eastAsia="zh-CN" w:bidi="ar-SA"/>
              </w:rPr>
            </w:pPr>
            <w:r>
              <w:rPr>
                <w:rFonts w:hint="eastAsia" w:ascii="楷体" w:hAnsi="楷体" w:eastAsia="楷体" w:cs="宋体"/>
                <w:b/>
                <w:spacing w:val="-2"/>
                <w:sz w:val="21"/>
                <w:szCs w:val="21"/>
                <w:highlight w:val="none"/>
                <w:lang w:val="en-US" w:eastAsia="zh-CN"/>
              </w:rPr>
              <w:t>开放计划</w:t>
            </w:r>
          </w:p>
        </w:tc>
        <w:tc>
          <w:tcPr>
            <w:tcW w:w="6794" w:type="dxa"/>
            <w:vAlign w:val="center"/>
          </w:tcPr>
          <w:p>
            <w:pPr>
              <w:ind w:left="115" w:leftChars="0" w:right="115" w:rightChars="55"/>
              <w:rPr>
                <w:rFonts w:ascii="楷体" w:hAnsi="楷体" w:eastAsia="楷体" w:cs="宋体"/>
                <w:spacing w:val="-2"/>
                <w:kern w:val="2"/>
                <w:sz w:val="21"/>
                <w:szCs w:val="21"/>
                <w:highlight w:val="none"/>
                <w:lang w:val="en-US" w:eastAsia="zh-CN" w:bidi="ar-SA"/>
              </w:rPr>
            </w:pPr>
            <w:r>
              <w:rPr>
                <w:rFonts w:hint="eastAsia" w:ascii="楷体" w:hAnsi="楷体" w:eastAsia="楷体" w:cs="宋体"/>
                <w:b/>
                <w:bCs/>
                <w:spacing w:val="-2"/>
                <w:szCs w:val="21"/>
                <w:highlight w:val="none"/>
                <w:u w:val="single"/>
              </w:rPr>
              <w:t>每日0：00-24:00投资者均可提交申购/赎回申请</w:t>
            </w:r>
            <w:r>
              <w:rPr>
                <w:rFonts w:hint="eastAsia" w:ascii="楷体" w:hAnsi="楷体" w:eastAsia="楷体" w:cs="宋体"/>
                <w:b/>
                <w:bCs/>
                <w:spacing w:val="-2"/>
                <w:szCs w:val="21"/>
                <w:highlight w:val="none"/>
                <w:u w:val="single"/>
                <w:lang w:eastAsia="zh-CN"/>
              </w:rPr>
              <w:t>（</w:t>
            </w:r>
            <w:r>
              <w:rPr>
                <w:rFonts w:hint="eastAsia" w:ascii="楷体" w:hAnsi="楷体" w:eastAsia="楷体" w:cs="宋体"/>
                <w:b/>
                <w:bCs/>
                <w:spacing w:val="-2"/>
                <w:szCs w:val="21"/>
                <w:highlight w:val="none"/>
                <w:u w:val="single"/>
              </w:rPr>
              <w:t>系统清算时间除外</w:t>
            </w:r>
            <w:r>
              <w:rPr>
                <w:rFonts w:hint="eastAsia" w:ascii="楷体" w:hAnsi="楷体" w:eastAsia="楷体" w:cs="宋体"/>
                <w:b/>
                <w:bCs/>
                <w:spacing w:val="-2"/>
                <w:szCs w:val="21"/>
                <w:highlight w:val="none"/>
                <w:u w:val="single"/>
                <w:lang w:eastAsia="zh-CN"/>
              </w:rPr>
              <w:t>），</w:t>
            </w:r>
            <w:r>
              <w:rPr>
                <w:rFonts w:hint="eastAsia" w:ascii="楷体" w:hAnsi="楷体" w:eastAsia="楷体" w:cs="宋体"/>
                <w:b/>
                <w:bCs/>
                <w:spacing w:val="-2"/>
                <w:szCs w:val="21"/>
                <w:highlight w:val="none"/>
                <w:u w:val="single"/>
              </w:rPr>
              <w:t>管理人在开放日对投资者的申购/赎回申请进行确认。</w:t>
            </w:r>
            <w:r>
              <w:rPr>
                <w:rFonts w:hint="eastAsia" w:ascii="楷体" w:hAnsi="楷体" w:eastAsia="楷体" w:cs="宋体"/>
                <w:spacing w:val="-2"/>
                <w:szCs w:val="21"/>
                <w:highlight w:val="none"/>
              </w:rPr>
              <w:t>申购</w:t>
            </w:r>
            <w:r>
              <w:rPr>
                <w:rFonts w:ascii="楷体" w:hAnsi="楷体" w:eastAsia="楷体" w:cs="宋体"/>
                <w:spacing w:val="-2"/>
                <w:szCs w:val="21"/>
                <w:highlight w:val="none"/>
              </w:rPr>
              <w:t>/赎回</w:t>
            </w:r>
            <w:r>
              <w:rPr>
                <w:rFonts w:hint="eastAsia" w:ascii="楷体" w:hAnsi="楷体" w:eastAsia="楷体" w:cs="宋体"/>
                <w:spacing w:val="-2"/>
                <w:szCs w:val="21"/>
                <w:highlight w:val="none"/>
              </w:rPr>
              <w:t>确认规则详见下文“九、产品申购、赎回”。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390" w:type="dxa"/>
            <w:vAlign w:val="center"/>
          </w:tcPr>
          <w:p>
            <w:pPr>
              <w:pStyle w:val="37"/>
              <w:kinsoku w:val="0"/>
              <w:overflowPunct w:val="0"/>
              <w:spacing w:before="18"/>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工作日</w:t>
            </w:r>
          </w:p>
        </w:tc>
        <w:tc>
          <w:tcPr>
            <w:tcW w:w="6794" w:type="dxa"/>
            <w:vAlign w:val="center"/>
          </w:tcPr>
          <w:p>
            <w:pPr>
              <w:ind w:left="42" w:leftChars="20" w:right="115" w:rightChars="55"/>
              <w:rPr>
                <w:rFonts w:ascii="楷体" w:hAnsi="楷体" w:eastAsia="楷体" w:cs="宋体"/>
                <w:b/>
                <w:bCs/>
                <w:spacing w:val="-2"/>
                <w:szCs w:val="21"/>
                <w:highlight w:val="none"/>
                <w:u w:val="single"/>
              </w:rPr>
            </w:pPr>
            <w:r>
              <w:rPr>
                <w:rFonts w:hint="eastAsia" w:ascii="楷体" w:hAnsi="楷体" w:eastAsia="楷体" w:cs="宋体"/>
                <w:spacing w:val="-2"/>
                <w:szCs w:val="21"/>
                <w:highlight w:val="none"/>
              </w:rPr>
              <w:t>指国家法定工作日，即除国家法定节假日和休息日外的日期。（示例：正常周六、周日为非工作日；</w:t>
            </w:r>
            <w:r>
              <w:rPr>
                <w:rFonts w:hint="eastAsia" w:ascii="楷体" w:hAnsi="楷体" w:eastAsia="楷体" w:cs="宋体"/>
                <w:spacing w:val="-2"/>
                <w:szCs w:val="21"/>
                <w:highlight w:val="none"/>
                <w:lang w:eastAsia="zh-CN"/>
              </w:rPr>
              <w:t>2025年4月27</w:t>
            </w:r>
            <w:r>
              <w:rPr>
                <w:rFonts w:hint="eastAsia" w:ascii="楷体" w:hAnsi="楷体" w:eastAsia="楷体" w:cs="宋体"/>
                <w:spacing w:val="-2"/>
                <w:szCs w:val="21"/>
                <w:highlight w:val="none"/>
              </w:rPr>
              <w:t>日为周日，但因调休仍为工作日，产品将正常进行申购赎回确认）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390" w:type="dxa"/>
            <w:vAlign w:val="center"/>
          </w:tcPr>
          <w:p>
            <w:pPr>
              <w:pStyle w:val="37"/>
              <w:kinsoku w:val="0"/>
              <w:overflowPunct w:val="0"/>
              <w:spacing w:before="18"/>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产品申购</w:t>
            </w:r>
          </w:p>
        </w:tc>
        <w:tc>
          <w:tcPr>
            <w:tcW w:w="6794" w:type="dxa"/>
            <w:vAlign w:val="center"/>
          </w:tcPr>
          <w:p>
            <w:pPr>
              <w:ind w:left="42" w:leftChars="20" w:right="115" w:rightChars="55"/>
              <w:rPr>
                <w:rFonts w:hint="eastAsia" w:ascii="楷体" w:hAnsi="楷体" w:eastAsia="楷体" w:cs="宋体"/>
                <w:spacing w:val="-2"/>
                <w:szCs w:val="21"/>
                <w:highlight w:val="none"/>
                <w:lang w:val="en-US" w:eastAsia="zh-CN"/>
              </w:rPr>
            </w:pPr>
            <w:r>
              <w:rPr>
                <w:rFonts w:hint="eastAsia" w:ascii="楷体" w:hAnsi="楷体" w:eastAsia="楷体" w:cs="宋体"/>
                <w:spacing w:val="-2"/>
                <w:kern w:val="0"/>
                <w:szCs w:val="21"/>
                <w:highlight w:val="none"/>
              </w:rPr>
              <w:t>申购时间为7*24小时，</w:t>
            </w:r>
            <w:r>
              <w:rPr>
                <w:rFonts w:hint="eastAsia" w:ascii="楷体" w:hAnsi="楷体" w:eastAsia="楷体" w:cs="宋体"/>
                <w:spacing w:val="-2"/>
                <w:sz w:val="21"/>
                <w:szCs w:val="21"/>
                <w:highlight w:val="none"/>
              </w:rPr>
              <w:t>A</w:t>
            </w:r>
            <w:r>
              <w:rPr>
                <w:rFonts w:hint="eastAsia" w:ascii="楷体" w:hAnsi="楷体" w:eastAsia="楷体" w:cs="宋体"/>
                <w:spacing w:val="-2"/>
                <w:sz w:val="21"/>
                <w:szCs w:val="21"/>
                <w:highlight w:val="none"/>
                <w:lang w:val="en-US" w:eastAsia="zh-CN"/>
              </w:rPr>
              <w:t>/B份额工作日00:00至24:00（不含）</w:t>
            </w:r>
            <w:r>
              <w:rPr>
                <w:rFonts w:hint="eastAsia" w:ascii="楷体" w:hAnsi="楷体" w:eastAsia="楷体" w:cs="宋体"/>
                <w:spacing w:val="-2"/>
                <w:kern w:val="0"/>
                <w:szCs w:val="21"/>
                <w:highlight w:val="none"/>
              </w:rPr>
              <w:t>申购T+1确认</w:t>
            </w:r>
            <w:r>
              <w:rPr>
                <w:rFonts w:hint="eastAsia" w:ascii="楷体" w:hAnsi="楷体" w:eastAsia="楷体" w:cs="宋体"/>
                <w:spacing w:val="-2"/>
                <w:kern w:val="0"/>
                <w:szCs w:val="21"/>
                <w:highlight w:val="none"/>
                <w:lang w:eastAsia="zh-CN"/>
              </w:rPr>
              <w:t>；</w:t>
            </w:r>
            <w:r>
              <w:rPr>
                <w:rFonts w:hint="eastAsia" w:ascii="楷体" w:hAnsi="楷体" w:eastAsia="楷体" w:cs="宋体"/>
                <w:spacing w:val="-2"/>
                <w:kern w:val="0"/>
                <w:szCs w:val="21"/>
                <w:highlight w:val="none"/>
                <w:lang w:val="en-US" w:eastAsia="zh-CN"/>
              </w:rPr>
              <w:t>F份额</w:t>
            </w:r>
            <w:r>
              <w:rPr>
                <w:rFonts w:hint="eastAsia" w:ascii="楷体" w:hAnsi="楷体" w:eastAsia="楷体" w:cs="宋体"/>
                <w:spacing w:val="-2"/>
                <w:kern w:val="0"/>
                <w:szCs w:val="21"/>
                <w:highlight w:val="none"/>
              </w:rPr>
              <w:t>工作日</w:t>
            </w:r>
            <w:r>
              <w:rPr>
                <w:rFonts w:hint="eastAsia" w:ascii="楷体" w:hAnsi="楷体" w:eastAsia="楷体" w:cs="宋体"/>
                <w:spacing w:val="-2"/>
                <w:sz w:val="21"/>
                <w:szCs w:val="21"/>
                <w:highlight w:val="none"/>
                <w:lang w:val="en-US" w:eastAsia="zh-CN"/>
              </w:rPr>
              <w:t>00:00至</w:t>
            </w:r>
            <w:r>
              <w:rPr>
                <w:rFonts w:hint="eastAsia" w:ascii="楷体" w:hAnsi="楷体" w:eastAsia="楷体" w:cs="宋体"/>
                <w:spacing w:val="-2"/>
                <w:kern w:val="0"/>
                <w:szCs w:val="21"/>
                <w:highlight w:val="none"/>
              </w:rPr>
              <w:t>1</w:t>
            </w:r>
            <w:r>
              <w:rPr>
                <w:rFonts w:hint="eastAsia" w:ascii="楷体" w:hAnsi="楷体" w:eastAsia="楷体" w:cs="宋体"/>
                <w:spacing w:val="-2"/>
                <w:kern w:val="0"/>
                <w:szCs w:val="21"/>
                <w:highlight w:val="none"/>
                <w:lang w:val="en-US" w:eastAsia="zh-CN"/>
              </w:rPr>
              <w:t>5</w:t>
            </w:r>
            <w:r>
              <w:rPr>
                <w:rFonts w:hint="eastAsia" w:ascii="楷体" w:hAnsi="楷体" w:eastAsia="楷体" w:cs="宋体"/>
                <w:spacing w:val="-2"/>
                <w:kern w:val="0"/>
                <w:szCs w:val="21"/>
                <w:highlight w:val="none"/>
                <w:lang w:eastAsia="zh-CN"/>
              </w:rPr>
              <w:t>:</w:t>
            </w:r>
            <w:r>
              <w:rPr>
                <w:rFonts w:hint="eastAsia" w:ascii="楷体" w:hAnsi="楷体" w:eastAsia="楷体" w:cs="宋体"/>
                <w:spacing w:val="-2"/>
                <w:kern w:val="0"/>
                <w:szCs w:val="21"/>
                <w:highlight w:val="none"/>
                <w:lang w:val="en-US" w:eastAsia="zh-CN"/>
              </w:rPr>
              <w:t>3</w:t>
            </w:r>
            <w:r>
              <w:rPr>
                <w:rFonts w:hint="eastAsia" w:ascii="楷体" w:hAnsi="楷体" w:eastAsia="楷体" w:cs="宋体"/>
                <w:spacing w:val="-2"/>
                <w:kern w:val="0"/>
                <w:szCs w:val="21"/>
                <w:highlight w:val="none"/>
              </w:rPr>
              <w:t>0</w:t>
            </w:r>
            <w:r>
              <w:rPr>
                <w:rFonts w:hint="eastAsia" w:ascii="楷体" w:hAnsi="楷体" w:eastAsia="楷体" w:cs="宋体"/>
                <w:spacing w:val="-2"/>
                <w:kern w:val="0"/>
                <w:szCs w:val="21"/>
                <w:highlight w:val="none"/>
                <w:lang w:eastAsia="zh-CN"/>
              </w:rPr>
              <w:t>（</w:t>
            </w:r>
            <w:r>
              <w:rPr>
                <w:rFonts w:hint="eastAsia" w:ascii="楷体" w:hAnsi="楷体" w:eastAsia="楷体" w:cs="宋体"/>
                <w:spacing w:val="-2"/>
                <w:kern w:val="0"/>
                <w:szCs w:val="21"/>
                <w:highlight w:val="none"/>
                <w:lang w:val="en-US" w:eastAsia="zh-CN"/>
              </w:rPr>
              <w:t>不含</w:t>
            </w:r>
            <w:r>
              <w:rPr>
                <w:rFonts w:hint="eastAsia" w:ascii="楷体" w:hAnsi="楷体" w:eastAsia="楷体" w:cs="宋体"/>
                <w:spacing w:val="-2"/>
                <w:kern w:val="0"/>
                <w:szCs w:val="21"/>
                <w:highlight w:val="none"/>
                <w:lang w:eastAsia="zh-CN"/>
              </w:rPr>
              <w:t>）</w:t>
            </w:r>
            <w:r>
              <w:rPr>
                <w:rFonts w:hint="eastAsia" w:ascii="楷体" w:hAnsi="楷体" w:eastAsia="楷体" w:cs="宋体"/>
                <w:spacing w:val="-2"/>
                <w:kern w:val="0"/>
                <w:szCs w:val="21"/>
                <w:highlight w:val="none"/>
              </w:rPr>
              <w:t>申购T+1确认，1</w:t>
            </w:r>
            <w:r>
              <w:rPr>
                <w:rFonts w:hint="eastAsia" w:ascii="楷体" w:hAnsi="楷体" w:eastAsia="楷体" w:cs="宋体"/>
                <w:spacing w:val="-2"/>
                <w:kern w:val="0"/>
                <w:szCs w:val="21"/>
                <w:highlight w:val="none"/>
                <w:lang w:val="en-US" w:eastAsia="zh-CN"/>
              </w:rPr>
              <w:t>5</w:t>
            </w:r>
            <w:r>
              <w:rPr>
                <w:rFonts w:hint="eastAsia" w:ascii="楷体" w:hAnsi="楷体" w:eastAsia="楷体" w:cs="宋体"/>
                <w:spacing w:val="-2"/>
                <w:kern w:val="0"/>
                <w:szCs w:val="21"/>
                <w:highlight w:val="none"/>
                <w:lang w:eastAsia="zh-CN"/>
              </w:rPr>
              <w:t>:</w:t>
            </w:r>
            <w:r>
              <w:rPr>
                <w:rFonts w:hint="eastAsia" w:ascii="楷体" w:hAnsi="楷体" w:eastAsia="楷体" w:cs="宋体"/>
                <w:spacing w:val="-2"/>
                <w:kern w:val="0"/>
                <w:szCs w:val="21"/>
                <w:highlight w:val="none"/>
                <w:lang w:val="en-US" w:eastAsia="zh-CN"/>
              </w:rPr>
              <w:t>3</w:t>
            </w:r>
            <w:r>
              <w:rPr>
                <w:rFonts w:hint="eastAsia" w:ascii="楷体" w:hAnsi="楷体" w:eastAsia="楷体" w:cs="宋体"/>
                <w:spacing w:val="-2"/>
                <w:kern w:val="0"/>
                <w:szCs w:val="21"/>
                <w:highlight w:val="none"/>
              </w:rPr>
              <w:t>0</w:t>
            </w:r>
            <w:r>
              <w:rPr>
                <w:rFonts w:hint="eastAsia" w:ascii="楷体" w:hAnsi="楷体" w:eastAsia="楷体" w:cs="宋体"/>
                <w:spacing w:val="-2"/>
                <w:sz w:val="21"/>
                <w:szCs w:val="21"/>
                <w:highlight w:val="none"/>
                <w:lang w:val="en-US" w:eastAsia="zh-CN"/>
              </w:rPr>
              <w:t>至24:00（不含）</w:t>
            </w:r>
            <w:r>
              <w:rPr>
                <w:rFonts w:hint="eastAsia" w:ascii="楷体" w:hAnsi="楷体" w:eastAsia="楷体" w:cs="宋体"/>
                <w:spacing w:val="-2"/>
                <w:kern w:val="0"/>
                <w:szCs w:val="21"/>
                <w:highlight w:val="none"/>
              </w:rPr>
              <w:t>申购为预受理，视同下一工作日申购</w:t>
            </w:r>
            <w:r>
              <w:rPr>
                <w:rFonts w:hint="eastAsia" w:ascii="楷体" w:hAnsi="楷体" w:eastAsia="楷体" w:cs="宋体"/>
                <w:spacing w:val="-2"/>
                <w:kern w:val="0"/>
                <w:szCs w:val="21"/>
                <w:highlight w:val="none"/>
                <w:lang w:eastAsia="zh-CN"/>
              </w:rPr>
              <w:t>；</w:t>
            </w:r>
            <w:r>
              <w:rPr>
                <w:rFonts w:hint="eastAsia" w:ascii="楷体" w:hAnsi="楷体" w:eastAsia="楷体" w:cs="宋体"/>
                <w:spacing w:val="-2"/>
                <w:kern w:val="0"/>
                <w:szCs w:val="21"/>
                <w:highlight w:val="none"/>
                <w:lang w:val="en-US" w:eastAsia="zh-CN"/>
              </w:rPr>
              <w:t>其他份额</w:t>
            </w:r>
            <w:r>
              <w:rPr>
                <w:rFonts w:hint="eastAsia" w:ascii="楷体" w:hAnsi="楷体" w:eastAsia="楷体" w:cs="宋体"/>
                <w:spacing w:val="-2"/>
                <w:kern w:val="0"/>
                <w:szCs w:val="21"/>
                <w:highlight w:val="none"/>
              </w:rPr>
              <w:t>工作日</w:t>
            </w:r>
            <w:r>
              <w:rPr>
                <w:rFonts w:hint="eastAsia" w:ascii="楷体" w:hAnsi="楷体" w:eastAsia="楷体" w:cs="宋体"/>
                <w:spacing w:val="-2"/>
                <w:sz w:val="21"/>
                <w:szCs w:val="21"/>
                <w:highlight w:val="none"/>
                <w:lang w:val="en-US" w:eastAsia="zh-CN"/>
              </w:rPr>
              <w:t>00:00至</w:t>
            </w:r>
            <w:r>
              <w:rPr>
                <w:rFonts w:hint="eastAsia" w:ascii="楷体" w:hAnsi="楷体" w:eastAsia="楷体" w:cs="宋体"/>
                <w:spacing w:val="-2"/>
                <w:kern w:val="0"/>
                <w:szCs w:val="21"/>
                <w:highlight w:val="none"/>
              </w:rPr>
              <w:t>17</w:t>
            </w:r>
            <w:r>
              <w:rPr>
                <w:rFonts w:hint="eastAsia" w:ascii="楷体" w:hAnsi="楷体" w:eastAsia="楷体" w:cs="宋体"/>
                <w:spacing w:val="-2"/>
                <w:kern w:val="0"/>
                <w:szCs w:val="21"/>
                <w:highlight w:val="none"/>
                <w:lang w:eastAsia="zh-CN"/>
              </w:rPr>
              <w:t>:</w:t>
            </w:r>
            <w:r>
              <w:rPr>
                <w:rFonts w:hint="eastAsia" w:ascii="楷体" w:hAnsi="楷体" w:eastAsia="楷体" w:cs="宋体"/>
                <w:spacing w:val="-2"/>
                <w:kern w:val="0"/>
                <w:szCs w:val="21"/>
                <w:highlight w:val="none"/>
              </w:rPr>
              <w:t>00</w:t>
            </w:r>
            <w:r>
              <w:rPr>
                <w:rFonts w:hint="eastAsia" w:ascii="楷体" w:hAnsi="楷体" w:eastAsia="楷体" w:cs="宋体"/>
                <w:spacing w:val="-2"/>
                <w:kern w:val="0"/>
                <w:szCs w:val="21"/>
                <w:highlight w:val="none"/>
                <w:lang w:eastAsia="zh-CN"/>
              </w:rPr>
              <w:t>（</w:t>
            </w:r>
            <w:r>
              <w:rPr>
                <w:rFonts w:hint="eastAsia" w:ascii="楷体" w:hAnsi="楷体" w:eastAsia="楷体" w:cs="宋体"/>
                <w:spacing w:val="-2"/>
                <w:kern w:val="0"/>
                <w:szCs w:val="21"/>
                <w:highlight w:val="none"/>
                <w:lang w:val="en-US" w:eastAsia="zh-CN"/>
              </w:rPr>
              <w:t>不含</w:t>
            </w:r>
            <w:r>
              <w:rPr>
                <w:rFonts w:hint="eastAsia" w:ascii="楷体" w:hAnsi="楷体" w:eastAsia="楷体" w:cs="宋体"/>
                <w:spacing w:val="-2"/>
                <w:kern w:val="0"/>
                <w:szCs w:val="21"/>
                <w:highlight w:val="none"/>
                <w:lang w:eastAsia="zh-CN"/>
              </w:rPr>
              <w:t>）</w:t>
            </w:r>
            <w:r>
              <w:rPr>
                <w:rFonts w:hint="eastAsia" w:ascii="楷体" w:hAnsi="楷体" w:eastAsia="楷体" w:cs="宋体"/>
                <w:spacing w:val="-2"/>
                <w:kern w:val="0"/>
                <w:szCs w:val="21"/>
                <w:highlight w:val="none"/>
              </w:rPr>
              <w:t>申购T+1确认</w:t>
            </w:r>
            <w:r>
              <w:rPr>
                <w:rFonts w:hint="eastAsia" w:ascii="楷体" w:hAnsi="楷体" w:eastAsia="楷体" w:cs="宋体"/>
                <w:spacing w:val="-2"/>
                <w:kern w:val="0"/>
                <w:szCs w:val="21"/>
                <w:highlight w:val="none"/>
                <w:lang w:eastAsia="zh-CN"/>
              </w:rPr>
              <w:t>，</w:t>
            </w:r>
            <w:r>
              <w:rPr>
                <w:rFonts w:hint="eastAsia" w:ascii="楷体" w:hAnsi="楷体" w:eastAsia="楷体" w:cs="宋体"/>
                <w:spacing w:val="-2"/>
                <w:kern w:val="0"/>
                <w:szCs w:val="21"/>
                <w:highlight w:val="none"/>
              </w:rPr>
              <w:t>17</w:t>
            </w:r>
            <w:r>
              <w:rPr>
                <w:rFonts w:hint="eastAsia" w:ascii="楷体" w:hAnsi="楷体" w:eastAsia="楷体" w:cs="宋体"/>
                <w:spacing w:val="-2"/>
                <w:kern w:val="0"/>
                <w:szCs w:val="21"/>
                <w:highlight w:val="none"/>
                <w:lang w:eastAsia="zh-CN"/>
              </w:rPr>
              <w:t>:</w:t>
            </w:r>
            <w:r>
              <w:rPr>
                <w:rFonts w:hint="eastAsia" w:ascii="楷体" w:hAnsi="楷体" w:eastAsia="楷体" w:cs="宋体"/>
                <w:spacing w:val="-2"/>
                <w:kern w:val="0"/>
                <w:szCs w:val="21"/>
                <w:highlight w:val="none"/>
              </w:rPr>
              <w:t>00</w:t>
            </w:r>
            <w:r>
              <w:rPr>
                <w:rFonts w:hint="eastAsia" w:ascii="楷体" w:hAnsi="楷体" w:eastAsia="楷体" w:cs="宋体"/>
                <w:spacing w:val="-2"/>
                <w:sz w:val="21"/>
                <w:szCs w:val="21"/>
                <w:highlight w:val="none"/>
                <w:lang w:val="en-US" w:eastAsia="zh-CN"/>
              </w:rPr>
              <w:t>至24:00（不含）</w:t>
            </w:r>
            <w:r>
              <w:rPr>
                <w:rFonts w:hint="eastAsia" w:ascii="楷体" w:hAnsi="楷体" w:eastAsia="楷体" w:cs="宋体"/>
                <w:spacing w:val="-2"/>
                <w:kern w:val="0"/>
                <w:szCs w:val="21"/>
                <w:highlight w:val="none"/>
              </w:rPr>
              <w:t>申购为预受理，视同下一工作日申购。</w:t>
            </w:r>
            <w:r>
              <w:rPr>
                <w:rFonts w:hint="eastAsia" w:ascii="楷体" w:hAnsi="楷体" w:eastAsia="楷体" w:cs="宋体"/>
                <w:spacing w:val="-2"/>
                <w:sz w:val="21"/>
                <w:szCs w:val="21"/>
                <w:highlight w:val="none"/>
              </w:rPr>
              <w:t>申购申请开始/截止时间以各销售机构系统设置为准</w:t>
            </w:r>
            <w:r>
              <w:rPr>
                <w:rFonts w:hint="eastAsia" w:ascii="楷体" w:hAnsi="楷体" w:eastAsia="楷体" w:cs="宋体"/>
                <w:spacing w:val="-2"/>
                <w:sz w:val="21"/>
                <w:szCs w:val="21"/>
                <w:highlight w:val="none"/>
                <w:lang w:eastAsia="zh-CN"/>
              </w:rPr>
              <w:t>。</w:t>
            </w:r>
            <w:r>
              <w:rPr>
                <w:rFonts w:ascii="楷体" w:hAnsi="楷体" w:eastAsia="楷体" w:cs="宋体"/>
                <w:spacing w:val="-2"/>
                <w:kern w:val="0"/>
                <w:szCs w:val="21"/>
                <w:highlight w:val="none"/>
              </w:rPr>
              <w:t>详见下文</w:t>
            </w:r>
            <w:r>
              <w:rPr>
                <w:rFonts w:hint="eastAsia" w:ascii="楷体" w:hAnsi="楷体" w:eastAsia="楷体" w:cs="宋体"/>
                <w:spacing w:val="-2"/>
                <w:kern w:val="0"/>
                <w:szCs w:val="21"/>
                <w:highlight w:val="none"/>
              </w:rPr>
              <w:t>“九、产品申购、赎回”。</w:t>
            </w:r>
            <w:r>
              <w:rPr>
                <w:rFonts w:hint="eastAsia" w:ascii="楷体" w:hAnsi="楷体" w:eastAsia="楷体" w:cs="宋体"/>
                <w:spacing w:val="-2"/>
                <w:kern w:val="0"/>
                <w:szCs w:val="21"/>
                <w:highlight w:val="none"/>
                <w:lang w:eastAsia="zh-CN"/>
              </w:rPr>
              <w:t>（</w:t>
            </w:r>
            <w:r>
              <w:rPr>
                <w:rFonts w:hint="eastAsia" w:ascii="楷体" w:hAnsi="楷体" w:eastAsia="楷体" w:cs="宋体"/>
                <w:spacing w:val="-2"/>
                <w:kern w:val="0"/>
                <w:szCs w:val="21"/>
                <w:highlight w:val="none"/>
                <w:lang w:val="en-US" w:eastAsia="zh-CN"/>
              </w:rPr>
              <w:t>具体以销售机构设置为准</w:t>
            </w:r>
            <w:r>
              <w:rPr>
                <w:rFonts w:hint="eastAsia" w:ascii="楷体" w:hAnsi="楷体" w:eastAsia="楷体" w:cs="宋体"/>
                <w:spacing w:val="-2"/>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vAlign w:val="center"/>
          </w:tcPr>
          <w:p>
            <w:pPr>
              <w:pStyle w:val="37"/>
              <w:kinsoku w:val="0"/>
              <w:overflowPunct w:val="0"/>
              <w:spacing w:before="18"/>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巨额申购</w:t>
            </w:r>
          </w:p>
        </w:tc>
        <w:tc>
          <w:tcPr>
            <w:tcW w:w="6794" w:type="dxa"/>
            <w:vAlign w:val="center"/>
          </w:tcPr>
          <w:p>
            <w:pPr>
              <w:pStyle w:val="37"/>
              <w:kinsoku w:val="0"/>
              <w:overflowPunct w:val="0"/>
              <w:spacing w:before="12"/>
              <w:ind w:left="42" w:leftChars="20" w:right="115" w:rightChars="55"/>
              <w:rPr>
                <w:rFonts w:ascii="楷体" w:hAnsi="楷体" w:eastAsia="楷体" w:cs="宋体"/>
                <w:bCs/>
                <w:spacing w:val="-2"/>
                <w:szCs w:val="21"/>
                <w:highlight w:val="none"/>
              </w:rPr>
            </w:pPr>
            <w:r>
              <w:rPr>
                <w:rFonts w:hint="eastAsia" w:ascii="楷体" w:hAnsi="楷体" w:eastAsia="楷体" w:cs="宋体"/>
                <w:spacing w:val="-2"/>
                <w:sz w:val="21"/>
                <w:szCs w:val="21"/>
                <w:highlight w:val="none"/>
              </w:rPr>
              <w:t>产品单个开放日净申购申请折算产品份额超过上一日产品总份额</w:t>
            </w:r>
            <w:r>
              <w:rPr>
                <w:rFonts w:ascii="楷体" w:hAnsi="楷体" w:eastAsia="楷体" w:cs="宋体"/>
                <w:spacing w:val="-2"/>
                <w:sz w:val="21"/>
                <w:szCs w:val="21"/>
                <w:highlight w:val="none"/>
              </w:rPr>
              <w:t>20%时</w:t>
            </w:r>
            <w:r>
              <w:rPr>
                <w:rFonts w:hint="eastAsia" w:ascii="楷体" w:hAnsi="楷体" w:eastAsia="楷体" w:cs="宋体"/>
                <w:spacing w:val="-2"/>
                <w:sz w:val="21"/>
                <w:szCs w:val="21"/>
                <w:highlight w:val="none"/>
              </w:rPr>
              <w:t>，即认为发生了巨额申购。当出现巨额申购时，产品管理人有权拒绝客户的全部或部分申购申请。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vAlign w:val="center"/>
          </w:tcPr>
          <w:p>
            <w:pPr>
              <w:pStyle w:val="37"/>
              <w:kinsoku w:val="0"/>
              <w:overflowPunct w:val="0"/>
              <w:spacing w:before="18"/>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产品赎回</w:t>
            </w:r>
          </w:p>
        </w:tc>
        <w:tc>
          <w:tcPr>
            <w:tcW w:w="6794" w:type="dxa"/>
            <w:vAlign w:val="center"/>
          </w:tcPr>
          <w:p>
            <w:pPr>
              <w:pStyle w:val="37"/>
              <w:kinsoku w:val="0"/>
              <w:overflowPunct w:val="0"/>
              <w:spacing w:before="12"/>
              <w:ind w:left="42" w:leftChars="20" w:right="115" w:rightChars="55"/>
              <w:rPr>
                <w:rFonts w:ascii="楷体" w:hAnsi="楷体" w:eastAsia="楷体" w:cs="宋体"/>
                <w:spacing w:val="-2"/>
                <w:sz w:val="21"/>
                <w:szCs w:val="21"/>
                <w:highlight w:val="none"/>
              </w:rPr>
            </w:pPr>
            <w:r>
              <w:rPr>
                <w:rFonts w:hint="eastAsia" w:ascii="楷体" w:hAnsi="楷体" w:eastAsia="楷体" w:cs="宋体"/>
                <w:spacing w:val="-2"/>
                <w:sz w:val="21"/>
                <w:szCs w:val="21"/>
                <w:highlight w:val="none"/>
              </w:rPr>
              <w:t>赎回</w:t>
            </w:r>
            <w:r>
              <w:rPr>
                <w:rFonts w:hint="eastAsia" w:ascii="楷体" w:hAnsi="楷体" w:eastAsia="楷体" w:cs="宋体"/>
                <w:spacing w:val="-2"/>
                <w:kern w:val="2"/>
                <w:sz w:val="21"/>
                <w:szCs w:val="21"/>
                <w:highlight w:val="none"/>
                <w:lang w:val="en-US" w:eastAsia="zh-CN" w:bidi="ar-SA"/>
              </w:rPr>
              <w:t>时间为7*24小时，</w:t>
            </w:r>
            <w:r>
              <w:rPr>
                <w:rFonts w:hint="eastAsia" w:ascii="楷体" w:hAnsi="楷体" w:eastAsia="楷体" w:cs="宋体"/>
                <w:spacing w:val="-2"/>
                <w:sz w:val="21"/>
                <w:szCs w:val="21"/>
                <w:highlight w:val="none"/>
              </w:rPr>
              <w:t>A</w:t>
            </w:r>
            <w:r>
              <w:rPr>
                <w:rFonts w:hint="eastAsia" w:ascii="楷体" w:hAnsi="楷体" w:eastAsia="楷体" w:cs="宋体"/>
                <w:spacing w:val="-2"/>
                <w:sz w:val="21"/>
                <w:szCs w:val="21"/>
                <w:highlight w:val="none"/>
                <w:lang w:val="en-US" w:eastAsia="zh-CN"/>
              </w:rPr>
              <w:t>/B</w:t>
            </w:r>
            <w:r>
              <w:rPr>
                <w:rFonts w:hint="eastAsia" w:ascii="楷体" w:hAnsi="楷体" w:eastAsia="楷体" w:cs="宋体"/>
                <w:spacing w:val="-2"/>
                <w:sz w:val="21"/>
                <w:szCs w:val="21"/>
                <w:highlight w:val="none"/>
              </w:rPr>
              <w:t>份额工作日00</w:t>
            </w:r>
            <w:r>
              <w:rPr>
                <w:rFonts w:hint="eastAsia" w:ascii="楷体" w:hAnsi="楷体" w:eastAsia="楷体" w:cs="宋体"/>
                <w:spacing w:val="-2"/>
                <w:sz w:val="21"/>
                <w:szCs w:val="21"/>
                <w:highlight w:val="none"/>
                <w:lang w:eastAsia="zh-CN"/>
              </w:rPr>
              <w:t>:</w:t>
            </w:r>
            <w:r>
              <w:rPr>
                <w:rFonts w:hint="eastAsia" w:ascii="楷体" w:hAnsi="楷体" w:eastAsia="楷体" w:cs="宋体"/>
                <w:spacing w:val="-2"/>
                <w:sz w:val="21"/>
                <w:szCs w:val="21"/>
                <w:highlight w:val="none"/>
              </w:rPr>
              <w:t>00至24</w:t>
            </w:r>
            <w:r>
              <w:rPr>
                <w:rFonts w:hint="eastAsia" w:ascii="楷体" w:hAnsi="楷体" w:eastAsia="楷体" w:cs="宋体"/>
                <w:spacing w:val="-2"/>
                <w:sz w:val="21"/>
                <w:szCs w:val="21"/>
                <w:highlight w:val="none"/>
                <w:lang w:eastAsia="zh-CN"/>
              </w:rPr>
              <w:t>:</w:t>
            </w:r>
            <w:r>
              <w:rPr>
                <w:rFonts w:hint="eastAsia" w:ascii="楷体" w:hAnsi="楷体" w:eastAsia="楷体" w:cs="宋体"/>
                <w:spacing w:val="-2"/>
                <w:sz w:val="21"/>
                <w:szCs w:val="21"/>
                <w:highlight w:val="none"/>
              </w:rPr>
              <w:t>00（不含）</w:t>
            </w:r>
            <w:r>
              <w:rPr>
                <w:rFonts w:hint="eastAsia" w:ascii="楷体" w:hAnsi="楷体" w:eastAsia="楷体" w:cs="宋体"/>
                <w:spacing w:val="-2"/>
                <w:sz w:val="21"/>
                <w:szCs w:val="21"/>
                <w:highlight w:val="none"/>
                <w:lang w:val="en-US" w:eastAsia="zh-CN"/>
              </w:rPr>
              <w:t>赎回</w:t>
            </w:r>
            <w:r>
              <w:rPr>
                <w:rFonts w:hint="eastAsia" w:ascii="楷体" w:hAnsi="楷体" w:eastAsia="楷体" w:cs="宋体"/>
                <w:spacing w:val="-2"/>
                <w:sz w:val="21"/>
                <w:szCs w:val="21"/>
                <w:highlight w:val="none"/>
              </w:rPr>
              <w:t>T+1确认；</w:t>
            </w:r>
            <w:r>
              <w:rPr>
                <w:rFonts w:hint="eastAsia" w:ascii="楷体" w:hAnsi="楷体" w:eastAsia="楷体" w:cs="宋体"/>
                <w:spacing w:val="-2"/>
                <w:kern w:val="2"/>
                <w:sz w:val="21"/>
                <w:szCs w:val="21"/>
                <w:highlight w:val="none"/>
                <w:lang w:val="en-US" w:eastAsia="zh-CN" w:bidi="ar-SA"/>
              </w:rPr>
              <w:t>F份额工作日00:00至15:30（不含）赎回T+1确认，15:30至24:00（不含）赎回为预受理，视同下一工作日赎回；其他份额工作日00:00至17:00（不含）赎回T+1确认，17:00至24:00（不含）赎回为预受理，视同下一工作日赎回。</w:t>
            </w:r>
            <w:r>
              <w:rPr>
                <w:rFonts w:hint="eastAsia" w:ascii="楷体" w:hAnsi="楷体" w:eastAsia="楷体" w:cs="宋体"/>
                <w:spacing w:val="-2"/>
                <w:sz w:val="21"/>
                <w:szCs w:val="21"/>
                <w:highlight w:val="none"/>
                <w:lang w:val="en-US" w:eastAsia="zh-CN"/>
              </w:rPr>
              <w:t>赎回</w:t>
            </w:r>
            <w:r>
              <w:rPr>
                <w:rFonts w:hint="eastAsia" w:ascii="楷体" w:hAnsi="楷体" w:eastAsia="楷体" w:cs="宋体"/>
                <w:spacing w:val="-2"/>
                <w:sz w:val="21"/>
                <w:szCs w:val="21"/>
                <w:highlight w:val="none"/>
              </w:rPr>
              <w:t>申请开始/截止时间以各销售机构系统设置为准</w:t>
            </w:r>
            <w:r>
              <w:rPr>
                <w:rFonts w:hint="eastAsia" w:ascii="楷体" w:hAnsi="楷体" w:eastAsia="楷体" w:cs="宋体"/>
                <w:spacing w:val="-2"/>
                <w:sz w:val="21"/>
                <w:szCs w:val="21"/>
                <w:highlight w:val="none"/>
                <w:lang w:eastAsia="zh-CN"/>
              </w:rPr>
              <w:t>。</w:t>
            </w:r>
            <w:r>
              <w:rPr>
                <w:rFonts w:hint="eastAsia" w:ascii="楷体" w:hAnsi="楷体" w:eastAsia="楷体" w:cs="宋体"/>
                <w:spacing w:val="-2"/>
                <w:sz w:val="21"/>
                <w:szCs w:val="21"/>
                <w:highlight w:val="none"/>
              </w:rPr>
              <w:t>详见下文“九、产品申购、赎回”。（具体以销售机构设置为准）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vAlign w:val="center"/>
          </w:tcPr>
          <w:p>
            <w:pPr>
              <w:pStyle w:val="37"/>
              <w:kinsoku w:val="0"/>
              <w:overflowPunct w:val="0"/>
              <w:spacing w:before="18"/>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快速赎回</w:t>
            </w:r>
          </w:p>
        </w:tc>
        <w:tc>
          <w:tcPr>
            <w:tcW w:w="6794" w:type="dxa"/>
            <w:vAlign w:val="center"/>
          </w:tcPr>
          <w:p>
            <w:pPr>
              <w:ind w:left="42" w:leftChars="20" w:right="115" w:rightChars="55"/>
              <w:rPr>
                <w:rFonts w:ascii="楷体" w:hAnsi="楷体" w:eastAsia="楷体" w:cs="宋体"/>
                <w:b/>
                <w:spacing w:val="-2"/>
                <w:szCs w:val="21"/>
                <w:highlight w:val="none"/>
                <w:u w:val="single"/>
              </w:rPr>
            </w:pPr>
            <w:r>
              <w:rPr>
                <w:rFonts w:hint="eastAsia" w:ascii="楷体" w:hAnsi="楷体" w:eastAsia="楷体" w:cs="宋体"/>
                <w:b/>
                <w:bCs/>
                <w:spacing w:val="-2"/>
                <w:szCs w:val="21"/>
                <w:highlight w:val="none"/>
                <w:u w:val="single"/>
              </w:rPr>
              <w:t xml:space="preserve">本产品销售机构可为投资者提供 </w:t>
            </w:r>
            <w:r>
              <w:rPr>
                <w:rFonts w:ascii="楷体" w:hAnsi="楷体" w:eastAsia="楷体" w:cs="宋体"/>
                <w:b/>
                <w:bCs/>
                <w:spacing w:val="-2"/>
                <w:szCs w:val="21"/>
                <w:highlight w:val="none"/>
                <w:u w:val="single"/>
              </w:rPr>
              <w:t>“快速赎回”增值服务，客户可通过</w:t>
            </w:r>
            <w:r>
              <w:rPr>
                <w:rFonts w:hint="eastAsia" w:ascii="楷体" w:hAnsi="楷体" w:eastAsia="楷体" w:cs="宋体"/>
                <w:b/>
                <w:bCs/>
                <w:spacing w:val="-2"/>
                <w:szCs w:val="21"/>
                <w:highlight w:val="none"/>
                <w:u w:val="single"/>
              </w:rPr>
              <w:t>销售机构</w:t>
            </w:r>
            <w:r>
              <w:rPr>
                <w:rFonts w:ascii="楷体" w:hAnsi="楷体" w:eastAsia="楷体" w:cs="宋体"/>
                <w:b/>
                <w:bCs/>
                <w:spacing w:val="-2"/>
                <w:szCs w:val="21"/>
                <w:highlight w:val="none"/>
                <w:u w:val="single"/>
              </w:rPr>
              <w:t>渠道进行快速赎回，如无特殊情况，</w:t>
            </w:r>
            <w:r>
              <w:rPr>
                <w:rFonts w:hint="eastAsia" w:ascii="楷体" w:hAnsi="楷体" w:eastAsia="楷体" w:cs="宋体"/>
                <w:b/>
                <w:bCs/>
                <w:spacing w:val="-2"/>
                <w:szCs w:val="21"/>
                <w:highlight w:val="none"/>
                <w:u w:val="single"/>
              </w:rPr>
              <w:t>快速</w:t>
            </w:r>
            <w:r>
              <w:rPr>
                <w:rFonts w:ascii="楷体" w:hAnsi="楷体" w:eastAsia="楷体" w:cs="宋体"/>
                <w:b/>
                <w:bCs/>
                <w:spacing w:val="-2"/>
                <w:szCs w:val="21"/>
                <w:highlight w:val="none"/>
                <w:u w:val="single"/>
              </w:rPr>
              <w:t>赎回资金将于赎回申请日当日到账。</w:t>
            </w:r>
            <w:r>
              <w:rPr>
                <w:rFonts w:hint="eastAsia" w:ascii="楷体" w:hAnsi="楷体" w:eastAsia="楷体" w:cs="宋体"/>
                <w:bCs/>
                <w:spacing w:val="-2"/>
                <w:szCs w:val="21"/>
                <w:highlight w:val="none"/>
              </w:rPr>
              <w:t>“快速赎回”为本理财产品的增值服务，具体业务处理原则以销售机构的快速赎回服务协议约定为准。管理人将根据快速赎回服务协议的约定，履行份额快速过户及理财份额收益划付等职责。</w:t>
            </w:r>
            <w:r>
              <w:rPr>
                <w:rFonts w:hint="eastAsia" w:ascii="楷体" w:hAnsi="楷体" w:eastAsia="楷体" w:cs="宋体"/>
                <w:b/>
                <w:bCs/>
                <w:spacing w:val="-2"/>
                <w:szCs w:val="21"/>
                <w:highlight w:val="none"/>
                <w:u w:val="single"/>
              </w:rPr>
              <w:t>每只产品每个自然日单个销售渠道为客户提供的</w:t>
            </w:r>
            <w:r>
              <w:rPr>
                <w:rFonts w:ascii="楷体" w:hAnsi="楷体" w:eastAsia="楷体" w:cs="宋体"/>
                <w:b/>
                <w:bCs/>
                <w:spacing w:val="-2"/>
                <w:szCs w:val="21"/>
                <w:highlight w:val="none"/>
                <w:u w:val="single"/>
              </w:rPr>
              <w:t>“快速赎回”</w:t>
            </w:r>
            <w:r>
              <w:rPr>
                <w:rFonts w:hint="eastAsia" w:ascii="楷体" w:hAnsi="楷体" w:eastAsia="楷体" w:cs="宋体"/>
                <w:b/>
                <w:bCs/>
                <w:spacing w:val="-2"/>
                <w:szCs w:val="21"/>
                <w:highlight w:val="none"/>
                <w:u w:val="single"/>
              </w:rPr>
              <w:t>限额为</w:t>
            </w:r>
            <w:r>
              <w:rPr>
                <w:rFonts w:ascii="楷体" w:hAnsi="楷体" w:eastAsia="楷体" w:cs="宋体"/>
                <w:b/>
                <w:bCs/>
                <w:spacing w:val="-2"/>
                <w:szCs w:val="21"/>
                <w:highlight w:val="none"/>
                <w:u w:val="single"/>
              </w:rPr>
              <w:t>1万元</w:t>
            </w:r>
            <w:r>
              <w:rPr>
                <w:rFonts w:hint="eastAsia" w:ascii="楷体" w:hAnsi="楷体" w:eastAsia="楷体" w:cs="宋体"/>
                <w:b/>
                <w:bCs/>
                <w:spacing w:val="-2"/>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vAlign w:val="center"/>
          </w:tcPr>
          <w:p>
            <w:pPr>
              <w:pStyle w:val="37"/>
              <w:kinsoku w:val="0"/>
              <w:overflowPunct w:val="0"/>
              <w:spacing w:before="18"/>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暂缓赎回</w:t>
            </w:r>
          </w:p>
        </w:tc>
        <w:tc>
          <w:tcPr>
            <w:tcW w:w="6794" w:type="dxa"/>
            <w:vAlign w:val="center"/>
          </w:tcPr>
          <w:p>
            <w:pPr>
              <w:ind w:left="42" w:leftChars="20" w:right="115" w:rightChars="55"/>
              <w:rPr>
                <w:rFonts w:ascii="楷体" w:hAnsi="楷体" w:eastAsia="楷体" w:cs="宋体"/>
                <w:b/>
                <w:bCs/>
                <w:spacing w:val="-2"/>
                <w:szCs w:val="21"/>
                <w:highlight w:val="none"/>
                <w:u w:val="single"/>
              </w:rPr>
            </w:pPr>
            <w:r>
              <w:rPr>
                <w:rFonts w:hint="eastAsia" w:ascii="楷体" w:hAnsi="楷体" w:eastAsia="楷体" w:cs="宋体"/>
                <w:b/>
                <w:bCs/>
                <w:spacing w:val="-2"/>
                <w:szCs w:val="21"/>
                <w:highlight w:val="none"/>
                <w:u w:val="single"/>
              </w:rPr>
              <w:t>单个产品投资者在单个开放日申请赎回份额超过本理财产品总份额10%的，管理人可以采取延期办理部分赎回申请或者延缓支付赎回款项的措施。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2390" w:type="dxa"/>
            <w:vAlign w:val="center"/>
          </w:tcPr>
          <w:p>
            <w:pPr>
              <w:pStyle w:val="37"/>
              <w:kinsoku w:val="0"/>
              <w:overflowPunct w:val="0"/>
              <w:spacing w:before="18"/>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巨额赎回</w:t>
            </w:r>
          </w:p>
        </w:tc>
        <w:tc>
          <w:tcPr>
            <w:tcW w:w="6794" w:type="dxa"/>
            <w:vAlign w:val="center"/>
          </w:tcPr>
          <w:p>
            <w:pPr>
              <w:ind w:left="42" w:leftChars="20" w:right="115" w:rightChars="55"/>
              <w:rPr>
                <w:rFonts w:ascii="楷体" w:hAnsi="楷体" w:eastAsia="楷体" w:cs="宋体"/>
                <w:spacing w:val="-2"/>
                <w:szCs w:val="21"/>
                <w:highlight w:val="none"/>
              </w:rPr>
            </w:pPr>
            <w:r>
              <w:rPr>
                <w:rFonts w:hint="eastAsia" w:ascii="楷体" w:hAnsi="楷体" w:eastAsia="楷体" w:cs="宋体"/>
                <w:spacing w:val="-2"/>
                <w:szCs w:val="21"/>
                <w:highlight w:val="none"/>
              </w:rPr>
              <w:t>本产品每个开放日投资者净赎回额（赎回申请份额总数扣除申购申请份额总数）超过本产品上一工作日日终份额10%时，即为发生巨额赎回。产品管理人可以根据本产品当时的资产组合状况决定采取全额赎回、部分赎回、</w:t>
            </w:r>
            <w:r>
              <w:rPr>
                <w:rFonts w:ascii="楷体" w:hAnsi="楷体" w:eastAsia="楷体" w:cs="宋体"/>
                <w:spacing w:val="-2"/>
                <w:szCs w:val="21"/>
                <w:highlight w:val="none"/>
              </w:rPr>
              <w:t>延期</w:t>
            </w:r>
            <w:r>
              <w:rPr>
                <w:rFonts w:hint="eastAsia" w:ascii="楷体" w:hAnsi="楷体" w:eastAsia="楷体" w:cs="宋体"/>
                <w:spacing w:val="-2"/>
                <w:szCs w:val="21"/>
                <w:highlight w:val="none"/>
              </w:rPr>
              <w:t>办理</w:t>
            </w:r>
            <w:r>
              <w:rPr>
                <w:rFonts w:ascii="楷体" w:hAnsi="楷体" w:eastAsia="楷体" w:cs="宋体"/>
                <w:spacing w:val="-2"/>
                <w:szCs w:val="21"/>
                <w:highlight w:val="none"/>
              </w:rPr>
              <w:t>巨额赎回</w:t>
            </w:r>
            <w:r>
              <w:rPr>
                <w:rFonts w:hint="eastAsia" w:ascii="楷体" w:hAnsi="楷体" w:eastAsia="楷体" w:cs="宋体"/>
                <w:spacing w:val="-2"/>
                <w:szCs w:val="21"/>
                <w:highlight w:val="none"/>
              </w:rPr>
              <w:t>等</w:t>
            </w:r>
            <w:r>
              <w:rPr>
                <w:rFonts w:ascii="楷体" w:hAnsi="楷体" w:eastAsia="楷体" w:cs="宋体"/>
                <w:spacing w:val="-2"/>
                <w:szCs w:val="21"/>
                <w:highlight w:val="none"/>
              </w:rPr>
              <w:t>措施</w:t>
            </w:r>
            <w:r>
              <w:rPr>
                <w:rFonts w:hint="eastAsia" w:ascii="楷体" w:hAnsi="楷体" w:eastAsia="楷体" w:cs="宋体"/>
                <w:spacing w:val="-2"/>
                <w:szCs w:val="21"/>
                <w:highlight w:val="none"/>
              </w:rPr>
              <w:t>，产品管理人将在采取</w:t>
            </w:r>
            <w:r>
              <w:rPr>
                <w:rFonts w:ascii="楷体" w:hAnsi="楷体" w:eastAsia="楷体" w:cs="宋体"/>
                <w:spacing w:val="-2"/>
                <w:szCs w:val="21"/>
                <w:highlight w:val="none"/>
              </w:rPr>
              <w:t>相关</w:t>
            </w:r>
            <w:r>
              <w:rPr>
                <w:rFonts w:hint="eastAsia" w:ascii="楷体" w:hAnsi="楷体" w:eastAsia="楷体" w:cs="宋体"/>
                <w:spacing w:val="-2"/>
                <w:szCs w:val="21"/>
                <w:highlight w:val="none"/>
              </w:rPr>
              <w:t>措施后3个工作日内进行信息披露。</w:t>
            </w:r>
          </w:p>
          <w:p>
            <w:pPr>
              <w:ind w:left="42" w:leftChars="20" w:right="115" w:rightChars="55"/>
              <w:rPr>
                <w:rFonts w:ascii="楷体" w:hAnsi="楷体" w:eastAsia="楷体" w:cs="宋体"/>
                <w:b/>
                <w:spacing w:val="-2"/>
                <w:szCs w:val="21"/>
                <w:highlight w:val="none"/>
                <w:u w:val="single"/>
              </w:rPr>
            </w:pPr>
            <w:r>
              <w:rPr>
                <w:rFonts w:hint="eastAsia" w:ascii="楷体" w:hAnsi="楷体" w:eastAsia="楷体" w:cs="宋体"/>
                <w:b/>
                <w:spacing w:val="-2"/>
                <w:szCs w:val="21"/>
                <w:highlight w:val="none"/>
                <w:u w:val="single"/>
              </w:rPr>
              <w:t>1.全额赎回：当产品管理人有能力兑付投资者的全部赎回申请时，将在申请确认日按投资者申请赎回份额执行正常赎回程序。</w:t>
            </w:r>
          </w:p>
          <w:p>
            <w:pPr>
              <w:ind w:left="42" w:leftChars="20" w:right="115" w:rightChars="55"/>
              <w:rPr>
                <w:rFonts w:ascii="楷体" w:hAnsi="楷体" w:eastAsia="楷体" w:cs="宋体"/>
                <w:b/>
                <w:spacing w:val="-2"/>
                <w:szCs w:val="21"/>
                <w:highlight w:val="none"/>
                <w:u w:val="single"/>
              </w:rPr>
            </w:pPr>
            <w:r>
              <w:rPr>
                <w:rFonts w:hint="eastAsia" w:ascii="楷体" w:hAnsi="楷体" w:eastAsia="楷体" w:cs="宋体"/>
                <w:b/>
                <w:spacing w:val="-2"/>
                <w:szCs w:val="21"/>
                <w:highlight w:val="none"/>
                <w:u w:val="single"/>
              </w:rPr>
              <w:t>2.部分赎回</w:t>
            </w:r>
            <w:r>
              <w:rPr>
                <w:rFonts w:ascii="楷体" w:hAnsi="楷体" w:eastAsia="楷体" w:cs="宋体"/>
                <w:b/>
                <w:spacing w:val="-2"/>
                <w:szCs w:val="21"/>
                <w:highlight w:val="none"/>
                <w:u w:val="single"/>
              </w:rPr>
              <w:t>：</w:t>
            </w:r>
            <w:r>
              <w:rPr>
                <w:rFonts w:hint="eastAsia" w:ascii="楷体" w:hAnsi="楷体" w:eastAsia="楷体" w:cs="宋体"/>
                <w:b/>
                <w:spacing w:val="-2"/>
                <w:szCs w:val="21"/>
                <w:highlight w:val="none"/>
                <w:u w:val="single"/>
              </w:rPr>
              <w:t>当产品管理人认为兑付投资者的赎回申请可能会对产品的资产净值造成较大波动时，当日办理的赎回份额不得低于前一日终理财产品总份额的10%，对其余赎回申请管理人有权暂停接受或延期办理。若管理人对该部分赎回申请选择延期办理，则管理人有权对赎回开放日内所有投资者的赎回申请，按照单个投资者当日申请赎回份额占当日申请赎回总份额的比例，确定该份额持有人当日办理的赎回份</w:t>
            </w:r>
            <w:r>
              <w:rPr>
                <w:rFonts w:hint="eastAsia" w:ascii="楷体" w:hAnsi="楷体" w:eastAsia="楷体" w:cs="宋体"/>
                <w:b/>
                <w:spacing w:val="-2"/>
                <w:szCs w:val="21"/>
                <w:highlight w:val="none"/>
                <w:u w:val="single"/>
                <w:lang w:val="en-US" w:eastAsia="zh-CN"/>
              </w:rPr>
              <w:t>额</w:t>
            </w:r>
            <w:r>
              <w:rPr>
                <w:rFonts w:hint="eastAsia" w:ascii="楷体" w:hAnsi="楷体" w:eastAsia="楷体" w:cs="宋体"/>
                <w:b/>
                <w:spacing w:val="-2"/>
                <w:szCs w:val="21"/>
                <w:highlight w:val="none"/>
                <w:u w:val="single"/>
              </w:rPr>
              <w:t>（示例：客户当日申请赎回份额5万份，当日全部赎回申请1亿份，假设前一日存续份额5亿份，发生巨额赎回，管理人当日办理的赎回份额5000万份，则客户当日确认办理的份额为5/10000*5000=2.5万份）。</w:t>
            </w:r>
          </w:p>
          <w:p>
            <w:pPr>
              <w:ind w:left="42" w:leftChars="20" w:right="115" w:rightChars="55"/>
              <w:rPr>
                <w:rFonts w:ascii="楷体" w:hAnsi="楷体" w:eastAsia="楷体" w:cs="宋体"/>
                <w:b/>
                <w:spacing w:val="-2"/>
                <w:szCs w:val="21"/>
                <w:highlight w:val="none"/>
                <w:u w:val="single"/>
              </w:rPr>
            </w:pPr>
            <w:r>
              <w:rPr>
                <w:rFonts w:hint="eastAsia" w:ascii="楷体" w:hAnsi="楷体" w:eastAsia="楷体" w:cs="宋体"/>
                <w:b/>
                <w:spacing w:val="-2"/>
                <w:szCs w:val="21"/>
                <w:highlight w:val="none"/>
                <w:u w:val="single"/>
              </w:rPr>
              <w:t>3.对于该开放日内净赎回额超过本产品上一工作日日终份额10%时，管理</w:t>
            </w:r>
          </w:p>
          <w:p>
            <w:pPr>
              <w:ind w:left="42" w:leftChars="20" w:right="115" w:rightChars="55"/>
              <w:rPr>
                <w:rFonts w:ascii="楷体" w:hAnsi="楷体" w:eastAsia="楷体" w:cs="宋体"/>
                <w:b/>
                <w:spacing w:val="-2"/>
                <w:szCs w:val="21"/>
                <w:highlight w:val="none"/>
                <w:u w:val="single"/>
              </w:rPr>
            </w:pPr>
            <w:r>
              <w:rPr>
                <w:rFonts w:hint="eastAsia" w:ascii="楷体" w:hAnsi="楷体" w:eastAsia="楷体" w:cs="宋体"/>
                <w:b/>
                <w:spacing w:val="-2"/>
                <w:szCs w:val="21"/>
                <w:highlight w:val="none"/>
                <w:u w:val="single"/>
              </w:rPr>
              <w:t>人有权拒绝超过10%以上部分的赎回申请。未确认受理的赎回申请份额，投资者</w:t>
            </w:r>
            <w:r>
              <w:rPr>
                <w:rFonts w:ascii="楷体" w:hAnsi="楷体" w:eastAsia="楷体" w:cs="宋体"/>
                <w:b/>
                <w:spacing w:val="-2"/>
                <w:szCs w:val="21"/>
                <w:highlight w:val="none"/>
                <w:u w:val="single"/>
              </w:rPr>
              <w:t>可</w:t>
            </w:r>
            <w:r>
              <w:rPr>
                <w:rFonts w:hint="eastAsia" w:ascii="楷体" w:hAnsi="楷体" w:eastAsia="楷体" w:cs="宋体"/>
                <w:b/>
                <w:spacing w:val="-2"/>
                <w:szCs w:val="21"/>
                <w:highlight w:val="none"/>
                <w:u w:val="single"/>
              </w:rPr>
              <w:t>选择将当日未获受理部分予以撤销（巨额赎回处理方式具体以销售机构展示为准），未选择撤销的赎回申请，产品</w:t>
            </w:r>
            <w:r>
              <w:rPr>
                <w:rFonts w:ascii="楷体" w:hAnsi="楷体" w:eastAsia="楷体" w:cs="宋体"/>
                <w:b/>
                <w:spacing w:val="-2"/>
                <w:szCs w:val="21"/>
                <w:highlight w:val="none"/>
                <w:u w:val="single"/>
              </w:rPr>
              <w:t>管理人可以</w:t>
            </w:r>
            <w:r>
              <w:rPr>
                <w:rFonts w:hint="eastAsia" w:ascii="楷体" w:hAnsi="楷体" w:eastAsia="楷体" w:cs="宋体"/>
                <w:b/>
                <w:spacing w:val="-2"/>
                <w:szCs w:val="21"/>
                <w:highlight w:val="none"/>
                <w:u w:val="single"/>
              </w:rPr>
              <w:t>延迟至下一开放日处理，转入下一开放日的赎回申请不享有优先确认权。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2390" w:type="dxa"/>
            <w:vAlign w:val="center"/>
          </w:tcPr>
          <w:p>
            <w:pPr>
              <w:pStyle w:val="37"/>
              <w:kinsoku w:val="0"/>
              <w:overflowPunct w:val="0"/>
              <w:spacing w:before="18"/>
              <w:ind w:left="55"/>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连续巨额赎回</w:t>
            </w:r>
          </w:p>
        </w:tc>
        <w:tc>
          <w:tcPr>
            <w:tcW w:w="6794" w:type="dxa"/>
            <w:vAlign w:val="center"/>
          </w:tcPr>
          <w:p>
            <w:pPr>
              <w:ind w:left="42" w:leftChars="20" w:right="115" w:rightChars="55"/>
              <w:rPr>
                <w:rFonts w:ascii="楷体" w:hAnsi="楷体" w:eastAsia="楷体" w:cs="宋体"/>
                <w:b/>
                <w:spacing w:val="-2"/>
                <w:szCs w:val="21"/>
                <w:highlight w:val="none"/>
                <w:u w:val="single"/>
              </w:rPr>
            </w:pPr>
            <w:r>
              <w:rPr>
                <w:rFonts w:hint="eastAsia" w:ascii="楷体" w:hAnsi="楷体" w:eastAsia="楷体" w:cs="宋体"/>
                <w:spacing w:val="-2"/>
                <w:kern w:val="0"/>
                <w:szCs w:val="21"/>
                <w:highlight w:val="none"/>
              </w:rPr>
              <w:t>连续2个以上开放日发生巨额赎回的，对于已经接受的赎回申请，可以延缓支付赎回款项，但延缓期限不得超过20个工作日。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2390" w:type="dxa"/>
            <w:vAlign w:val="center"/>
          </w:tcPr>
          <w:p>
            <w:pPr>
              <w:pStyle w:val="37"/>
              <w:kinsoku w:val="0"/>
              <w:overflowPunct w:val="0"/>
              <w:spacing w:before="12"/>
              <w:ind w:left="85" w:right="65" w:rightChars="31"/>
              <w:rPr>
                <w:rFonts w:ascii="楷体" w:hAnsi="楷体" w:eastAsia="楷体" w:cs="宋体"/>
                <w:spacing w:val="-2"/>
                <w:sz w:val="21"/>
                <w:szCs w:val="21"/>
                <w:highlight w:val="none"/>
              </w:rPr>
            </w:pPr>
            <w:r>
              <w:rPr>
                <w:rFonts w:hint="eastAsia" w:ascii="楷体" w:hAnsi="楷体" w:eastAsia="楷体" w:cs="宋体"/>
                <w:b/>
                <w:spacing w:val="-2"/>
                <w:sz w:val="21"/>
                <w:szCs w:val="21"/>
                <w:highlight w:val="none"/>
              </w:rPr>
              <w:t>赎回资金的清算</w:t>
            </w:r>
          </w:p>
        </w:tc>
        <w:tc>
          <w:tcPr>
            <w:tcW w:w="6794" w:type="dxa"/>
            <w:vAlign w:val="center"/>
          </w:tcPr>
          <w:p>
            <w:pPr>
              <w:ind w:left="42" w:leftChars="20" w:right="115" w:rightChars="55"/>
              <w:jc w:val="left"/>
              <w:rPr>
                <w:rFonts w:ascii="楷体" w:hAnsi="楷体" w:eastAsia="楷体" w:cs="宋体"/>
                <w:spacing w:val="-2"/>
                <w:kern w:val="0"/>
                <w:szCs w:val="21"/>
                <w:highlight w:val="none"/>
              </w:rPr>
            </w:pPr>
            <w:r>
              <w:rPr>
                <w:rFonts w:hint="eastAsia" w:ascii="楷体" w:hAnsi="楷体" w:eastAsia="楷体" w:cs="宋体"/>
                <w:spacing w:val="-2"/>
                <w:szCs w:val="21"/>
                <w:highlight w:val="none"/>
              </w:rPr>
              <w:t>未触发巨额赎回条款情形下，投资者赎回资金将在赎回申请确认日后</w:t>
            </w:r>
            <w:r>
              <w:rPr>
                <w:rFonts w:ascii="楷体" w:hAnsi="楷体" w:eastAsia="楷体" w:cs="宋体"/>
                <w:spacing w:val="-2"/>
                <w:szCs w:val="21"/>
                <w:highlight w:val="none"/>
              </w:rPr>
              <w:t>4</w:t>
            </w:r>
            <w:r>
              <w:rPr>
                <w:rFonts w:hint="eastAsia" w:ascii="楷体" w:hAnsi="楷体" w:eastAsia="楷体" w:cs="宋体"/>
                <w:spacing w:val="-2"/>
                <w:szCs w:val="21"/>
                <w:highlight w:val="none"/>
              </w:rPr>
              <w:t>个工作日内到达投资者资金账户。在途期间投资者赎回资金不计息。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2390" w:type="dxa"/>
            <w:vAlign w:val="center"/>
          </w:tcPr>
          <w:p>
            <w:pPr>
              <w:pStyle w:val="37"/>
              <w:kinsoku w:val="0"/>
              <w:overflowPunct w:val="0"/>
              <w:spacing w:before="12"/>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业绩比较基准（年化）</w:t>
            </w:r>
          </w:p>
        </w:tc>
        <w:tc>
          <w:tcPr>
            <w:tcW w:w="6794" w:type="dxa"/>
            <w:vAlign w:val="center"/>
          </w:tcPr>
          <w:p>
            <w:pPr>
              <w:pStyle w:val="37"/>
              <w:spacing w:before="37" w:line="273" w:lineRule="auto"/>
              <w:ind w:left="42" w:leftChars="20" w:right="115" w:rightChars="55"/>
              <w:rPr>
                <w:rFonts w:ascii="楷体" w:hAnsi="楷体" w:eastAsia="楷体" w:cs="宋体"/>
                <w:spacing w:val="-2"/>
                <w:sz w:val="21"/>
                <w:szCs w:val="21"/>
                <w:highlight w:val="none"/>
              </w:rPr>
            </w:pPr>
            <w:r>
              <w:rPr>
                <w:rFonts w:hint="eastAsia" w:ascii="楷体" w:hAnsi="楷体" w:eastAsia="楷体" w:cs="宋体"/>
                <w:spacing w:val="-2"/>
                <w:sz w:val="21"/>
                <w:szCs w:val="21"/>
                <w:highlight w:val="none"/>
                <w:lang w:val="en-US" w:eastAsia="zh-CN"/>
              </w:rPr>
              <w:t>中国人民银行公布的</w:t>
            </w:r>
            <w:r>
              <w:rPr>
                <w:rFonts w:hint="eastAsia" w:ascii="楷体" w:hAnsi="楷体" w:eastAsia="楷体" w:cs="宋体"/>
                <w:spacing w:val="-2"/>
                <w:sz w:val="21"/>
                <w:szCs w:val="21"/>
                <w:highlight w:val="none"/>
              </w:rPr>
              <w:t>7天通知存款利率（管理人</w:t>
            </w:r>
            <w:r>
              <w:rPr>
                <w:rFonts w:ascii="楷体" w:hAnsi="楷体" w:eastAsia="楷体" w:cs="宋体"/>
                <w:spacing w:val="-2"/>
                <w:sz w:val="21"/>
                <w:szCs w:val="21"/>
                <w:highlight w:val="none"/>
              </w:rPr>
              <w:t>参考过往投资经验，依据近期货币市场工具、债券等资产</w:t>
            </w:r>
            <w:r>
              <w:rPr>
                <w:rFonts w:hint="eastAsia" w:ascii="楷体" w:hAnsi="楷体" w:eastAsia="楷体" w:cs="宋体"/>
                <w:spacing w:val="-2"/>
                <w:sz w:val="21"/>
                <w:szCs w:val="21"/>
                <w:highlight w:val="none"/>
              </w:rPr>
              <w:t>投资</w:t>
            </w:r>
            <w:r>
              <w:rPr>
                <w:rFonts w:ascii="楷体" w:hAnsi="楷体" w:eastAsia="楷体" w:cs="宋体"/>
                <w:spacing w:val="-2"/>
                <w:sz w:val="21"/>
                <w:szCs w:val="21"/>
                <w:highlight w:val="none"/>
              </w:rPr>
              <w:t>收益水平，在产品说明书约定的投资范围和投资比例内模拟测算得出</w:t>
            </w:r>
            <w:r>
              <w:rPr>
                <w:rFonts w:hint="eastAsia" w:ascii="楷体" w:hAnsi="楷体" w:eastAsia="楷体" w:cs="宋体"/>
                <w:spacing w:val="-2"/>
                <w:sz w:val="21"/>
                <w:szCs w:val="21"/>
                <w:highlight w:val="none"/>
              </w:rPr>
              <w:t>）。</w:t>
            </w:r>
          </w:p>
          <w:p>
            <w:pPr>
              <w:ind w:left="42" w:leftChars="20" w:right="115" w:rightChars="55"/>
              <w:rPr>
                <w:rFonts w:ascii="楷体" w:hAnsi="楷体" w:eastAsia="楷体" w:cs="宋体"/>
                <w:b/>
                <w:spacing w:val="-2"/>
                <w:kern w:val="0"/>
                <w:szCs w:val="21"/>
                <w:highlight w:val="none"/>
                <w:u w:val="single"/>
              </w:rPr>
            </w:pPr>
            <w:r>
              <w:rPr>
                <w:rFonts w:hint="eastAsia" w:ascii="楷体" w:hAnsi="楷体" w:eastAsia="楷体" w:cs="宋体"/>
                <w:b/>
                <w:spacing w:val="-2"/>
                <w:szCs w:val="21"/>
                <w:highlight w:val="none"/>
                <w:u w:val="single"/>
              </w:rPr>
              <w:t>本产品为净值型产品，业绩表现将随市场波动，具有不确定性。业绩比较基准为管理人对本产品所设定的投资目标，不代表理财产品未来表现，不等于理财产品实际收益，不构成管理人对产品实际投资收益率的承诺或担保，投资者的实际收益由产品净值表现决定。产品存续期内管理人有权根据市场情况调整业绩比较基准，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vAlign w:val="center"/>
          </w:tcPr>
          <w:p>
            <w:pPr>
              <w:pStyle w:val="37"/>
              <w:kinsoku w:val="0"/>
              <w:overflowPunct w:val="0"/>
              <w:spacing w:before="18"/>
              <w:ind w:left="83" w:right="65" w:rightChars="31"/>
              <w:jc w:val="both"/>
              <w:rPr>
                <w:rFonts w:ascii="楷体" w:hAnsi="楷体" w:eastAsia="楷体" w:cs="宋体"/>
                <w:spacing w:val="-2"/>
                <w:sz w:val="21"/>
                <w:szCs w:val="21"/>
                <w:highlight w:val="none"/>
              </w:rPr>
            </w:pPr>
            <w:r>
              <w:rPr>
                <w:rFonts w:hint="eastAsia" w:ascii="楷体" w:hAnsi="楷体" w:eastAsia="楷体" w:cs="宋体"/>
                <w:b/>
                <w:spacing w:val="-2"/>
                <w:sz w:val="21"/>
                <w:szCs w:val="21"/>
                <w:highlight w:val="none"/>
              </w:rPr>
              <w:t>产品费用</w:t>
            </w:r>
          </w:p>
        </w:tc>
        <w:tc>
          <w:tcPr>
            <w:tcW w:w="6794" w:type="dxa"/>
            <w:vAlign w:val="center"/>
          </w:tcPr>
          <w:p>
            <w:pPr>
              <w:ind w:left="42" w:leftChars="20" w:right="115" w:rightChars="55"/>
              <w:rPr>
                <w:rFonts w:ascii="楷体" w:hAnsi="楷体" w:eastAsia="楷体" w:cs="宋体"/>
                <w:spacing w:val="-2"/>
                <w:szCs w:val="21"/>
                <w:highlight w:val="none"/>
              </w:rPr>
            </w:pPr>
            <w:r>
              <w:rPr>
                <w:rFonts w:hint="eastAsia" w:ascii="楷体" w:hAnsi="楷体" w:eastAsia="楷体" w:cs="宋体"/>
                <w:spacing w:val="-2"/>
                <w:szCs w:val="21"/>
                <w:highlight w:val="none"/>
              </w:rPr>
              <w:t>本产品费用包括托管费、销售服务费、投资管理费以及产品运作和清算中产生的其他费用等。</w:t>
            </w:r>
          </w:p>
          <w:p>
            <w:pPr>
              <w:ind w:left="42" w:leftChars="20" w:right="115" w:rightChars="55"/>
              <w:rPr>
                <w:rFonts w:ascii="楷体" w:hAnsi="楷体" w:eastAsia="楷体" w:cs="宋体"/>
                <w:spacing w:val="-2"/>
                <w:szCs w:val="21"/>
                <w:highlight w:val="none"/>
              </w:rPr>
            </w:pPr>
            <w:r>
              <w:rPr>
                <w:rFonts w:hint="eastAsia" w:ascii="楷体" w:hAnsi="楷体" w:eastAsia="楷体" w:cs="宋体"/>
                <w:spacing w:val="-2"/>
                <w:szCs w:val="21"/>
                <w:highlight w:val="none"/>
              </w:rPr>
              <w:t>1．托管费率：0.</w:t>
            </w:r>
            <w:r>
              <w:rPr>
                <w:rFonts w:ascii="楷体" w:hAnsi="楷体" w:eastAsia="楷体" w:cs="宋体"/>
                <w:spacing w:val="-2"/>
                <w:szCs w:val="21"/>
                <w:highlight w:val="none"/>
              </w:rPr>
              <w:t>0</w:t>
            </w:r>
            <w:r>
              <w:rPr>
                <w:rFonts w:hint="eastAsia" w:ascii="楷体" w:hAnsi="楷体" w:eastAsia="楷体" w:cs="宋体"/>
                <w:spacing w:val="-2"/>
                <w:szCs w:val="21"/>
                <w:highlight w:val="none"/>
              </w:rPr>
              <w:t>2%/年；</w:t>
            </w:r>
          </w:p>
          <w:p>
            <w:pPr>
              <w:ind w:left="42" w:leftChars="20" w:right="115" w:rightChars="55"/>
              <w:rPr>
                <w:rFonts w:hint="eastAsia" w:ascii="楷体" w:hAnsi="楷体" w:eastAsia="楷体" w:cs="宋体"/>
                <w:spacing w:val="-2"/>
                <w:szCs w:val="21"/>
                <w:highlight w:val="none"/>
                <w:lang w:eastAsia="zh-CN"/>
              </w:rPr>
            </w:pPr>
            <w:r>
              <w:rPr>
                <w:rFonts w:hint="eastAsia" w:ascii="楷体" w:hAnsi="楷体" w:eastAsia="楷体" w:cs="宋体"/>
                <w:spacing w:val="-2"/>
                <w:szCs w:val="21"/>
                <w:highlight w:val="none"/>
              </w:rPr>
              <w:t>2．销售服务费率：0.</w:t>
            </w:r>
            <w:r>
              <w:rPr>
                <w:rFonts w:hint="eastAsia" w:ascii="楷体" w:hAnsi="楷体" w:eastAsia="楷体" w:cs="宋体"/>
                <w:spacing w:val="-2"/>
                <w:szCs w:val="21"/>
                <w:highlight w:val="none"/>
                <w:lang w:val="en-US" w:eastAsia="zh-CN"/>
              </w:rPr>
              <w:t>4</w:t>
            </w:r>
            <w:r>
              <w:rPr>
                <w:rFonts w:ascii="楷体" w:hAnsi="楷体" w:eastAsia="楷体" w:cs="宋体"/>
                <w:spacing w:val="-2"/>
                <w:szCs w:val="21"/>
                <w:highlight w:val="none"/>
              </w:rPr>
              <w:t>0%/</w:t>
            </w:r>
            <w:r>
              <w:rPr>
                <w:rFonts w:hint="eastAsia" w:ascii="楷体" w:hAnsi="楷体" w:eastAsia="楷体" w:cs="宋体"/>
                <w:spacing w:val="-2"/>
                <w:szCs w:val="21"/>
                <w:highlight w:val="none"/>
              </w:rPr>
              <w:t>年；</w:t>
            </w:r>
          </w:p>
          <w:p>
            <w:pPr>
              <w:ind w:left="42" w:leftChars="20" w:right="115" w:rightChars="55"/>
              <w:rPr>
                <w:rFonts w:ascii="楷体" w:hAnsi="楷体" w:eastAsia="楷体" w:cs="宋体"/>
                <w:spacing w:val="-2"/>
                <w:szCs w:val="21"/>
                <w:highlight w:val="none"/>
              </w:rPr>
            </w:pPr>
            <w:r>
              <w:rPr>
                <w:rFonts w:hint="eastAsia" w:ascii="楷体" w:hAnsi="楷体" w:eastAsia="楷体" w:cs="宋体"/>
                <w:spacing w:val="-2"/>
                <w:szCs w:val="21"/>
                <w:highlight w:val="none"/>
              </w:rPr>
              <w:t>3．投资管理费</w:t>
            </w:r>
            <w:r>
              <w:rPr>
                <w:rFonts w:hint="eastAsia" w:ascii="楷体" w:hAnsi="楷体" w:eastAsia="楷体" w:cs="宋体"/>
                <w:spacing w:val="-2"/>
                <w:szCs w:val="21"/>
                <w:highlight w:val="none"/>
                <w:lang w:val="en-US" w:eastAsia="zh-CN"/>
              </w:rPr>
              <w:t>率</w:t>
            </w:r>
            <w:r>
              <w:rPr>
                <w:rFonts w:hint="eastAsia" w:ascii="楷体" w:hAnsi="楷体" w:eastAsia="楷体" w:cs="宋体"/>
                <w:spacing w:val="-2"/>
                <w:szCs w:val="21"/>
                <w:highlight w:val="none"/>
              </w:rPr>
              <w:t>：0.</w:t>
            </w:r>
            <w:r>
              <w:rPr>
                <w:rFonts w:ascii="楷体" w:hAnsi="楷体" w:eastAsia="楷体" w:cs="宋体"/>
                <w:spacing w:val="-2"/>
                <w:szCs w:val="21"/>
                <w:highlight w:val="none"/>
              </w:rPr>
              <w:t>50</w:t>
            </w:r>
            <w:r>
              <w:rPr>
                <w:rFonts w:hint="eastAsia" w:ascii="楷体" w:hAnsi="楷体" w:eastAsia="楷体" w:cs="宋体"/>
                <w:spacing w:val="-2"/>
                <w:szCs w:val="21"/>
                <w:highlight w:val="none"/>
              </w:rPr>
              <w:t>%/年；</w:t>
            </w:r>
          </w:p>
          <w:p>
            <w:pPr>
              <w:ind w:left="42" w:leftChars="20" w:right="115" w:rightChars="55"/>
              <w:rPr>
                <w:rFonts w:ascii="楷体" w:hAnsi="楷体" w:eastAsia="楷体" w:cs="宋体"/>
                <w:spacing w:val="-2"/>
                <w:szCs w:val="21"/>
                <w:highlight w:val="none"/>
              </w:rPr>
            </w:pPr>
            <w:r>
              <w:rPr>
                <w:rFonts w:hint="eastAsia" w:ascii="楷体" w:hAnsi="楷体" w:eastAsia="楷体" w:cs="宋体"/>
                <w:b/>
                <w:spacing w:val="-2"/>
                <w:szCs w:val="21"/>
                <w:highlight w:val="none"/>
                <w:u w:val="single"/>
              </w:rPr>
              <w:t>4</w:t>
            </w:r>
            <w:r>
              <w:rPr>
                <w:rFonts w:ascii="楷体" w:hAnsi="楷体" w:eastAsia="楷体" w:cs="宋体"/>
                <w:b/>
                <w:spacing w:val="-2"/>
                <w:szCs w:val="21"/>
                <w:highlight w:val="none"/>
                <w:u w:val="single"/>
              </w:rPr>
              <w:t>.强制赎回费</w:t>
            </w:r>
            <w:r>
              <w:rPr>
                <w:rFonts w:hint="eastAsia" w:ascii="楷体" w:hAnsi="楷体" w:eastAsia="楷体" w:cs="宋体"/>
                <w:spacing w:val="-2"/>
                <w:szCs w:val="21"/>
                <w:highlight w:val="none"/>
              </w:rPr>
              <w:t>：</w:t>
            </w:r>
          </w:p>
          <w:p>
            <w:pPr>
              <w:ind w:left="42" w:leftChars="20" w:right="115" w:rightChars="55"/>
              <w:rPr>
                <w:rFonts w:ascii="楷体" w:hAnsi="楷体" w:eastAsia="楷体" w:cs="宋体"/>
                <w:spacing w:val="-2"/>
                <w:szCs w:val="21"/>
                <w:highlight w:val="none"/>
              </w:rPr>
            </w:pPr>
            <w:r>
              <w:rPr>
                <w:rFonts w:hint="eastAsia" w:ascii="楷体" w:hAnsi="楷体" w:eastAsia="楷体" w:cs="宋体"/>
                <w:spacing w:val="-2"/>
                <w:szCs w:val="21"/>
                <w:highlight w:val="none"/>
              </w:rPr>
              <w:t>（1）</w:t>
            </w:r>
            <w:r>
              <w:rPr>
                <w:rFonts w:hint="eastAsia" w:ascii="楷体" w:hAnsi="楷体" w:eastAsia="楷体" w:cs="宋体"/>
                <w:b/>
                <w:spacing w:val="-2"/>
                <w:szCs w:val="21"/>
                <w:highlight w:val="none"/>
                <w:u w:val="single"/>
              </w:rPr>
              <w:t>在满足相关流动性风险管理要求的前提下，当本产品持有的现金、国债、中央银行票据、政策性金融债券以及</w:t>
            </w:r>
            <w:r>
              <w:rPr>
                <w:rFonts w:ascii="楷体" w:hAnsi="楷体" w:eastAsia="楷体" w:cs="宋体"/>
                <w:b/>
                <w:spacing w:val="-2"/>
                <w:szCs w:val="21"/>
                <w:highlight w:val="none"/>
                <w:u w:val="single"/>
              </w:rPr>
              <w:t>5个交易日内到期的其他金融工具占本产品资产净值的比例合计低于5%且偏离度为负时，管理人有权对当日单个投资者申请赎回份额超过本产品总份额1%以上的赎回申请征收1%的强制赎回费用，并将上述赎回费用全额计入本产品财产。</w:t>
            </w:r>
            <w:r>
              <w:rPr>
                <w:rFonts w:hint="eastAsia" w:ascii="楷体" w:hAnsi="楷体" w:eastAsia="楷体" w:cs="宋体"/>
                <w:spacing w:val="-2"/>
                <w:szCs w:val="21"/>
                <w:highlight w:val="none"/>
              </w:rPr>
              <w:t>管理人与托管人协商确认上述做法无益于本产品利益最大化的情形除外。</w:t>
            </w:r>
          </w:p>
          <w:p>
            <w:pPr>
              <w:ind w:left="42" w:leftChars="20" w:right="115" w:rightChars="55"/>
              <w:rPr>
                <w:rFonts w:ascii="楷体" w:hAnsi="楷体" w:eastAsia="楷体" w:cs="宋体"/>
                <w:spacing w:val="-2"/>
                <w:szCs w:val="21"/>
                <w:highlight w:val="none"/>
              </w:rPr>
            </w:pPr>
            <w:r>
              <w:rPr>
                <w:rFonts w:hint="eastAsia" w:ascii="楷体" w:hAnsi="楷体" w:eastAsia="楷体" w:cs="宋体"/>
                <w:spacing w:val="-2"/>
                <w:szCs w:val="21"/>
                <w:highlight w:val="none"/>
              </w:rPr>
              <w:t>（2）本产品前10名投资者的持有份额合计超过本产品总份额50%的，当投资组合中现金、国债、中央银行票据、政策性金融债券以及5个交易日内到期的其他金融工具占本产品资产净值的比例合计低于10%且偏离度为负时，</w:t>
            </w:r>
            <w:r>
              <w:rPr>
                <w:rFonts w:hint="eastAsia" w:ascii="楷体" w:hAnsi="楷体" w:eastAsia="楷体" w:cs="宋体"/>
                <w:b/>
                <w:spacing w:val="-2"/>
                <w:szCs w:val="21"/>
                <w:highlight w:val="none"/>
                <w:u w:val="single"/>
              </w:rPr>
              <w:t>管理人有权对投资者超过本产品总份额</w:t>
            </w:r>
            <w:r>
              <w:rPr>
                <w:rFonts w:ascii="楷体" w:hAnsi="楷体" w:eastAsia="楷体" w:cs="宋体"/>
                <w:b/>
                <w:spacing w:val="-2"/>
                <w:szCs w:val="21"/>
                <w:highlight w:val="none"/>
                <w:u w:val="single"/>
              </w:rPr>
              <w:t>1%以上的赎回申请征收1%的强制赎回费用。</w:t>
            </w:r>
          </w:p>
          <w:p>
            <w:pPr>
              <w:ind w:left="42" w:leftChars="20" w:right="115" w:rightChars="55"/>
              <w:rPr>
                <w:rFonts w:ascii="楷体" w:hAnsi="楷体" w:eastAsia="楷体" w:cs="宋体"/>
                <w:spacing w:val="-2"/>
                <w:szCs w:val="21"/>
                <w:highlight w:val="none"/>
              </w:rPr>
            </w:pPr>
            <w:r>
              <w:rPr>
                <w:rFonts w:hint="eastAsia" w:ascii="楷体" w:hAnsi="楷体" w:eastAsia="楷体" w:cs="宋体"/>
                <w:spacing w:val="-2"/>
                <w:szCs w:val="21"/>
                <w:highlight w:val="none"/>
              </w:rPr>
              <w:t>法律法规或监管机构另有规定的，从其规定。产品存续期内苏银理财可对产品费用进行调整，实际收取标准以管理人公告为准。详见下文“十一、产品费用”。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tcBorders>
              <w:bottom w:val="single" w:color="auto" w:sz="4" w:space="0"/>
            </w:tcBorders>
            <w:vAlign w:val="center"/>
          </w:tcPr>
          <w:p>
            <w:pPr>
              <w:pStyle w:val="37"/>
              <w:kinsoku w:val="0"/>
              <w:overflowPunct w:val="0"/>
              <w:spacing w:before="18"/>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估值日</w:t>
            </w:r>
          </w:p>
        </w:tc>
        <w:tc>
          <w:tcPr>
            <w:tcW w:w="6794" w:type="dxa"/>
            <w:tcBorders>
              <w:bottom w:val="single" w:color="auto" w:sz="4" w:space="0"/>
            </w:tcBorders>
            <w:vAlign w:val="center"/>
          </w:tcPr>
          <w:p>
            <w:pPr>
              <w:ind w:left="42" w:leftChars="20" w:right="115" w:rightChars="55"/>
              <w:rPr>
                <w:rFonts w:ascii="楷体" w:hAnsi="楷体" w:eastAsia="楷体" w:cs="宋体"/>
                <w:spacing w:val="-2"/>
                <w:szCs w:val="21"/>
                <w:highlight w:val="none"/>
              </w:rPr>
            </w:pPr>
            <w:r>
              <w:rPr>
                <w:rFonts w:hint="eastAsia" w:ascii="楷体" w:hAnsi="楷体" w:eastAsia="楷体" w:cs="宋体"/>
                <w:spacing w:val="-2"/>
                <w:szCs w:val="21"/>
                <w:highlight w:val="none"/>
              </w:rPr>
              <w:t>本理财产品存续期内，每个工作日为估值日。管理人于估值日后第一个工作日公布理财产品份额收益率。详见下文“十二、产品估值”。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tcBorders>
              <w:bottom w:val="single" w:color="auto" w:sz="4" w:space="0"/>
            </w:tcBorders>
            <w:vAlign w:val="center"/>
          </w:tcPr>
          <w:p>
            <w:pPr>
              <w:pStyle w:val="37"/>
              <w:kinsoku w:val="0"/>
              <w:overflowPunct w:val="0"/>
              <w:spacing w:before="18"/>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收益分配</w:t>
            </w:r>
          </w:p>
        </w:tc>
        <w:tc>
          <w:tcPr>
            <w:tcW w:w="6794" w:type="dxa"/>
            <w:tcBorders>
              <w:bottom w:val="single" w:color="auto" w:sz="4" w:space="0"/>
            </w:tcBorders>
            <w:vAlign w:val="center"/>
          </w:tcPr>
          <w:p>
            <w:pPr>
              <w:ind w:left="42" w:leftChars="20" w:right="115" w:rightChars="55"/>
              <w:rPr>
                <w:rFonts w:ascii="楷体" w:hAnsi="楷体" w:eastAsia="楷体" w:cs="宋体"/>
                <w:spacing w:val="-2"/>
                <w:szCs w:val="21"/>
                <w:highlight w:val="none"/>
              </w:rPr>
            </w:pPr>
            <w:r>
              <w:rPr>
                <w:rFonts w:hint="eastAsia" w:ascii="楷体" w:hAnsi="楷体" w:eastAsia="楷体" w:cs="宋体"/>
                <w:spacing w:val="-2"/>
                <w:szCs w:val="21"/>
                <w:highlight w:val="none"/>
              </w:rPr>
              <w:t>本理财产品根据每日收益情况，以理财计划实际收益（如有）为基准，每日为投资者计提当日理财收益，每日结转份额，投资者继续持有的红利份额可参与后续理财产品投资收益分配。</w:t>
            </w:r>
          </w:p>
          <w:p>
            <w:pPr>
              <w:ind w:left="42" w:leftChars="20" w:right="115" w:rightChars="55"/>
              <w:rPr>
                <w:rFonts w:ascii="楷体" w:hAnsi="楷体" w:eastAsia="楷体" w:cs="宋体"/>
                <w:spacing w:val="-2"/>
                <w:szCs w:val="21"/>
                <w:highlight w:val="none"/>
              </w:rPr>
            </w:pPr>
            <w:r>
              <w:rPr>
                <w:rFonts w:ascii="楷体" w:hAnsi="楷体" w:eastAsia="楷体" w:cs="宋体"/>
                <w:spacing w:val="-2"/>
                <w:szCs w:val="21"/>
                <w:highlight w:val="none"/>
              </w:rPr>
              <w:t>详见下文</w:t>
            </w:r>
            <w:r>
              <w:rPr>
                <w:rFonts w:hint="eastAsia" w:ascii="楷体" w:hAnsi="楷体" w:eastAsia="楷体" w:cs="宋体"/>
                <w:spacing w:val="-2"/>
                <w:szCs w:val="21"/>
                <w:highlight w:val="none"/>
              </w:rPr>
              <w:t>“十、收益分配”。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tcBorders>
              <w:top w:val="single" w:color="auto" w:sz="4" w:space="0"/>
              <w:left w:val="single" w:color="auto" w:sz="4" w:space="0"/>
              <w:bottom w:val="single" w:color="auto" w:sz="4" w:space="0"/>
              <w:right w:val="single" w:color="auto" w:sz="4" w:space="0"/>
            </w:tcBorders>
            <w:vAlign w:val="center"/>
          </w:tcPr>
          <w:p>
            <w:pPr>
              <w:pStyle w:val="37"/>
              <w:kinsoku w:val="0"/>
              <w:overflowPunct w:val="0"/>
              <w:spacing w:before="18"/>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信息披露</w:t>
            </w:r>
          </w:p>
        </w:tc>
        <w:tc>
          <w:tcPr>
            <w:tcW w:w="6794" w:type="dxa"/>
            <w:tcBorders>
              <w:top w:val="single" w:color="auto" w:sz="4" w:space="0"/>
              <w:left w:val="single" w:color="auto" w:sz="4" w:space="0"/>
              <w:bottom w:val="single" w:color="auto" w:sz="4" w:space="0"/>
              <w:right w:val="single" w:color="auto" w:sz="4" w:space="0"/>
            </w:tcBorders>
            <w:vAlign w:val="center"/>
          </w:tcPr>
          <w:p>
            <w:pPr>
              <w:ind w:left="42" w:leftChars="20" w:right="115" w:rightChars="55"/>
              <w:rPr>
                <w:rFonts w:ascii="楷体" w:hAnsi="楷体" w:eastAsia="楷体" w:cs="宋体"/>
                <w:spacing w:val="-2"/>
                <w:szCs w:val="21"/>
                <w:highlight w:val="none"/>
              </w:rPr>
            </w:pPr>
            <w:r>
              <w:rPr>
                <w:rFonts w:hint="eastAsia" w:ascii="楷体" w:hAnsi="楷体" w:eastAsia="楷体" w:cs="宋体"/>
                <w:spacing w:val="-2"/>
                <w:szCs w:val="21"/>
                <w:highlight w:val="none"/>
              </w:rPr>
              <w:t>管理人将按照《理财产品说明书》中约定的方式进行信息披露，详见下文“十六、信息披露”。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90" w:type="dxa"/>
            <w:tcBorders>
              <w:top w:val="single" w:color="auto" w:sz="4" w:space="0"/>
              <w:left w:val="single" w:color="auto" w:sz="4" w:space="0"/>
              <w:bottom w:val="single" w:color="auto" w:sz="4" w:space="0"/>
              <w:right w:val="single" w:color="auto" w:sz="4" w:space="0"/>
            </w:tcBorders>
            <w:vAlign w:val="center"/>
          </w:tcPr>
          <w:p>
            <w:pPr>
              <w:pStyle w:val="37"/>
              <w:kinsoku w:val="0"/>
              <w:overflowPunct w:val="0"/>
              <w:spacing w:before="18"/>
              <w:ind w:left="83" w:right="65" w:rightChars="31"/>
              <w:jc w:val="both"/>
              <w:rPr>
                <w:rFonts w:ascii="楷体" w:hAnsi="楷体" w:eastAsia="楷体" w:cs="宋体"/>
                <w:b/>
                <w:spacing w:val="-2"/>
                <w:sz w:val="21"/>
                <w:szCs w:val="21"/>
                <w:highlight w:val="none"/>
              </w:rPr>
            </w:pPr>
            <w:r>
              <w:rPr>
                <w:rFonts w:hint="eastAsia" w:ascii="楷体" w:hAnsi="楷体" w:eastAsia="楷体" w:cs="宋体"/>
                <w:b/>
                <w:spacing w:val="-2"/>
                <w:sz w:val="21"/>
                <w:szCs w:val="21"/>
                <w:highlight w:val="none"/>
              </w:rPr>
              <w:t>税款</w:t>
            </w:r>
          </w:p>
        </w:tc>
        <w:tc>
          <w:tcPr>
            <w:tcW w:w="6794" w:type="dxa"/>
            <w:tcBorders>
              <w:top w:val="single" w:color="auto" w:sz="4" w:space="0"/>
              <w:left w:val="single" w:color="auto" w:sz="4" w:space="0"/>
              <w:bottom w:val="single" w:color="auto" w:sz="4" w:space="0"/>
              <w:right w:val="single" w:color="auto" w:sz="4" w:space="0"/>
            </w:tcBorders>
            <w:vAlign w:val="center"/>
          </w:tcPr>
          <w:p>
            <w:pPr>
              <w:ind w:left="42" w:leftChars="20" w:right="115" w:rightChars="55"/>
              <w:rPr>
                <w:rFonts w:ascii="楷体" w:hAnsi="楷体" w:eastAsia="楷体" w:cs="宋体"/>
                <w:spacing w:val="-2"/>
                <w:szCs w:val="21"/>
                <w:highlight w:val="none"/>
              </w:rPr>
            </w:pPr>
            <w:r>
              <w:rPr>
                <w:rFonts w:hint="eastAsia" w:ascii="楷体" w:hAnsi="楷体" w:eastAsia="楷体" w:cs="宋体"/>
                <w:spacing w:val="-2"/>
                <w:szCs w:val="21"/>
                <w:highlight w:val="none"/>
              </w:rPr>
              <w:t>本产品运作过程中涉及的各纳税主体，其纳税义务按国家税收法律、法规执行。详见下文“十四、税收规定”。</w:t>
            </w:r>
          </w:p>
        </w:tc>
      </w:tr>
    </w:tbl>
    <w:p>
      <w:pPr>
        <w:numPr>
          <w:ilvl w:val="0"/>
          <w:numId w:val="3"/>
        </w:numPr>
        <w:tabs>
          <w:tab w:val="left" w:pos="1134"/>
        </w:tabs>
        <w:ind w:firstLine="562" w:firstLineChars="200"/>
        <w:outlineLvl w:val="0"/>
        <w:rPr>
          <w:rFonts w:ascii="楷体" w:hAnsi="楷体" w:eastAsia="楷体"/>
          <w:b/>
          <w:sz w:val="28"/>
          <w:szCs w:val="28"/>
          <w:highlight w:val="none"/>
        </w:rPr>
      </w:pPr>
      <w:r>
        <w:rPr>
          <w:rFonts w:hint="eastAsia" w:ascii="楷体" w:hAnsi="楷体" w:eastAsia="楷体"/>
          <w:b/>
          <w:sz w:val="28"/>
          <w:szCs w:val="28"/>
          <w:highlight w:val="none"/>
        </w:rPr>
        <w:t>产品管理人</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本产品管理人为苏银理财有限责任公司，苏银理财系江苏银行股份有限公司全资控股的银行理财子公司。公司成立于2020年8月，注册资本为20亿元人民币，全部由江苏银行股份有限公司以货币资金认购并一次性足额缴纳。公司注册地为江苏省南京市。公司主要业务范围为：面向不特定社会公众公开发行理财产品，对受托的投资和财产进行投资和管理；面向合格投资者非公开发行理财产品，对受托的投资和财产进行投资和管理；理财顾问和咨询服务；经监管机构批准的其他业务等。</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投资</w:t>
      </w:r>
      <w:r>
        <w:rPr>
          <w:rFonts w:ascii="楷体" w:hAnsi="楷体" w:eastAsia="楷体"/>
          <w:sz w:val="24"/>
          <w:szCs w:val="24"/>
          <w:highlight w:val="none"/>
        </w:rPr>
        <w:t>者</w:t>
      </w:r>
      <w:r>
        <w:rPr>
          <w:rFonts w:hint="eastAsia" w:ascii="楷体" w:hAnsi="楷体" w:eastAsia="楷体"/>
          <w:sz w:val="24"/>
          <w:szCs w:val="24"/>
          <w:highlight w:val="none"/>
        </w:rPr>
        <w:t>在此</w:t>
      </w:r>
      <w:r>
        <w:rPr>
          <w:rFonts w:ascii="楷体" w:hAnsi="楷体" w:eastAsia="楷体"/>
          <w:sz w:val="24"/>
          <w:szCs w:val="24"/>
          <w:highlight w:val="none"/>
        </w:rPr>
        <w:t>授权并同意苏银理财享有以下权利：</w:t>
      </w:r>
    </w:p>
    <w:p>
      <w:pPr>
        <w:numPr>
          <w:ilvl w:val="0"/>
          <w:numId w:val="4"/>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按照</w:t>
      </w:r>
      <w:r>
        <w:rPr>
          <w:rFonts w:ascii="楷体" w:hAnsi="楷体" w:eastAsia="楷体" w:cs="Calibri"/>
          <w:sz w:val="24"/>
          <w:szCs w:val="24"/>
          <w:highlight w:val="none"/>
        </w:rPr>
        <w:t>本理财产品合同</w:t>
      </w:r>
      <w:r>
        <w:rPr>
          <w:rFonts w:hint="eastAsia" w:ascii="楷体" w:hAnsi="楷体" w:eastAsia="楷体" w:cs="Calibri"/>
          <w:sz w:val="24"/>
          <w:szCs w:val="24"/>
          <w:highlight w:val="none"/>
        </w:rPr>
        <w:t>的</w:t>
      </w:r>
      <w:r>
        <w:rPr>
          <w:rFonts w:ascii="楷体" w:hAnsi="楷体" w:eastAsia="楷体" w:cs="Calibri"/>
          <w:sz w:val="24"/>
          <w:szCs w:val="24"/>
          <w:highlight w:val="none"/>
        </w:rPr>
        <w:t>约定，管理、运用和处分理财计划资金。</w:t>
      </w:r>
    </w:p>
    <w:p>
      <w:pPr>
        <w:numPr>
          <w:ilvl w:val="0"/>
          <w:numId w:val="4"/>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按照</w:t>
      </w:r>
      <w:r>
        <w:rPr>
          <w:rFonts w:ascii="楷体" w:hAnsi="楷体" w:eastAsia="楷体" w:cs="Calibri"/>
          <w:sz w:val="24"/>
          <w:szCs w:val="24"/>
          <w:highlight w:val="none"/>
        </w:rPr>
        <w:t>本理财</w:t>
      </w:r>
      <w:r>
        <w:rPr>
          <w:rFonts w:hint="eastAsia" w:ascii="楷体" w:hAnsi="楷体" w:eastAsia="楷体" w:cs="Calibri"/>
          <w:sz w:val="24"/>
          <w:szCs w:val="24"/>
          <w:highlight w:val="none"/>
        </w:rPr>
        <w:t>产品</w:t>
      </w:r>
      <w:r>
        <w:rPr>
          <w:rFonts w:ascii="楷体" w:hAnsi="楷体" w:eastAsia="楷体" w:cs="Calibri"/>
          <w:sz w:val="24"/>
          <w:szCs w:val="24"/>
          <w:highlight w:val="none"/>
        </w:rPr>
        <w:t>合同的约定，及时、足额获得投资管理费。</w:t>
      </w:r>
    </w:p>
    <w:p>
      <w:pPr>
        <w:numPr>
          <w:ilvl w:val="0"/>
          <w:numId w:val="4"/>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管理人</w:t>
      </w:r>
      <w:r>
        <w:rPr>
          <w:rFonts w:ascii="楷体" w:hAnsi="楷体" w:eastAsia="楷体" w:cs="Calibri"/>
          <w:sz w:val="24"/>
          <w:szCs w:val="24"/>
          <w:highlight w:val="none"/>
        </w:rPr>
        <w:t>有权根据本理财产品合同的约定提前终止</w:t>
      </w:r>
      <w:r>
        <w:rPr>
          <w:rFonts w:hint="eastAsia" w:ascii="楷体" w:hAnsi="楷体" w:eastAsia="楷体" w:cs="Calibri"/>
          <w:sz w:val="24"/>
          <w:szCs w:val="24"/>
          <w:highlight w:val="none"/>
        </w:rPr>
        <w:t>或</w:t>
      </w:r>
      <w:r>
        <w:rPr>
          <w:rFonts w:ascii="楷体" w:hAnsi="楷体" w:eastAsia="楷体" w:cs="Calibri"/>
          <w:sz w:val="24"/>
          <w:szCs w:val="24"/>
          <w:highlight w:val="none"/>
        </w:rPr>
        <w:t>延长</w:t>
      </w:r>
      <w:r>
        <w:rPr>
          <w:rFonts w:hint="eastAsia" w:ascii="楷体" w:hAnsi="楷体" w:eastAsia="楷体" w:cs="Calibri"/>
          <w:sz w:val="24"/>
          <w:szCs w:val="24"/>
          <w:highlight w:val="none"/>
        </w:rPr>
        <w:t>本</w:t>
      </w:r>
      <w:r>
        <w:rPr>
          <w:rFonts w:ascii="楷体" w:hAnsi="楷体" w:eastAsia="楷体" w:cs="Calibri"/>
          <w:sz w:val="24"/>
          <w:szCs w:val="24"/>
          <w:highlight w:val="none"/>
        </w:rPr>
        <w:t>理财产品的期限。</w:t>
      </w:r>
    </w:p>
    <w:p>
      <w:pPr>
        <w:numPr>
          <w:ilvl w:val="0"/>
          <w:numId w:val="4"/>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管理人</w:t>
      </w:r>
      <w:r>
        <w:rPr>
          <w:rFonts w:ascii="楷体" w:hAnsi="楷体" w:eastAsia="楷体" w:cs="Calibri"/>
          <w:sz w:val="24"/>
          <w:szCs w:val="24"/>
          <w:highlight w:val="none"/>
        </w:rPr>
        <w:t>有权</w:t>
      </w:r>
      <w:r>
        <w:rPr>
          <w:rFonts w:hint="eastAsia" w:ascii="楷体" w:hAnsi="楷体" w:eastAsia="楷体" w:cs="Calibri"/>
          <w:sz w:val="24"/>
          <w:szCs w:val="24"/>
          <w:highlight w:val="none"/>
        </w:rPr>
        <w:t>调整</w:t>
      </w:r>
      <w:r>
        <w:rPr>
          <w:rFonts w:ascii="楷体" w:hAnsi="楷体" w:eastAsia="楷体" w:cs="Calibri"/>
          <w:sz w:val="24"/>
          <w:szCs w:val="24"/>
          <w:highlight w:val="none"/>
        </w:rPr>
        <w:t>本</w:t>
      </w:r>
      <w:r>
        <w:rPr>
          <w:rFonts w:hint="eastAsia" w:ascii="楷体" w:hAnsi="楷体" w:eastAsia="楷体" w:cs="Calibri"/>
          <w:sz w:val="24"/>
          <w:szCs w:val="24"/>
          <w:highlight w:val="none"/>
        </w:rPr>
        <w:t>理财</w:t>
      </w:r>
      <w:r>
        <w:rPr>
          <w:rFonts w:ascii="楷体" w:hAnsi="楷体" w:eastAsia="楷体" w:cs="Calibri"/>
          <w:sz w:val="24"/>
          <w:szCs w:val="24"/>
          <w:highlight w:val="none"/>
        </w:rPr>
        <w:t>产品的认购规模</w:t>
      </w:r>
      <w:r>
        <w:rPr>
          <w:rFonts w:hint="eastAsia" w:ascii="楷体" w:hAnsi="楷体" w:eastAsia="楷体" w:cs="Calibri"/>
          <w:sz w:val="24"/>
          <w:szCs w:val="24"/>
          <w:highlight w:val="none"/>
        </w:rPr>
        <w:t>上限</w:t>
      </w:r>
      <w:r>
        <w:rPr>
          <w:rFonts w:ascii="楷体" w:hAnsi="楷体" w:eastAsia="楷体" w:cs="Calibri"/>
          <w:sz w:val="24"/>
          <w:szCs w:val="24"/>
          <w:highlight w:val="none"/>
        </w:rPr>
        <w:t>、认购起点、</w:t>
      </w:r>
      <w:r>
        <w:rPr>
          <w:rFonts w:hint="eastAsia" w:ascii="楷体" w:hAnsi="楷体" w:eastAsia="楷体" w:cs="Calibri"/>
          <w:sz w:val="24"/>
          <w:szCs w:val="24"/>
          <w:highlight w:val="none"/>
        </w:rPr>
        <w:t>认购</w:t>
      </w:r>
      <w:r>
        <w:rPr>
          <w:rFonts w:ascii="楷体" w:hAnsi="楷体" w:eastAsia="楷体" w:cs="Calibri"/>
          <w:sz w:val="24"/>
          <w:szCs w:val="24"/>
          <w:highlight w:val="none"/>
        </w:rPr>
        <w:t>金额上限、认购资金的</w:t>
      </w:r>
      <w:r>
        <w:rPr>
          <w:rFonts w:hint="eastAsia" w:ascii="楷体" w:hAnsi="楷体" w:eastAsia="楷体" w:cs="Calibri"/>
          <w:sz w:val="24"/>
          <w:szCs w:val="24"/>
          <w:highlight w:val="none"/>
          <w:lang w:val="en-US" w:eastAsia="zh-CN"/>
        </w:rPr>
        <w:t>最低</w:t>
      </w:r>
      <w:r>
        <w:rPr>
          <w:rFonts w:ascii="楷体" w:hAnsi="楷体" w:eastAsia="楷体" w:cs="Calibri"/>
          <w:sz w:val="24"/>
          <w:szCs w:val="24"/>
          <w:highlight w:val="none"/>
        </w:rPr>
        <w:t>金额等</w:t>
      </w:r>
      <w:r>
        <w:rPr>
          <w:rFonts w:hint="eastAsia" w:ascii="楷体" w:hAnsi="楷体" w:eastAsia="楷体" w:cs="Calibri"/>
          <w:sz w:val="24"/>
          <w:szCs w:val="24"/>
          <w:highlight w:val="none"/>
        </w:rPr>
        <w:t>要素</w:t>
      </w:r>
      <w:r>
        <w:rPr>
          <w:rFonts w:ascii="楷体" w:hAnsi="楷体" w:eastAsia="楷体" w:cs="Calibri"/>
          <w:sz w:val="24"/>
          <w:szCs w:val="24"/>
          <w:highlight w:val="none"/>
        </w:rPr>
        <w:t>。</w:t>
      </w:r>
    </w:p>
    <w:p>
      <w:pPr>
        <w:numPr>
          <w:ilvl w:val="0"/>
          <w:numId w:val="4"/>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管理人</w:t>
      </w:r>
      <w:r>
        <w:rPr>
          <w:rFonts w:ascii="楷体" w:hAnsi="楷体" w:eastAsia="楷体" w:cs="Calibri"/>
          <w:sz w:val="24"/>
          <w:szCs w:val="24"/>
          <w:highlight w:val="none"/>
        </w:rPr>
        <w:t>有权依照法律规定和监管机构的要求将投资者的信息向有权部门或相关机构披露。</w:t>
      </w:r>
    </w:p>
    <w:p>
      <w:pPr>
        <w:numPr>
          <w:ilvl w:val="0"/>
          <w:numId w:val="4"/>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以</w:t>
      </w:r>
      <w:r>
        <w:rPr>
          <w:rFonts w:ascii="楷体" w:hAnsi="楷体" w:eastAsia="楷体" w:cs="Calibri"/>
          <w:sz w:val="24"/>
          <w:szCs w:val="24"/>
          <w:highlight w:val="none"/>
        </w:rPr>
        <w:t>理财产品投资管理人的名义，依照法律法规相关规定以及为理财产品的利益，对被投资的各类基金、公司/</w:t>
      </w:r>
      <w:r>
        <w:rPr>
          <w:rFonts w:hint="eastAsia" w:ascii="楷体" w:hAnsi="楷体" w:eastAsia="楷体" w:cs="Calibri"/>
          <w:sz w:val="24"/>
          <w:szCs w:val="24"/>
          <w:highlight w:val="none"/>
        </w:rPr>
        <w:t>企业</w:t>
      </w:r>
      <w:r>
        <w:rPr>
          <w:rFonts w:ascii="楷体" w:hAnsi="楷体" w:eastAsia="楷体" w:cs="Calibri"/>
          <w:sz w:val="24"/>
          <w:szCs w:val="24"/>
          <w:highlight w:val="none"/>
        </w:rPr>
        <w:t>等</w:t>
      </w:r>
      <w:r>
        <w:rPr>
          <w:rFonts w:hint="eastAsia" w:ascii="楷体" w:hAnsi="楷体" w:eastAsia="楷体" w:cs="Calibri"/>
          <w:sz w:val="24"/>
          <w:szCs w:val="24"/>
          <w:highlight w:val="none"/>
        </w:rPr>
        <w:t>行使</w:t>
      </w:r>
      <w:r>
        <w:rPr>
          <w:rFonts w:ascii="楷体" w:hAnsi="楷体" w:eastAsia="楷体" w:cs="Calibri"/>
          <w:sz w:val="24"/>
          <w:szCs w:val="24"/>
          <w:highlight w:val="none"/>
        </w:rPr>
        <w:t>出资人</w:t>
      </w:r>
      <w:r>
        <w:rPr>
          <w:rFonts w:hint="eastAsia" w:ascii="楷体" w:hAnsi="楷体" w:eastAsia="楷体" w:cs="Calibri"/>
          <w:sz w:val="24"/>
          <w:szCs w:val="24"/>
          <w:highlight w:val="none"/>
        </w:rPr>
        <w:t>/投资者</w:t>
      </w:r>
      <w:r>
        <w:rPr>
          <w:rFonts w:ascii="楷体" w:hAnsi="楷体" w:eastAsia="楷体" w:cs="Calibri"/>
          <w:sz w:val="24"/>
          <w:szCs w:val="24"/>
          <w:highlight w:val="none"/>
        </w:rPr>
        <w:t>权利（</w:t>
      </w:r>
      <w:r>
        <w:rPr>
          <w:rFonts w:hint="eastAsia" w:ascii="楷体" w:hAnsi="楷体" w:eastAsia="楷体" w:cs="Calibri"/>
          <w:sz w:val="24"/>
          <w:szCs w:val="24"/>
          <w:highlight w:val="none"/>
        </w:rPr>
        <w:t>包括</w:t>
      </w:r>
      <w:r>
        <w:rPr>
          <w:rFonts w:ascii="楷体" w:hAnsi="楷体" w:eastAsia="楷体" w:cs="Calibri"/>
          <w:sz w:val="24"/>
          <w:szCs w:val="24"/>
          <w:highlight w:val="none"/>
        </w:rPr>
        <w:t>但不限于表决投票的权利）</w:t>
      </w:r>
      <w:r>
        <w:rPr>
          <w:rFonts w:hint="eastAsia" w:ascii="楷体" w:hAnsi="楷体" w:eastAsia="楷体" w:cs="Calibri"/>
          <w:sz w:val="24"/>
          <w:szCs w:val="24"/>
          <w:highlight w:val="none"/>
        </w:rPr>
        <w:t>以及行使</w:t>
      </w:r>
      <w:r>
        <w:rPr>
          <w:rFonts w:ascii="楷体" w:hAnsi="楷体" w:eastAsia="楷体" w:cs="Calibri"/>
          <w:sz w:val="24"/>
          <w:szCs w:val="24"/>
          <w:highlight w:val="none"/>
        </w:rPr>
        <w:t>因理财产品投资于证券类基础资产（</w:t>
      </w:r>
      <w:r>
        <w:rPr>
          <w:rFonts w:hint="eastAsia" w:ascii="楷体" w:hAnsi="楷体" w:eastAsia="楷体" w:cs="Calibri"/>
          <w:sz w:val="24"/>
          <w:szCs w:val="24"/>
          <w:highlight w:val="none"/>
        </w:rPr>
        <w:t>含</w:t>
      </w:r>
      <w:r>
        <w:rPr>
          <w:rFonts w:ascii="楷体" w:hAnsi="楷体" w:eastAsia="楷体" w:cs="Calibri"/>
          <w:sz w:val="24"/>
          <w:szCs w:val="24"/>
          <w:highlight w:val="none"/>
        </w:rPr>
        <w:t>债券）</w:t>
      </w:r>
      <w:r>
        <w:rPr>
          <w:rFonts w:hint="eastAsia" w:ascii="楷体" w:hAnsi="楷体" w:eastAsia="楷体" w:cs="Calibri"/>
          <w:sz w:val="24"/>
          <w:szCs w:val="24"/>
          <w:highlight w:val="none"/>
        </w:rPr>
        <w:t>或</w:t>
      </w:r>
      <w:r>
        <w:rPr>
          <w:rFonts w:ascii="楷体" w:hAnsi="楷体" w:eastAsia="楷体" w:cs="Calibri"/>
          <w:sz w:val="24"/>
          <w:szCs w:val="24"/>
          <w:highlight w:val="none"/>
        </w:rPr>
        <w:t>其他基础资产（</w:t>
      </w:r>
      <w:r>
        <w:rPr>
          <w:rFonts w:hint="eastAsia" w:ascii="楷体" w:hAnsi="楷体" w:eastAsia="楷体" w:cs="Calibri"/>
          <w:sz w:val="24"/>
          <w:szCs w:val="24"/>
          <w:highlight w:val="none"/>
        </w:rPr>
        <w:t>包括</w:t>
      </w:r>
      <w:r>
        <w:rPr>
          <w:rFonts w:ascii="楷体" w:hAnsi="楷体" w:eastAsia="楷体" w:cs="Calibri"/>
          <w:sz w:val="24"/>
          <w:szCs w:val="24"/>
          <w:highlight w:val="none"/>
        </w:rPr>
        <w:t>但不限于债权类资产）</w:t>
      </w:r>
      <w:r>
        <w:rPr>
          <w:rFonts w:hint="eastAsia" w:ascii="楷体" w:hAnsi="楷体" w:eastAsia="楷体" w:cs="Calibri"/>
          <w:sz w:val="24"/>
          <w:szCs w:val="24"/>
          <w:highlight w:val="none"/>
        </w:rPr>
        <w:t>所产生</w:t>
      </w:r>
      <w:r>
        <w:rPr>
          <w:rFonts w:ascii="楷体" w:hAnsi="楷体" w:eastAsia="楷体" w:cs="Calibri"/>
          <w:sz w:val="24"/>
          <w:szCs w:val="24"/>
          <w:highlight w:val="none"/>
        </w:rPr>
        <w:t>的相关权利。</w:t>
      </w:r>
    </w:p>
    <w:p>
      <w:pPr>
        <w:numPr>
          <w:ilvl w:val="0"/>
          <w:numId w:val="4"/>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以</w:t>
      </w:r>
      <w:r>
        <w:rPr>
          <w:rFonts w:ascii="楷体" w:hAnsi="楷体" w:eastAsia="楷体" w:cs="Calibri"/>
          <w:sz w:val="24"/>
          <w:szCs w:val="24"/>
          <w:highlight w:val="none"/>
        </w:rPr>
        <w:t>理财产品投资管理人的名义，依照</w:t>
      </w:r>
      <w:r>
        <w:rPr>
          <w:rFonts w:hint="eastAsia" w:ascii="楷体" w:hAnsi="楷体" w:eastAsia="楷体" w:cs="Calibri"/>
          <w:sz w:val="24"/>
          <w:szCs w:val="24"/>
          <w:highlight w:val="none"/>
        </w:rPr>
        <w:t>法律法规相关规定以及代表理财产品份额持有人的利益行使代为追索的权利（包括但不限于提起诉讼/仲裁、申请保全/执行的权利）或者实施其他法律行为。</w:t>
      </w:r>
    </w:p>
    <w:p>
      <w:pPr>
        <w:numPr>
          <w:ilvl w:val="0"/>
          <w:numId w:val="4"/>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法律法规、监管政策和本理财计划文件约定的其他权利。</w:t>
      </w:r>
    </w:p>
    <w:p>
      <w:pPr>
        <w:numPr>
          <w:ilvl w:val="0"/>
          <w:numId w:val="3"/>
        </w:numPr>
        <w:tabs>
          <w:tab w:val="left" w:pos="1134"/>
        </w:tabs>
        <w:ind w:firstLine="562" w:firstLineChars="200"/>
        <w:outlineLvl w:val="0"/>
        <w:rPr>
          <w:rFonts w:ascii="楷体" w:hAnsi="楷体" w:eastAsia="楷体"/>
          <w:b/>
          <w:sz w:val="28"/>
          <w:szCs w:val="28"/>
          <w:highlight w:val="none"/>
        </w:rPr>
      </w:pPr>
      <w:r>
        <w:rPr>
          <w:rFonts w:hint="eastAsia" w:ascii="楷体" w:hAnsi="楷体" w:eastAsia="楷体"/>
          <w:b/>
          <w:sz w:val="28"/>
          <w:szCs w:val="28"/>
          <w:highlight w:val="none"/>
        </w:rPr>
        <w:t>销售机构</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本产品可以通过商业银行、农村合作银行、村镇银行、农村信用合作社等吸收公众存款的银行业金融机构，或者国务院银行业监督管理机构认可的其他机构进行销售。</w:t>
      </w:r>
      <w:r>
        <w:rPr>
          <w:rFonts w:hint="eastAsia" w:ascii="楷体" w:hAnsi="楷体" w:eastAsia="楷体"/>
          <w:b/>
          <w:sz w:val="24"/>
          <w:szCs w:val="24"/>
          <w:highlight w:val="none"/>
          <w:u w:val="single"/>
        </w:rPr>
        <w:t>销售机构负责</w:t>
      </w:r>
      <w:r>
        <w:rPr>
          <w:rFonts w:ascii="楷体" w:hAnsi="楷体" w:eastAsia="楷体"/>
          <w:b/>
          <w:sz w:val="24"/>
          <w:szCs w:val="24"/>
          <w:highlight w:val="none"/>
          <w:u w:val="single"/>
        </w:rPr>
        <w:t>理财产品宣传推广、投资者风险承受能力评估和投资者适当性管理、理财产品客户身份识别及反洗钱</w:t>
      </w:r>
      <w:r>
        <w:rPr>
          <w:rFonts w:hint="eastAsia" w:ascii="楷体" w:hAnsi="楷体" w:eastAsia="楷体"/>
          <w:b/>
          <w:sz w:val="24"/>
          <w:szCs w:val="24"/>
          <w:highlight w:val="none"/>
          <w:u w:val="single"/>
        </w:rPr>
        <w:t>、反恐怖融资及非居民金融账户涉税信息</w:t>
      </w:r>
      <w:r>
        <w:rPr>
          <w:rFonts w:ascii="楷体" w:hAnsi="楷体" w:eastAsia="楷体"/>
          <w:b/>
          <w:sz w:val="24"/>
          <w:szCs w:val="24"/>
          <w:highlight w:val="none"/>
          <w:u w:val="single"/>
        </w:rPr>
        <w:t>调查、理财产品份额认购/申购/赎回、协助管理人与投资者订立理财产品合同、协助投资者与管理人沟通、接受投资者咨询和客户维护等销售服务</w:t>
      </w:r>
      <w:r>
        <w:rPr>
          <w:rFonts w:hint="eastAsia" w:ascii="楷体" w:hAnsi="楷体" w:eastAsia="楷体"/>
          <w:b/>
          <w:sz w:val="24"/>
          <w:szCs w:val="24"/>
          <w:highlight w:val="none"/>
          <w:u w:val="single"/>
        </w:rPr>
        <w:t>工作。销售机构不承担产品投资、兑付和风险管理责任，产品的投资、兑付和风险管理责任由管理人苏银理财承担。</w:t>
      </w:r>
      <w:r>
        <w:rPr>
          <w:rFonts w:hint="eastAsia" w:ascii="楷体" w:hAnsi="楷体" w:eastAsia="楷体"/>
          <w:sz w:val="24"/>
          <w:szCs w:val="24"/>
          <w:highlight w:val="none"/>
        </w:rPr>
        <w:t>本产品各份额销售机构如下：</w:t>
      </w:r>
    </w:p>
    <w:tbl>
      <w:tblPr>
        <w:tblStyle w:val="15"/>
        <w:tblW w:w="4998"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1162"/>
        <w:gridCol w:w="3473"/>
        <w:gridCol w:w="388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40" w:hRule="atLeast"/>
        </w:trPr>
        <w:tc>
          <w:tcPr>
            <w:tcW w:w="682" w:type="pct"/>
            <w:tcBorders>
              <w:bottom w:val="single" w:color="000000" w:sz="4" w:space="0"/>
              <w:right w:val="single" w:color="000000" w:sz="4" w:space="0"/>
            </w:tcBorders>
            <w:noWrap/>
            <w:vAlign w:val="center"/>
          </w:tcPr>
          <w:p>
            <w:pPr>
              <w:widowControl/>
              <w:spacing w:line="0" w:lineRule="atLeast"/>
              <w:jc w:val="center"/>
              <w:textAlignment w:val="center"/>
              <w:rPr>
                <w:rFonts w:ascii="楷体" w:hAnsi="楷体" w:eastAsia="楷体" w:cs="楷体"/>
                <w:b/>
                <w:bCs/>
                <w:color w:val="000000"/>
                <w:sz w:val="18"/>
                <w:szCs w:val="18"/>
                <w:highlight w:val="none"/>
              </w:rPr>
            </w:pPr>
            <w:r>
              <w:rPr>
                <w:rFonts w:hint="eastAsia" w:ascii="楷体" w:hAnsi="楷体" w:eastAsia="楷体" w:cs="楷体"/>
                <w:b/>
                <w:bCs/>
                <w:color w:val="000000"/>
                <w:kern w:val="0"/>
                <w:sz w:val="18"/>
                <w:szCs w:val="18"/>
                <w:highlight w:val="none"/>
                <w:lang w:bidi="ar"/>
              </w:rPr>
              <w:t>份额</w:t>
            </w:r>
          </w:p>
        </w:tc>
        <w:tc>
          <w:tcPr>
            <w:tcW w:w="4317" w:type="pct"/>
            <w:gridSpan w:val="2"/>
            <w:tcBorders>
              <w:left w:val="single" w:color="000000" w:sz="4" w:space="0"/>
              <w:bottom w:val="single" w:color="000000" w:sz="4" w:space="0"/>
            </w:tcBorders>
            <w:noWrap/>
            <w:vAlign w:val="center"/>
          </w:tcPr>
          <w:p>
            <w:pPr>
              <w:widowControl/>
              <w:spacing w:line="0" w:lineRule="atLeast"/>
              <w:jc w:val="center"/>
              <w:textAlignment w:val="center"/>
              <w:rPr>
                <w:rFonts w:ascii="楷体" w:hAnsi="楷体" w:eastAsia="楷体" w:cs="楷体"/>
                <w:b/>
                <w:bCs/>
                <w:color w:val="000000"/>
                <w:sz w:val="18"/>
                <w:szCs w:val="18"/>
                <w:highlight w:val="none"/>
              </w:rPr>
            </w:pPr>
            <w:r>
              <w:rPr>
                <w:rFonts w:hint="eastAsia" w:ascii="楷体" w:hAnsi="楷体" w:eastAsia="楷体" w:cs="楷体"/>
                <w:b/>
                <w:bCs/>
                <w:color w:val="000000"/>
                <w:kern w:val="0"/>
                <w:sz w:val="18"/>
                <w:szCs w:val="18"/>
                <w:highlight w:val="none"/>
                <w:lang w:bidi="ar"/>
              </w:rPr>
              <w:t>销售机构</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40" w:hRule="atLeast"/>
        </w:trPr>
        <w:tc>
          <w:tcPr>
            <w:tcW w:w="682" w:type="pct"/>
            <w:tcBorders>
              <w:top w:val="single" w:color="000000" w:sz="4" w:space="0"/>
              <w:bottom w:val="single" w:color="000000" w:sz="4" w:space="0"/>
              <w:right w:val="single" w:color="auto" w:sz="4" w:space="0"/>
            </w:tcBorders>
            <w:noWrap/>
            <w:vAlign w:val="center"/>
          </w:tcPr>
          <w:p>
            <w:pPr>
              <w:widowControl/>
              <w:spacing w:line="0" w:lineRule="atLeast"/>
              <w:jc w:val="center"/>
              <w:textAlignment w:val="center"/>
              <w:outlineLvl w:val="0"/>
              <w:rPr>
                <w:rFonts w:ascii="楷体" w:hAnsi="楷体" w:eastAsia="楷体" w:cs="楷体"/>
                <w:color w:val="000000"/>
                <w:kern w:val="0"/>
                <w:sz w:val="18"/>
                <w:szCs w:val="18"/>
                <w:highlight w:val="none"/>
                <w:lang w:bidi="ar"/>
              </w:rPr>
            </w:pPr>
            <w:r>
              <w:rPr>
                <w:rFonts w:hint="eastAsia" w:ascii="楷体" w:hAnsi="楷体" w:eastAsia="楷体" w:cs="楷体"/>
                <w:color w:val="000000"/>
                <w:kern w:val="0"/>
                <w:sz w:val="18"/>
                <w:szCs w:val="18"/>
                <w:highlight w:val="none"/>
                <w:lang w:bidi="ar"/>
              </w:rPr>
              <w:t>A份额</w:t>
            </w:r>
          </w:p>
        </w:tc>
        <w:tc>
          <w:tcPr>
            <w:tcW w:w="2038" w:type="pct"/>
            <w:tcBorders>
              <w:top w:val="single" w:color="auto" w:sz="4" w:space="0"/>
              <w:left w:val="single" w:color="auto" w:sz="4" w:space="0"/>
              <w:bottom w:val="single" w:color="auto" w:sz="4" w:space="0"/>
              <w:right w:val="nil"/>
            </w:tcBorders>
            <w:noWrap/>
            <w:vAlign w:val="center"/>
          </w:tcPr>
          <w:p>
            <w:pPr>
              <w:widowControl/>
              <w:spacing w:line="0" w:lineRule="atLeast"/>
              <w:jc w:val="center"/>
              <w:textAlignment w:val="center"/>
              <w:outlineLvl w:val="0"/>
              <w:rPr>
                <w:rFonts w:ascii="楷体" w:hAnsi="楷体" w:eastAsia="楷体" w:cs="楷体"/>
                <w:color w:val="000000"/>
                <w:sz w:val="18"/>
                <w:szCs w:val="18"/>
                <w:highlight w:val="none"/>
              </w:rPr>
            </w:pPr>
            <w:r>
              <w:rPr>
                <w:rFonts w:hint="eastAsia" w:ascii="楷体" w:hAnsi="楷体" w:eastAsia="楷体" w:cs="楷体"/>
                <w:color w:val="000000"/>
                <w:sz w:val="18"/>
                <w:szCs w:val="18"/>
                <w:highlight w:val="none"/>
              </w:rPr>
              <w:t>苏银理财有限责任公司</w:t>
            </w:r>
          </w:p>
        </w:tc>
        <w:tc>
          <w:tcPr>
            <w:tcW w:w="2279" w:type="pct"/>
            <w:tcBorders>
              <w:top w:val="single" w:color="auto" w:sz="4" w:space="0"/>
              <w:left w:val="nil"/>
              <w:bottom w:val="single" w:color="auto" w:sz="4" w:space="0"/>
            </w:tcBorders>
            <w:noWrap/>
            <w:vAlign w:val="center"/>
          </w:tcPr>
          <w:p>
            <w:pPr>
              <w:widowControl/>
              <w:spacing w:line="0" w:lineRule="atLeast"/>
              <w:jc w:val="center"/>
              <w:textAlignment w:val="center"/>
              <w:outlineLvl w:val="0"/>
              <w:rPr>
                <w:rFonts w:hint="default" w:ascii="楷体" w:hAnsi="楷体" w:eastAsia="楷体" w:cs="楷体"/>
                <w:color w:val="000000"/>
                <w:sz w:val="18"/>
                <w:szCs w:val="18"/>
                <w:highlight w:val="none"/>
                <w:lang w:val="en-US" w:eastAsia="zh-CN"/>
              </w:rPr>
            </w:pPr>
            <w:r>
              <w:rPr>
                <w:rFonts w:hint="eastAsia" w:ascii="楷体" w:hAnsi="楷体" w:eastAsia="楷体" w:cs="楷体"/>
                <w:color w:val="000000"/>
                <w:sz w:val="18"/>
                <w:szCs w:val="18"/>
                <w:highlight w:val="none"/>
                <w:lang w:val="en-US" w:eastAsia="zh-CN"/>
              </w:rPr>
              <w:t>江苏银行股份有限公司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40" w:hRule="atLeast"/>
        </w:trPr>
        <w:tc>
          <w:tcPr>
            <w:tcW w:w="682" w:type="pct"/>
            <w:tcBorders>
              <w:top w:val="single" w:color="000000" w:sz="4" w:space="0"/>
              <w:bottom w:val="single" w:color="000000" w:sz="4" w:space="0"/>
              <w:right w:val="single" w:color="auto" w:sz="4" w:space="0"/>
            </w:tcBorders>
            <w:noWrap/>
            <w:vAlign w:val="center"/>
          </w:tcPr>
          <w:p>
            <w:pPr>
              <w:widowControl/>
              <w:spacing w:line="0" w:lineRule="atLeast"/>
              <w:jc w:val="center"/>
              <w:textAlignment w:val="center"/>
              <w:outlineLvl w:val="0"/>
              <w:rPr>
                <w:rFonts w:hint="eastAsia" w:ascii="楷体" w:hAnsi="楷体" w:eastAsia="楷体" w:cs="楷体"/>
                <w:color w:val="000000"/>
                <w:kern w:val="0"/>
                <w:sz w:val="18"/>
                <w:szCs w:val="18"/>
                <w:highlight w:val="none"/>
                <w:lang w:bidi="ar"/>
              </w:rPr>
            </w:pPr>
            <w:r>
              <w:rPr>
                <w:rFonts w:hint="eastAsia" w:ascii="楷体" w:hAnsi="楷体" w:eastAsia="楷体" w:cs="楷体"/>
                <w:color w:val="000000"/>
                <w:kern w:val="0"/>
                <w:sz w:val="18"/>
                <w:szCs w:val="18"/>
                <w:highlight w:val="none"/>
                <w:lang w:val="en-US" w:eastAsia="zh-CN" w:bidi="ar"/>
              </w:rPr>
              <w:t>B</w:t>
            </w:r>
            <w:r>
              <w:rPr>
                <w:rFonts w:hint="eastAsia" w:ascii="楷体" w:hAnsi="楷体" w:eastAsia="楷体" w:cs="楷体"/>
                <w:color w:val="000000"/>
                <w:kern w:val="0"/>
                <w:sz w:val="18"/>
                <w:szCs w:val="18"/>
                <w:highlight w:val="none"/>
                <w:lang w:bidi="ar"/>
              </w:rPr>
              <w:t>份额</w:t>
            </w:r>
          </w:p>
        </w:tc>
        <w:tc>
          <w:tcPr>
            <w:tcW w:w="2038" w:type="pct"/>
            <w:tcBorders>
              <w:top w:val="single" w:color="auto" w:sz="4" w:space="0"/>
              <w:left w:val="single" w:color="auto" w:sz="4" w:space="0"/>
              <w:bottom w:val="single" w:color="auto" w:sz="4" w:space="0"/>
              <w:right w:val="nil"/>
            </w:tcBorders>
            <w:noWrap/>
            <w:vAlign w:val="center"/>
          </w:tcPr>
          <w:p>
            <w:pPr>
              <w:widowControl/>
              <w:spacing w:line="0" w:lineRule="atLeast"/>
              <w:jc w:val="center"/>
              <w:textAlignment w:val="center"/>
              <w:outlineLvl w:val="0"/>
              <w:rPr>
                <w:rFonts w:hint="eastAsia" w:ascii="楷体" w:hAnsi="楷体" w:eastAsia="楷体" w:cs="楷体"/>
                <w:color w:val="000000"/>
                <w:sz w:val="18"/>
                <w:szCs w:val="18"/>
                <w:highlight w:val="none"/>
              </w:rPr>
            </w:pPr>
            <w:r>
              <w:rPr>
                <w:rFonts w:hint="eastAsia" w:ascii="楷体" w:hAnsi="楷体" w:eastAsia="楷体" w:cs="楷体"/>
                <w:color w:val="000000"/>
                <w:sz w:val="18"/>
                <w:szCs w:val="18"/>
                <w:highlight w:val="none"/>
              </w:rPr>
              <w:t>苏银理财有限责任公司</w:t>
            </w:r>
          </w:p>
        </w:tc>
        <w:tc>
          <w:tcPr>
            <w:tcW w:w="2279" w:type="pct"/>
            <w:tcBorders>
              <w:top w:val="single" w:color="auto" w:sz="4" w:space="0"/>
              <w:left w:val="nil"/>
              <w:bottom w:val="single" w:color="auto" w:sz="4" w:space="0"/>
            </w:tcBorders>
            <w:noWrap/>
            <w:vAlign w:val="center"/>
          </w:tcPr>
          <w:p>
            <w:pPr>
              <w:widowControl/>
              <w:spacing w:line="0" w:lineRule="atLeast"/>
              <w:jc w:val="center"/>
              <w:textAlignment w:val="center"/>
              <w:outlineLvl w:val="0"/>
              <w:rPr>
                <w:rFonts w:hint="eastAsia" w:ascii="楷体" w:hAnsi="楷体" w:eastAsia="楷体" w:cs="楷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40" w:hRule="atLeast"/>
        </w:trPr>
        <w:tc>
          <w:tcPr>
            <w:tcW w:w="682" w:type="pct"/>
            <w:tcBorders>
              <w:top w:val="single" w:color="auto" w:sz="4" w:space="0"/>
              <w:bottom w:val="single" w:color="auto" w:sz="4" w:space="0"/>
              <w:right w:val="single" w:color="auto" w:sz="4" w:space="0"/>
            </w:tcBorders>
            <w:noWrap/>
            <w:vAlign w:val="center"/>
          </w:tcPr>
          <w:p>
            <w:pPr>
              <w:widowControl/>
              <w:spacing w:line="0" w:lineRule="atLeast"/>
              <w:jc w:val="center"/>
              <w:textAlignment w:val="center"/>
              <w:outlineLvl w:val="0"/>
              <w:rPr>
                <w:rFonts w:hint="eastAsia" w:ascii="楷体" w:hAnsi="楷体" w:eastAsia="楷体" w:cs="楷体"/>
                <w:color w:val="000000"/>
                <w:kern w:val="0"/>
                <w:sz w:val="18"/>
                <w:szCs w:val="18"/>
                <w:highlight w:val="none"/>
                <w:lang w:val="en-US" w:eastAsia="zh-CN" w:bidi="ar"/>
              </w:rPr>
            </w:pPr>
            <w:r>
              <w:rPr>
                <w:rFonts w:hint="eastAsia" w:ascii="楷体" w:hAnsi="楷体" w:eastAsia="楷体" w:cs="楷体"/>
                <w:color w:val="000000"/>
                <w:kern w:val="0"/>
                <w:sz w:val="18"/>
                <w:szCs w:val="18"/>
                <w:highlight w:val="none"/>
                <w:lang w:val="en-US" w:eastAsia="zh-CN" w:bidi="ar"/>
              </w:rPr>
              <w:t>F</w:t>
            </w:r>
            <w:r>
              <w:rPr>
                <w:rFonts w:hint="eastAsia" w:ascii="楷体" w:hAnsi="楷体" w:eastAsia="楷体" w:cs="楷体"/>
                <w:color w:val="000000"/>
                <w:kern w:val="0"/>
                <w:sz w:val="18"/>
                <w:szCs w:val="18"/>
                <w:highlight w:val="none"/>
                <w:lang w:bidi="ar"/>
              </w:rPr>
              <w:t>份额</w:t>
            </w:r>
          </w:p>
        </w:tc>
        <w:tc>
          <w:tcPr>
            <w:tcW w:w="2038" w:type="pct"/>
            <w:tcBorders>
              <w:top w:val="single" w:color="auto" w:sz="4" w:space="0"/>
              <w:left w:val="single" w:color="auto" w:sz="4" w:space="0"/>
              <w:bottom w:val="nil"/>
              <w:right w:val="nil"/>
            </w:tcBorders>
            <w:noWrap/>
            <w:vAlign w:val="center"/>
          </w:tcPr>
          <w:p>
            <w:pPr>
              <w:widowControl/>
              <w:spacing w:line="0" w:lineRule="atLeast"/>
              <w:jc w:val="center"/>
              <w:textAlignment w:val="center"/>
              <w:outlineLvl w:val="0"/>
              <w:rPr>
                <w:rFonts w:hint="eastAsia" w:ascii="楷体" w:hAnsi="楷体" w:eastAsia="楷体" w:cs="楷体"/>
                <w:color w:val="000000"/>
                <w:kern w:val="2"/>
                <w:sz w:val="18"/>
                <w:szCs w:val="18"/>
                <w:highlight w:val="none"/>
                <w:lang w:val="en-US" w:eastAsia="zh-CN" w:bidi="ar-SA"/>
              </w:rPr>
            </w:pPr>
            <w:r>
              <w:rPr>
                <w:rFonts w:hint="eastAsia" w:ascii="楷体" w:hAnsi="楷体" w:eastAsia="楷体" w:cs="楷体"/>
                <w:color w:val="000000"/>
                <w:sz w:val="18"/>
                <w:szCs w:val="18"/>
                <w:highlight w:val="none"/>
              </w:rPr>
              <w:t>苏银理财有限责任公司</w:t>
            </w:r>
          </w:p>
        </w:tc>
        <w:tc>
          <w:tcPr>
            <w:tcW w:w="2279" w:type="pct"/>
            <w:tcBorders>
              <w:top w:val="single" w:color="auto" w:sz="4" w:space="0"/>
              <w:left w:val="nil"/>
              <w:bottom w:val="nil"/>
            </w:tcBorders>
            <w:noWrap/>
            <w:vAlign w:val="center"/>
          </w:tcPr>
          <w:p>
            <w:pPr>
              <w:widowControl/>
              <w:spacing w:line="0" w:lineRule="atLeast"/>
              <w:jc w:val="center"/>
              <w:textAlignment w:val="center"/>
              <w:outlineLvl w:val="0"/>
              <w:rPr>
                <w:rFonts w:hint="default" w:ascii="楷体" w:hAnsi="楷体" w:eastAsia="楷体" w:cs="楷体"/>
                <w:color w:val="000000"/>
                <w:sz w:val="18"/>
                <w:szCs w:val="18"/>
                <w:highlight w:val="none"/>
                <w:lang w:val="en-US" w:eastAsia="zh-CN"/>
              </w:rPr>
            </w:pPr>
            <w:r>
              <w:rPr>
                <w:rFonts w:hint="default" w:ascii="楷体" w:hAnsi="楷体" w:eastAsia="楷体" w:cs="楷体"/>
                <w:color w:val="000000"/>
                <w:sz w:val="18"/>
                <w:szCs w:val="18"/>
                <w:highlight w:val="none"/>
                <w:lang w:val="en-US" w:eastAsia="zh-CN"/>
              </w:rPr>
              <w:t>中国邮政储蓄银行股份有限公司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40" w:hRule="atLeast"/>
        </w:trPr>
        <w:tc>
          <w:tcPr>
            <w:tcW w:w="682" w:type="pct"/>
            <w:tcBorders>
              <w:top w:val="single" w:color="000000" w:sz="4" w:space="0"/>
              <w:bottom w:val="single" w:color="000000" w:sz="4" w:space="0"/>
              <w:right w:val="single" w:color="auto" w:sz="4" w:space="0"/>
            </w:tcBorders>
            <w:noWrap/>
            <w:vAlign w:val="center"/>
          </w:tcPr>
          <w:p>
            <w:pPr>
              <w:widowControl/>
              <w:spacing w:line="0" w:lineRule="atLeast"/>
              <w:jc w:val="center"/>
              <w:textAlignment w:val="center"/>
              <w:outlineLvl w:val="0"/>
              <w:rPr>
                <w:rFonts w:hint="eastAsia" w:ascii="楷体" w:hAnsi="楷体" w:eastAsia="楷体" w:cs="楷体"/>
                <w:color w:val="000000"/>
                <w:kern w:val="0"/>
                <w:sz w:val="18"/>
                <w:szCs w:val="18"/>
                <w:highlight w:val="none"/>
                <w:lang w:val="en-US" w:eastAsia="zh-CN" w:bidi="ar"/>
              </w:rPr>
            </w:pPr>
            <w:r>
              <w:rPr>
                <w:rFonts w:hint="eastAsia" w:ascii="楷体" w:hAnsi="楷体" w:eastAsia="楷体" w:cs="楷体"/>
                <w:color w:val="000000"/>
                <w:kern w:val="0"/>
                <w:sz w:val="18"/>
                <w:szCs w:val="18"/>
                <w:highlight w:val="none"/>
                <w:lang w:val="en-US" w:eastAsia="zh-CN" w:bidi="ar"/>
              </w:rPr>
              <w:t>G</w:t>
            </w:r>
            <w:r>
              <w:rPr>
                <w:rFonts w:hint="eastAsia" w:ascii="楷体" w:hAnsi="楷体" w:eastAsia="楷体" w:cs="楷体"/>
                <w:color w:val="000000"/>
                <w:kern w:val="0"/>
                <w:sz w:val="18"/>
                <w:szCs w:val="18"/>
                <w:highlight w:val="none"/>
                <w:lang w:bidi="ar"/>
              </w:rPr>
              <w:t>份额</w:t>
            </w:r>
          </w:p>
        </w:tc>
        <w:tc>
          <w:tcPr>
            <w:tcW w:w="2038" w:type="pct"/>
            <w:tcBorders>
              <w:top w:val="single" w:color="auto" w:sz="4" w:space="0"/>
              <w:left w:val="single" w:color="auto" w:sz="4" w:space="0"/>
              <w:bottom w:val="single" w:color="auto" w:sz="4" w:space="0"/>
              <w:right w:val="nil"/>
            </w:tcBorders>
            <w:noWrap/>
            <w:vAlign w:val="center"/>
          </w:tcPr>
          <w:p>
            <w:pPr>
              <w:widowControl/>
              <w:spacing w:line="0" w:lineRule="atLeast"/>
              <w:jc w:val="center"/>
              <w:textAlignment w:val="center"/>
              <w:outlineLvl w:val="0"/>
              <w:rPr>
                <w:rFonts w:hint="eastAsia" w:ascii="楷体" w:hAnsi="楷体" w:eastAsia="楷体" w:cs="楷体"/>
                <w:color w:val="000000"/>
                <w:kern w:val="2"/>
                <w:sz w:val="18"/>
                <w:szCs w:val="18"/>
                <w:highlight w:val="none"/>
                <w:lang w:val="en-US" w:eastAsia="zh-CN" w:bidi="ar-SA"/>
              </w:rPr>
            </w:pPr>
            <w:r>
              <w:rPr>
                <w:rFonts w:hint="eastAsia" w:ascii="楷体" w:hAnsi="楷体" w:eastAsia="楷体" w:cs="楷体"/>
                <w:color w:val="000000"/>
                <w:sz w:val="18"/>
                <w:szCs w:val="18"/>
                <w:highlight w:val="none"/>
              </w:rPr>
              <w:t>苏银理财有限责任公司</w:t>
            </w:r>
          </w:p>
        </w:tc>
        <w:tc>
          <w:tcPr>
            <w:tcW w:w="2279" w:type="pct"/>
            <w:tcBorders>
              <w:top w:val="single" w:color="auto" w:sz="4" w:space="0"/>
              <w:left w:val="nil"/>
              <w:bottom w:val="single" w:color="auto" w:sz="4" w:space="0"/>
            </w:tcBorders>
            <w:noWrap/>
            <w:vAlign w:val="center"/>
          </w:tcPr>
          <w:p>
            <w:pPr>
              <w:widowControl/>
              <w:spacing w:line="0" w:lineRule="atLeast"/>
              <w:jc w:val="center"/>
              <w:textAlignment w:val="center"/>
              <w:outlineLvl w:val="0"/>
              <w:rPr>
                <w:rFonts w:ascii="楷体" w:hAnsi="楷体" w:eastAsia="楷体" w:cs="楷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40" w:hRule="atLeast"/>
        </w:trPr>
        <w:tc>
          <w:tcPr>
            <w:tcW w:w="682" w:type="pct"/>
            <w:vMerge w:val="restart"/>
            <w:tcBorders>
              <w:top w:val="single" w:color="000000" w:sz="4" w:space="0"/>
              <w:right w:val="single" w:color="auto" w:sz="4" w:space="0"/>
            </w:tcBorders>
            <w:noWrap/>
            <w:vAlign w:val="center"/>
          </w:tcPr>
          <w:p>
            <w:pPr>
              <w:widowControl/>
              <w:spacing w:line="0" w:lineRule="atLeast"/>
              <w:jc w:val="center"/>
              <w:textAlignment w:val="center"/>
              <w:outlineLvl w:val="0"/>
              <w:rPr>
                <w:rFonts w:hint="eastAsia" w:ascii="楷体" w:hAnsi="楷体" w:eastAsia="楷体" w:cs="楷体"/>
                <w:color w:val="000000"/>
                <w:kern w:val="0"/>
                <w:sz w:val="18"/>
                <w:szCs w:val="18"/>
                <w:highlight w:val="none"/>
                <w:lang w:val="en-US" w:eastAsia="zh-CN" w:bidi="ar"/>
              </w:rPr>
            </w:pPr>
            <w:r>
              <w:rPr>
                <w:rFonts w:hint="eastAsia" w:ascii="楷体" w:hAnsi="楷体" w:eastAsia="楷体" w:cs="楷体"/>
                <w:color w:val="000000"/>
                <w:kern w:val="0"/>
                <w:sz w:val="18"/>
                <w:szCs w:val="18"/>
                <w:highlight w:val="none"/>
                <w:lang w:val="en-US" w:eastAsia="zh-CN" w:bidi="ar"/>
              </w:rPr>
              <w:t>H</w:t>
            </w:r>
            <w:r>
              <w:rPr>
                <w:rFonts w:hint="eastAsia" w:ascii="楷体" w:hAnsi="楷体" w:eastAsia="楷体" w:cs="楷体"/>
                <w:color w:val="000000"/>
                <w:kern w:val="0"/>
                <w:sz w:val="18"/>
                <w:szCs w:val="18"/>
                <w:highlight w:val="none"/>
                <w:lang w:bidi="ar"/>
              </w:rPr>
              <w:t>份额</w:t>
            </w:r>
          </w:p>
        </w:tc>
        <w:tc>
          <w:tcPr>
            <w:tcW w:w="2038" w:type="pct"/>
            <w:tcBorders>
              <w:top w:val="single" w:color="auto" w:sz="4" w:space="0"/>
              <w:left w:val="single" w:color="auto" w:sz="4" w:space="0"/>
              <w:bottom w:val="nil"/>
              <w:right w:val="nil"/>
            </w:tcBorders>
            <w:noWrap/>
            <w:vAlign w:val="center"/>
          </w:tcPr>
          <w:p>
            <w:pPr>
              <w:widowControl/>
              <w:spacing w:line="0" w:lineRule="atLeast"/>
              <w:jc w:val="center"/>
              <w:textAlignment w:val="center"/>
              <w:outlineLvl w:val="0"/>
              <w:rPr>
                <w:rFonts w:hint="eastAsia" w:ascii="楷体" w:hAnsi="楷体" w:eastAsia="楷体" w:cs="楷体"/>
                <w:color w:val="000000"/>
                <w:kern w:val="2"/>
                <w:sz w:val="18"/>
                <w:szCs w:val="18"/>
                <w:highlight w:val="none"/>
                <w:lang w:val="en-US" w:eastAsia="zh-CN" w:bidi="ar-SA"/>
              </w:rPr>
            </w:pPr>
            <w:r>
              <w:rPr>
                <w:rFonts w:hint="eastAsia" w:ascii="楷体" w:hAnsi="楷体" w:eastAsia="楷体" w:cs="楷体"/>
                <w:color w:val="000000"/>
                <w:sz w:val="18"/>
                <w:szCs w:val="18"/>
                <w:highlight w:val="none"/>
              </w:rPr>
              <w:t>苏银理财有限责任公司</w:t>
            </w:r>
          </w:p>
        </w:tc>
        <w:tc>
          <w:tcPr>
            <w:tcW w:w="2279" w:type="pct"/>
            <w:tcBorders>
              <w:top w:val="single" w:color="auto" w:sz="4" w:space="0"/>
              <w:left w:val="nil"/>
              <w:bottom w:val="nil"/>
              <w:right w:val="single" w:color="auto" w:sz="4" w:space="0"/>
            </w:tcBorders>
            <w:noWrap/>
            <w:vAlign w:val="center"/>
          </w:tcPr>
          <w:p>
            <w:pPr>
              <w:widowControl/>
              <w:spacing w:line="0" w:lineRule="atLeast"/>
              <w:jc w:val="center"/>
              <w:textAlignment w:val="center"/>
              <w:outlineLvl w:val="0"/>
              <w:rPr>
                <w:rFonts w:ascii="楷体" w:hAnsi="楷体" w:eastAsia="楷体" w:cs="楷体"/>
                <w:color w:val="000000"/>
                <w:sz w:val="18"/>
                <w:szCs w:val="18"/>
                <w:highlight w:val="none"/>
              </w:rPr>
            </w:pPr>
            <w:r>
              <w:rPr>
                <w:rFonts w:hint="eastAsia" w:ascii="楷体" w:hAnsi="楷体" w:eastAsia="楷体" w:cs="楷体"/>
                <w:color w:val="000000"/>
                <w:sz w:val="18"/>
                <w:szCs w:val="18"/>
                <w:highlight w:val="none"/>
              </w:rPr>
              <w:t>浙江新昌农村商业银行股份有限公司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40" w:hRule="atLeast"/>
        </w:trPr>
        <w:tc>
          <w:tcPr>
            <w:tcW w:w="682" w:type="pct"/>
            <w:vMerge w:val="continue"/>
            <w:tcBorders>
              <w:right w:val="single" w:color="auto" w:sz="4" w:space="0"/>
            </w:tcBorders>
            <w:noWrap/>
            <w:vAlign w:val="center"/>
          </w:tcPr>
          <w:p>
            <w:pPr>
              <w:widowControl/>
              <w:spacing w:line="0" w:lineRule="atLeast"/>
              <w:jc w:val="center"/>
              <w:textAlignment w:val="center"/>
              <w:outlineLvl w:val="0"/>
              <w:rPr>
                <w:rFonts w:hint="eastAsia" w:ascii="楷体" w:hAnsi="楷体" w:eastAsia="楷体" w:cs="楷体"/>
                <w:color w:val="000000"/>
                <w:kern w:val="0"/>
                <w:sz w:val="18"/>
                <w:szCs w:val="18"/>
                <w:highlight w:val="none"/>
                <w:lang w:val="en-US" w:eastAsia="zh-CN" w:bidi="ar"/>
              </w:rPr>
            </w:pPr>
          </w:p>
        </w:tc>
        <w:tc>
          <w:tcPr>
            <w:tcW w:w="2038" w:type="pct"/>
            <w:tcBorders>
              <w:top w:val="nil"/>
              <w:left w:val="single" w:color="auto" w:sz="4" w:space="0"/>
              <w:bottom w:val="nil"/>
              <w:right w:val="nil"/>
            </w:tcBorders>
            <w:noWrap/>
            <w:vAlign w:val="center"/>
          </w:tcPr>
          <w:p>
            <w:pPr>
              <w:widowControl/>
              <w:spacing w:line="0" w:lineRule="atLeast"/>
              <w:jc w:val="center"/>
              <w:textAlignment w:val="center"/>
              <w:outlineLvl w:val="0"/>
              <w:rPr>
                <w:rFonts w:hint="eastAsia" w:ascii="楷体" w:hAnsi="楷体" w:eastAsia="楷体" w:cs="楷体"/>
                <w:color w:val="000000"/>
                <w:sz w:val="18"/>
                <w:szCs w:val="18"/>
                <w:highlight w:val="none"/>
              </w:rPr>
            </w:pPr>
            <w:r>
              <w:rPr>
                <w:rFonts w:hint="eastAsia" w:ascii="楷体" w:hAnsi="楷体" w:eastAsia="楷体" w:cs="楷体"/>
                <w:color w:val="000000"/>
                <w:sz w:val="18"/>
                <w:szCs w:val="18"/>
                <w:highlight w:val="none"/>
              </w:rPr>
              <w:t>宁波通商银行股份有限公司</w:t>
            </w:r>
          </w:p>
        </w:tc>
        <w:tc>
          <w:tcPr>
            <w:tcW w:w="2279" w:type="pct"/>
            <w:tcBorders>
              <w:top w:val="nil"/>
              <w:left w:val="nil"/>
              <w:bottom w:val="nil"/>
              <w:right w:val="single" w:color="auto" w:sz="4" w:space="0"/>
            </w:tcBorders>
            <w:noWrap/>
            <w:vAlign w:val="center"/>
          </w:tcPr>
          <w:p>
            <w:pPr>
              <w:widowControl/>
              <w:spacing w:line="0" w:lineRule="atLeast"/>
              <w:jc w:val="center"/>
              <w:textAlignment w:val="center"/>
              <w:outlineLvl w:val="0"/>
              <w:rPr>
                <w:rFonts w:ascii="楷体" w:hAnsi="楷体" w:eastAsia="楷体" w:cs="楷体"/>
                <w:color w:val="000000"/>
                <w:sz w:val="18"/>
                <w:szCs w:val="18"/>
                <w:highlight w:val="none"/>
              </w:rPr>
            </w:pPr>
            <w:r>
              <w:rPr>
                <w:rFonts w:hint="eastAsia" w:ascii="楷体" w:hAnsi="楷体" w:eastAsia="楷体" w:cs="楷体"/>
                <w:color w:val="000000"/>
                <w:sz w:val="18"/>
                <w:szCs w:val="18"/>
                <w:highlight w:val="none"/>
              </w:rPr>
              <w:t>中邮邮惠万家银行有限责任公司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40" w:hRule="atLeast"/>
        </w:trPr>
        <w:tc>
          <w:tcPr>
            <w:tcW w:w="682" w:type="pct"/>
            <w:vMerge w:val="continue"/>
            <w:tcBorders>
              <w:right w:val="single" w:color="auto" w:sz="4" w:space="0"/>
            </w:tcBorders>
            <w:noWrap/>
            <w:vAlign w:val="center"/>
          </w:tcPr>
          <w:p>
            <w:pPr>
              <w:widowControl/>
              <w:spacing w:line="0" w:lineRule="atLeast"/>
              <w:jc w:val="center"/>
              <w:textAlignment w:val="center"/>
              <w:outlineLvl w:val="0"/>
              <w:rPr>
                <w:rFonts w:hint="eastAsia" w:ascii="楷体" w:hAnsi="楷体" w:eastAsia="楷体" w:cs="楷体"/>
                <w:color w:val="000000"/>
                <w:kern w:val="0"/>
                <w:sz w:val="18"/>
                <w:szCs w:val="18"/>
                <w:highlight w:val="none"/>
                <w:lang w:val="en-US" w:eastAsia="zh-CN" w:bidi="ar"/>
              </w:rPr>
            </w:pPr>
          </w:p>
        </w:tc>
        <w:tc>
          <w:tcPr>
            <w:tcW w:w="2038" w:type="pct"/>
            <w:tcBorders>
              <w:top w:val="nil"/>
              <w:left w:val="single" w:color="auto" w:sz="4" w:space="0"/>
              <w:bottom w:val="nil"/>
              <w:right w:val="nil"/>
            </w:tcBorders>
            <w:noWrap/>
            <w:vAlign w:val="center"/>
          </w:tcPr>
          <w:p>
            <w:pPr>
              <w:widowControl/>
              <w:spacing w:line="0" w:lineRule="atLeast"/>
              <w:jc w:val="center"/>
              <w:textAlignment w:val="center"/>
              <w:outlineLvl w:val="0"/>
              <w:rPr>
                <w:rFonts w:hint="eastAsia" w:ascii="楷体" w:hAnsi="楷体" w:eastAsia="楷体" w:cs="楷体"/>
                <w:color w:val="000000"/>
                <w:sz w:val="18"/>
                <w:szCs w:val="18"/>
                <w:highlight w:val="none"/>
              </w:rPr>
            </w:pPr>
            <w:r>
              <w:rPr>
                <w:rFonts w:hint="eastAsia" w:ascii="楷体" w:hAnsi="楷体" w:eastAsia="楷体" w:cs="楷体"/>
                <w:color w:val="000000"/>
                <w:sz w:val="18"/>
                <w:szCs w:val="18"/>
                <w:highlight w:val="none"/>
              </w:rPr>
              <w:t>金华银行股份有限公司</w:t>
            </w:r>
          </w:p>
        </w:tc>
        <w:tc>
          <w:tcPr>
            <w:tcW w:w="2279" w:type="pct"/>
            <w:tcBorders>
              <w:top w:val="nil"/>
              <w:left w:val="nil"/>
              <w:bottom w:val="nil"/>
              <w:right w:val="single" w:color="auto" w:sz="4" w:space="0"/>
            </w:tcBorders>
            <w:noWrap/>
            <w:vAlign w:val="center"/>
          </w:tcPr>
          <w:p>
            <w:pPr>
              <w:widowControl/>
              <w:spacing w:line="0" w:lineRule="atLeast"/>
              <w:jc w:val="center"/>
              <w:textAlignment w:val="center"/>
              <w:outlineLvl w:val="0"/>
              <w:rPr>
                <w:rFonts w:hint="eastAsia" w:ascii="楷体" w:hAnsi="楷体" w:eastAsia="楷体" w:cs="楷体"/>
                <w:color w:val="000000"/>
                <w:sz w:val="18"/>
                <w:szCs w:val="18"/>
                <w:highlight w:val="none"/>
              </w:rPr>
            </w:pPr>
            <w:r>
              <w:rPr>
                <w:rFonts w:hint="eastAsia" w:ascii="楷体" w:hAnsi="楷体" w:eastAsia="楷体" w:cs="楷体"/>
                <w:color w:val="000000"/>
                <w:sz w:val="18"/>
                <w:szCs w:val="18"/>
                <w:highlight w:val="none"/>
              </w:rPr>
              <w:t>宁波鄞州农村商业银行股份有限公司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40" w:hRule="atLeast"/>
        </w:trPr>
        <w:tc>
          <w:tcPr>
            <w:tcW w:w="682" w:type="pct"/>
            <w:vMerge w:val="continue"/>
            <w:tcBorders>
              <w:right w:val="single" w:color="auto" w:sz="4" w:space="0"/>
            </w:tcBorders>
            <w:noWrap/>
            <w:vAlign w:val="center"/>
          </w:tcPr>
          <w:p>
            <w:pPr>
              <w:widowControl/>
              <w:spacing w:line="0" w:lineRule="atLeast"/>
              <w:jc w:val="center"/>
              <w:textAlignment w:val="center"/>
              <w:outlineLvl w:val="0"/>
              <w:rPr>
                <w:rFonts w:hint="eastAsia" w:ascii="楷体" w:hAnsi="楷体" w:eastAsia="楷体" w:cs="楷体"/>
                <w:color w:val="000000"/>
                <w:kern w:val="0"/>
                <w:sz w:val="18"/>
                <w:szCs w:val="18"/>
                <w:highlight w:val="none"/>
                <w:lang w:val="en-US" w:eastAsia="zh-CN" w:bidi="ar"/>
              </w:rPr>
            </w:pPr>
          </w:p>
        </w:tc>
        <w:tc>
          <w:tcPr>
            <w:tcW w:w="2038" w:type="pct"/>
            <w:tcBorders>
              <w:top w:val="nil"/>
              <w:left w:val="single" w:color="auto" w:sz="4" w:space="0"/>
              <w:bottom w:val="nil"/>
              <w:right w:val="nil"/>
            </w:tcBorders>
            <w:noWrap/>
            <w:vAlign w:val="center"/>
          </w:tcPr>
          <w:p>
            <w:pPr>
              <w:widowControl/>
              <w:spacing w:line="0" w:lineRule="atLeast"/>
              <w:jc w:val="center"/>
              <w:textAlignment w:val="center"/>
              <w:outlineLvl w:val="0"/>
              <w:rPr>
                <w:rFonts w:hint="eastAsia" w:ascii="楷体" w:hAnsi="楷体" w:eastAsia="楷体" w:cs="楷体"/>
                <w:color w:val="000000"/>
                <w:sz w:val="18"/>
                <w:szCs w:val="18"/>
                <w:highlight w:val="none"/>
              </w:rPr>
            </w:pPr>
            <w:r>
              <w:rPr>
                <w:rFonts w:hint="eastAsia" w:ascii="楷体" w:hAnsi="楷体" w:eastAsia="楷体" w:cs="楷体"/>
                <w:color w:val="000000"/>
                <w:sz w:val="18"/>
                <w:szCs w:val="18"/>
                <w:highlight w:val="none"/>
              </w:rPr>
              <w:t>齐鲁银行股份有限公司</w:t>
            </w:r>
          </w:p>
        </w:tc>
        <w:tc>
          <w:tcPr>
            <w:tcW w:w="2279" w:type="pct"/>
            <w:tcBorders>
              <w:top w:val="nil"/>
              <w:left w:val="nil"/>
              <w:bottom w:val="nil"/>
              <w:right w:val="single" w:color="auto" w:sz="4" w:space="0"/>
            </w:tcBorders>
            <w:noWrap/>
            <w:vAlign w:val="center"/>
          </w:tcPr>
          <w:p>
            <w:pPr>
              <w:widowControl/>
              <w:spacing w:line="0" w:lineRule="atLeast"/>
              <w:jc w:val="center"/>
              <w:textAlignment w:val="center"/>
              <w:outlineLvl w:val="0"/>
              <w:rPr>
                <w:rFonts w:hint="eastAsia" w:ascii="楷体" w:hAnsi="楷体" w:eastAsia="楷体" w:cs="楷体"/>
                <w:color w:val="000000"/>
                <w:sz w:val="18"/>
                <w:szCs w:val="18"/>
                <w:highlight w:val="none"/>
              </w:rPr>
            </w:pPr>
            <w:r>
              <w:rPr>
                <w:rFonts w:hint="eastAsia" w:ascii="楷体" w:hAnsi="楷体" w:eastAsia="楷体" w:cs="楷体"/>
                <w:color w:val="000000"/>
                <w:sz w:val="18"/>
                <w:szCs w:val="18"/>
                <w:highlight w:val="none"/>
              </w:rPr>
              <w:t>台州银行股份有限公司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40" w:hRule="atLeast"/>
        </w:trPr>
        <w:tc>
          <w:tcPr>
            <w:tcW w:w="682" w:type="pct"/>
            <w:vMerge w:val="continue"/>
            <w:tcBorders>
              <w:right w:val="single" w:color="auto" w:sz="4" w:space="0"/>
            </w:tcBorders>
            <w:noWrap/>
            <w:vAlign w:val="center"/>
          </w:tcPr>
          <w:p>
            <w:pPr>
              <w:widowControl/>
              <w:spacing w:line="0" w:lineRule="atLeast"/>
              <w:jc w:val="center"/>
              <w:textAlignment w:val="center"/>
              <w:outlineLvl w:val="0"/>
              <w:rPr>
                <w:rFonts w:hint="eastAsia" w:ascii="楷体" w:hAnsi="楷体" w:eastAsia="楷体" w:cs="楷体"/>
                <w:color w:val="000000"/>
                <w:kern w:val="0"/>
                <w:sz w:val="18"/>
                <w:szCs w:val="18"/>
                <w:highlight w:val="none"/>
                <w:lang w:val="en-US" w:eastAsia="zh-CN" w:bidi="ar"/>
              </w:rPr>
            </w:pPr>
          </w:p>
        </w:tc>
        <w:tc>
          <w:tcPr>
            <w:tcW w:w="2038" w:type="pct"/>
            <w:tcBorders>
              <w:top w:val="nil"/>
              <w:left w:val="single" w:color="auto" w:sz="4" w:space="0"/>
              <w:bottom w:val="single" w:color="auto" w:sz="4" w:space="0"/>
              <w:right w:val="nil"/>
            </w:tcBorders>
            <w:noWrap/>
            <w:vAlign w:val="center"/>
          </w:tcPr>
          <w:p>
            <w:pPr>
              <w:widowControl/>
              <w:spacing w:line="0" w:lineRule="atLeast"/>
              <w:jc w:val="center"/>
              <w:textAlignment w:val="center"/>
              <w:outlineLvl w:val="0"/>
              <w:rPr>
                <w:rFonts w:hint="eastAsia" w:ascii="楷体" w:hAnsi="楷体" w:eastAsia="楷体" w:cs="楷体"/>
                <w:color w:val="000000"/>
                <w:sz w:val="18"/>
                <w:szCs w:val="18"/>
                <w:highlight w:val="none"/>
              </w:rPr>
            </w:pPr>
            <w:r>
              <w:rPr>
                <w:rFonts w:hint="eastAsia" w:ascii="楷体" w:hAnsi="楷体" w:eastAsia="楷体" w:cs="楷体"/>
                <w:color w:val="000000"/>
                <w:sz w:val="18"/>
                <w:szCs w:val="18"/>
                <w:highlight w:val="none"/>
              </w:rPr>
              <w:t>威海市商业银行股份有限公司</w:t>
            </w:r>
          </w:p>
        </w:tc>
        <w:tc>
          <w:tcPr>
            <w:tcW w:w="2279" w:type="pct"/>
            <w:tcBorders>
              <w:top w:val="nil"/>
              <w:left w:val="nil"/>
              <w:bottom w:val="single" w:color="auto" w:sz="4" w:space="0"/>
              <w:right w:val="single" w:color="auto" w:sz="4" w:space="0"/>
            </w:tcBorders>
            <w:noWrap/>
            <w:vAlign w:val="center"/>
          </w:tcPr>
          <w:p>
            <w:pPr>
              <w:widowControl/>
              <w:spacing w:line="0" w:lineRule="atLeast"/>
              <w:jc w:val="center"/>
              <w:textAlignment w:val="center"/>
              <w:outlineLvl w:val="0"/>
              <w:rPr>
                <w:rFonts w:hint="eastAsia" w:ascii="楷体" w:hAnsi="楷体" w:eastAsia="楷体" w:cs="楷体"/>
                <w:color w:val="000000"/>
                <w:sz w:val="18"/>
                <w:szCs w:val="18"/>
                <w:highlight w:val="none"/>
              </w:rPr>
            </w:pPr>
          </w:p>
        </w:tc>
      </w:tr>
    </w:tbl>
    <w:p>
      <w:pPr>
        <w:ind w:firstLine="562" w:firstLineChars="200"/>
        <w:outlineLvl w:val="0"/>
        <w:rPr>
          <w:rFonts w:ascii="楷体" w:hAnsi="楷体" w:eastAsia="楷体"/>
          <w:b/>
          <w:sz w:val="28"/>
          <w:szCs w:val="28"/>
          <w:highlight w:val="none"/>
        </w:rPr>
      </w:pPr>
      <w:r>
        <w:rPr>
          <w:rFonts w:hint="eastAsia" w:ascii="楷体" w:hAnsi="楷体" w:eastAsia="楷体"/>
          <w:b/>
          <w:sz w:val="28"/>
          <w:szCs w:val="28"/>
          <w:highlight w:val="none"/>
        </w:rPr>
        <w:t>四、投资合作机构</w:t>
      </w:r>
    </w:p>
    <w:p>
      <w:pPr>
        <w:tabs>
          <w:tab w:val="left" w:pos="1134"/>
        </w:tabs>
        <w:ind w:firstLine="480" w:firstLineChars="200"/>
        <w:rPr>
          <w:rFonts w:hint="eastAsia" w:ascii="楷体" w:hAnsi="楷体" w:eastAsia="楷体"/>
          <w:sz w:val="24"/>
          <w:szCs w:val="24"/>
          <w:highlight w:val="none"/>
          <w:lang w:eastAsia="zh-CN"/>
        </w:rPr>
      </w:pPr>
      <w:r>
        <w:rPr>
          <w:rFonts w:hint="eastAsia" w:ascii="楷体" w:hAnsi="楷体" w:eastAsia="楷体"/>
          <w:sz w:val="24"/>
          <w:szCs w:val="24"/>
          <w:highlight w:val="none"/>
        </w:rPr>
        <w:t>投资合作机构主要职责是对理财产品受托资金进行投资管理，苏银理财已按投资决策流程对投资合作机构进行了准入，并持续开展投资合作机构的存续期管理。本产品投资合作机构包括</w:t>
      </w:r>
      <w:r>
        <w:rPr>
          <w:rFonts w:hint="eastAsia" w:ascii="楷体" w:hAnsi="楷体" w:eastAsia="楷体"/>
          <w:sz w:val="24"/>
          <w:szCs w:val="24"/>
          <w:highlight w:val="none"/>
          <w:lang w:eastAsia="zh-CN"/>
        </w:rPr>
        <w:t>：</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883"/>
        <w:gridCol w:w="4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bCs/>
                <w:sz w:val="20"/>
                <w:szCs w:val="20"/>
                <w:highlight w:val="none"/>
                <w:vertAlign w:val="baseline"/>
                <w:lang w:val="en-US" w:eastAsia="zh-CN"/>
              </w:rPr>
            </w:pPr>
            <w:r>
              <w:rPr>
                <w:rFonts w:hint="eastAsia" w:ascii="楷体" w:hAnsi="楷体" w:eastAsia="楷体"/>
                <w:b/>
                <w:bCs/>
                <w:sz w:val="20"/>
                <w:szCs w:val="20"/>
                <w:highlight w:val="none"/>
                <w:vertAlign w:val="baseline"/>
                <w:lang w:val="en-US" w:eastAsia="zh-CN"/>
              </w:rPr>
              <w:t>序号</w:t>
            </w:r>
          </w:p>
        </w:tc>
        <w:tc>
          <w:tcPr>
            <w:tcW w:w="1691" w:type="pct"/>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b/>
                <w:bCs/>
                <w:sz w:val="20"/>
                <w:szCs w:val="20"/>
                <w:highlight w:val="none"/>
                <w:vertAlign w:val="baseline"/>
                <w:lang w:val="en-US" w:eastAsia="zh-CN"/>
              </w:rPr>
            </w:pPr>
            <w:r>
              <w:rPr>
                <w:rFonts w:hint="eastAsia" w:ascii="楷体" w:hAnsi="楷体" w:eastAsia="楷体"/>
                <w:b/>
                <w:bCs/>
                <w:sz w:val="20"/>
                <w:szCs w:val="20"/>
                <w:highlight w:val="none"/>
                <w:vertAlign w:val="baseline"/>
                <w:lang w:val="en-US" w:eastAsia="zh-CN"/>
              </w:rPr>
              <w:t>投资合作机构</w:t>
            </w:r>
          </w:p>
        </w:tc>
        <w:tc>
          <w:tcPr>
            <w:tcW w:w="2920" w:type="pct"/>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bCs/>
                <w:sz w:val="20"/>
                <w:szCs w:val="20"/>
                <w:highlight w:val="none"/>
                <w:vertAlign w:val="baseline"/>
                <w:lang w:val="en-US" w:eastAsia="zh-CN"/>
              </w:rPr>
            </w:pPr>
            <w:r>
              <w:rPr>
                <w:rFonts w:hint="eastAsia" w:ascii="楷体" w:hAnsi="楷体" w:eastAsia="楷体"/>
                <w:b/>
                <w:bCs/>
                <w:sz w:val="20"/>
                <w:szCs w:val="20"/>
                <w:highlight w:val="none"/>
                <w:vertAlign w:val="baseline"/>
                <w:lang w:val="en-US" w:eastAsia="zh-CN"/>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b w:val="0"/>
                <w:bCs w:val="0"/>
                <w:sz w:val="20"/>
                <w:szCs w:val="20"/>
                <w:highlight w:val="none"/>
                <w:vertAlign w:val="baseline"/>
                <w:lang w:val="en-US" w:eastAsia="zh-CN"/>
              </w:rPr>
            </w:pPr>
            <w:r>
              <w:rPr>
                <w:rFonts w:hint="eastAsia" w:ascii="楷体" w:hAnsi="楷体" w:eastAsia="楷体"/>
                <w:b w:val="0"/>
                <w:bCs w:val="0"/>
                <w:sz w:val="20"/>
                <w:szCs w:val="20"/>
                <w:highlight w:val="none"/>
                <w:vertAlign w:val="baseline"/>
                <w:lang w:val="en-US" w:eastAsia="zh-CN"/>
              </w:rPr>
              <w:t>1</w:t>
            </w:r>
          </w:p>
        </w:tc>
        <w:tc>
          <w:tcPr>
            <w:tcW w:w="1691" w:type="pct"/>
            <w:noWrap w:val="0"/>
            <w:vAlign w:val="center"/>
          </w:tcPr>
          <w:p>
            <w:pPr>
              <w:spacing w:line="0" w:lineRule="atLeast"/>
              <w:jc w:val="center"/>
              <w:rPr>
                <w:rFonts w:hint="eastAsia" w:ascii="楷体" w:hAnsi="楷体" w:eastAsia="楷体" w:cs="Times New Roman"/>
                <w:kern w:val="2"/>
                <w:sz w:val="20"/>
                <w:szCs w:val="18"/>
                <w:highlight w:val="none"/>
                <w:lang w:val="en-US" w:eastAsia="zh-CN" w:bidi="ar-SA"/>
              </w:rPr>
            </w:pPr>
            <w:r>
              <w:rPr>
                <w:rFonts w:hint="eastAsia" w:ascii="楷体" w:hAnsi="楷体" w:eastAsia="楷体"/>
                <w:sz w:val="20"/>
                <w:szCs w:val="18"/>
                <w:highlight w:val="none"/>
              </w:rPr>
              <w:t>华润深国投信托有限公司</w:t>
            </w:r>
          </w:p>
        </w:tc>
        <w:tc>
          <w:tcPr>
            <w:tcW w:w="2920" w:type="pct"/>
            <w:noWrap w:val="0"/>
            <w:vAlign w:val="top"/>
          </w:tcPr>
          <w:p>
            <w:pPr>
              <w:spacing w:line="0" w:lineRule="atLeast"/>
              <w:rPr>
                <w:rFonts w:hint="eastAsia" w:ascii="楷体" w:hAnsi="楷体" w:eastAsia="楷体" w:cs="Times New Roman"/>
                <w:kern w:val="2"/>
                <w:sz w:val="20"/>
                <w:szCs w:val="18"/>
                <w:highlight w:val="none"/>
                <w:lang w:val="en-US" w:eastAsia="zh-CN" w:bidi="ar-SA"/>
              </w:rPr>
            </w:pPr>
            <w:r>
              <w:rPr>
                <w:rFonts w:hint="eastAsia" w:ascii="楷体" w:hAnsi="楷体" w:eastAsia="楷体"/>
                <w:sz w:val="20"/>
                <w:szCs w:val="18"/>
                <w:highlight w:val="none"/>
              </w:rPr>
              <w:t>华润信托于1982年8月24日成立，原名为深圳市信托投资公司，注册资本人民币 5,813 万元。目前，公司注册资本人民币110 亿元，华润金控投资有限公司持有公司 51%股权，深圳市投资控股有限公司持有公司 49%股权。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b w:val="0"/>
                <w:bCs w:val="0"/>
                <w:sz w:val="20"/>
                <w:szCs w:val="20"/>
                <w:highlight w:val="none"/>
                <w:vertAlign w:val="baseline"/>
                <w:lang w:val="en-US" w:eastAsia="zh-CN"/>
              </w:rPr>
            </w:pPr>
            <w:r>
              <w:rPr>
                <w:rFonts w:hint="eastAsia" w:ascii="楷体" w:hAnsi="楷体" w:eastAsia="楷体"/>
                <w:b w:val="0"/>
                <w:bCs w:val="0"/>
                <w:sz w:val="20"/>
                <w:szCs w:val="20"/>
                <w:highlight w:val="none"/>
                <w:vertAlign w:val="baseline"/>
                <w:lang w:val="en-US" w:eastAsia="zh-CN"/>
              </w:rPr>
              <w:t>2</w:t>
            </w:r>
          </w:p>
        </w:tc>
        <w:tc>
          <w:tcPr>
            <w:tcW w:w="1691" w:type="pct"/>
            <w:noWrap w:val="0"/>
            <w:vAlign w:val="center"/>
          </w:tcPr>
          <w:p>
            <w:pPr>
              <w:spacing w:line="0" w:lineRule="atLeast"/>
              <w:jc w:val="center"/>
              <w:rPr>
                <w:rFonts w:hint="eastAsia" w:ascii="楷体" w:hAnsi="楷体" w:eastAsia="楷体"/>
                <w:sz w:val="20"/>
                <w:szCs w:val="18"/>
                <w:highlight w:val="none"/>
              </w:rPr>
            </w:pPr>
            <w:r>
              <w:rPr>
                <w:rFonts w:hint="eastAsia" w:ascii="楷体" w:hAnsi="楷体" w:eastAsia="楷体"/>
                <w:sz w:val="20"/>
                <w:szCs w:val="18"/>
                <w:highlight w:val="none"/>
              </w:rPr>
              <w:t>中粮信托有限责任公司</w:t>
            </w:r>
          </w:p>
        </w:tc>
        <w:tc>
          <w:tcPr>
            <w:tcW w:w="2920" w:type="pct"/>
            <w:noWrap w:val="0"/>
            <w:vAlign w:val="top"/>
          </w:tcPr>
          <w:p>
            <w:pPr>
              <w:spacing w:line="0" w:lineRule="atLeast"/>
              <w:rPr>
                <w:rFonts w:hint="eastAsia" w:ascii="楷体" w:hAnsi="楷体" w:eastAsia="楷体"/>
                <w:sz w:val="20"/>
                <w:szCs w:val="18"/>
                <w:highlight w:val="none"/>
              </w:rPr>
            </w:pPr>
            <w:r>
              <w:rPr>
                <w:rFonts w:hint="eastAsia" w:ascii="楷体" w:hAnsi="楷体" w:eastAsia="楷体"/>
                <w:sz w:val="20"/>
                <w:szCs w:val="18"/>
                <w:highlight w:val="none"/>
              </w:rPr>
              <w:t>中粮信托有限责任公司成立于2009年7月27日，是中国银行保险监督管理委员会核准的国有控股金融机构，注册资本28.3095亿元，前三大股东分别为中粮资本投资有限公司、蒙特利尔银行、中粮财务有限责任公司。</w:t>
            </w:r>
          </w:p>
        </w:tc>
      </w:tr>
    </w:tbl>
    <w:p>
      <w:pPr>
        <w:tabs>
          <w:tab w:val="left" w:pos="1134"/>
        </w:tabs>
        <w:ind w:firstLine="480" w:firstLineChars="200"/>
        <w:rPr>
          <w:rFonts w:ascii="楷体" w:hAnsi="楷体" w:eastAsia="楷体"/>
          <w:sz w:val="24"/>
          <w:szCs w:val="24"/>
          <w:highlight w:val="none"/>
        </w:rPr>
      </w:pPr>
      <w:r>
        <w:rPr>
          <w:rFonts w:hint="eastAsia" w:ascii="楷体" w:hAnsi="楷体" w:eastAsia="楷体"/>
          <w:sz w:val="24"/>
          <w:szCs w:val="24"/>
          <w:highlight w:val="none"/>
        </w:rPr>
        <w:t>产品存续期内合作机构如有</w:t>
      </w:r>
      <w:r>
        <w:rPr>
          <w:rFonts w:hint="eastAsia" w:ascii="楷体" w:hAnsi="楷体" w:eastAsia="楷体"/>
          <w:sz w:val="24"/>
          <w:szCs w:val="24"/>
          <w:highlight w:val="none"/>
          <w:lang w:val="en-US" w:eastAsia="zh-CN"/>
        </w:rPr>
        <w:t>变化</w:t>
      </w:r>
      <w:r>
        <w:rPr>
          <w:rFonts w:hint="eastAsia" w:ascii="楷体" w:hAnsi="楷体" w:eastAsia="楷体"/>
          <w:sz w:val="24"/>
          <w:szCs w:val="24"/>
          <w:highlight w:val="none"/>
        </w:rPr>
        <w:t>，管理人将按照监管规定和内部管理制度要求对合作机构进行准入，签署相关协议后，披露新增的投资合作机构。</w:t>
      </w:r>
    </w:p>
    <w:p>
      <w:pPr>
        <w:numPr>
          <w:ilvl w:val="255"/>
          <w:numId w:val="0"/>
        </w:numPr>
        <w:tabs>
          <w:tab w:val="left" w:pos="1134"/>
        </w:tabs>
        <w:ind w:left="420" w:leftChars="200"/>
        <w:outlineLvl w:val="0"/>
        <w:rPr>
          <w:rFonts w:ascii="楷体" w:hAnsi="楷体" w:eastAsia="楷体"/>
          <w:b/>
          <w:sz w:val="28"/>
          <w:szCs w:val="28"/>
          <w:highlight w:val="none"/>
        </w:rPr>
      </w:pPr>
      <w:r>
        <w:rPr>
          <w:rFonts w:hint="eastAsia" w:ascii="楷体" w:hAnsi="楷体" w:eastAsia="楷体"/>
          <w:b/>
          <w:sz w:val="28"/>
          <w:szCs w:val="28"/>
          <w:highlight w:val="none"/>
        </w:rPr>
        <w:t>五、名词释义</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在本理财产品说明书中，除非上下文另有明确约定，下列用词将具有如下含义：</w:t>
      </w:r>
    </w:p>
    <w:p>
      <w:pPr>
        <w:numPr>
          <w:ilvl w:val="0"/>
          <w:numId w:val="5"/>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参与主体用语</w:t>
      </w:r>
    </w:p>
    <w:p>
      <w:pPr>
        <w:numPr>
          <w:ilvl w:val="0"/>
          <w:numId w:val="6"/>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★管理人/产品管理人/理财产品管理人：指苏银理财有限责任公司（本文简称“苏银理财”）。</w:t>
      </w:r>
    </w:p>
    <w:p>
      <w:pPr>
        <w:numPr>
          <w:ilvl w:val="0"/>
          <w:numId w:val="6"/>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托管人/产品托管人：指江苏银行股份有限公司（本文简称“江苏银行”）。江苏银行具备理财产品托管资格。托管人负责履行安全保管理财产品资金及其所投资的资产，办理清算、交割事宜，与管理人对账，监督理财产品投资运作等职责。</w:t>
      </w:r>
    </w:p>
    <w:p>
      <w:pPr>
        <w:numPr>
          <w:ilvl w:val="0"/>
          <w:numId w:val="6"/>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★代销机构/销售机构：指符合《关于规范金融机构资产管理业务的指导意见》、《商业银行理财业务监督管理办法》、《商业银行理财子公司管理办法》、《理财公司理财产品销售管理暂行办法》和</w:t>
      </w:r>
      <w:r>
        <w:rPr>
          <w:rFonts w:hint="eastAsia" w:ascii="楷体" w:hAnsi="楷体" w:eastAsia="楷体"/>
          <w:sz w:val="24"/>
          <w:szCs w:val="24"/>
          <w:highlight w:val="none"/>
        </w:rPr>
        <w:t>金融监管总局</w:t>
      </w:r>
      <w:r>
        <w:rPr>
          <w:rFonts w:hint="eastAsia" w:ascii="楷体" w:hAnsi="楷体" w:eastAsia="楷体" w:cs="Calibri"/>
          <w:sz w:val="24"/>
          <w:szCs w:val="24"/>
          <w:highlight w:val="none"/>
        </w:rPr>
        <w:t>规定的其他条件，取得理财产品销售资格并与管理人签订了销售服务代理协议，代为办理销售业务的机构。代销机构接受产品管理人的委托，在该机构渠道向投资者宣传推介、销售产品管理人依法发行的资产管理产品的活动。其中，“销售”是指向投资者宣传推介资产管理产品，办理产品申购、赎回的活动。</w:t>
      </w:r>
    </w:p>
    <w:p>
      <w:pPr>
        <w:numPr>
          <w:ilvl w:val="0"/>
          <w:numId w:val="6"/>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监管机构：指有权对本理财产品管理人及相关合作机构实施监督管理的机构，包括但不限于中国人民银行、金融监管总局、中国证券监督管理委员会、外汇管理局、银行业理财登记托管中心等。</w:t>
      </w:r>
    </w:p>
    <w:p>
      <w:pPr>
        <w:numPr>
          <w:ilvl w:val="0"/>
          <w:numId w:val="6"/>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投资合作机构：包括但不限于理财产品所投资资产管理产品的发行机构、根据合同约定从事理财产品受托投资的机构以及与理财产品投资管理相关的投资顾问等；主要职责为进行受托资金的投资管理，根据合同约定从事受托投资或提供投资顾问等服务，具体职责以管理人与投资合作机构签署的合同为准。</w:t>
      </w:r>
    </w:p>
    <w:p>
      <w:pPr>
        <w:numPr>
          <w:ilvl w:val="0"/>
          <w:numId w:val="6"/>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投资者：指符合相关法律法规、监管规定要求的，可以购买理财产品份额的自然人和法人。</w:t>
      </w:r>
    </w:p>
    <w:p>
      <w:pPr>
        <w:numPr>
          <w:ilvl w:val="0"/>
          <w:numId w:val="5"/>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理财产品用语</w:t>
      </w:r>
    </w:p>
    <w:p>
      <w:pPr>
        <w:numPr>
          <w:ilvl w:val="0"/>
          <w:numId w:val="7"/>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理财产品</w:t>
      </w:r>
      <w:r>
        <w:rPr>
          <w:rFonts w:ascii="楷体" w:hAnsi="楷体" w:eastAsia="楷体" w:cs="Calibri"/>
          <w:sz w:val="24"/>
          <w:szCs w:val="24"/>
          <w:highlight w:val="none"/>
        </w:rPr>
        <w:t>/</w:t>
      </w:r>
      <w:r>
        <w:rPr>
          <w:rFonts w:hint="eastAsia" w:ascii="楷体" w:hAnsi="楷体" w:eastAsia="楷体" w:cs="Calibri"/>
          <w:sz w:val="24"/>
          <w:szCs w:val="24"/>
          <w:highlight w:val="none"/>
        </w:rPr>
        <w:t>产品：指苏银理财按照约定条件和实际投资收益情况向投资者支付收益、不保证本金支付和收益水平的非保本理财产品。</w:t>
      </w:r>
    </w:p>
    <w:p>
      <w:pPr>
        <w:numPr>
          <w:ilvl w:val="0"/>
          <w:numId w:val="7"/>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本理财产品</w:t>
      </w:r>
      <w:r>
        <w:rPr>
          <w:rFonts w:ascii="楷体" w:hAnsi="楷体" w:eastAsia="楷体" w:cs="Calibri"/>
          <w:sz w:val="24"/>
          <w:szCs w:val="24"/>
          <w:highlight w:val="none"/>
        </w:rPr>
        <w:t>/</w:t>
      </w:r>
      <w:r>
        <w:rPr>
          <w:rFonts w:hint="eastAsia" w:ascii="楷体" w:hAnsi="楷体" w:eastAsia="楷体" w:cs="Calibri"/>
          <w:sz w:val="24"/>
          <w:szCs w:val="24"/>
          <w:highlight w:val="none"/>
        </w:rPr>
        <w:t>本产品：指“苏银理财启源</w:t>
      </w:r>
      <w:r>
        <w:rPr>
          <w:rFonts w:hint="eastAsia" w:ascii="楷体" w:hAnsi="楷体" w:eastAsia="楷体" w:cs="Calibri"/>
          <w:sz w:val="24"/>
          <w:szCs w:val="24"/>
          <w:highlight w:val="none"/>
          <w:lang w:eastAsia="zh-CN"/>
        </w:rPr>
        <w:t>货币3号</w:t>
      </w:r>
      <w:r>
        <w:rPr>
          <w:rFonts w:hint="eastAsia" w:ascii="楷体" w:hAnsi="楷体" w:eastAsia="楷体" w:cs="Calibri"/>
          <w:sz w:val="24"/>
          <w:szCs w:val="24"/>
          <w:highlight w:val="none"/>
        </w:rPr>
        <w:t>”理财产品。</w:t>
      </w:r>
    </w:p>
    <w:p>
      <w:pPr>
        <w:numPr>
          <w:ilvl w:val="0"/>
          <w:numId w:val="7"/>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理财产品登记编码：指本款理财产品在全国银行业理财信息登记系统中的编码，投资者可在中国理财网进行查询该编码。</w:t>
      </w:r>
    </w:p>
    <w:p>
      <w:pPr>
        <w:numPr>
          <w:ilvl w:val="0"/>
          <w:numId w:val="7"/>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理财产品代码/产品代码：指本款理财产品在全国银行业理财信息登记系统中登记的内部识别码。</w:t>
      </w:r>
    </w:p>
    <w:p>
      <w:pPr>
        <w:numPr>
          <w:ilvl w:val="0"/>
          <w:numId w:val="7"/>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理财产品销售代码/销售代码：指本款理财产品可能存在不同产品份额类别，管理人在理财产品销售管理过程中为区分不同产品份额类别，在同一理财产品代码项下设置的内部识别码。</w:t>
      </w:r>
    </w:p>
    <w:p>
      <w:pPr>
        <w:numPr>
          <w:ilvl w:val="0"/>
          <w:numId w:val="7"/>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理财产品份额：指投资者持有本理财产品的单位数额。投资者基于其所持有的理财产品单位数额享有理财产品利益、承担理财产品风险。</w:t>
      </w:r>
    </w:p>
    <w:p>
      <w:pPr>
        <w:numPr>
          <w:ilvl w:val="0"/>
          <w:numId w:val="7"/>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理财产品资产净值/理财资产净值/产品资产净值：产品资产净值=产品资产总值-产品负债总值。</w:t>
      </w:r>
    </w:p>
    <w:p>
      <w:pPr>
        <w:numPr>
          <w:ilvl w:val="0"/>
          <w:numId w:val="7"/>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产品资产总值：指产品拥有的各类有价证券、银行存款、应收款项及其他资产的价值总和。</w:t>
      </w:r>
    </w:p>
    <w:p>
      <w:pPr>
        <w:numPr>
          <w:ilvl w:val="0"/>
          <w:numId w:val="7"/>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产品负债总值：指产品运作及融资时形成的负债价值总和，包括融资资金本息、应付各项费用（包括托管费、销售服务费、投资管理费、超额业绩报酬、其他费用等）、应付税金及其他应付款项等。</w:t>
      </w:r>
    </w:p>
    <w:p>
      <w:pPr>
        <w:numPr>
          <w:ilvl w:val="0"/>
          <w:numId w:val="7"/>
        </w:numPr>
        <w:tabs>
          <w:tab w:val="left" w:pos="851"/>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理财产品份额单位净值/理财产品单位净值/单位净值：指理财产品份额的单位净值，即每1份理财产品份额以人民币计价的价格。理财产品单位净值=理财资产净值/产品总份额。投资者按该单位净值进行理财产品申购、赎回和终止时分配。</w:t>
      </w:r>
    </w:p>
    <w:p>
      <w:pPr>
        <w:numPr>
          <w:ilvl w:val="0"/>
          <w:numId w:val="7"/>
        </w:numPr>
        <w:tabs>
          <w:tab w:val="left" w:pos="851"/>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理财产品估值：指计算评估理财产品资产和负债以确定理财产品单位净值的过程。</w:t>
      </w:r>
    </w:p>
    <w:p>
      <w:pPr>
        <w:numPr>
          <w:ilvl w:val="0"/>
          <w:numId w:val="7"/>
        </w:numPr>
        <w:tabs>
          <w:tab w:val="left" w:pos="851"/>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业绩比较基准：指管理人基于过往投资经验及对产品存续期投资市场波动的预判而对本产品所设定的投资目标。业绩比较基准不代表理财产品未来表现，不等于理财产品实际收益，不作为产品收益的业绩保证，投资须谨慎。</w:t>
      </w:r>
    </w:p>
    <w:p>
      <w:pPr>
        <w:numPr>
          <w:ilvl w:val="0"/>
          <w:numId w:val="7"/>
        </w:numPr>
        <w:tabs>
          <w:tab w:val="left" w:pos="851"/>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理财产品利益/理财利益：指投资者因持有理财产品份额，按照销售文件约定取得或有权取得的理财产品管理人分配的理财产品资产。在理财产品对外投资资产正常回收的情况下，理财产品利益包括理财产品本金及理财产品收益。</w:t>
      </w:r>
    </w:p>
    <w:p>
      <w:pPr>
        <w:numPr>
          <w:ilvl w:val="0"/>
          <w:numId w:val="7"/>
        </w:numPr>
        <w:tabs>
          <w:tab w:val="left" w:pos="851"/>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理财产品本金/理财本金：指就每一投资者而言，投资者为认购/申购理财产品份额而向理财产品管理人交付的货币资金，即投资者的初始投资本金。就每一理财产品份额而言，在本理财产品成立时每一理财产品份额的初始投资本金为1元。为避免疑义，理财产品本金的称谓仅为方便计算理财产品利益而创设的，并非对投资者理财产品本金不受损失的承诺。</w:t>
      </w:r>
    </w:p>
    <w:p>
      <w:pPr>
        <w:numPr>
          <w:ilvl w:val="0"/>
          <w:numId w:val="7"/>
        </w:numPr>
        <w:tabs>
          <w:tab w:val="left" w:pos="851"/>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★理财产品收益/理财收益：指投资者投资理财产品获得的投资收益，该收益为其获得分配的全部理财产品利益中扣除理财产品本金的部分。</w:t>
      </w:r>
    </w:p>
    <w:p>
      <w:pPr>
        <w:numPr>
          <w:ilvl w:val="0"/>
          <w:numId w:val="7"/>
        </w:numPr>
        <w:tabs>
          <w:tab w:val="left" w:pos="851"/>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认购：指投资者根据理财产品说明书约定在募集期内申请购买本产品理财产品份额的行为。</w:t>
      </w:r>
    </w:p>
    <w:p>
      <w:pPr>
        <w:numPr>
          <w:ilvl w:val="0"/>
          <w:numId w:val="7"/>
        </w:numPr>
        <w:tabs>
          <w:tab w:val="left" w:pos="851"/>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投资者资金账户：指投资者开立的银行账户，理财产品投资交易的资金遵循同卡进出原则，通过银行卡A认购/申购理财产品的资金，赎回或到期资金只能划转至银行卡A。</w:t>
      </w:r>
    </w:p>
    <w:p>
      <w:pPr>
        <w:numPr>
          <w:ilvl w:val="0"/>
          <w:numId w:val="7"/>
        </w:numPr>
        <w:tabs>
          <w:tab w:val="left" w:pos="851"/>
        </w:tabs>
        <w:ind w:left="0" w:firstLine="480" w:firstLineChars="200"/>
        <w:rPr>
          <w:rFonts w:ascii="楷体" w:hAnsi="楷体" w:eastAsia="楷体" w:cs="Calibri"/>
          <w:sz w:val="24"/>
          <w:szCs w:val="24"/>
          <w:highlight w:val="none"/>
        </w:rPr>
      </w:pPr>
      <w:r>
        <w:rPr>
          <w:rFonts w:ascii="楷体" w:hAnsi="楷体" w:eastAsia="楷体" w:cs="Calibri"/>
          <w:sz w:val="24"/>
          <w:szCs w:val="24"/>
          <w:highlight w:val="none"/>
        </w:rPr>
        <w:t>申购、赎回申请</w:t>
      </w:r>
      <w:r>
        <w:rPr>
          <w:rFonts w:hint="eastAsia" w:ascii="楷体" w:hAnsi="楷体" w:eastAsia="楷体" w:cs="Calibri"/>
          <w:sz w:val="24"/>
          <w:szCs w:val="24"/>
          <w:highlight w:val="none"/>
        </w:rPr>
        <w:t>：</w:t>
      </w:r>
      <w:r>
        <w:rPr>
          <w:rFonts w:ascii="楷体" w:hAnsi="楷体" w:eastAsia="楷体" w:cs="Calibri"/>
          <w:sz w:val="24"/>
          <w:szCs w:val="24"/>
          <w:highlight w:val="none"/>
        </w:rPr>
        <w:t>指在</w:t>
      </w:r>
      <w:r>
        <w:rPr>
          <w:rFonts w:hint="eastAsia" w:ascii="楷体" w:hAnsi="楷体" w:eastAsia="楷体" w:cs="Calibri"/>
          <w:sz w:val="24"/>
          <w:szCs w:val="24"/>
          <w:highlight w:val="none"/>
        </w:rPr>
        <w:t>理财产品开放日</w:t>
      </w:r>
      <w:r>
        <w:rPr>
          <w:rFonts w:ascii="楷体" w:hAnsi="楷体" w:eastAsia="楷体" w:cs="Calibri"/>
          <w:sz w:val="24"/>
          <w:szCs w:val="24"/>
          <w:highlight w:val="none"/>
        </w:rPr>
        <w:t>投资者向</w:t>
      </w:r>
      <w:r>
        <w:rPr>
          <w:rFonts w:hint="eastAsia" w:ascii="楷体" w:hAnsi="楷体" w:eastAsia="楷体" w:cs="Calibri"/>
          <w:sz w:val="24"/>
          <w:szCs w:val="24"/>
          <w:highlight w:val="none"/>
        </w:rPr>
        <w:t>理财产品管理人</w:t>
      </w:r>
      <w:r>
        <w:rPr>
          <w:rFonts w:ascii="楷体" w:hAnsi="楷体" w:eastAsia="楷体" w:cs="Calibri"/>
          <w:sz w:val="24"/>
          <w:szCs w:val="24"/>
          <w:highlight w:val="none"/>
        </w:rPr>
        <w:t>提出申请对理财</w:t>
      </w:r>
      <w:r>
        <w:rPr>
          <w:rFonts w:hint="eastAsia" w:ascii="楷体" w:hAnsi="楷体" w:eastAsia="楷体" w:cs="Calibri"/>
          <w:sz w:val="24"/>
          <w:szCs w:val="24"/>
          <w:highlight w:val="none"/>
        </w:rPr>
        <w:t>产品</w:t>
      </w:r>
      <w:r>
        <w:rPr>
          <w:rFonts w:ascii="楷体" w:hAnsi="楷体" w:eastAsia="楷体" w:cs="Calibri"/>
          <w:sz w:val="24"/>
          <w:szCs w:val="24"/>
          <w:highlight w:val="none"/>
        </w:rPr>
        <w:t>份额进行购买或卖出的行为。</w:t>
      </w:r>
    </w:p>
    <w:p>
      <w:pPr>
        <w:numPr>
          <w:ilvl w:val="0"/>
          <w:numId w:val="7"/>
        </w:numPr>
        <w:tabs>
          <w:tab w:val="left" w:pos="851"/>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巨额赎回：理财产品每个开放日投资者净赎回额（赎回申请份额总数扣除申购申请份额总数）超过本理财产品上一工作日日终份额10%时，即为发生巨额赎回。</w:t>
      </w:r>
    </w:p>
    <w:p>
      <w:pPr>
        <w:numPr>
          <w:ilvl w:val="0"/>
          <w:numId w:val="7"/>
        </w:numPr>
        <w:tabs>
          <w:tab w:val="left" w:pos="851"/>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法律法规或监管机构另有规定的，从其规定。</w:t>
      </w:r>
    </w:p>
    <w:p>
      <w:pPr>
        <w:numPr>
          <w:ilvl w:val="0"/>
          <w:numId w:val="7"/>
        </w:numPr>
        <w:tabs>
          <w:tab w:val="left" w:pos="851"/>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numPr>
          <w:ilvl w:val="0"/>
          <w:numId w:val="5"/>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期间与日期</w:t>
      </w:r>
    </w:p>
    <w:p>
      <w:pPr>
        <w:numPr>
          <w:ilvl w:val="0"/>
          <w:numId w:val="8"/>
        </w:numPr>
        <w:tabs>
          <w:tab w:val="left" w:pos="728"/>
        </w:tabs>
        <w:ind w:left="0" w:firstLine="482" w:firstLineChars="200"/>
        <w:rPr>
          <w:rFonts w:ascii="楷体" w:hAnsi="楷体" w:eastAsia="楷体" w:cs="Calibri"/>
          <w:b/>
          <w:sz w:val="24"/>
          <w:szCs w:val="24"/>
          <w:highlight w:val="none"/>
          <w:u w:val="single"/>
        </w:rPr>
      </w:pPr>
      <w:r>
        <w:rPr>
          <w:rFonts w:hint="eastAsia" w:ascii="楷体" w:hAnsi="楷体" w:eastAsia="楷体" w:cs="Calibri"/>
          <w:b/>
          <w:sz w:val="24"/>
          <w:szCs w:val="24"/>
          <w:highlight w:val="none"/>
          <w:u w:val="single"/>
        </w:rPr>
        <w:t>工作日：指国家法定工作日，即除国家法定节假日和休息日外的日期。（示例：正常周六、周日为非工作日；</w:t>
      </w:r>
      <w:r>
        <w:rPr>
          <w:rFonts w:hint="eastAsia" w:ascii="楷体" w:hAnsi="楷体" w:eastAsia="楷体" w:cs="Calibri"/>
          <w:b/>
          <w:sz w:val="24"/>
          <w:szCs w:val="24"/>
          <w:highlight w:val="none"/>
          <w:u w:val="single"/>
          <w:lang w:eastAsia="zh-CN"/>
        </w:rPr>
        <w:t>2025年4月27</w:t>
      </w:r>
      <w:r>
        <w:rPr>
          <w:rFonts w:hint="eastAsia" w:ascii="楷体" w:hAnsi="楷体" w:eastAsia="楷体" w:cs="Calibri"/>
          <w:b/>
          <w:sz w:val="24"/>
          <w:szCs w:val="24"/>
          <w:highlight w:val="none"/>
          <w:u w:val="single"/>
        </w:rPr>
        <w:t>日为周日，但因调休仍为工作日，产品将正常进行申购赎回确认）。</w:t>
      </w:r>
    </w:p>
    <w:p>
      <w:pPr>
        <w:numPr>
          <w:ilvl w:val="0"/>
          <w:numId w:val="8"/>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交易日：指国家法定工作日，即除国家法定节假日和休息日外的日期。</w:t>
      </w:r>
    </w:p>
    <w:p>
      <w:pPr>
        <w:numPr>
          <w:ilvl w:val="0"/>
          <w:numId w:val="8"/>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成立日：指本产品开始运作的日期。</w:t>
      </w:r>
    </w:p>
    <w:p>
      <w:pPr>
        <w:numPr>
          <w:ilvl w:val="0"/>
          <w:numId w:val="8"/>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份额登记日/份额确认日：指管理人对投资者提交的认购申请进行份额登记的日期。</w:t>
      </w:r>
    </w:p>
    <w:p>
      <w:pPr>
        <w:numPr>
          <w:ilvl w:val="0"/>
          <w:numId w:val="8"/>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终止日/到期日：指本产品终止的日期。</w:t>
      </w:r>
    </w:p>
    <w:p>
      <w:pPr>
        <w:numPr>
          <w:ilvl w:val="0"/>
          <w:numId w:val="8"/>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估值日：指产品管理人对理财产品项下资产进行估值的日期。</w:t>
      </w:r>
    </w:p>
    <w:p>
      <w:pPr>
        <w:numPr>
          <w:ilvl w:val="0"/>
          <w:numId w:val="8"/>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兑付日：指投资者理财资金到达投资者资金账户的日期。</w:t>
      </w:r>
    </w:p>
    <w:p>
      <w:pPr>
        <w:numPr>
          <w:ilvl w:val="0"/>
          <w:numId w:val="8"/>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募集期：指理财产品成立前，理财产品管理人接受理财产品认购的时间。</w:t>
      </w:r>
    </w:p>
    <w:p>
      <w:pPr>
        <w:numPr>
          <w:ilvl w:val="0"/>
          <w:numId w:val="8"/>
        </w:numPr>
        <w:tabs>
          <w:tab w:val="left" w:pos="728"/>
        </w:tabs>
        <w:ind w:left="0" w:firstLine="482" w:firstLineChars="200"/>
        <w:rPr>
          <w:rFonts w:ascii="楷体" w:hAnsi="楷体" w:eastAsia="楷体" w:cs="Calibri"/>
          <w:b/>
          <w:sz w:val="24"/>
          <w:szCs w:val="24"/>
          <w:highlight w:val="none"/>
          <w:u w:val="single"/>
        </w:rPr>
      </w:pPr>
      <w:r>
        <w:rPr>
          <w:rFonts w:hint="eastAsia" w:ascii="楷体" w:hAnsi="楷体" w:eastAsia="楷体" w:cs="Calibri"/>
          <w:b/>
          <w:sz w:val="24"/>
          <w:szCs w:val="24"/>
          <w:highlight w:val="none"/>
          <w:u w:val="single"/>
        </w:rPr>
        <w:t>开放日：本理财产品存续期间，每个工作日为开放日，管理人在开放日对投资者的申购、赎回申请进行确认。</w:t>
      </w:r>
    </w:p>
    <w:p>
      <w:pPr>
        <w:numPr>
          <w:ilvl w:val="0"/>
          <w:numId w:val="8"/>
        </w:numPr>
        <w:tabs>
          <w:tab w:val="left" w:pos="851"/>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产品存续期：指自理财产品成立日起，至理财产品终止日的期间。</w:t>
      </w:r>
    </w:p>
    <w:p>
      <w:pPr>
        <w:numPr>
          <w:ilvl w:val="0"/>
          <w:numId w:val="5"/>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其他</w:t>
      </w:r>
    </w:p>
    <w:p>
      <w:pPr>
        <w:numPr>
          <w:ilvl w:val="0"/>
          <w:numId w:val="9"/>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元：指人民币元。</w:t>
      </w:r>
    </w:p>
    <w:p>
      <w:pPr>
        <w:numPr>
          <w:ilvl w:val="0"/>
          <w:numId w:val="9"/>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适用法律：指在理财销售文件签署日和履行过程中，中国（不包括香港特别行政区、澳门特别行政区和台湾地区）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numPr>
          <w:ilvl w:val="0"/>
          <w:numId w:val="9"/>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不可抗力：指理财产品合同各方当事人所不能预见、不能避免且不能克服的客观情况，使得任何一方当事人无法及时履行理财合同的全部或部分义务，该类事件包括但不限于：</w:t>
      </w:r>
    </w:p>
    <w:p>
      <w:pPr>
        <w:numPr>
          <w:ilvl w:val="0"/>
          <w:numId w:val="10"/>
        </w:numPr>
        <w:tabs>
          <w:tab w:val="left" w:pos="728"/>
        </w:tabs>
        <w:ind w:left="420" w:leftChars="200"/>
        <w:rPr>
          <w:rFonts w:ascii="楷体" w:hAnsi="楷体" w:eastAsia="楷体" w:cs="Calibri"/>
          <w:sz w:val="24"/>
          <w:szCs w:val="24"/>
          <w:highlight w:val="none"/>
        </w:rPr>
      </w:pPr>
      <w:r>
        <w:rPr>
          <w:rFonts w:hint="eastAsia" w:ascii="楷体" w:hAnsi="楷体" w:eastAsia="楷体" w:cs="Calibri"/>
          <w:sz w:val="24"/>
          <w:szCs w:val="24"/>
          <w:highlight w:val="none"/>
        </w:rPr>
        <w:t>地震、海啸、台风、洪水、火灾、停电、严重传染病等；</w:t>
      </w:r>
    </w:p>
    <w:p>
      <w:pPr>
        <w:numPr>
          <w:ilvl w:val="0"/>
          <w:numId w:val="10"/>
        </w:numPr>
        <w:tabs>
          <w:tab w:val="left" w:pos="728"/>
        </w:tabs>
        <w:ind w:left="420" w:leftChars="200"/>
        <w:rPr>
          <w:rFonts w:ascii="楷体" w:hAnsi="楷体" w:eastAsia="楷体" w:cs="Calibri"/>
          <w:sz w:val="24"/>
          <w:szCs w:val="24"/>
          <w:highlight w:val="none"/>
        </w:rPr>
      </w:pPr>
      <w:r>
        <w:rPr>
          <w:rFonts w:hint="eastAsia" w:ascii="楷体" w:hAnsi="楷体" w:eastAsia="楷体" w:cs="Calibri"/>
          <w:sz w:val="24"/>
          <w:szCs w:val="24"/>
          <w:highlight w:val="none"/>
        </w:rPr>
        <w:t>战争、政变、恐怖主义、骚乱、罢工等；</w:t>
      </w:r>
    </w:p>
    <w:p>
      <w:pPr>
        <w:numPr>
          <w:ilvl w:val="255"/>
          <w:numId w:val="0"/>
        </w:numPr>
        <w:tabs>
          <w:tab w:val="left" w:pos="728"/>
        </w:tabs>
        <w:ind w:firstLine="408" w:firstLineChars="170"/>
        <w:rPr>
          <w:rFonts w:ascii="楷体" w:hAnsi="楷体" w:eastAsia="楷体" w:cs="Calibri"/>
          <w:sz w:val="24"/>
          <w:szCs w:val="24"/>
          <w:highlight w:val="none"/>
        </w:rPr>
      </w:pPr>
      <w:r>
        <w:rPr>
          <w:rFonts w:hint="eastAsia" w:ascii="楷体" w:hAnsi="楷体" w:eastAsia="楷体" w:cs="Calibri"/>
          <w:sz w:val="24"/>
          <w:szCs w:val="24"/>
          <w:highlight w:val="none"/>
        </w:rPr>
        <w:t>（3）新的法律法规、国家政策颁布实施导致原适用的法律法规、国家政策失效；</w:t>
      </w:r>
    </w:p>
    <w:p>
      <w:pPr>
        <w:numPr>
          <w:ilvl w:val="255"/>
          <w:numId w:val="0"/>
        </w:numPr>
        <w:tabs>
          <w:tab w:val="left" w:pos="728"/>
        </w:tabs>
        <w:ind w:firstLine="408" w:firstLineChars="170"/>
        <w:rPr>
          <w:rFonts w:ascii="楷体" w:hAnsi="楷体" w:eastAsia="楷体" w:cs="Calibri"/>
          <w:sz w:val="24"/>
          <w:szCs w:val="24"/>
          <w:highlight w:val="none"/>
        </w:rPr>
      </w:pPr>
      <w:r>
        <w:rPr>
          <w:rFonts w:hint="eastAsia" w:ascii="楷体" w:hAnsi="楷体" w:eastAsia="楷体" w:cs="Calibri"/>
          <w:sz w:val="24"/>
          <w:szCs w:val="24"/>
          <w:highlight w:val="none"/>
        </w:rPr>
        <w:t>（4）因不可归咎于理财产品合同当事人的事由，金融监管机构强制要求终止该理财产品；</w:t>
      </w:r>
    </w:p>
    <w:p>
      <w:pPr>
        <w:tabs>
          <w:tab w:val="left" w:pos="728"/>
        </w:tabs>
        <w:ind w:firstLine="408" w:firstLineChars="170"/>
        <w:rPr>
          <w:rFonts w:ascii="楷体" w:hAnsi="楷体" w:eastAsia="楷体" w:cs="Calibri"/>
          <w:sz w:val="24"/>
          <w:szCs w:val="24"/>
          <w:highlight w:val="none"/>
        </w:rPr>
      </w:pPr>
      <w:r>
        <w:rPr>
          <w:rFonts w:hint="eastAsia" w:ascii="楷体" w:hAnsi="楷体" w:eastAsia="楷体" w:cs="Calibri"/>
          <w:sz w:val="24"/>
          <w:szCs w:val="24"/>
          <w:highlight w:val="none"/>
        </w:rPr>
        <w:t>（5）网络系统遭受攻击、电信部门技术调整或故障等原因导致的服务中断和延迟等。</w:t>
      </w:r>
    </w:p>
    <w:p>
      <w:pPr>
        <w:tabs>
          <w:tab w:val="left" w:pos="1134"/>
        </w:tabs>
        <w:ind w:left="420" w:leftChars="200"/>
        <w:outlineLvl w:val="0"/>
        <w:rPr>
          <w:rFonts w:ascii="楷体" w:hAnsi="楷体" w:eastAsia="楷体"/>
          <w:b/>
          <w:sz w:val="28"/>
          <w:szCs w:val="28"/>
          <w:highlight w:val="none"/>
        </w:rPr>
      </w:pPr>
      <w:r>
        <w:rPr>
          <w:rFonts w:hint="eastAsia" w:ascii="楷体" w:hAnsi="楷体" w:eastAsia="楷体"/>
          <w:b/>
          <w:sz w:val="28"/>
          <w:szCs w:val="28"/>
          <w:highlight w:val="none"/>
        </w:rPr>
        <w:t>六、风险评级</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本理财产品经苏银理财内部风险评级为</w:t>
      </w:r>
      <w:r>
        <w:rPr>
          <w:rFonts w:hint="eastAsia" w:ascii="楷体" w:hAnsi="楷体" w:eastAsia="楷体"/>
          <w:b/>
          <w:sz w:val="24"/>
          <w:szCs w:val="24"/>
          <w:highlight w:val="none"/>
          <w:u w:val="single"/>
        </w:rPr>
        <w:t>★一级，适合低风险型投资者，适合投资策略为风险控制的投资者</w:t>
      </w:r>
      <w:r>
        <w:rPr>
          <w:rFonts w:hint="eastAsia" w:ascii="楷体" w:hAnsi="楷体" w:eastAsia="楷体"/>
          <w:sz w:val="24"/>
          <w:szCs w:val="24"/>
          <w:highlight w:val="none"/>
        </w:rPr>
        <w:t>。本评级为苏银理财有限责任公司内部评级，由苏银理财根据理财产品的投资组合、同类产品过往业绩和风险状况等因素，对理财产品进行评级，仅供客户参考。</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销售评级与苏银理财产品评级结果不一致的，代理销售机构应当采用对应较高风险等级的评级结果并予以披露。</w:t>
      </w:r>
    </w:p>
    <w:p>
      <w:pPr>
        <w:ind w:firstLine="482" w:firstLineChars="200"/>
        <w:rPr>
          <w:rFonts w:ascii="楷体" w:hAnsi="楷体" w:eastAsia="楷体"/>
          <w:b/>
          <w:sz w:val="24"/>
          <w:szCs w:val="24"/>
          <w:highlight w:val="none"/>
          <w:u w:val="single"/>
        </w:rPr>
      </w:pPr>
      <w:r>
        <w:rPr>
          <w:rFonts w:hint="eastAsia" w:ascii="楷体" w:hAnsi="楷体" w:eastAsia="楷体"/>
          <w:b/>
          <w:bCs/>
          <w:sz w:val="24"/>
          <w:szCs w:val="24"/>
          <w:highlight w:val="none"/>
          <w:u w:val="single"/>
        </w:rPr>
        <w:t>如本产品通过代理销售机构渠道销售</w:t>
      </w:r>
      <w:r>
        <w:rPr>
          <w:rFonts w:hint="eastAsia" w:ascii="楷体" w:hAnsi="楷体" w:eastAsia="楷体"/>
          <w:b/>
          <w:sz w:val="24"/>
          <w:szCs w:val="24"/>
          <w:highlight w:val="none"/>
          <w:u w:val="single"/>
        </w:rPr>
        <w:t>，理财产品评级以代理销售机构最终披露的评级结果为准。</w:t>
      </w:r>
    </w:p>
    <w:p>
      <w:pPr>
        <w:ind w:firstLine="480" w:firstLineChars="200"/>
        <w:rPr>
          <w:rFonts w:ascii="楷体" w:hAnsi="楷体" w:eastAsia="楷体"/>
          <w:b/>
          <w:sz w:val="24"/>
          <w:szCs w:val="24"/>
          <w:highlight w:val="none"/>
          <w:u w:val="single"/>
        </w:rPr>
      </w:pPr>
      <w:r>
        <w:rPr>
          <w:rFonts w:hint="eastAsia" w:ascii="楷体" w:hAnsi="楷体" w:eastAsia="楷体"/>
          <w:sz w:val="24"/>
          <w:szCs w:val="24"/>
          <w:highlight w:val="none"/>
        </w:rPr>
        <w:t>销售机构负责完成投资者风险承受能力评估，并在遵循投资者适当性原则的前提下进行本理财产品的销售活动。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842"/>
        <w:gridCol w:w="2268"/>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143" w:type="dxa"/>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风险星级</w:t>
            </w:r>
          </w:p>
        </w:tc>
        <w:tc>
          <w:tcPr>
            <w:tcW w:w="1842" w:type="dxa"/>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风险级别</w:t>
            </w:r>
          </w:p>
        </w:tc>
        <w:tc>
          <w:tcPr>
            <w:tcW w:w="2268" w:type="dxa"/>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适合的投资者类别</w:t>
            </w:r>
          </w:p>
        </w:tc>
        <w:tc>
          <w:tcPr>
            <w:tcW w:w="2084" w:type="dxa"/>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143" w:type="dxa"/>
            <w:tcBorders>
              <w:bottom w:val="single" w:color="auto" w:sz="4" w:space="0"/>
            </w:tcBorders>
            <w:vAlign w:val="bottom"/>
          </w:tcPr>
          <w:p>
            <w:pPr>
              <w:autoSpaceDE w:val="0"/>
              <w:autoSpaceDN w:val="0"/>
              <w:adjustRightInd w:val="0"/>
              <w:jc w:val="center"/>
              <w:rPr>
                <w:rFonts w:ascii="楷体" w:hAnsi="楷体" w:eastAsia="楷体" w:cs="浠垮畫"/>
                <w:b/>
                <w:bCs/>
                <w:kern w:val="0"/>
                <w:sz w:val="24"/>
                <w:szCs w:val="24"/>
                <w:highlight w:val="none"/>
              </w:rPr>
            </w:pPr>
            <w:r>
              <w:rPr>
                <w:rFonts w:hint="eastAsia" w:ascii="楷体" w:hAnsi="楷体" w:eastAsia="楷体" w:cs="浠垮畫"/>
                <w:b/>
                <w:bCs/>
                <w:kern w:val="0"/>
                <w:sz w:val="24"/>
                <w:szCs w:val="24"/>
                <w:highlight w:val="none"/>
              </w:rPr>
              <w:t>★</w:t>
            </w:r>
          </w:p>
        </w:tc>
        <w:tc>
          <w:tcPr>
            <w:tcW w:w="1842" w:type="dxa"/>
            <w:tcBorders>
              <w:bottom w:val="single" w:color="auto" w:sz="4" w:space="0"/>
            </w:tcBorders>
            <w:vAlign w:val="center"/>
          </w:tcPr>
          <w:p>
            <w:pPr>
              <w:autoSpaceDE w:val="0"/>
              <w:autoSpaceDN w:val="0"/>
              <w:adjustRightInd w:val="0"/>
              <w:jc w:val="center"/>
              <w:rPr>
                <w:rFonts w:ascii="楷体" w:hAnsi="楷体" w:eastAsia="楷体" w:cs="浠垮畫"/>
                <w:b/>
                <w:bCs/>
                <w:kern w:val="0"/>
                <w:sz w:val="24"/>
                <w:szCs w:val="24"/>
                <w:highlight w:val="none"/>
              </w:rPr>
            </w:pPr>
            <w:r>
              <w:rPr>
                <w:rFonts w:hint="eastAsia" w:ascii="楷体" w:hAnsi="楷体" w:eastAsia="楷体" w:cs="浠垮畫"/>
                <w:b/>
                <w:bCs/>
                <w:kern w:val="0"/>
                <w:sz w:val="24"/>
                <w:szCs w:val="24"/>
                <w:highlight w:val="none"/>
              </w:rPr>
              <w:t>一级（PR1）</w:t>
            </w:r>
          </w:p>
        </w:tc>
        <w:tc>
          <w:tcPr>
            <w:tcW w:w="2268" w:type="dxa"/>
            <w:tcBorders>
              <w:bottom w:val="single" w:color="auto" w:sz="4" w:space="0"/>
            </w:tcBorders>
            <w:vAlign w:val="center"/>
          </w:tcPr>
          <w:p>
            <w:pPr>
              <w:autoSpaceDE w:val="0"/>
              <w:autoSpaceDN w:val="0"/>
              <w:adjustRightInd w:val="0"/>
              <w:jc w:val="center"/>
              <w:rPr>
                <w:rFonts w:ascii="楷体" w:hAnsi="楷体" w:eastAsia="楷体" w:cs="浠垮畫"/>
                <w:b/>
                <w:bCs/>
                <w:kern w:val="0"/>
                <w:sz w:val="24"/>
                <w:szCs w:val="24"/>
                <w:highlight w:val="none"/>
              </w:rPr>
            </w:pPr>
            <w:r>
              <w:rPr>
                <w:rFonts w:hint="eastAsia" w:ascii="楷体" w:hAnsi="楷体" w:eastAsia="楷体" w:cs="浠垮畫"/>
                <w:b/>
                <w:bCs/>
                <w:kern w:val="0"/>
                <w:sz w:val="24"/>
                <w:szCs w:val="24"/>
                <w:highlight w:val="none"/>
              </w:rPr>
              <w:t>低风险型</w:t>
            </w:r>
          </w:p>
        </w:tc>
        <w:tc>
          <w:tcPr>
            <w:tcW w:w="2084" w:type="dxa"/>
            <w:tcBorders>
              <w:bottom w:val="single" w:color="auto" w:sz="4" w:space="0"/>
            </w:tcBorders>
            <w:vAlign w:val="center"/>
          </w:tcPr>
          <w:p>
            <w:pPr>
              <w:autoSpaceDE w:val="0"/>
              <w:autoSpaceDN w:val="0"/>
              <w:adjustRightInd w:val="0"/>
              <w:jc w:val="center"/>
              <w:rPr>
                <w:rFonts w:ascii="楷体" w:hAnsi="楷体" w:eastAsia="楷体" w:cs="浠垮畫"/>
                <w:b/>
                <w:bCs/>
                <w:kern w:val="0"/>
                <w:sz w:val="24"/>
                <w:szCs w:val="24"/>
                <w:highlight w:val="none"/>
              </w:rPr>
            </w:pPr>
            <w:r>
              <w:rPr>
                <w:rFonts w:hint="eastAsia" w:ascii="楷体" w:hAnsi="楷体" w:eastAsia="楷体" w:cs="浠垮畫"/>
                <w:b/>
                <w:bCs/>
                <w:kern w:val="0"/>
                <w:sz w:val="24"/>
                <w:szCs w:val="24"/>
                <w:highlight w:val="none"/>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143" w:type="dxa"/>
            <w:shd w:val="clear" w:color="auto" w:fill="FFFFFF"/>
            <w:vAlign w:val="bottom"/>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w:t>
            </w:r>
          </w:p>
        </w:tc>
        <w:tc>
          <w:tcPr>
            <w:tcW w:w="1842" w:type="dxa"/>
            <w:shd w:val="clear" w:color="auto" w:fill="FFFFFF"/>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二级（PR2）</w:t>
            </w:r>
          </w:p>
        </w:tc>
        <w:tc>
          <w:tcPr>
            <w:tcW w:w="2268" w:type="dxa"/>
            <w:shd w:val="clear" w:color="auto" w:fill="FFFFFF"/>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中低风险型</w:t>
            </w:r>
          </w:p>
        </w:tc>
        <w:tc>
          <w:tcPr>
            <w:tcW w:w="2084" w:type="dxa"/>
            <w:shd w:val="clear" w:color="auto" w:fill="FFFFFF"/>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143" w:type="dxa"/>
            <w:shd w:val="clear" w:color="FFFFFF" w:fill="FFFFFF"/>
            <w:vAlign w:val="bottom"/>
          </w:tcPr>
          <w:p>
            <w:pPr>
              <w:autoSpaceDE w:val="0"/>
              <w:autoSpaceDN w:val="0"/>
              <w:adjustRightInd w:val="0"/>
              <w:jc w:val="center"/>
              <w:rPr>
                <w:rFonts w:ascii="楷体" w:hAnsi="楷体" w:eastAsia="楷体" w:cs="浠垮畫"/>
                <w:b/>
                <w:kern w:val="0"/>
                <w:sz w:val="24"/>
                <w:szCs w:val="24"/>
                <w:highlight w:val="none"/>
              </w:rPr>
            </w:pPr>
            <w:r>
              <w:rPr>
                <w:rFonts w:hint="eastAsia" w:ascii="楷体" w:hAnsi="楷体" w:eastAsia="楷体" w:cs="浠垮畫"/>
                <w:b/>
                <w:kern w:val="0"/>
                <w:sz w:val="24"/>
                <w:szCs w:val="24"/>
                <w:highlight w:val="none"/>
              </w:rPr>
              <w:t>★★★</w:t>
            </w:r>
          </w:p>
        </w:tc>
        <w:tc>
          <w:tcPr>
            <w:tcW w:w="1842" w:type="dxa"/>
            <w:shd w:val="clear" w:color="FFFFFF" w:fill="FFFFFF"/>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三级（PR3）</w:t>
            </w:r>
          </w:p>
        </w:tc>
        <w:tc>
          <w:tcPr>
            <w:tcW w:w="2268" w:type="dxa"/>
            <w:shd w:val="clear" w:color="FFFFFF" w:fill="FFFFFF"/>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中风险型</w:t>
            </w:r>
          </w:p>
        </w:tc>
        <w:tc>
          <w:tcPr>
            <w:tcW w:w="2084" w:type="dxa"/>
            <w:shd w:val="clear" w:color="FFFFFF" w:fill="FFFFFF"/>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143" w:type="dxa"/>
            <w:vAlign w:val="bottom"/>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w:t>
            </w:r>
          </w:p>
        </w:tc>
        <w:tc>
          <w:tcPr>
            <w:tcW w:w="1842" w:type="dxa"/>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四级（PR4）</w:t>
            </w:r>
          </w:p>
        </w:tc>
        <w:tc>
          <w:tcPr>
            <w:tcW w:w="2268" w:type="dxa"/>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中高风险型</w:t>
            </w:r>
          </w:p>
        </w:tc>
        <w:tc>
          <w:tcPr>
            <w:tcW w:w="2084" w:type="dxa"/>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143" w:type="dxa"/>
            <w:vAlign w:val="bottom"/>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w:t>
            </w:r>
          </w:p>
        </w:tc>
        <w:tc>
          <w:tcPr>
            <w:tcW w:w="1842" w:type="dxa"/>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五级（PR5）</w:t>
            </w:r>
          </w:p>
        </w:tc>
        <w:tc>
          <w:tcPr>
            <w:tcW w:w="2268" w:type="dxa"/>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高风险型</w:t>
            </w:r>
          </w:p>
        </w:tc>
        <w:tc>
          <w:tcPr>
            <w:tcW w:w="2084" w:type="dxa"/>
            <w:vAlign w:val="center"/>
          </w:tcPr>
          <w:p>
            <w:pPr>
              <w:autoSpaceDE w:val="0"/>
              <w:autoSpaceDN w:val="0"/>
              <w:adjustRightInd w:val="0"/>
              <w:jc w:val="center"/>
              <w:rPr>
                <w:rFonts w:ascii="楷体" w:hAnsi="楷体" w:eastAsia="楷体" w:cs="浠垮畫"/>
                <w:kern w:val="0"/>
                <w:sz w:val="24"/>
                <w:szCs w:val="24"/>
                <w:highlight w:val="none"/>
              </w:rPr>
            </w:pPr>
            <w:r>
              <w:rPr>
                <w:rFonts w:hint="eastAsia" w:ascii="楷体" w:hAnsi="楷体" w:eastAsia="楷体" w:cs="浠垮畫"/>
                <w:kern w:val="0"/>
                <w:sz w:val="24"/>
                <w:szCs w:val="24"/>
                <w:highlight w:val="none"/>
              </w:rPr>
              <w:t>风险承受</w:t>
            </w:r>
          </w:p>
        </w:tc>
      </w:tr>
    </w:tbl>
    <w:p>
      <w:pPr>
        <w:tabs>
          <w:tab w:val="left" w:pos="1134"/>
        </w:tabs>
        <w:ind w:left="420" w:leftChars="200"/>
        <w:outlineLvl w:val="0"/>
        <w:rPr>
          <w:rFonts w:ascii="楷体" w:hAnsi="楷体" w:eastAsia="楷体"/>
          <w:b/>
          <w:sz w:val="28"/>
          <w:szCs w:val="28"/>
          <w:highlight w:val="none"/>
        </w:rPr>
      </w:pPr>
      <w:r>
        <w:rPr>
          <w:rFonts w:hint="eastAsia" w:ascii="楷体" w:hAnsi="楷体" w:eastAsia="楷体"/>
          <w:b/>
          <w:sz w:val="28"/>
          <w:szCs w:val="28"/>
          <w:highlight w:val="none"/>
        </w:rPr>
        <w:t>七、投资管理</w:t>
      </w:r>
    </w:p>
    <w:p>
      <w:pPr>
        <w:numPr>
          <w:ilvl w:val="0"/>
          <w:numId w:val="11"/>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投资范围和比例</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本理财产品将募集资金100%投资于法律法规及银行业监督管理机构允许投资的金融工具，包括现金；期限在一年以内（含一年）的银行存款、债券回购、中央银行票据、同业存单；剩余期限在</w:t>
      </w:r>
      <w:r>
        <w:rPr>
          <w:rFonts w:ascii="楷体" w:hAnsi="楷体" w:eastAsia="楷体"/>
          <w:sz w:val="24"/>
          <w:szCs w:val="24"/>
          <w:highlight w:val="none"/>
        </w:rPr>
        <w:t>397天以内（含397天）的债券、</w:t>
      </w:r>
      <w:r>
        <w:rPr>
          <w:rFonts w:hint="eastAsia" w:ascii="楷体" w:hAnsi="楷体" w:eastAsia="楷体"/>
          <w:sz w:val="24"/>
          <w:szCs w:val="24"/>
          <w:highlight w:val="none"/>
        </w:rPr>
        <w:t>在银行间市场和证券交易所市场发行的资产支持证券，以及银行业监督管理机构认可的其他具有良好流动性的货币市场工具。管理人可直接或间接通过各类资管计划投资于上述资产。</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非因管理人主观因素导致突破前述比例限制的，管理人将在流动性受限资产可出售、可转让或者恢复交易的</w:t>
      </w:r>
      <w:r>
        <w:rPr>
          <w:rFonts w:ascii="楷体" w:hAnsi="楷体" w:eastAsia="楷体"/>
          <w:sz w:val="24"/>
          <w:szCs w:val="24"/>
          <w:highlight w:val="none"/>
        </w:rPr>
        <w:t>15个交易日</w:t>
      </w:r>
      <w:r>
        <w:rPr>
          <w:rFonts w:hint="eastAsia" w:ascii="楷体" w:hAnsi="楷体" w:eastAsia="楷体"/>
          <w:sz w:val="24"/>
          <w:szCs w:val="24"/>
          <w:highlight w:val="none"/>
        </w:rPr>
        <w:t>内调整至符合相关要求。相关法律法规和监管部门对以上投资范围和配置比例有另行规定的，按照监管最新规定执行。</w:t>
      </w:r>
    </w:p>
    <w:p>
      <w:pPr>
        <w:numPr>
          <w:ilvl w:val="0"/>
          <w:numId w:val="11"/>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投资限制</w:t>
      </w:r>
    </w:p>
    <w:p>
      <w:pPr>
        <w:ind w:firstLine="482" w:firstLineChars="200"/>
        <w:rPr>
          <w:rFonts w:ascii="楷体" w:hAnsi="楷体" w:eastAsia="楷体" w:cs="Calibri"/>
          <w:b/>
          <w:sz w:val="24"/>
          <w:szCs w:val="24"/>
          <w:highlight w:val="none"/>
          <w:u w:val="single"/>
        </w:rPr>
      </w:pPr>
      <w:r>
        <w:rPr>
          <w:rFonts w:ascii="楷体" w:hAnsi="楷体" w:eastAsia="楷体" w:cs="Calibri"/>
          <w:b/>
          <w:sz w:val="24"/>
          <w:szCs w:val="24"/>
          <w:highlight w:val="none"/>
          <w:u w:val="single"/>
        </w:rPr>
        <w:t>1</w:t>
      </w:r>
      <w:r>
        <w:rPr>
          <w:rFonts w:hint="eastAsia" w:ascii="楷体" w:hAnsi="楷体" w:eastAsia="楷体" w:cs="Calibri"/>
          <w:b/>
          <w:sz w:val="24"/>
          <w:szCs w:val="24"/>
          <w:highlight w:val="none"/>
          <w:u w:val="single"/>
        </w:rPr>
        <w:t>．本理财产品的投资集中度要求如下：</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（1）本理财产品投资于单只证券或单只公募证券投资基金的市值不超过本产品净资产的10%。投资于国债、地方政府债、央票、政府机构债、政策性银行债的除外。</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（2）管理人发行的全部公募理财产品投资单只证券或者单只证券投资基金的市值不得超过该证券市值或者证券投资基金市值的30%。</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（3）本理财产品投资于同一机构发行的债券及其作为原始权益人的资产支持证券的比例合计不得超过本理财产品资产净值的10%，投资于国债、中央银行票据、政策性金融债券的除外。</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4）本理财产品投资于所有主体信用评级低于AAA的机构发行的金融工具的比例合计不得超过本理财产品资产净值的10%，其中单一机构发行的金融工具的比例合计不得超过本理财产品资产净值的2%；本款所称金融工具包括债券、银行存款、同业存单、相关机构作为原始权益人的资产支持证券及监管机构认可的其他金融工具。</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5）本理财产品投资于有固定期限银行存款的比例合计不得超过本理财产品资产净值的30%，投资于有存款期限，根据协议可提前支取的银行存款除外；本理财产品投资于主体信用评级为AAA的同一商业银行的银行存款、同业存单占本理财产品资产净值的比例合计不得超过20%。</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（6）管理人管理的全部现金管理类产品投资于同一商业银行的存款、同业存单和债券，不得超过该商业银行最近一个季度末净资产的10%。</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因非管理人主观因素致使不符合上述第（1）项、第（2）项比例限制的，管理人将在流动性受限资产可出售、可转让或者恢复交易的10个交易日内调整至符合相关要求。</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因非管理人主观因素导致突破上述第（3）项至第（6）项比例限制的，管理人应当在10个交易日内调整至符合要求，监管机构规定的特殊情形除外。</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本理财产品拟投资于主体信用评级低于AA＋的商业银行的银行存款与同业存单的，应当经管理人董事会审议批准，相关交易应当事先告知托管人，并作为重大事项履行信息披露程序。</w:t>
      </w:r>
    </w:p>
    <w:p>
      <w:pPr>
        <w:ind w:firstLine="482" w:firstLineChars="200"/>
        <w:rPr>
          <w:rFonts w:ascii="楷体" w:hAnsi="楷体" w:eastAsia="楷体" w:cs="Calibri"/>
          <w:b/>
          <w:sz w:val="24"/>
          <w:szCs w:val="24"/>
          <w:highlight w:val="none"/>
          <w:u w:val="single"/>
        </w:rPr>
      </w:pPr>
      <w:r>
        <w:rPr>
          <w:rFonts w:ascii="楷体" w:hAnsi="楷体" w:eastAsia="楷体" w:cs="Calibri"/>
          <w:b/>
          <w:sz w:val="24"/>
          <w:szCs w:val="24"/>
          <w:highlight w:val="none"/>
          <w:u w:val="single"/>
        </w:rPr>
        <w:t>2</w:t>
      </w:r>
      <w:r>
        <w:rPr>
          <w:rFonts w:hint="eastAsia" w:ascii="楷体" w:hAnsi="楷体" w:eastAsia="楷体" w:cs="Calibri"/>
          <w:b/>
          <w:sz w:val="24"/>
          <w:szCs w:val="24"/>
          <w:highlight w:val="none"/>
          <w:u w:val="single"/>
        </w:rPr>
        <w:t>．本理财产品不得投资以下金融工具：</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（1）股票；</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（2）可转换债券、可交换债券；</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（3）以定期存款利率为基准利率的浮动利率债券，已进入最后一个利率调整期的除外；</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（4）信用等级在AA＋以下的债券、资产支持证券；</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（5）</w:t>
      </w:r>
      <w:r>
        <w:rPr>
          <w:rFonts w:hint="eastAsia" w:ascii="楷体" w:hAnsi="楷体" w:eastAsia="楷体"/>
          <w:sz w:val="24"/>
          <w:szCs w:val="24"/>
          <w:highlight w:val="none"/>
        </w:rPr>
        <w:t>金融监管总局</w:t>
      </w:r>
      <w:r>
        <w:rPr>
          <w:rFonts w:hint="eastAsia" w:ascii="楷体" w:hAnsi="楷体" w:eastAsia="楷体" w:cs="Calibri"/>
          <w:sz w:val="24"/>
          <w:szCs w:val="24"/>
          <w:highlight w:val="none"/>
        </w:rPr>
        <w:t>、中国人民银行禁止投资的其他金融工具。</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前述债券的信用等级应当主要参照最近一个会计年度的主体信用评级，如果对发行人同时有两家以上境内评级机构评级的，应当选择使用评级较低、违约概率较大的外部评级结果，并结合管理人内部评级进行独立判断和认定。</w:t>
      </w:r>
    </w:p>
    <w:p>
      <w:pPr>
        <w:ind w:firstLine="482" w:firstLineChars="200"/>
        <w:rPr>
          <w:rFonts w:ascii="楷体" w:hAnsi="楷体" w:eastAsia="楷体" w:cs="Calibri"/>
          <w:b/>
          <w:sz w:val="24"/>
          <w:szCs w:val="24"/>
          <w:highlight w:val="none"/>
          <w:u w:val="single"/>
        </w:rPr>
      </w:pPr>
      <w:r>
        <w:rPr>
          <w:rFonts w:ascii="楷体" w:hAnsi="楷体" w:eastAsia="楷体" w:cs="Calibri"/>
          <w:b/>
          <w:sz w:val="24"/>
          <w:szCs w:val="24"/>
          <w:highlight w:val="none"/>
          <w:u w:val="single"/>
        </w:rPr>
        <w:t>3</w:t>
      </w:r>
      <w:r>
        <w:rPr>
          <w:rFonts w:hint="eastAsia" w:ascii="楷体" w:hAnsi="楷体" w:eastAsia="楷体" w:cs="Calibri"/>
          <w:b/>
          <w:sz w:val="24"/>
          <w:szCs w:val="24"/>
          <w:highlight w:val="none"/>
          <w:u w:val="single"/>
        </w:rPr>
        <w:t>．本产品应当确保持有足够的具有良好流动性的资产，并符合以下要求：</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（1）本理财产品持有不低于本理财产品资产净值5%的现金、国债、中央银行票据、政策性金融债券。</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（2）本理财产品持有不低于本理财产品资产净值10%的现金、国债、中央银行票据、政策性金融债券以及五个交易日内到期的其他金融工具。</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3）本理财产品投资到期日在10个交易日以上的债券买入返售、银行定期存款（含协议约定有条件提前支取的银行存款），以及资产支持证券、因发行人债务违约无法进行转让或者交易的债券等由于法律法规、合同或者操作障碍等原因无法以合理价格予以变现的流动性受限资产，合计不得超过该产品资产净值的10%。</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w:t>
      </w:r>
      <w:r>
        <w:rPr>
          <w:rFonts w:ascii="楷体" w:hAnsi="楷体" w:eastAsia="楷体" w:cs="Calibri"/>
          <w:sz w:val="24"/>
          <w:szCs w:val="24"/>
          <w:highlight w:val="none"/>
        </w:rPr>
        <w:t>4）本理财产品的杠杆水平不得超过120%，发生巨额赎回、连续3个交易日累计赎回20%以上或者连续5个交易日累计赎回30%以上的情形除外。</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因非管理人主观因素导致突破上述第（</w:t>
      </w:r>
      <w:r>
        <w:rPr>
          <w:rFonts w:ascii="楷体" w:hAnsi="楷体" w:eastAsia="楷体" w:cs="Calibri"/>
          <w:sz w:val="24"/>
          <w:szCs w:val="24"/>
          <w:highlight w:val="none"/>
        </w:rPr>
        <w:t>2）项、第（4）项比例限制的，</w:t>
      </w:r>
      <w:r>
        <w:rPr>
          <w:rFonts w:hint="eastAsia" w:ascii="楷体" w:hAnsi="楷体" w:eastAsia="楷体" w:cs="Calibri"/>
          <w:sz w:val="24"/>
          <w:szCs w:val="24"/>
          <w:highlight w:val="none"/>
        </w:rPr>
        <w:t>管理人应当在</w:t>
      </w:r>
      <w:r>
        <w:rPr>
          <w:rFonts w:ascii="楷体" w:hAnsi="楷体" w:eastAsia="楷体" w:cs="Calibri"/>
          <w:sz w:val="24"/>
          <w:szCs w:val="24"/>
          <w:highlight w:val="none"/>
        </w:rPr>
        <w:t>10个交易日</w:t>
      </w:r>
      <w:r>
        <w:rPr>
          <w:rFonts w:hint="eastAsia" w:ascii="楷体" w:hAnsi="楷体" w:eastAsia="楷体" w:cs="Calibri"/>
          <w:sz w:val="24"/>
          <w:szCs w:val="24"/>
          <w:highlight w:val="none"/>
        </w:rPr>
        <w:t>内调整至符合要求；因非管理人主观因素导致突破上述第（3）项比例限制的，管理人不得主动新增流动性受限资产的投资。</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4</w:t>
      </w:r>
      <w:r>
        <w:rPr>
          <w:rFonts w:ascii="楷体" w:hAnsi="楷体" w:eastAsia="楷体" w:cs="Calibri"/>
          <w:sz w:val="24"/>
          <w:szCs w:val="24"/>
          <w:highlight w:val="none"/>
        </w:rPr>
        <w:t>.</w:t>
      </w:r>
      <w:r>
        <w:rPr>
          <w:rFonts w:hint="eastAsia"/>
          <w:highlight w:val="none"/>
        </w:rPr>
        <w:t xml:space="preserve"> </w:t>
      </w:r>
      <w:r>
        <w:rPr>
          <w:rFonts w:hint="eastAsia" w:ascii="楷体" w:hAnsi="楷体" w:eastAsia="楷体" w:cs="Calibri"/>
          <w:sz w:val="24"/>
          <w:szCs w:val="24"/>
          <w:highlight w:val="none"/>
        </w:rPr>
        <w:t>本理财产品投资不存在活跃交易市场并且需要采用估值技术确定公允价值的资产比例不得达到或超过本理财产品净资产50%。非因管理人主观因素导致突破前款规定比例限制的,本理财产品不得新增投资上述资产。</w:t>
      </w:r>
    </w:p>
    <w:p>
      <w:pPr>
        <w:ind w:firstLine="482" w:firstLineChars="200"/>
        <w:rPr>
          <w:rFonts w:ascii="楷体" w:hAnsi="楷体" w:eastAsia="楷体" w:cs="Calibri"/>
          <w:b/>
          <w:sz w:val="24"/>
          <w:szCs w:val="24"/>
          <w:highlight w:val="none"/>
          <w:u w:val="single"/>
        </w:rPr>
      </w:pPr>
      <w:r>
        <w:rPr>
          <w:rFonts w:ascii="楷体" w:hAnsi="楷体" w:eastAsia="楷体" w:cs="Calibri"/>
          <w:b/>
          <w:sz w:val="24"/>
          <w:szCs w:val="24"/>
          <w:highlight w:val="none"/>
          <w:u w:val="single"/>
        </w:rPr>
        <w:t>5.</w:t>
      </w:r>
      <w:r>
        <w:rPr>
          <w:b/>
          <w:highlight w:val="none"/>
          <w:u w:val="single"/>
        </w:rPr>
        <w:t xml:space="preserve"> </w:t>
      </w:r>
      <w:r>
        <w:rPr>
          <w:rFonts w:hint="eastAsia" w:ascii="楷体" w:hAnsi="楷体" w:eastAsia="楷体" w:cs="Calibri"/>
          <w:b/>
          <w:sz w:val="24"/>
          <w:szCs w:val="24"/>
          <w:highlight w:val="none"/>
          <w:u w:val="single"/>
        </w:rPr>
        <w:t>在开放日前一工作日内，本理财产品</w:t>
      </w:r>
      <w:r>
        <w:rPr>
          <w:rFonts w:ascii="楷体" w:hAnsi="楷体" w:eastAsia="楷体" w:cs="Calibri"/>
          <w:b/>
          <w:sz w:val="24"/>
          <w:szCs w:val="24"/>
          <w:highlight w:val="none"/>
          <w:u w:val="single"/>
        </w:rPr>
        <w:t>7个工作日可变现资产的可变现价</w:t>
      </w:r>
      <w:r>
        <w:rPr>
          <w:rFonts w:hint="eastAsia" w:ascii="楷体" w:hAnsi="楷体" w:eastAsia="楷体" w:cs="Calibri"/>
          <w:b/>
          <w:sz w:val="24"/>
          <w:szCs w:val="24"/>
          <w:highlight w:val="none"/>
          <w:u w:val="single"/>
        </w:rPr>
        <w:t>值应当不低于本产品净资产的</w:t>
      </w:r>
      <w:r>
        <w:rPr>
          <w:rFonts w:ascii="楷体" w:hAnsi="楷体" w:eastAsia="楷体" w:cs="Calibri"/>
          <w:b/>
          <w:sz w:val="24"/>
          <w:szCs w:val="24"/>
          <w:highlight w:val="none"/>
          <w:u w:val="single"/>
        </w:rPr>
        <w:t>10%。</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6</w:t>
      </w:r>
      <w:r>
        <w:rPr>
          <w:rFonts w:ascii="楷体" w:hAnsi="楷体" w:eastAsia="楷体" w:cs="Calibri"/>
          <w:sz w:val="24"/>
          <w:szCs w:val="24"/>
          <w:highlight w:val="none"/>
        </w:rPr>
        <w:t>.</w:t>
      </w:r>
      <w:r>
        <w:rPr>
          <w:rFonts w:hint="eastAsia"/>
          <w:highlight w:val="none"/>
        </w:rPr>
        <w:t xml:space="preserve"> </w:t>
      </w:r>
      <w:r>
        <w:rPr>
          <w:rFonts w:hint="eastAsia" w:ascii="楷体" w:hAnsi="楷体" w:eastAsia="楷体" w:cs="Calibri"/>
          <w:b/>
          <w:sz w:val="24"/>
          <w:szCs w:val="24"/>
          <w:highlight w:val="none"/>
          <w:u w:val="single"/>
        </w:rPr>
        <w:t>本理财产品投资组合的平均剩余期限不得超过</w:t>
      </w:r>
      <w:r>
        <w:rPr>
          <w:rFonts w:ascii="楷体" w:hAnsi="楷体" w:eastAsia="楷体" w:cs="Calibri"/>
          <w:b/>
          <w:sz w:val="24"/>
          <w:szCs w:val="24"/>
          <w:highlight w:val="none"/>
          <w:u w:val="single"/>
        </w:rPr>
        <w:t>120天，平均剩余存续期限不得超过240</w:t>
      </w:r>
      <w:r>
        <w:rPr>
          <w:rFonts w:hint="eastAsia" w:ascii="楷体" w:hAnsi="楷体" w:eastAsia="楷体" w:cs="Calibri"/>
          <w:b/>
          <w:sz w:val="24"/>
          <w:szCs w:val="24"/>
          <w:highlight w:val="none"/>
          <w:u w:val="single"/>
        </w:rPr>
        <w:t>天。</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本理财产品</w:t>
      </w:r>
      <w:r>
        <w:rPr>
          <w:rFonts w:hint="eastAsia" w:ascii="楷体" w:hAnsi="楷体" w:eastAsia="楷体" w:cs="Calibri"/>
          <w:b/>
          <w:sz w:val="24"/>
          <w:szCs w:val="24"/>
          <w:highlight w:val="none"/>
        </w:rPr>
        <w:t>投资组合平均剩余期限</w:t>
      </w:r>
      <w:r>
        <w:rPr>
          <w:rFonts w:hint="eastAsia" w:ascii="楷体" w:hAnsi="楷体" w:eastAsia="楷体" w:cs="Calibri"/>
          <w:sz w:val="24"/>
          <w:szCs w:val="24"/>
          <w:highlight w:val="none"/>
        </w:rPr>
        <w:t>的计算公式为：</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（∑本理财产品的资产×剩余期限—∑本理财产品的负债×剩余期限＋债券卖出回购×剩余期限）/（本理财产品的资产—本理财产品的负债＋债券卖出回购）</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本理财产品</w:t>
      </w:r>
      <w:r>
        <w:rPr>
          <w:rFonts w:hint="eastAsia" w:ascii="楷体" w:hAnsi="楷体" w:eastAsia="楷体" w:cs="Calibri"/>
          <w:b/>
          <w:sz w:val="24"/>
          <w:szCs w:val="24"/>
          <w:highlight w:val="none"/>
        </w:rPr>
        <w:t>投资组合平均剩余存续期限</w:t>
      </w:r>
      <w:r>
        <w:rPr>
          <w:rFonts w:hint="eastAsia" w:ascii="楷体" w:hAnsi="楷体" w:eastAsia="楷体" w:cs="Calibri"/>
          <w:sz w:val="24"/>
          <w:szCs w:val="24"/>
          <w:highlight w:val="none"/>
        </w:rPr>
        <w:t>的计算公式为：</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（∑本理财产品的资产×剩余存续期限—∑本理财产品的负债×剩余存续期限＋债券卖出回购×剩余存续期限）/（本理财产品的资产—本理财产品的负债＋债券卖出回购）</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投资组合中债券的剩余期限和剩余存续期限是指计算日至债券到期日为止所剩余的天数，以下情况除外：</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允许投资的可变利率或者浮动利率债券的剩余期限以计算日至下一个利率调整日的实际剩余天数计算。</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允许投资的可变利率或者浮动利率债券的剩余存续期限以计算日至债券到期日的实际剩余天数计算。</w:t>
      </w:r>
    </w:p>
    <w:p>
      <w:pPr>
        <w:ind w:firstLine="482" w:firstLineChars="200"/>
        <w:rPr>
          <w:rFonts w:ascii="楷体" w:hAnsi="楷体" w:eastAsia="楷体" w:cs="Calibri"/>
          <w:sz w:val="24"/>
          <w:szCs w:val="24"/>
          <w:highlight w:val="none"/>
        </w:rPr>
      </w:pPr>
      <w:r>
        <w:rPr>
          <w:rFonts w:ascii="楷体" w:hAnsi="楷体" w:eastAsia="楷体" w:cs="Calibri"/>
          <w:b/>
          <w:sz w:val="24"/>
          <w:szCs w:val="24"/>
          <w:highlight w:val="none"/>
          <w:u w:val="single"/>
        </w:rPr>
        <w:t>7.</w:t>
      </w:r>
      <w:r>
        <w:rPr>
          <w:rFonts w:hint="eastAsia" w:ascii="楷体" w:hAnsi="楷体" w:eastAsia="楷体" w:cs="Calibri"/>
          <w:b/>
          <w:sz w:val="24"/>
          <w:szCs w:val="24"/>
          <w:highlight w:val="none"/>
          <w:u w:val="single"/>
        </w:rPr>
        <w:t>管理人应根据投资者集中度情况对投资组合实施调整，并遵守以下要求</w:t>
      </w:r>
      <w:r>
        <w:rPr>
          <w:rFonts w:hint="eastAsia" w:ascii="楷体" w:hAnsi="楷体" w:eastAsia="楷体" w:cs="Calibri"/>
          <w:sz w:val="24"/>
          <w:szCs w:val="24"/>
          <w:highlight w:val="none"/>
        </w:rPr>
        <w:t>：</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（1）当前1</w:t>
      </w:r>
      <w:r>
        <w:rPr>
          <w:rFonts w:ascii="楷体" w:hAnsi="楷体" w:eastAsia="楷体" w:cs="Calibri"/>
          <w:sz w:val="24"/>
          <w:szCs w:val="24"/>
          <w:highlight w:val="none"/>
        </w:rPr>
        <w:t>0</w:t>
      </w:r>
      <w:r>
        <w:rPr>
          <w:rFonts w:hint="eastAsia" w:ascii="楷体" w:hAnsi="楷体" w:eastAsia="楷体" w:cs="Calibri"/>
          <w:sz w:val="24"/>
          <w:szCs w:val="24"/>
          <w:highlight w:val="none"/>
        </w:rPr>
        <w:t>名投资者的持有份额合计超过本理财产品总份额的</w:t>
      </w:r>
      <w:r>
        <w:rPr>
          <w:rFonts w:ascii="楷体" w:hAnsi="楷体" w:eastAsia="楷体" w:cs="Calibri"/>
          <w:b/>
          <w:sz w:val="24"/>
          <w:szCs w:val="24"/>
          <w:highlight w:val="none"/>
          <w:u w:val="single"/>
        </w:rPr>
        <w:t>50%</w:t>
      </w:r>
      <w:r>
        <w:rPr>
          <w:rFonts w:hint="eastAsia" w:ascii="楷体" w:hAnsi="楷体" w:eastAsia="楷体" w:cs="Calibri"/>
          <w:sz w:val="24"/>
          <w:szCs w:val="24"/>
          <w:highlight w:val="none"/>
        </w:rPr>
        <w:t>时，投资组合的平均剩余期限不得超过60天，平均剩余存续期限不得超过120天，投资组合中现金、国债、中央银行票据、政策性金融债券以及5个交易日内到期的其他金融工具占本理财产品资产净值的</w:t>
      </w:r>
      <w:r>
        <w:rPr>
          <w:rFonts w:hint="eastAsia" w:ascii="楷体" w:hAnsi="楷体" w:eastAsia="楷体" w:cs="Calibri"/>
          <w:b/>
          <w:sz w:val="24"/>
          <w:szCs w:val="24"/>
          <w:highlight w:val="none"/>
          <w:u w:val="single"/>
        </w:rPr>
        <w:t>比例合计不得低于</w:t>
      </w:r>
      <w:r>
        <w:rPr>
          <w:rFonts w:ascii="楷体" w:hAnsi="楷体" w:eastAsia="楷体" w:cs="Calibri"/>
          <w:b/>
          <w:sz w:val="24"/>
          <w:szCs w:val="24"/>
          <w:highlight w:val="none"/>
          <w:u w:val="single"/>
        </w:rPr>
        <w:t>30%</w:t>
      </w:r>
      <w:r>
        <w:rPr>
          <w:rFonts w:hint="eastAsia" w:ascii="楷体" w:hAnsi="楷体" w:eastAsia="楷体" w:cs="Calibri"/>
          <w:sz w:val="24"/>
          <w:szCs w:val="24"/>
          <w:highlight w:val="none"/>
        </w:rPr>
        <w:t>。</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（2）当前10名投资者的持有份额合计超过本理财产品总份额的</w:t>
      </w:r>
      <w:r>
        <w:rPr>
          <w:rFonts w:ascii="楷体" w:hAnsi="楷体" w:eastAsia="楷体" w:cs="Calibri"/>
          <w:b/>
          <w:sz w:val="24"/>
          <w:szCs w:val="24"/>
          <w:highlight w:val="none"/>
          <w:u w:val="single"/>
        </w:rPr>
        <w:t>20%</w:t>
      </w:r>
      <w:r>
        <w:rPr>
          <w:rFonts w:hint="eastAsia" w:ascii="楷体" w:hAnsi="楷体" w:eastAsia="楷体" w:cs="Calibri"/>
          <w:sz w:val="24"/>
          <w:szCs w:val="24"/>
          <w:highlight w:val="none"/>
        </w:rPr>
        <w:t>时，投资组合的平均剩余期限不得超过90天，平均剩余存续期限不得超过180天，投资组合中现金、国债、中央银行票据、政策性金融债券以及5个交易日内到期的其他金融工具占本理财产品资产净值的</w:t>
      </w:r>
      <w:r>
        <w:rPr>
          <w:rFonts w:hint="eastAsia" w:ascii="楷体" w:hAnsi="楷体" w:eastAsia="楷体" w:cs="Calibri"/>
          <w:b/>
          <w:sz w:val="24"/>
          <w:szCs w:val="24"/>
          <w:highlight w:val="none"/>
          <w:u w:val="single"/>
        </w:rPr>
        <w:t>比例合计不得低于</w:t>
      </w:r>
      <w:r>
        <w:rPr>
          <w:rFonts w:ascii="楷体" w:hAnsi="楷体" w:eastAsia="楷体" w:cs="Calibri"/>
          <w:b/>
          <w:sz w:val="24"/>
          <w:szCs w:val="24"/>
          <w:highlight w:val="none"/>
          <w:u w:val="single"/>
        </w:rPr>
        <w:t>20%</w:t>
      </w:r>
      <w:r>
        <w:rPr>
          <w:rFonts w:hint="eastAsia" w:ascii="楷体" w:hAnsi="楷体" w:eastAsia="楷体" w:cs="Calibri"/>
          <w:sz w:val="24"/>
          <w:szCs w:val="24"/>
          <w:highlight w:val="none"/>
        </w:rPr>
        <w:t>。</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非因管理人主观因素导致突破上述第（1）项、第（2）项比例限制的，管理人应当在10个交易日内调整至符合要求，监管机构规定的特殊情形除外。</w:t>
      </w:r>
    </w:p>
    <w:p>
      <w:pPr>
        <w:ind w:firstLine="480" w:firstLineChars="200"/>
        <w:rPr>
          <w:rFonts w:ascii="楷体" w:hAnsi="楷体" w:eastAsia="楷体" w:cs="Calibri"/>
          <w:b/>
          <w:sz w:val="24"/>
          <w:szCs w:val="24"/>
          <w:highlight w:val="none"/>
        </w:rPr>
      </w:pPr>
      <w:r>
        <w:rPr>
          <w:rFonts w:ascii="楷体" w:hAnsi="楷体" w:eastAsia="楷体" w:cs="Calibri"/>
          <w:sz w:val="24"/>
          <w:szCs w:val="24"/>
          <w:highlight w:val="none"/>
        </w:rPr>
        <w:t>8.</w:t>
      </w:r>
      <w:r>
        <w:rPr>
          <w:rFonts w:hint="eastAsia"/>
          <w:highlight w:val="none"/>
        </w:rPr>
        <w:t xml:space="preserve"> </w:t>
      </w:r>
      <w:r>
        <w:rPr>
          <w:rFonts w:hint="eastAsia" w:ascii="楷体" w:hAnsi="楷体" w:eastAsia="楷体" w:cs="Calibri"/>
          <w:sz w:val="24"/>
          <w:szCs w:val="24"/>
          <w:highlight w:val="none"/>
        </w:rPr>
        <w:t>如法律法规或监管政策对上述限制有最新规定的， 可参照法律法规或监管政策的规定调整。</w:t>
      </w:r>
    </w:p>
    <w:p>
      <w:pPr>
        <w:numPr>
          <w:ilvl w:val="0"/>
          <w:numId w:val="11"/>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杠杆水平限制</w:t>
      </w:r>
    </w:p>
    <w:p>
      <w:pPr>
        <w:ind w:firstLine="482" w:firstLineChars="200"/>
        <w:rPr>
          <w:rFonts w:ascii="楷体" w:hAnsi="楷体" w:eastAsia="楷体"/>
          <w:sz w:val="24"/>
          <w:szCs w:val="24"/>
          <w:highlight w:val="none"/>
        </w:rPr>
      </w:pPr>
      <w:r>
        <w:rPr>
          <w:rFonts w:hint="eastAsia" w:ascii="楷体" w:hAnsi="楷体" w:eastAsia="楷体"/>
          <w:b/>
          <w:sz w:val="24"/>
          <w:szCs w:val="24"/>
          <w:highlight w:val="none"/>
          <w:u w:val="single"/>
        </w:rPr>
        <w:t>本理财产品资产总值</w:t>
      </w:r>
      <w:r>
        <w:rPr>
          <w:rFonts w:ascii="楷体" w:hAnsi="楷体" w:eastAsia="楷体"/>
          <w:b/>
          <w:sz w:val="24"/>
          <w:szCs w:val="24"/>
          <w:highlight w:val="none"/>
          <w:u w:val="single"/>
        </w:rPr>
        <w:t>/理财产品资产净值不超过120%</w:t>
      </w:r>
      <w:r>
        <w:rPr>
          <w:rFonts w:hint="eastAsia" w:ascii="楷体" w:hAnsi="楷体" w:eastAsia="楷体"/>
          <w:sz w:val="24"/>
          <w:szCs w:val="24"/>
          <w:highlight w:val="none"/>
        </w:rPr>
        <w:t>（如监管有最新规定的参照监管规定调整）。</w:t>
      </w:r>
    </w:p>
    <w:p>
      <w:pPr>
        <w:numPr>
          <w:ilvl w:val="0"/>
          <w:numId w:val="11"/>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投资范围调整</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若法律法规、国家监管政策或市场情况发生变化，苏银理财在不改变产品类型的情况下，可对本说明书中已约定的投资范围、投资品种、投资比例以及收费项目、条件、标准和方式进行调整，产品管理人将于调整事项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tabs>
          <w:tab w:val="left" w:pos="1134"/>
        </w:tabs>
        <w:ind w:left="420" w:leftChars="200"/>
        <w:outlineLvl w:val="0"/>
        <w:rPr>
          <w:rFonts w:ascii="楷体" w:hAnsi="楷体" w:eastAsia="楷体"/>
          <w:b/>
          <w:sz w:val="28"/>
          <w:szCs w:val="28"/>
          <w:highlight w:val="none"/>
        </w:rPr>
      </w:pPr>
      <w:r>
        <w:rPr>
          <w:rFonts w:hint="eastAsia" w:ascii="楷体" w:hAnsi="楷体" w:eastAsia="楷体"/>
          <w:b/>
          <w:sz w:val="28"/>
          <w:szCs w:val="28"/>
          <w:highlight w:val="none"/>
        </w:rPr>
        <w:t>八、产品认购</w:t>
      </w:r>
    </w:p>
    <w:p>
      <w:pPr>
        <w:numPr>
          <w:ilvl w:val="0"/>
          <w:numId w:val="12"/>
        </w:numPr>
        <w:tabs>
          <w:tab w:val="left" w:pos="993"/>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认购期间：</w:t>
      </w:r>
    </w:p>
    <w:p>
      <w:pPr>
        <w:tabs>
          <w:tab w:val="left" w:pos="993"/>
        </w:tabs>
        <w:ind w:left="420" w:leftChars="200"/>
        <w:rPr>
          <w:rFonts w:hint="eastAsia" w:ascii="楷体" w:hAnsi="楷体" w:eastAsia="楷体" w:cs="Calibri"/>
          <w:sz w:val="24"/>
          <w:szCs w:val="24"/>
          <w:highlight w:val="none"/>
          <w:lang w:val="en-US" w:eastAsia="zh-CN"/>
        </w:rPr>
      </w:pPr>
      <w:r>
        <w:rPr>
          <w:rFonts w:hint="eastAsia" w:ascii="楷体" w:hAnsi="楷体" w:eastAsia="楷体" w:cs="Calibri"/>
          <w:sz w:val="24"/>
          <w:szCs w:val="24"/>
          <w:highlight w:val="none"/>
        </w:rPr>
        <w:t>A/B/F/G/H份额：2025年3月1</w:t>
      </w:r>
      <w:r>
        <w:rPr>
          <w:rFonts w:hint="eastAsia" w:ascii="楷体" w:hAnsi="楷体" w:eastAsia="楷体" w:cs="Calibri"/>
          <w:sz w:val="24"/>
          <w:szCs w:val="24"/>
          <w:highlight w:val="none"/>
          <w:lang w:val="en-US" w:eastAsia="zh-CN"/>
        </w:rPr>
        <w:t>1</w:t>
      </w:r>
      <w:r>
        <w:rPr>
          <w:rFonts w:hint="eastAsia" w:ascii="楷体" w:hAnsi="楷体" w:eastAsia="楷体" w:cs="Calibri"/>
          <w:sz w:val="24"/>
          <w:szCs w:val="24"/>
          <w:highlight w:val="none"/>
        </w:rPr>
        <w:t>日9:00至2025年3月1</w:t>
      </w:r>
      <w:r>
        <w:rPr>
          <w:rFonts w:hint="eastAsia" w:ascii="楷体" w:hAnsi="楷体" w:eastAsia="楷体" w:cs="Calibri"/>
          <w:sz w:val="24"/>
          <w:szCs w:val="24"/>
          <w:highlight w:val="none"/>
          <w:lang w:val="en-US" w:eastAsia="zh-CN"/>
        </w:rPr>
        <w:t>4</w:t>
      </w:r>
      <w:r>
        <w:rPr>
          <w:rFonts w:hint="eastAsia" w:ascii="楷体" w:hAnsi="楷体" w:eastAsia="楷体" w:cs="Calibri"/>
          <w:sz w:val="24"/>
          <w:szCs w:val="24"/>
          <w:highlight w:val="none"/>
        </w:rPr>
        <w:t>日17:00</w:t>
      </w:r>
      <w:r>
        <w:rPr>
          <w:rFonts w:hint="eastAsia" w:ascii="楷体" w:hAnsi="楷体" w:eastAsia="楷体" w:cs="Calibri"/>
          <w:sz w:val="24"/>
          <w:szCs w:val="24"/>
          <w:highlight w:val="none"/>
          <w:lang w:eastAsia="zh-CN"/>
        </w:rPr>
        <w:t>。</w:t>
      </w:r>
    </w:p>
    <w:p>
      <w:pPr>
        <w:numPr>
          <w:ilvl w:val="0"/>
          <w:numId w:val="12"/>
        </w:numPr>
        <w:tabs>
          <w:tab w:val="left" w:pos="993"/>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认购方式：本理财产品可在各销售机构指定渠道进行认购。</w:t>
      </w:r>
    </w:p>
    <w:p>
      <w:pPr>
        <w:numPr>
          <w:ilvl w:val="0"/>
          <w:numId w:val="12"/>
        </w:numPr>
        <w:tabs>
          <w:tab w:val="left" w:pos="993"/>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lang w:val="en-US" w:eastAsia="zh-CN"/>
        </w:rPr>
        <w:t>认购规则：销售机构受理认购申请并不代表该申请成功确认，仅代表其收到了认购申请，申请是否成功以管理人最终确认为准。具体而言，投资者按规定提交认购申请、全额交付款项并经销售机构成功冻结或预扣的，认购申请成立，管理人在认购份额登记日对投资者的认购申请成功登记后，视为投资者的认购申请生效。投资者应在理财产品成立后及时查询最终的成交情况以及认购的份额。</w:t>
      </w:r>
    </w:p>
    <w:p>
      <w:pPr>
        <w:numPr>
          <w:ilvl w:val="0"/>
          <w:numId w:val="12"/>
        </w:numPr>
        <w:tabs>
          <w:tab w:val="left" w:pos="993"/>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本理财产品采取金额认购，投资者单笔认/申购起点金额及追加金额如下表：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1405"/>
        <w:gridCol w:w="1834"/>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vAlign w:val="center"/>
          </w:tcPr>
          <w:p>
            <w:pPr>
              <w:tabs>
                <w:tab w:val="left" w:pos="993"/>
              </w:tabs>
              <w:jc w:val="center"/>
              <w:rPr>
                <w:rFonts w:ascii="楷体" w:hAnsi="楷体" w:eastAsia="楷体" w:cs="Calibri"/>
                <w:szCs w:val="21"/>
                <w:highlight w:val="none"/>
              </w:rPr>
            </w:pPr>
            <w:r>
              <w:rPr>
                <w:rFonts w:hint="eastAsia" w:ascii="楷体" w:hAnsi="楷体" w:eastAsia="楷体" w:cs="Calibri"/>
                <w:szCs w:val="21"/>
                <w:highlight w:val="none"/>
              </w:rPr>
              <w:t>销售名称</w:t>
            </w:r>
          </w:p>
        </w:tc>
        <w:tc>
          <w:tcPr>
            <w:tcW w:w="1405" w:type="dxa"/>
            <w:vAlign w:val="center"/>
          </w:tcPr>
          <w:p>
            <w:pPr>
              <w:tabs>
                <w:tab w:val="left" w:pos="993"/>
              </w:tabs>
              <w:jc w:val="center"/>
              <w:rPr>
                <w:rFonts w:ascii="楷体" w:hAnsi="楷体" w:eastAsia="楷体" w:cs="Calibri"/>
                <w:szCs w:val="21"/>
                <w:highlight w:val="none"/>
              </w:rPr>
            </w:pPr>
            <w:r>
              <w:rPr>
                <w:rFonts w:hint="eastAsia" w:ascii="楷体" w:hAnsi="楷体" w:eastAsia="楷体" w:cs="Calibri"/>
                <w:szCs w:val="21"/>
                <w:highlight w:val="none"/>
              </w:rPr>
              <w:t>销售代码</w:t>
            </w:r>
          </w:p>
        </w:tc>
        <w:tc>
          <w:tcPr>
            <w:tcW w:w="1834" w:type="dxa"/>
            <w:vAlign w:val="center"/>
          </w:tcPr>
          <w:p>
            <w:pPr>
              <w:tabs>
                <w:tab w:val="left" w:pos="993"/>
              </w:tabs>
              <w:jc w:val="center"/>
              <w:rPr>
                <w:rFonts w:ascii="楷体" w:hAnsi="楷体" w:eastAsia="楷体" w:cs="Calibri"/>
                <w:szCs w:val="21"/>
                <w:highlight w:val="none"/>
              </w:rPr>
            </w:pPr>
            <w:r>
              <w:rPr>
                <w:rFonts w:hint="eastAsia" w:ascii="楷体" w:hAnsi="楷体" w:eastAsia="楷体" w:cs="Calibri"/>
                <w:szCs w:val="21"/>
                <w:highlight w:val="none"/>
              </w:rPr>
              <w:t>首次认/申购</w:t>
            </w:r>
          </w:p>
          <w:p>
            <w:pPr>
              <w:tabs>
                <w:tab w:val="left" w:pos="993"/>
              </w:tabs>
              <w:jc w:val="center"/>
              <w:rPr>
                <w:rFonts w:ascii="楷体" w:hAnsi="楷体" w:eastAsia="楷体" w:cs="Calibri"/>
                <w:szCs w:val="21"/>
                <w:highlight w:val="none"/>
              </w:rPr>
            </w:pPr>
            <w:r>
              <w:rPr>
                <w:rFonts w:hint="eastAsia" w:ascii="楷体" w:hAnsi="楷体" w:eastAsia="楷体" w:cs="Calibri"/>
                <w:szCs w:val="21"/>
                <w:highlight w:val="none"/>
              </w:rPr>
              <w:t>起点金额</w:t>
            </w:r>
          </w:p>
        </w:tc>
        <w:tc>
          <w:tcPr>
            <w:tcW w:w="2301" w:type="dxa"/>
            <w:vAlign w:val="center"/>
          </w:tcPr>
          <w:p>
            <w:pPr>
              <w:tabs>
                <w:tab w:val="left" w:pos="993"/>
              </w:tabs>
              <w:jc w:val="center"/>
              <w:rPr>
                <w:rFonts w:ascii="楷体" w:hAnsi="楷体" w:eastAsia="楷体" w:cs="Calibri"/>
                <w:szCs w:val="21"/>
                <w:highlight w:val="none"/>
              </w:rPr>
            </w:pPr>
            <w:r>
              <w:rPr>
                <w:rFonts w:hint="eastAsia" w:ascii="楷体" w:hAnsi="楷体" w:eastAsia="楷体" w:cs="Calibri"/>
                <w:szCs w:val="21"/>
                <w:highlight w:val="none"/>
              </w:rPr>
              <w:t>追加金额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vAlign w:val="center"/>
          </w:tcPr>
          <w:p>
            <w:pPr>
              <w:tabs>
                <w:tab w:val="left" w:pos="993"/>
              </w:tabs>
              <w:jc w:val="center"/>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苏银理财启源货币3号A</w:t>
            </w:r>
          </w:p>
        </w:tc>
        <w:tc>
          <w:tcPr>
            <w:tcW w:w="1405" w:type="dxa"/>
            <w:vAlign w:val="center"/>
          </w:tcPr>
          <w:p>
            <w:pPr>
              <w:tabs>
                <w:tab w:val="left" w:pos="993"/>
              </w:tabs>
              <w:jc w:val="center"/>
              <w:rPr>
                <w:rFonts w:ascii="楷体" w:hAnsi="楷体" w:eastAsia="楷体" w:cs="Calibri"/>
                <w:sz w:val="18"/>
                <w:szCs w:val="18"/>
                <w:highlight w:val="none"/>
              </w:rPr>
            </w:pPr>
            <w:r>
              <w:rPr>
                <w:rFonts w:hint="eastAsia" w:ascii="楷体" w:hAnsi="楷体" w:eastAsia="楷体" w:cs="宋体"/>
                <w:spacing w:val="-2"/>
                <w:sz w:val="18"/>
                <w:szCs w:val="18"/>
                <w:highlight w:val="none"/>
              </w:rPr>
              <w:t>J03836</w:t>
            </w:r>
          </w:p>
        </w:tc>
        <w:tc>
          <w:tcPr>
            <w:tcW w:w="1834" w:type="dxa"/>
            <w:vAlign w:val="center"/>
          </w:tcPr>
          <w:p>
            <w:pPr>
              <w:tabs>
                <w:tab w:val="left" w:pos="993"/>
              </w:tabs>
              <w:jc w:val="center"/>
              <w:rPr>
                <w:rFonts w:ascii="楷体" w:hAnsi="楷体" w:eastAsia="楷体" w:cs="Calibri"/>
                <w:sz w:val="18"/>
                <w:szCs w:val="18"/>
                <w:highlight w:val="none"/>
              </w:rPr>
            </w:pPr>
            <w:r>
              <w:rPr>
                <w:rFonts w:hint="eastAsia" w:ascii="楷体" w:hAnsi="楷体" w:eastAsia="楷体" w:cs="Calibri"/>
                <w:sz w:val="18"/>
                <w:szCs w:val="18"/>
                <w:highlight w:val="none"/>
              </w:rPr>
              <w:t>0.01元</w:t>
            </w:r>
          </w:p>
        </w:tc>
        <w:tc>
          <w:tcPr>
            <w:tcW w:w="2301" w:type="dxa"/>
            <w:vAlign w:val="center"/>
          </w:tcPr>
          <w:p>
            <w:pPr>
              <w:tabs>
                <w:tab w:val="left" w:pos="993"/>
              </w:tabs>
              <w:jc w:val="center"/>
              <w:rPr>
                <w:rFonts w:ascii="楷体" w:hAnsi="楷体" w:eastAsia="楷体" w:cs="Calibri"/>
                <w:sz w:val="18"/>
                <w:szCs w:val="18"/>
                <w:highlight w:val="none"/>
              </w:rPr>
            </w:pPr>
            <w:r>
              <w:rPr>
                <w:rFonts w:hint="eastAsia" w:ascii="楷体" w:hAnsi="楷体" w:eastAsia="楷体" w:cs="宋体"/>
                <w:spacing w:val="-2"/>
                <w:sz w:val="18"/>
                <w:szCs w:val="18"/>
                <w:highlight w:val="none"/>
              </w:rPr>
              <w:t>0</w:t>
            </w:r>
            <w:r>
              <w:rPr>
                <w:rFonts w:ascii="楷体" w:hAnsi="楷体" w:eastAsia="楷体" w:cs="宋体"/>
                <w:spacing w:val="-2"/>
                <w:sz w:val="18"/>
                <w:szCs w:val="18"/>
                <w:highlight w:val="none"/>
              </w:rPr>
              <w:t>.</w:t>
            </w:r>
            <w:r>
              <w:rPr>
                <w:rFonts w:hint="eastAsia" w:ascii="楷体" w:hAnsi="楷体" w:eastAsia="楷体" w:cs="宋体"/>
                <w:spacing w:val="-2"/>
                <w:sz w:val="18"/>
                <w:szCs w:val="18"/>
                <w:highlight w:val="none"/>
              </w:rPr>
              <w:t>01元的整数倍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vAlign w:val="center"/>
          </w:tcPr>
          <w:p>
            <w:pPr>
              <w:tabs>
                <w:tab w:val="left" w:pos="993"/>
              </w:tabs>
              <w:jc w:val="center"/>
              <w:rPr>
                <w:rFonts w:hint="eastAsia" w:ascii="楷体" w:hAnsi="楷体" w:eastAsia="楷体" w:cs="宋体"/>
                <w:spacing w:val="-2"/>
                <w:sz w:val="18"/>
                <w:szCs w:val="18"/>
                <w:highlight w:val="none"/>
                <w:lang w:val="en-US" w:eastAsia="zh-CN"/>
              </w:rPr>
            </w:pPr>
            <w:r>
              <w:rPr>
                <w:rFonts w:hint="eastAsia" w:ascii="楷体" w:hAnsi="楷体" w:eastAsia="楷体" w:cs="宋体"/>
                <w:spacing w:val="-2"/>
                <w:sz w:val="18"/>
                <w:szCs w:val="18"/>
                <w:highlight w:val="none"/>
              </w:rPr>
              <w:t>苏银理财启源货币3号B</w:t>
            </w:r>
          </w:p>
        </w:tc>
        <w:tc>
          <w:tcPr>
            <w:tcW w:w="1405" w:type="dxa"/>
            <w:vAlign w:val="center"/>
          </w:tcPr>
          <w:p>
            <w:pPr>
              <w:jc w:val="center"/>
              <w:rPr>
                <w:rFonts w:hint="eastAsia" w:ascii="楷体" w:hAnsi="楷体" w:eastAsia="楷体" w:cs="Calibri"/>
                <w:kern w:val="2"/>
                <w:sz w:val="18"/>
                <w:szCs w:val="18"/>
                <w:highlight w:val="none"/>
                <w:lang w:val="en-US" w:eastAsia="zh-CN" w:bidi="ar-SA"/>
              </w:rPr>
            </w:pPr>
            <w:r>
              <w:rPr>
                <w:rFonts w:hint="eastAsia" w:ascii="楷体" w:hAnsi="楷体" w:eastAsia="楷体" w:cs="宋体"/>
                <w:spacing w:val="-2"/>
                <w:sz w:val="18"/>
                <w:szCs w:val="18"/>
                <w:highlight w:val="none"/>
              </w:rPr>
              <w:t>J0383</w:t>
            </w:r>
            <w:r>
              <w:rPr>
                <w:rFonts w:hint="eastAsia" w:ascii="楷体" w:hAnsi="楷体" w:eastAsia="楷体" w:cs="宋体"/>
                <w:spacing w:val="-2"/>
                <w:sz w:val="18"/>
                <w:szCs w:val="18"/>
                <w:highlight w:val="none"/>
                <w:lang w:val="en-US" w:eastAsia="zh-CN"/>
              </w:rPr>
              <w:t>7</w:t>
            </w:r>
          </w:p>
        </w:tc>
        <w:tc>
          <w:tcPr>
            <w:tcW w:w="1834" w:type="dxa"/>
            <w:vAlign w:val="center"/>
          </w:tcPr>
          <w:p>
            <w:pPr>
              <w:tabs>
                <w:tab w:val="left" w:pos="993"/>
              </w:tabs>
              <w:jc w:val="center"/>
              <w:rPr>
                <w:rFonts w:hint="eastAsia" w:ascii="楷体" w:hAnsi="楷体" w:eastAsia="楷体" w:cs="Calibri"/>
                <w:kern w:val="2"/>
                <w:sz w:val="18"/>
                <w:szCs w:val="18"/>
                <w:highlight w:val="none"/>
                <w:lang w:val="en-US" w:eastAsia="zh-CN" w:bidi="ar-SA"/>
              </w:rPr>
            </w:pPr>
            <w:r>
              <w:rPr>
                <w:rFonts w:hint="eastAsia" w:ascii="楷体" w:hAnsi="楷体" w:eastAsia="楷体" w:cs="Calibri"/>
                <w:sz w:val="18"/>
                <w:szCs w:val="18"/>
                <w:highlight w:val="none"/>
              </w:rPr>
              <w:t>0.01元</w:t>
            </w:r>
          </w:p>
        </w:tc>
        <w:tc>
          <w:tcPr>
            <w:tcW w:w="2301" w:type="dxa"/>
            <w:vAlign w:val="center"/>
          </w:tcPr>
          <w:p>
            <w:pPr>
              <w:tabs>
                <w:tab w:val="left" w:pos="993"/>
              </w:tabs>
              <w:jc w:val="center"/>
              <w:rPr>
                <w:rFonts w:hint="eastAsia" w:ascii="楷体" w:hAnsi="楷体" w:eastAsia="楷体" w:cs="Calibri"/>
                <w:kern w:val="2"/>
                <w:sz w:val="18"/>
                <w:szCs w:val="18"/>
                <w:highlight w:val="none"/>
                <w:lang w:val="en-US" w:eastAsia="zh-CN" w:bidi="ar-SA"/>
              </w:rPr>
            </w:pPr>
            <w:r>
              <w:rPr>
                <w:rFonts w:hint="eastAsia" w:ascii="楷体" w:hAnsi="楷体" w:eastAsia="楷体" w:cs="宋体"/>
                <w:spacing w:val="-2"/>
                <w:sz w:val="18"/>
                <w:szCs w:val="18"/>
                <w:highlight w:val="none"/>
              </w:rPr>
              <w:t>0</w:t>
            </w:r>
            <w:r>
              <w:rPr>
                <w:rFonts w:ascii="楷体" w:hAnsi="楷体" w:eastAsia="楷体" w:cs="宋体"/>
                <w:spacing w:val="-2"/>
                <w:sz w:val="18"/>
                <w:szCs w:val="18"/>
                <w:highlight w:val="none"/>
              </w:rPr>
              <w:t>.</w:t>
            </w:r>
            <w:r>
              <w:rPr>
                <w:rFonts w:hint="eastAsia" w:ascii="楷体" w:hAnsi="楷体" w:eastAsia="楷体" w:cs="宋体"/>
                <w:spacing w:val="-2"/>
                <w:sz w:val="18"/>
                <w:szCs w:val="18"/>
                <w:highlight w:val="none"/>
              </w:rPr>
              <w:t>01元的整数倍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vAlign w:val="center"/>
          </w:tcPr>
          <w:p>
            <w:pPr>
              <w:tabs>
                <w:tab w:val="left" w:pos="993"/>
              </w:tabs>
              <w:jc w:val="center"/>
              <w:rPr>
                <w:rFonts w:hint="eastAsia" w:ascii="楷体" w:hAnsi="楷体" w:eastAsia="楷体" w:cs="宋体"/>
                <w:spacing w:val="-2"/>
                <w:sz w:val="18"/>
                <w:szCs w:val="18"/>
                <w:highlight w:val="none"/>
                <w:lang w:val="en-US" w:eastAsia="zh-CN"/>
              </w:rPr>
            </w:pPr>
            <w:r>
              <w:rPr>
                <w:rFonts w:hint="eastAsia" w:ascii="楷体" w:hAnsi="楷体" w:eastAsia="楷体" w:cs="宋体"/>
                <w:spacing w:val="-2"/>
                <w:sz w:val="18"/>
                <w:szCs w:val="18"/>
                <w:highlight w:val="none"/>
              </w:rPr>
              <w:t>苏银理财启源货币3号F</w:t>
            </w:r>
          </w:p>
        </w:tc>
        <w:tc>
          <w:tcPr>
            <w:tcW w:w="1405" w:type="dxa"/>
            <w:vAlign w:val="center"/>
          </w:tcPr>
          <w:p>
            <w:pPr>
              <w:jc w:val="center"/>
              <w:rPr>
                <w:rFonts w:hint="eastAsia" w:ascii="楷体" w:hAnsi="楷体" w:eastAsia="楷体" w:cs="Calibri"/>
                <w:kern w:val="2"/>
                <w:sz w:val="18"/>
                <w:szCs w:val="18"/>
                <w:highlight w:val="none"/>
                <w:lang w:val="en-US" w:eastAsia="zh-CN" w:bidi="ar-SA"/>
              </w:rPr>
            </w:pPr>
            <w:r>
              <w:rPr>
                <w:rFonts w:hint="eastAsia" w:ascii="楷体" w:hAnsi="楷体" w:eastAsia="楷体" w:cs="宋体"/>
                <w:spacing w:val="-2"/>
                <w:sz w:val="18"/>
                <w:szCs w:val="18"/>
                <w:highlight w:val="none"/>
              </w:rPr>
              <w:t>J0383</w:t>
            </w:r>
            <w:r>
              <w:rPr>
                <w:rFonts w:hint="eastAsia" w:ascii="楷体" w:hAnsi="楷体" w:eastAsia="楷体" w:cs="宋体"/>
                <w:spacing w:val="-2"/>
                <w:sz w:val="18"/>
                <w:szCs w:val="18"/>
                <w:highlight w:val="none"/>
                <w:lang w:val="en-US" w:eastAsia="zh-CN"/>
              </w:rPr>
              <w:t>8</w:t>
            </w:r>
          </w:p>
        </w:tc>
        <w:tc>
          <w:tcPr>
            <w:tcW w:w="1834" w:type="dxa"/>
            <w:vAlign w:val="center"/>
          </w:tcPr>
          <w:p>
            <w:pPr>
              <w:tabs>
                <w:tab w:val="left" w:pos="993"/>
              </w:tabs>
              <w:jc w:val="center"/>
              <w:rPr>
                <w:rFonts w:hint="eastAsia" w:ascii="楷体" w:hAnsi="楷体" w:eastAsia="楷体" w:cs="Calibri"/>
                <w:kern w:val="2"/>
                <w:sz w:val="18"/>
                <w:szCs w:val="18"/>
                <w:highlight w:val="none"/>
                <w:lang w:val="en-US" w:eastAsia="zh-CN" w:bidi="ar-SA"/>
              </w:rPr>
            </w:pPr>
            <w:r>
              <w:rPr>
                <w:rFonts w:hint="eastAsia" w:ascii="楷体" w:hAnsi="楷体" w:eastAsia="楷体" w:cs="Calibri"/>
                <w:sz w:val="18"/>
                <w:szCs w:val="18"/>
                <w:highlight w:val="none"/>
              </w:rPr>
              <w:t>0.01元</w:t>
            </w:r>
          </w:p>
        </w:tc>
        <w:tc>
          <w:tcPr>
            <w:tcW w:w="2301" w:type="dxa"/>
            <w:vAlign w:val="center"/>
          </w:tcPr>
          <w:p>
            <w:pPr>
              <w:tabs>
                <w:tab w:val="left" w:pos="993"/>
              </w:tabs>
              <w:jc w:val="center"/>
              <w:rPr>
                <w:rFonts w:hint="eastAsia" w:ascii="楷体" w:hAnsi="楷体" w:eastAsia="楷体" w:cs="Calibri"/>
                <w:kern w:val="2"/>
                <w:sz w:val="18"/>
                <w:szCs w:val="18"/>
                <w:highlight w:val="none"/>
                <w:lang w:val="en-US" w:eastAsia="zh-CN" w:bidi="ar-SA"/>
              </w:rPr>
            </w:pPr>
            <w:r>
              <w:rPr>
                <w:rFonts w:hint="eastAsia" w:ascii="楷体" w:hAnsi="楷体" w:eastAsia="楷体" w:cs="宋体"/>
                <w:spacing w:val="-2"/>
                <w:sz w:val="18"/>
                <w:szCs w:val="18"/>
                <w:highlight w:val="none"/>
              </w:rPr>
              <w:t>0</w:t>
            </w:r>
            <w:r>
              <w:rPr>
                <w:rFonts w:ascii="楷体" w:hAnsi="楷体" w:eastAsia="楷体" w:cs="宋体"/>
                <w:spacing w:val="-2"/>
                <w:sz w:val="18"/>
                <w:szCs w:val="18"/>
                <w:highlight w:val="none"/>
              </w:rPr>
              <w:t>.</w:t>
            </w:r>
            <w:r>
              <w:rPr>
                <w:rFonts w:hint="eastAsia" w:ascii="楷体" w:hAnsi="楷体" w:eastAsia="楷体" w:cs="宋体"/>
                <w:spacing w:val="-2"/>
                <w:sz w:val="18"/>
                <w:szCs w:val="18"/>
                <w:highlight w:val="none"/>
              </w:rPr>
              <w:t>01元的整数倍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vAlign w:val="center"/>
          </w:tcPr>
          <w:p>
            <w:pPr>
              <w:tabs>
                <w:tab w:val="left" w:pos="993"/>
              </w:tabs>
              <w:jc w:val="center"/>
              <w:rPr>
                <w:rFonts w:hint="eastAsia" w:ascii="楷体" w:hAnsi="楷体" w:eastAsia="楷体" w:cs="宋体"/>
                <w:spacing w:val="-2"/>
                <w:sz w:val="18"/>
                <w:szCs w:val="18"/>
                <w:highlight w:val="none"/>
                <w:lang w:val="en-US" w:eastAsia="zh-CN"/>
              </w:rPr>
            </w:pPr>
            <w:r>
              <w:rPr>
                <w:rFonts w:hint="eastAsia" w:ascii="楷体" w:hAnsi="楷体" w:eastAsia="楷体" w:cs="宋体"/>
                <w:spacing w:val="-2"/>
                <w:sz w:val="18"/>
                <w:szCs w:val="18"/>
                <w:highlight w:val="none"/>
              </w:rPr>
              <w:t>苏银理财启源货币3号G</w:t>
            </w:r>
          </w:p>
        </w:tc>
        <w:tc>
          <w:tcPr>
            <w:tcW w:w="1405" w:type="dxa"/>
            <w:vAlign w:val="center"/>
          </w:tcPr>
          <w:p>
            <w:pPr>
              <w:jc w:val="center"/>
              <w:rPr>
                <w:rFonts w:hint="eastAsia" w:ascii="楷体" w:hAnsi="楷体" w:eastAsia="楷体" w:cs="Calibri"/>
                <w:kern w:val="2"/>
                <w:sz w:val="18"/>
                <w:szCs w:val="18"/>
                <w:highlight w:val="none"/>
                <w:lang w:val="en-US" w:eastAsia="zh-CN" w:bidi="ar-SA"/>
              </w:rPr>
            </w:pPr>
            <w:r>
              <w:rPr>
                <w:rFonts w:hint="eastAsia" w:ascii="楷体" w:hAnsi="楷体" w:eastAsia="楷体" w:cs="宋体"/>
                <w:spacing w:val="-2"/>
                <w:sz w:val="18"/>
                <w:szCs w:val="18"/>
                <w:highlight w:val="none"/>
              </w:rPr>
              <w:t>J0383</w:t>
            </w:r>
            <w:r>
              <w:rPr>
                <w:rFonts w:hint="eastAsia" w:ascii="楷体" w:hAnsi="楷体" w:eastAsia="楷体" w:cs="宋体"/>
                <w:spacing w:val="-2"/>
                <w:sz w:val="18"/>
                <w:szCs w:val="18"/>
                <w:highlight w:val="none"/>
                <w:lang w:val="en-US" w:eastAsia="zh-CN"/>
              </w:rPr>
              <w:t>9</w:t>
            </w:r>
          </w:p>
        </w:tc>
        <w:tc>
          <w:tcPr>
            <w:tcW w:w="1834" w:type="dxa"/>
            <w:vAlign w:val="center"/>
          </w:tcPr>
          <w:p>
            <w:pPr>
              <w:tabs>
                <w:tab w:val="left" w:pos="993"/>
              </w:tabs>
              <w:jc w:val="center"/>
              <w:rPr>
                <w:rFonts w:hint="eastAsia" w:ascii="楷体" w:hAnsi="楷体" w:eastAsia="楷体" w:cs="Calibri"/>
                <w:kern w:val="2"/>
                <w:sz w:val="18"/>
                <w:szCs w:val="18"/>
                <w:highlight w:val="none"/>
                <w:lang w:val="en-US" w:eastAsia="zh-CN" w:bidi="ar-SA"/>
              </w:rPr>
            </w:pPr>
            <w:r>
              <w:rPr>
                <w:rFonts w:hint="eastAsia" w:ascii="楷体" w:hAnsi="楷体" w:eastAsia="楷体" w:cs="Calibri"/>
                <w:sz w:val="18"/>
                <w:szCs w:val="18"/>
                <w:highlight w:val="none"/>
              </w:rPr>
              <w:t>0.01元</w:t>
            </w:r>
          </w:p>
        </w:tc>
        <w:tc>
          <w:tcPr>
            <w:tcW w:w="2301" w:type="dxa"/>
            <w:vAlign w:val="center"/>
          </w:tcPr>
          <w:p>
            <w:pPr>
              <w:tabs>
                <w:tab w:val="left" w:pos="993"/>
              </w:tabs>
              <w:jc w:val="center"/>
              <w:rPr>
                <w:rFonts w:hint="eastAsia" w:ascii="楷体" w:hAnsi="楷体" w:eastAsia="楷体" w:cs="Calibri"/>
                <w:kern w:val="2"/>
                <w:sz w:val="18"/>
                <w:szCs w:val="18"/>
                <w:highlight w:val="none"/>
                <w:lang w:val="en-US" w:eastAsia="zh-CN" w:bidi="ar-SA"/>
              </w:rPr>
            </w:pPr>
            <w:r>
              <w:rPr>
                <w:rFonts w:hint="eastAsia" w:ascii="楷体" w:hAnsi="楷体" w:eastAsia="楷体" w:cs="宋体"/>
                <w:spacing w:val="-2"/>
                <w:sz w:val="18"/>
                <w:szCs w:val="18"/>
                <w:highlight w:val="none"/>
              </w:rPr>
              <w:t>0</w:t>
            </w:r>
            <w:r>
              <w:rPr>
                <w:rFonts w:ascii="楷体" w:hAnsi="楷体" w:eastAsia="楷体" w:cs="宋体"/>
                <w:spacing w:val="-2"/>
                <w:sz w:val="18"/>
                <w:szCs w:val="18"/>
                <w:highlight w:val="none"/>
              </w:rPr>
              <w:t>.</w:t>
            </w:r>
            <w:r>
              <w:rPr>
                <w:rFonts w:hint="eastAsia" w:ascii="楷体" w:hAnsi="楷体" w:eastAsia="楷体" w:cs="宋体"/>
                <w:spacing w:val="-2"/>
                <w:sz w:val="18"/>
                <w:szCs w:val="18"/>
                <w:highlight w:val="none"/>
              </w:rPr>
              <w:t>01元的整数倍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vAlign w:val="center"/>
          </w:tcPr>
          <w:p>
            <w:pPr>
              <w:tabs>
                <w:tab w:val="left" w:pos="993"/>
              </w:tabs>
              <w:jc w:val="center"/>
              <w:rPr>
                <w:rFonts w:hint="eastAsia" w:ascii="楷体" w:hAnsi="楷体" w:eastAsia="楷体" w:cs="宋体"/>
                <w:spacing w:val="-2"/>
                <w:sz w:val="18"/>
                <w:szCs w:val="18"/>
                <w:highlight w:val="none"/>
                <w:lang w:val="en-US" w:eastAsia="zh-CN"/>
              </w:rPr>
            </w:pPr>
            <w:r>
              <w:rPr>
                <w:rFonts w:hint="eastAsia" w:ascii="楷体" w:hAnsi="楷体" w:eastAsia="楷体" w:cs="宋体"/>
                <w:spacing w:val="-2"/>
                <w:sz w:val="18"/>
                <w:szCs w:val="18"/>
                <w:highlight w:val="none"/>
              </w:rPr>
              <w:t>苏银理财启源货币3号H</w:t>
            </w:r>
          </w:p>
        </w:tc>
        <w:tc>
          <w:tcPr>
            <w:tcW w:w="1405" w:type="dxa"/>
            <w:vAlign w:val="center"/>
          </w:tcPr>
          <w:p>
            <w:pPr>
              <w:jc w:val="center"/>
              <w:rPr>
                <w:rFonts w:hint="default" w:ascii="楷体" w:hAnsi="楷体" w:eastAsia="楷体" w:cs="Calibri"/>
                <w:kern w:val="2"/>
                <w:sz w:val="18"/>
                <w:szCs w:val="18"/>
                <w:highlight w:val="none"/>
                <w:lang w:val="en-US" w:eastAsia="zh-CN" w:bidi="ar-SA"/>
              </w:rPr>
            </w:pPr>
            <w:r>
              <w:rPr>
                <w:rFonts w:hint="eastAsia" w:ascii="楷体" w:hAnsi="楷体" w:eastAsia="楷体" w:cs="宋体"/>
                <w:spacing w:val="-2"/>
                <w:sz w:val="18"/>
                <w:szCs w:val="18"/>
                <w:highlight w:val="none"/>
              </w:rPr>
              <w:t>J038</w:t>
            </w:r>
            <w:r>
              <w:rPr>
                <w:rFonts w:hint="eastAsia" w:ascii="楷体" w:hAnsi="楷体" w:eastAsia="楷体" w:cs="宋体"/>
                <w:spacing w:val="-2"/>
                <w:sz w:val="18"/>
                <w:szCs w:val="18"/>
                <w:highlight w:val="none"/>
                <w:lang w:val="en-US" w:eastAsia="zh-CN"/>
              </w:rPr>
              <w:t>40</w:t>
            </w:r>
          </w:p>
        </w:tc>
        <w:tc>
          <w:tcPr>
            <w:tcW w:w="1834" w:type="dxa"/>
            <w:vAlign w:val="center"/>
          </w:tcPr>
          <w:p>
            <w:pPr>
              <w:tabs>
                <w:tab w:val="left" w:pos="993"/>
              </w:tabs>
              <w:jc w:val="center"/>
              <w:rPr>
                <w:rFonts w:hint="eastAsia" w:ascii="楷体" w:hAnsi="楷体" w:eastAsia="楷体" w:cs="Calibri"/>
                <w:kern w:val="2"/>
                <w:sz w:val="18"/>
                <w:szCs w:val="18"/>
                <w:highlight w:val="none"/>
                <w:lang w:val="en-US" w:eastAsia="zh-CN" w:bidi="ar-SA"/>
              </w:rPr>
            </w:pPr>
            <w:r>
              <w:rPr>
                <w:rFonts w:hint="eastAsia" w:ascii="楷体" w:hAnsi="楷体" w:eastAsia="楷体" w:cs="Calibri"/>
                <w:sz w:val="18"/>
                <w:szCs w:val="18"/>
                <w:highlight w:val="none"/>
              </w:rPr>
              <w:t>0.01元</w:t>
            </w:r>
          </w:p>
        </w:tc>
        <w:tc>
          <w:tcPr>
            <w:tcW w:w="2301" w:type="dxa"/>
            <w:vAlign w:val="center"/>
          </w:tcPr>
          <w:p>
            <w:pPr>
              <w:tabs>
                <w:tab w:val="left" w:pos="993"/>
              </w:tabs>
              <w:jc w:val="center"/>
              <w:rPr>
                <w:rFonts w:hint="eastAsia" w:ascii="楷体" w:hAnsi="楷体" w:eastAsia="楷体" w:cs="Calibri"/>
                <w:kern w:val="2"/>
                <w:sz w:val="18"/>
                <w:szCs w:val="18"/>
                <w:highlight w:val="none"/>
                <w:lang w:val="en-US" w:eastAsia="zh-CN" w:bidi="ar-SA"/>
              </w:rPr>
            </w:pPr>
            <w:r>
              <w:rPr>
                <w:rFonts w:hint="eastAsia" w:ascii="楷体" w:hAnsi="楷体" w:eastAsia="楷体" w:cs="宋体"/>
                <w:spacing w:val="-2"/>
                <w:sz w:val="18"/>
                <w:szCs w:val="18"/>
                <w:highlight w:val="none"/>
              </w:rPr>
              <w:t>0</w:t>
            </w:r>
            <w:r>
              <w:rPr>
                <w:rFonts w:ascii="楷体" w:hAnsi="楷体" w:eastAsia="楷体" w:cs="宋体"/>
                <w:spacing w:val="-2"/>
                <w:sz w:val="18"/>
                <w:szCs w:val="18"/>
                <w:highlight w:val="none"/>
              </w:rPr>
              <w:t>.</w:t>
            </w:r>
            <w:r>
              <w:rPr>
                <w:rFonts w:hint="eastAsia" w:ascii="楷体" w:hAnsi="楷体" w:eastAsia="楷体" w:cs="宋体"/>
                <w:spacing w:val="-2"/>
                <w:sz w:val="18"/>
                <w:szCs w:val="18"/>
                <w:highlight w:val="none"/>
              </w:rPr>
              <w:t>01元的整数倍</w:t>
            </w:r>
          </w:p>
        </w:tc>
      </w:tr>
    </w:tbl>
    <w:p>
      <w:pPr>
        <w:numPr>
          <w:ilvl w:val="0"/>
          <w:numId w:val="12"/>
        </w:numPr>
        <w:tabs>
          <w:tab w:val="left" w:pos="993"/>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单一投资者单日累计认购上限：暂无。超过单日累计认购上限时，管理人有权拒绝投资者的认购申请。产品存续期内管理人有权根据实际情况调整单日累计认购上限。</w:t>
      </w:r>
    </w:p>
    <w:p>
      <w:pPr>
        <w:keepNext w:val="0"/>
        <w:keepLines w:val="0"/>
        <w:pageBreakBefore w:val="0"/>
        <w:widowControl w:val="0"/>
        <w:numPr>
          <w:ilvl w:val="0"/>
          <w:numId w:val="12"/>
        </w:numPr>
        <w:tabs>
          <w:tab w:val="left" w:pos="993"/>
        </w:tabs>
        <w:kinsoku/>
        <w:wordWrap/>
        <w:overflowPunct/>
        <w:topLinePunct w:val="0"/>
        <w:autoSpaceDE/>
        <w:autoSpaceDN/>
        <w:bidi w:val="0"/>
        <w:adjustRightInd/>
        <w:snapToGrid/>
        <w:ind w:left="0" w:firstLine="480" w:firstLineChars="200"/>
        <w:textAlignment w:val="auto"/>
        <w:rPr>
          <w:rFonts w:ascii="楷体" w:hAnsi="楷体" w:eastAsia="楷体" w:cs="Calibri"/>
          <w:sz w:val="24"/>
          <w:szCs w:val="24"/>
          <w:highlight w:val="none"/>
        </w:rPr>
      </w:pPr>
      <w:r>
        <w:rPr>
          <w:rFonts w:hint="eastAsia" w:ascii="楷体" w:hAnsi="楷体" w:eastAsia="楷体" w:cs="Calibri"/>
          <w:sz w:val="24"/>
          <w:szCs w:val="24"/>
          <w:highlight w:val="none"/>
        </w:rPr>
        <w:t>单一投资者持有上限：</w:t>
      </w:r>
    </w:p>
    <w:p>
      <w:pPr>
        <w:pStyle w:val="2"/>
        <w:keepNext w:val="0"/>
        <w:keepLines w:val="0"/>
        <w:pageBreakBefore w:val="0"/>
        <w:widowControl w:val="0"/>
        <w:kinsoku/>
        <w:wordWrap/>
        <w:overflowPunct/>
        <w:topLinePunct w:val="0"/>
        <w:autoSpaceDE w:val="0"/>
        <w:autoSpaceDN w:val="0"/>
        <w:bidi w:val="0"/>
        <w:adjustRightInd w:val="0"/>
        <w:snapToGrid/>
        <w:ind w:left="0" w:firstLine="482" w:firstLineChars="200"/>
        <w:textAlignment w:val="auto"/>
        <w:rPr>
          <w:highlight w:val="none"/>
        </w:rPr>
      </w:pPr>
      <w:r>
        <w:rPr>
          <w:rFonts w:hint="eastAsia" w:ascii="楷体" w:hAnsi="楷体" w:eastAsia="楷体" w:cs="Calibri"/>
          <w:b/>
          <w:sz w:val="24"/>
          <w:szCs w:val="24"/>
          <w:highlight w:val="none"/>
          <w:u w:val="single"/>
        </w:rPr>
        <w:t>本理财产品不允许单一投资者持有份额超过本理财产品总份额的50%</w:t>
      </w:r>
      <w:r>
        <w:rPr>
          <w:rFonts w:hint="eastAsia" w:ascii="楷体" w:hAnsi="楷体" w:eastAsia="楷体" w:cs="Calibri"/>
          <w:sz w:val="24"/>
          <w:szCs w:val="24"/>
          <w:highlight w:val="none"/>
        </w:rPr>
        <w:t>，对于因理财产品销售募集情况、理财产品规模变化等非因管理人主观因素导致单一投资者持有理财产品份额的比例达到或超过50%的，管理人有权采取控制措施，包括但不限于暂停接受该投资者的认/申购申请、对持有理财产品份额的比例达到或超过50%的单一投资者采取比例确认等方式进行认/申购申请限制等。</w:t>
      </w:r>
    </w:p>
    <w:p>
      <w:pPr>
        <w:numPr>
          <w:ilvl w:val="0"/>
          <w:numId w:val="12"/>
        </w:numPr>
        <w:tabs>
          <w:tab w:val="left" w:pos="993"/>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认购资金的清算</w:t>
      </w:r>
    </w:p>
    <w:p>
      <w:pPr>
        <w:tabs>
          <w:tab w:val="left" w:pos="728"/>
        </w:tabs>
        <w:ind w:firstLine="480" w:firstLineChars="200"/>
        <w:rPr>
          <w:rFonts w:ascii="楷体" w:hAnsi="楷体" w:eastAsia="楷体" w:cs="Calibri"/>
          <w:sz w:val="24"/>
          <w:szCs w:val="24"/>
          <w:highlight w:val="none"/>
        </w:rPr>
      </w:pPr>
      <w:r>
        <w:rPr>
          <w:rFonts w:hint="eastAsia" w:ascii="楷体" w:hAnsi="楷体" w:eastAsia="楷体"/>
          <w:sz w:val="24"/>
          <w:szCs w:val="24"/>
          <w:highlight w:val="none"/>
        </w:rPr>
        <w:t>投资者提出认购申请时，须备足购买资金。如投资者通过代销渠道购买，管理人在份额确认日通知销售机构扣划投资者认购资金，投资者应在扣款前保证资金账户中拥有足够可用余额；如投资者通过苏银理财直营渠道购买，资金清算以《理财产品销售协议书》约定为准。因投资者资金账户余额不足、司法冻结、不可抗力因素或其他不可归责于苏银理财和销售机构的事由出现，造成扣款失败，认购申请未被确认的，苏银理财和销售机构不承担任何责任。</w:t>
      </w:r>
    </w:p>
    <w:p>
      <w:pPr>
        <w:numPr>
          <w:ilvl w:val="0"/>
          <w:numId w:val="12"/>
        </w:numPr>
        <w:tabs>
          <w:tab w:val="left" w:pos="993"/>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认购份额登记日：本理财产品A/B/F/G/H份额于202</w:t>
      </w:r>
      <w:r>
        <w:rPr>
          <w:rFonts w:hint="eastAsia" w:ascii="楷体" w:hAnsi="楷体" w:eastAsia="楷体" w:cs="Calibri"/>
          <w:sz w:val="24"/>
          <w:szCs w:val="24"/>
          <w:highlight w:val="none"/>
          <w:lang w:val="en-US" w:eastAsia="zh-CN"/>
        </w:rPr>
        <w:t>5</w:t>
      </w:r>
      <w:r>
        <w:rPr>
          <w:rFonts w:hint="eastAsia" w:ascii="楷体" w:hAnsi="楷体" w:eastAsia="楷体" w:cs="Calibri"/>
          <w:sz w:val="24"/>
          <w:szCs w:val="24"/>
          <w:highlight w:val="none"/>
        </w:rPr>
        <w:t>年</w:t>
      </w:r>
      <w:r>
        <w:rPr>
          <w:rFonts w:hint="eastAsia" w:ascii="楷体" w:hAnsi="楷体" w:eastAsia="楷体" w:cs="Calibri"/>
          <w:sz w:val="24"/>
          <w:szCs w:val="24"/>
          <w:highlight w:val="none"/>
          <w:lang w:val="en-US" w:eastAsia="zh-CN"/>
        </w:rPr>
        <w:t>3</w:t>
      </w:r>
      <w:r>
        <w:rPr>
          <w:rFonts w:hint="eastAsia" w:ascii="楷体" w:hAnsi="楷体" w:eastAsia="楷体" w:cs="Calibri"/>
          <w:sz w:val="24"/>
          <w:szCs w:val="24"/>
          <w:highlight w:val="none"/>
        </w:rPr>
        <w:t>月</w:t>
      </w:r>
      <w:r>
        <w:rPr>
          <w:rFonts w:hint="eastAsia" w:ascii="楷体" w:hAnsi="楷体" w:eastAsia="楷体" w:cs="Calibri"/>
          <w:sz w:val="24"/>
          <w:szCs w:val="24"/>
          <w:highlight w:val="none"/>
          <w:lang w:val="en-US" w:eastAsia="zh-CN"/>
        </w:rPr>
        <w:t>17</w:t>
      </w:r>
      <w:r>
        <w:rPr>
          <w:rFonts w:hint="eastAsia" w:ascii="楷体" w:hAnsi="楷体" w:eastAsia="楷体" w:cs="Calibri"/>
          <w:sz w:val="24"/>
          <w:szCs w:val="24"/>
          <w:highlight w:val="none"/>
        </w:rPr>
        <w:t>日进行份额登记</w:t>
      </w:r>
      <w:r>
        <w:rPr>
          <w:rFonts w:hint="eastAsia" w:ascii="楷体" w:hAnsi="楷体" w:eastAsia="楷体" w:cs="Calibri"/>
          <w:sz w:val="24"/>
          <w:szCs w:val="24"/>
          <w:highlight w:val="none"/>
          <w:lang w:val="en-US" w:eastAsia="zh-CN"/>
        </w:rPr>
        <w:t>。</w:t>
      </w:r>
    </w:p>
    <w:p>
      <w:pPr>
        <w:numPr>
          <w:ilvl w:val="0"/>
          <w:numId w:val="12"/>
        </w:numPr>
        <w:tabs>
          <w:tab w:val="left" w:pos="993"/>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认购份额的计算</w:t>
      </w:r>
    </w:p>
    <w:p>
      <w:pPr>
        <w:ind w:firstLine="480" w:firstLineChars="200"/>
        <w:rPr>
          <w:rFonts w:ascii="楷体" w:hAnsi="楷体" w:eastAsia="楷体"/>
          <w:sz w:val="24"/>
          <w:szCs w:val="24"/>
          <w:highlight w:val="none"/>
        </w:rPr>
      </w:pPr>
      <w:r>
        <w:rPr>
          <w:rFonts w:ascii="楷体" w:hAnsi="楷体" w:eastAsia="楷体"/>
          <w:sz w:val="24"/>
          <w:szCs w:val="24"/>
          <w:highlight w:val="none"/>
        </w:rPr>
        <w:t>认购份额=</w:t>
      </w:r>
      <w:r>
        <w:rPr>
          <w:rFonts w:hint="eastAsia" w:ascii="楷体" w:hAnsi="楷体" w:eastAsia="楷体"/>
          <w:sz w:val="24"/>
          <w:szCs w:val="24"/>
          <w:highlight w:val="none"/>
        </w:rPr>
        <w:t>认购金额</w:t>
      </w:r>
      <w:r>
        <w:rPr>
          <w:rFonts w:ascii="楷体" w:hAnsi="楷体" w:eastAsia="楷体"/>
          <w:sz w:val="24"/>
          <w:szCs w:val="24"/>
          <w:highlight w:val="none"/>
        </w:rPr>
        <w:t>/</w:t>
      </w:r>
      <w:r>
        <w:rPr>
          <w:rFonts w:hint="eastAsia" w:ascii="楷体" w:hAnsi="楷体" w:eastAsia="楷体"/>
          <w:sz w:val="24"/>
          <w:szCs w:val="24"/>
          <w:highlight w:val="none"/>
        </w:rPr>
        <w:t>产品成立时单位净值</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产品成立时单位净值为1元/份，</w:t>
      </w:r>
      <w:r>
        <w:rPr>
          <w:rFonts w:ascii="楷体" w:hAnsi="楷体" w:eastAsia="楷体"/>
          <w:sz w:val="24"/>
          <w:szCs w:val="24"/>
          <w:highlight w:val="none"/>
        </w:rPr>
        <w:t>认购份额</w:t>
      </w:r>
      <w:r>
        <w:rPr>
          <w:rFonts w:hint="eastAsia" w:ascii="楷体" w:hAnsi="楷体" w:eastAsia="楷体"/>
          <w:sz w:val="24"/>
          <w:szCs w:val="24"/>
          <w:highlight w:val="none"/>
        </w:rPr>
        <w:t>以四舍五入的方法保留到小数点后两位。</w:t>
      </w:r>
    </w:p>
    <w:p>
      <w:pPr>
        <w:tabs>
          <w:tab w:val="left" w:pos="1134"/>
        </w:tabs>
        <w:ind w:left="420" w:leftChars="200"/>
        <w:outlineLvl w:val="0"/>
        <w:rPr>
          <w:rFonts w:ascii="楷体" w:hAnsi="楷体" w:eastAsia="楷体"/>
          <w:b/>
          <w:sz w:val="28"/>
          <w:szCs w:val="28"/>
          <w:highlight w:val="none"/>
        </w:rPr>
      </w:pPr>
      <w:r>
        <w:rPr>
          <w:rFonts w:hint="eastAsia" w:ascii="楷体" w:hAnsi="楷体" w:eastAsia="楷体"/>
          <w:b/>
          <w:sz w:val="28"/>
          <w:szCs w:val="28"/>
          <w:highlight w:val="none"/>
        </w:rPr>
        <w:t>九、产品申购、赎回</w:t>
      </w:r>
    </w:p>
    <w:p>
      <w:pPr>
        <w:numPr>
          <w:ilvl w:val="0"/>
          <w:numId w:val="13"/>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申购</w:t>
      </w:r>
      <w:r>
        <w:rPr>
          <w:rFonts w:ascii="楷体" w:hAnsi="楷体" w:eastAsia="楷体" w:cs="Calibri"/>
          <w:b/>
          <w:sz w:val="24"/>
          <w:szCs w:val="24"/>
          <w:highlight w:val="none"/>
        </w:rPr>
        <w:t>及申购资金的清算</w:t>
      </w:r>
    </w:p>
    <w:p>
      <w:pPr>
        <w:numPr>
          <w:ilvl w:val="0"/>
          <w:numId w:val="14"/>
        </w:numPr>
        <w:tabs>
          <w:tab w:val="left" w:pos="728"/>
        </w:tabs>
        <w:ind w:left="0" w:firstLine="482" w:firstLineChars="200"/>
        <w:rPr>
          <w:rFonts w:ascii="楷体" w:hAnsi="楷体" w:eastAsia="楷体" w:cs="Calibri"/>
          <w:sz w:val="24"/>
          <w:szCs w:val="24"/>
          <w:highlight w:val="none"/>
        </w:rPr>
      </w:pPr>
      <w:r>
        <w:rPr>
          <w:rFonts w:hint="eastAsia" w:ascii="楷体" w:hAnsi="楷体" w:eastAsia="楷体" w:cs="Calibri"/>
          <w:b/>
          <w:sz w:val="24"/>
          <w:szCs w:val="24"/>
          <w:highlight w:val="none"/>
        </w:rPr>
        <w:t>申购期</w:t>
      </w:r>
      <w:r>
        <w:rPr>
          <w:rFonts w:hint="eastAsia" w:ascii="楷体" w:hAnsi="楷体" w:eastAsia="楷体" w:cs="Calibri"/>
          <w:sz w:val="24"/>
          <w:szCs w:val="24"/>
          <w:highlight w:val="none"/>
        </w:rPr>
        <w:t>：本产品存续期内，00:00至24:00投资者均可提交申购申请（系统清算时间除外）。</w:t>
      </w:r>
      <w:r>
        <w:rPr>
          <w:rFonts w:hint="eastAsia" w:ascii="楷体" w:hAnsi="楷体" w:eastAsia="楷体" w:cs="Calibri"/>
          <w:b/>
          <w:sz w:val="24"/>
          <w:szCs w:val="24"/>
          <w:highlight w:val="none"/>
          <w:u w:val="single"/>
        </w:rPr>
        <w:t>管理人在开放日对投资者的申购申请进行确认。</w:t>
      </w:r>
    </w:p>
    <w:p>
      <w:pPr>
        <w:numPr>
          <w:ilvl w:val="0"/>
          <w:numId w:val="14"/>
        </w:numPr>
        <w:tabs>
          <w:tab w:val="left" w:pos="728"/>
        </w:tabs>
        <w:ind w:left="0" w:firstLine="482" w:firstLineChars="200"/>
        <w:rPr>
          <w:rFonts w:ascii="楷体" w:hAnsi="楷体" w:eastAsia="楷体" w:cs="Calibri"/>
          <w:b/>
          <w:sz w:val="24"/>
          <w:szCs w:val="24"/>
          <w:highlight w:val="none"/>
        </w:rPr>
      </w:pPr>
      <w:r>
        <w:rPr>
          <w:rFonts w:hint="eastAsia" w:ascii="楷体" w:hAnsi="楷体" w:eastAsia="楷体" w:cs="Calibri"/>
          <w:b/>
          <w:sz w:val="24"/>
          <w:szCs w:val="24"/>
          <w:highlight w:val="none"/>
        </w:rPr>
        <w:t>申购原则</w:t>
      </w:r>
    </w:p>
    <w:p>
      <w:pPr>
        <w:numPr>
          <w:ilvl w:val="0"/>
          <w:numId w:val="15"/>
        </w:numPr>
        <w:tabs>
          <w:tab w:val="left" w:pos="1092"/>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“确定价”原则：投资者申购本理财产品时，采用“确定价”原则，价格为1元/份。</w:t>
      </w:r>
    </w:p>
    <w:p>
      <w:pPr>
        <w:numPr>
          <w:ilvl w:val="0"/>
          <w:numId w:val="15"/>
        </w:numPr>
        <w:tabs>
          <w:tab w:val="left" w:pos="1092"/>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“金额申购”原则：本理财产品申购以金额申请,申购份额=申购金额/产品单位净值。</w:t>
      </w:r>
    </w:p>
    <w:p>
      <w:pPr>
        <w:numPr>
          <w:ilvl w:val="0"/>
          <w:numId w:val="15"/>
        </w:numPr>
        <w:tabs>
          <w:tab w:val="left" w:pos="1092"/>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单一投资者单日累计申购上限：暂无。超过单日累计申购上限时，管理人有权拒绝投资者的申购申请。产品存续期内管理人有权根据实际情况调整单日累计申购上限。</w:t>
      </w:r>
    </w:p>
    <w:p>
      <w:pPr>
        <w:numPr>
          <w:ilvl w:val="0"/>
          <w:numId w:val="15"/>
        </w:numPr>
        <w:tabs>
          <w:tab w:val="left" w:pos="1092"/>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产品单个开放日净申购申请折算产品份额超过上一日产品总份额</w:t>
      </w:r>
      <w:r>
        <w:rPr>
          <w:rFonts w:ascii="楷体" w:hAnsi="楷体" w:eastAsia="楷体" w:cs="Calibri"/>
          <w:sz w:val="24"/>
          <w:szCs w:val="24"/>
          <w:highlight w:val="none"/>
        </w:rPr>
        <w:t>20%时</w:t>
      </w:r>
      <w:r>
        <w:rPr>
          <w:rFonts w:hint="eastAsia" w:ascii="楷体" w:hAnsi="楷体" w:eastAsia="楷体" w:cs="Calibri"/>
          <w:sz w:val="24"/>
          <w:szCs w:val="24"/>
          <w:highlight w:val="none"/>
        </w:rPr>
        <w:t>，即认为发生了巨额申购。当出现巨额申购时，产品管理人有权拒绝客户的全部或部分申购申请。</w:t>
      </w:r>
    </w:p>
    <w:p>
      <w:pPr>
        <w:numPr>
          <w:ilvl w:val="0"/>
          <w:numId w:val="15"/>
        </w:numPr>
        <w:tabs>
          <w:tab w:val="left" w:pos="1092"/>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单一投资者持有上限：</w:t>
      </w:r>
    </w:p>
    <w:p>
      <w:pPr>
        <w:tabs>
          <w:tab w:val="left" w:pos="1092"/>
        </w:tabs>
        <w:ind w:firstLine="482" w:firstLineChars="200"/>
        <w:rPr>
          <w:rFonts w:ascii="楷体" w:hAnsi="楷体" w:eastAsia="楷体" w:cs="Calibri"/>
          <w:sz w:val="24"/>
          <w:szCs w:val="24"/>
          <w:highlight w:val="none"/>
        </w:rPr>
      </w:pPr>
      <w:r>
        <w:rPr>
          <w:rFonts w:hint="eastAsia" w:ascii="楷体" w:hAnsi="楷体" w:eastAsia="楷体" w:cs="Calibri"/>
          <w:b/>
          <w:bCs/>
          <w:sz w:val="24"/>
          <w:szCs w:val="24"/>
          <w:highlight w:val="none"/>
          <w:u w:val="single"/>
        </w:rPr>
        <w:t>本理财产品不允许单一投资者持有份额超过本理财产品总份额的50%，</w:t>
      </w:r>
      <w:r>
        <w:rPr>
          <w:rFonts w:hint="eastAsia" w:ascii="楷体" w:hAnsi="楷体" w:eastAsia="楷体" w:cs="Calibri"/>
          <w:sz w:val="24"/>
          <w:szCs w:val="24"/>
          <w:highlight w:val="none"/>
        </w:rPr>
        <w:t>对于因理财产品销售募集情况、理财产品规模变化等非因管理人主观因素导致单一投资者持有理财产品份额的比例达到或超过50%的，管理人有权采取控制措施，包括但不限于暂停接受该投资者的认/申购申请、对持有理财产品份额的比例达到或超过50%的单一投资者采取比例确认等方式进行认/申购申请限制等。</w:t>
      </w:r>
    </w:p>
    <w:p>
      <w:pPr>
        <w:numPr>
          <w:ilvl w:val="0"/>
          <w:numId w:val="14"/>
        </w:numPr>
        <w:tabs>
          <w:tab w:val="left" w:pos="728"/>
          <w:tab w:val="left" w:pos="1092"/>
        </w:tabs>
        <w:ind w:left="0" w:firstLine="482" w:firstLineChars="200"/>
        <w:rPr>
          <w:rFonts w:ascii="楷体" w:hAnsi="楷体" w:eastAsia="楷体" w:cs="Calibri"/>
          <w:sz w:val="24"/>
          <w:szCs w:val="24"/>
          <w:highlight w:val="none"/>
        </w:rPr>
      </w:pPr>
      <w:r>
        <w:rPr>
          <w:rFonts w:hint="eastAsia" w:ascii="楷体" w:hAnsi="楷体" w:eastAsia="楷体" w:cs="Calibri"/>
          <w:b/>
          <w:sz w:val="24"/>
          <w:szCs w:val="24"/>
          <w:highlight w:val="none"/>
        </w:rPr>
        <w:t>申购确认规则</w:t>
      </w:r>
    </w:p>
    <w:p>
      <w:pPr>
        <w:tabs>
          <w:tab w:val="left" w:pos="1092"/>
        </w:tabs>
        <w:ind w:firstLine="480" w:firstLineChars="200"/>
        <w:rPr>
          <w:rFonts w:hint="eastAsia" w:ascii="楷体" w:hAnsi="楷体" w:eastAsia="楷体" w:cs="Calibri"/>
          <w:sz w:val="24"/>
          <w:szCs w:val="24"/>
          <w:highlight w:val="none"/>
          <w:lang w:val="en-US" w:eastAsia="zh-CN"/>
        </w:rPr>
      </w:pPr>
      <w:r>
        <w:rPr>
          <w:rFonts w:hint="eastAsia" w:ascii="楷体" w:hAnsi="楷体" w:eastAsia="楷体" w:cs="Calibri"/>
          <w:sz w:val="24"/>
          <w:szCs w:val="24"/>
          <w:highlight w:val="none"/>
          <w:lang w:val="en-US" w:eastAsia="zh-CN"/>
        </w:rPr>
        <w:t>A/B份额：</w:t>
      </w:r>
    </w:p>
    <w:tbl>
      <w:tblPr>
        <w:tblStyle w:val="15"/>
        <w:tblpPr w:leftFromText="180" w:rightFromText="180" w:vertAnchor="text" w:horzAnchor="margin" w:tblpY="18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260"/>
        <w:gridCol w:w="184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5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申购申请时间</w:t>
            </w:r>
          </w:p>
        </w:tc>
        <w:tc>
          <w:tcPr>
            <w:tcW w:w="3260"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申购确认方式</w:t>
            </w:r>
          </w:p>
        </w:tc>
        <w:tc>
          <w:tcPr>
            <w:tcW w:w="1843"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申购扣款日</w:t>
            </w:r>
          </w:p>
        </w:tc>
        <w:tc>
          <w:tcPr>
            <w:tcW w:w="14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申购撤单截止时间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5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开放日0</w:t>
            </w:r>
            <w:r>
              <w:rPr>
                <w:rFonts w:hint="eastAsia" w:ascii="楷体" w:hAnsi="楷体" w:eastAsia="楷体" w:cs="Calibri"/>
                <w:szCs w:val="21"/>
                <w:highlight w:val="none"/>
                <w:lang w:val="en-US" w:eastAsia="zh-CN"/>
              </w:rPr>
              <w:t>:</w:t>
            </w:r>
            <w:r>
              <w:rPr>
                <w:rFonts w:ascii="楷体" w:hAnsi="楷体" w:eastAsia="楷体" w:cs="Calibri"/>
                <w:szCs w:val="21"/>
                <w:highlight w:val="none"/>
              </w:rPr>
              <w:t>00-</w:t>
            </w:r>
            <w:r>
              <w:rPr>
                <w:rFonts w:hint="eastAsia" w:ascii="楷体" w:hAnsi="楷体" w:eastAsia="楷体" w:cs="Calibri"/>
                <w:szCs w:val="21"/>
                <w:highlight w:val="none"/>
                <w:lang w:val="en-US" w:eastAsia="zh-CN"/>
              </w:rPr>
              <w:t>24</w:t>
            </w:r>
            <w:r>
              <w:rPr>
                <w:rFonts w:hint="eastAsia" w:ascii="楷体" w:hAnsi="楷体" w:eastAsia="楷体" w:cs="Calibri"/>
                <w:szCs w:val="21"/>
                <w:highlight w:val="none"/>
              </w:rPr>
              <w:t>:00（不含）</w:t>
            </w:r>
          </w:p>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开放日为T日</w:t>
            </w:r>
          </w:p>
        </w:tc>
        <w:tc>
          <w:tcPr>
            <w:tcW w:w="3260"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开放日后第1个工作日对申购申请进行确认（T+1日）</w:t>
            </w:r>
          </w:p>
        </w:tc>
        <w:tc>
          <w:tcPr>
            <w:tcW w:w="1843"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T日</w:t>
            </w:r>
          </w:p>
        </w:tc>
        <w:tc>
          <w:tcPr>
            <w:tcW w:w="14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T日</w:t>
            </w:r>
            <w:r>
              <w:rPr>
                <w:rFonts w:hint="eastAsia" w:ascii="楷体" w:hAnsi="楷体" w:eastAsia="楷体" w:cs="Calibri"/>
                <w:szCs w:val="21"/>
                <w:highlight w:val="none"/>
                <w:lang w:val="en-US" w:eastAsia="zh-CN"/>
              </w:rPr>
              <w:t>24</w:t>
            </w:r>
            <w:r>
              <w:rPr>
                <w:rFonts w:hint="eastAsia" w:ascii="楷体" w:hAnsi="楷体" w:eastAsia="楷体" w:cs="Calibri"/>
                <w:szCs w:val="21"/>
                <w:highlight w:val="none"/>
              </w:rPr>
              <w:t>:00前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非开放日00:00</w:t>
            </w:r>
            <w:r>
              <w:rPr>
                <w:rFonts w:ascii="楷体" w:hAnsi="楷体" w:eastAsia="楷体" w:cs="Calibri"/>
                <w:szCs w:val="21"/>
                <w:highlight w:val="none"/>
              </w:rPr>
              <w:t>-</w:t>
            </w:r>
            <w:r>
              <w:rPr>
                <w:rFonts w:hint="eastAsia" w:ascii="楷体" w:hAnsi="楷体" w:eastAsia="楷体" w:cs="Calibri"/>
                <w:szCs w:val="21"/>
                <w:highlight w:val="none"/>
              </w:rPr>
              <w:t>24</w:t>
            </w:r>
            <w:r>
              <w:rPr>
                <w:rFonts w:ascii="楷体" w:hAnsi="楷体" w:eastAsia="楷体" w:cs="Calibri"/>
                <w:szCs w:val="21"/>
                <w:highlight w:val="none"/>
              </w:rPr>
              <w:t>:</w:t>
            </w:r>
            <w:r>
              <w:rPr>
                <w:rFonts w:hint="eastAsia" w:ascii="楷体" w:hAnsi="楷体" w:eastAsia="楷体" w:cs="Calibri"/>
                <w:szCs w:val="21"/>
                <w:highlight w:val="none"/>
              </w:rPr>
              <w:t>00（不含）</w:t>
            </w:r>
          </w:p>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非开放日后第1个工作日为T日</w:t>
            </w:r>
          </w:p>
        </w:tc>
        <w:tc>
          <w:tcPr>
            <w:tcW w:w="3260"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视为非开放日后第1个工作日的申购（T日），将于非开放日后第2个工作日对申购申请进行确认（T+1日）</w:t>
            </w:r>
          </w:p>
        </w:tc>
        <w:tc>
          <w:tcPr>
            <w:tcW w:w="1843"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T日</w:t>
            </w:r>
          </w:p>
        </w:tc>
        <w:tc>
          <w:tcPr>
            <w:tcW w:w="14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T日</w:t>
            </w:r>
            <w:r>
              <w:rPr>
                <w:rFonts w:hint="eastAsia" w:ascii="楷体" w:hAnsi="楷体" w:eastAsia="楷体" w:cs="Calibri"/>
                <w:szCs w:val="21"/>
                <w:highlight w:val="none"/>
                <w:lang w:val="en-US" w:eastAsia="zh-CN"/>
              </w:rPr>
              <w:t>24</w:t>
            </w:r>
            <w:r>
              <w:rPr>
                <w:rFonts w:hint="eastAsia" w:ascii="楷体" w:hAnsi="楷体" w:eastAsia="楷体" w:cs="Calibri"/>
                <w:szCs w:val="21"/>
                <w:highlight w:val="none"/>
              </w:rPr>
              <w:t>:00前</w:t>
            </w:r>
          </w:p>
        </w:tc>
      </w:tr>
    </w:tbl>
    <w:p>
      <w:pPr>
        <w:tabs>
          <w:tab w:val="left" w:pos="1092"/>
        </w:tabs>
        <w:ind w:firstLine="480" w:firstLineChars="200"/>
        <w:rPr>
          <w:rFonts w:hint="eastAsia" w:ascii="楷体" w:hAnsi="楷体" w:eastAsia="楷体" w:cs="Calibri"/>
          <w:sz w:val="24"/>
          <w:szCs w:val="24"/>
          <w:highlight w:val="none"/>
          <w:lang w:val="en-US" w:eastAsia="zh-CN"/>
        </w:rPr>
      </w:pPr>
      <w:r>
        <w:rPr>
          <w:rFonts w:hint="eastAsia" w:ascii="楷体" w:hAnsi="楷体" w:eastAsia="楷体" w:cs="Calibri"/>
          <w:sz w:val="24"/>
          <w:szCs w:val="24"/>
          <w:highlight w:val="none"/>
          <w:lang w:val="en-US" w:eastAsia="zh-CN"/>
        </w:rPr>
        <w:t>F份额：</w:t>
      </w:r>
    </w:p>
    <w:tbl>
      <w:tblPr>
        <w:tblStyle w:val="15"/>
        <w:tblpPr w:leftFromText="180" w:rightFromText="180" w:vertAnchor="text" w:horzAnchor="margin" w:tblpY="18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260"/>
        <w:gridCol w:w="184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518" w:type="dxa"/>
            <w:vAlign w:val="center"/>
          </w:tcPr>
          <w:p>
            <w:pPr>
              <w:tabs>
                <w:tab w:val="left" w:pos="728"/>
                <w:tab w:val="left" w:pos="1092"/>
              </w:tabs>
              <w:jc w:val="center"/>
              <w:rPr>
                <w:rFonts w:hint="eastAsia" w:ascii="楷体" w:hAnsi="楷体" w:eastAsia="楷体" w:cs="Calibri"/>
                <w:kern w:val="2"/>
                <w:sz w:val="21"/>
                <w:szCs w:val="21"/>
                <w:highlight w:val="none"/>
                <w:lang w:val="en-US" w:eastAsia="zh-CN" w:bidi="ar-SA"/>
              </w:rPr>
            </w:pPr>
            <w:r>
              <w:rPr>
                <w:rFonts w:hint="eastAsia" w:ascii="楷体" w:hAnsi="楷体" w:eastAsia="楷体" w:cs="Calibri"/>
                <w:szCs w:val="21"/>
                <w:highlight w:val="none"/>
              </w:rPr>
              <w:t>申购申请时间</w:t>
            </w:r>
          </w:p>
        </w:tc>
        <w:tc>
          <w:tcPr>
            <w:tcW w:w="3260" w:type="dxa"/>
            <w:vAlign w:val="center"/>
          </w:tcPr>
          <w:p>
            <w:pPr>
              <w:tabs>
                <w:tab w:val="left" w:pos="728"/>
                <w:tab w:val="left" w:pos="1092"/>
              </w:tabs>
              <w:jc w:val="center"/>
              <w:rPr>
                <w:rFonts w:hint="eastAsia" w:ascii="楷体" w:hAnsi="楷体" w:eastAsia="楷体" w:cs="Calibri"/>
                <w:kern w:val="2"/>
                <w:sz w:val="21"/>
                <w:szCs w:val="21"/>
                <w:highlight w:val="none"/>
                <w:lang w:val="en-US" w:eastAsia="zh-CN" w:bidi="ar-SA"/>
              </w:rPr>
            </w:pPr>
            <w:r>
              <w:rPr>
                <w:rFonts w:hint="eastAsia" w:ascii="楷体" w:hAnsi="楷体" w:eastAsia="楷体" w:cs="Calibri"/>
                <w:szCs w:val="21"/>
                <w:highlight w:val="none"/>
              </w:rPr>
              <w:t>申购确认方式</w:t>
            </w:r>
          </w:p>
        </w:tc>
        <w:tc>
          <w:tcPr>
            <w:tcW w:w="1843" w:type="dxa"/>
            <w:vAlign w:val="center"/>
          </w:tcPr>
          <w:p>
            <w:pPr>
              <w:tabs>
                <w:tab w:val="left" w:pos="728"/>
                <w:tab w:val="left" w:pos="1092"/>
              </w:tabs>
              <w:jc w:val="center"/>
              <w:rPr>
                <w:rFonts w:hint="eastAsia" w:ascii="楷体" w:hAnsi="楷体" w:eastAsia="楷体" w:cs="Calibri"/>
                <w:kern w:val="2"/>
                <w:sz w:val="21"/>
                <w:szCs w:val="21"/>
                <w:highlight w:val="none"/>
                <w:lang w:val="en-US" w:eastAsia="zh-CN" w:bidi="ar-SA"/>
              </w:rPr>
            </w:pPr>
            <w:r>
              <w:rPr>
                <w:rFonts w:hint="eastAsia" w:ascii="楷体" w:hAnsi="楷体" w:eastAsia="楷体" w:cs="Calibri"/>
                <w:szCs w:val="21"/>
                <w:highlight w:val="none"/>
              </w:rPr>
              <w:t>申购扣款日</w:t>
            </w:r>
          </w:p>
        </w:tc>
        <w:tc>
          <w:tcPr>
            <w:tcW w:w="1418" w:type="dxa"/>
            <w:vAlign w:val="center"/>
          </w:tcPr>
          <w:p>
            <w:pPr>
              <w:tabs>
                <w:tab w:val="left" w:pos="728"/>
                <w:tab w:val="left" w:pos="1092"/>
              </w:tabs>
              <w:jc w:val="center"/>
              <w:rPr>
                <w:rFonts w:hint="eastAsia" w:ascii="楷体" w:hAnsi="楷体" w:eastAsia="楷体" w:cs="Calibri"/>
                <w:kern w:val="2"/>
                <w:sz w:val="21"/>
                <w:szCs w:val="21"/>
                <w:highlight w:val="none"/>
                <w:lang w:val="en-US" w:eastAsia="zh-CN" w:bidi="ar-SA"/>
              </w:rPr>
            </w:pPr>
            <w:r>
              <w:rPr>
                <w:rFonts w:hint="eastAsia" w:ascii="楷体" w:hAnsi="楷体" w:eastAsia="楷体" w:cs="Calibri"/>
                <w:szCs w:val="21"/>
                <w:highlight w:val="none"/>
              </w:rPr>
              <w:t>申购撤单截止时间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5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开放日0</w:t>
            </w:r>
            <w:r>
              <w:rPr>
                <w:rFonts w:hint="eastAsia" w:ascii="楷体" w:hAnsi="楷体" w:eastAsia="楷体" w:cs="Calibri"/>
                <w:szCs w:val="21"/>
                <w:highlight w:val="none"/>
                <w:lang w:val="en-US" w:eastAsia="zh-CN"/>
              </w:rPr>
              <w:t>:</w:t>
            </w:r>
            <w:r>
              <w:rPr>
                <w:rFonts w:ascii="楷体" w:hAnsi="楷体" w:eastAsia="楷体" w:cs="Calibri"/>
                <w:szCs w:val="21"/>
                <w:highlight w:val="none"/>
              </w:rPr>
              <w:t>00-</w:t>
            </w:r>
            <w:r>
              <w:rPr>
                <w:rFonts w:hint="eastAsia" w:ascii="楷体" w:hAnsi="楷体" w:eastAsia="楷体" w:cs="Calibri"/>
                <w:szCs w:val="21"/>
                <w:highlight w:val="none"/>
                <w:lang w:val="en-US" w:eastAsia="zh-CN"/>
              </w:rPr>
              <w:t>15</w:t>
            </w:r>
            <w:r>
              <w:rPr>
                <w:rFonts w:hint="eastAsia" w:ascii="楷体" w:hAnsi="楷体" w:eastAsia="楷体" w:cs="Calibri"/>
                <w:szCs w:val="21"/>
                <w:highlight w:val="none"/>
              </w:rPr>
              <w:t>:</w:t>
            </w:r>
            <w:r>
              <w:rPr>
                <w:rFonts w:hint="eastAsia" w:ascii="楷体" w:hAnsi="楷体" w:eastAsia="楷体" w:cs="Calibri"/>
                <w:szCs w:val="21"/>
                <w:highlight w:val="none"/>
                <w:lang w:val="en-US" w:eastAsia="zh-CN"/>
              </w:rPr>
              <w:t>3</w:t>
            </w:r>
            <w:r>
              <w:rPr>
                <w:rFonts w:hint="eastAsia" w:ascii="楷体" w:hAnsi="楷体" w:eastAsia="楷体" w:cs="Calibri"/>
                <w:szCs w:val="21"/>
                <w:highlight w:val="none"/>
              </w:rPr>
              <w:t>0（不含）</w:t>
            </w:r>
          </w:p>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开放日为T日</w:t>
            </w:r>
          </w:p>
        </w:tc>
        <w:tc>
          <w:tcPr>
            <w:tcW w:w="3260"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开放日后第1个工作日对申购申请进行确认（T+1日）</w:t>
            </w:r>
          </w:p>
        </w:tc>
        <w:tc>
          <w:tcPr>
            <w:tcW w:w="1843"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T日</w:t>
            </w:r>
          </w:p>
        </w:tc>
        <w:tc>
          <w:tcPr>
            <w:tcW w:w="14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T日</w:t>
            </w:r>
            <w:r>
              <w:rPr>
                <w:rFonts w:hint="eastAsia" w:ascii="楷体" w:hAnsi="楷体" w:eastAsia="楷体" w:cs="Calibri"/>
                <w:szCs w:val="21"/>
                <w:highlight w:val="none"/>
                <w:lang w:val="en-US" w:eastAsia="zh-CN"/>
              </w:rPr>
              <w:t>15</w:t>
            </w:r>
            <w:r>
              <w:rPr>
                <w:rFonts w:hint="eastAsia" w:ascii="楷体" w:hAnsi="楷体" w:eastAsia="楷体" w:cs="Calibri"/>
                <w:szCs w:val="21"/>
                <w:highlight w:val="none"/>
              </w:rPr>
              <w:t>:</w:t>
            </w:r>
            <w:r>
              <w:rPr>
                <w:rFonts w:hint="eastAsia" w:ascii="楷体" w:hAnsi="楷体" w:eastAsia="楷体" w:cs="Calibri"/>
                <w:szCs w:val="21"/>
                <w:highlight w:val="none"/>
                <w:lang w:val="en-US" w:eastAsia="zh-CN"/>
              </w:rPr>
              <w:t>3</w:t>
            </w:r>
            <w:r>
              <w:rPr>
                <w:rFonts w:hint="eastAsia" w:ascii="楷体" w:hAnsi="楷体" w:eastAsia="楷体" w:cs="Calibri"/>
                <w:szCs w:val="21"/>
                <w:highlight w:val="none"/>
              </w:rPr>
              <w:t>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5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开放日</w:t>
            </w:r>
            <w:r>
              <w:rPr>
                <w:rFonts w:hint="eastAsia" w:ascii="楷体" w:hAnsi="楷体" w:eastAsia="楷体" w:cs="Calibri"/>
                <w:szCs w:val="21"/>
                <w:highlight w:val="none"/>
                <w:lang w:val="en-US" w:eastAsia="zh-CN"/>
              </w:rPr>
              <w:t>15</w:t>
            </w:r>
            <w:r>
              <w:rPr>
                <w:rFonts w:hint="eastAsia" w:ascii="楷体" w:hAnsi="楷体" w:eastAsia="楷体" w:cs="Calibri"/>
                <w:szCs w:val="21"/>
                <w:highlight w:val="none"/>
              </w:rPr>
              <w:t>:</w:t>
            </w:r>
            <w:r>
              <w:rPr>
                <w:rFonts w:hint="eastAsia" w:ascii="楷体" w:hAnsi="楷体" w:eastAsia="楷体" w:cs="Calibri"/>
                <w:szCs w:val="21"/>
                <w:highlight w:val="none"/>
                <w:lang w:val="en-US" w:eastAsia="zh-CN"/>
              </w:rPr>
              <w:t>3</w:t>
            </w:r>
            <w:r>
              <w:rPr>
                <w:rFonts w:hint="eastAsia" w:ascii="楷体" w:hAnsi="楷体" w:eastAsia="楷体" w:cs="Calibri"/>
                <w:szCs w:val="21"/>
                <w:highlight w:val="none"/>
              </w:rPr>
              <w:t>0</w:t>
            </w:r>
            <w:r>
              <w:rPr>
                <w:rFonts w:ascii="楷体" w:hAnsi="楷体" w:eastAsia="楷体" w:cs="Calibri"/>
                <w:szCs w:val="21"/>
                <w:highlight w:val="none"/>
              </w:rPr>
              <w:t>-</w:t>
            </w:r>
            <w:r>
              <w:rPr>
                <w:rFonts w:hint="eastAsia" w:ascii="楷体" w:hAnsi="楷体" w:eastAsia="楷体" w:cs="Calibri"/>
                <w:szCs w:val="21"/>
                <w:highlight w:val="none"/>
              </w:rPr>
              <w:t>24</w:t>
            </w:r>
            <w:r>
              <w:rPr>
                <w:rFonts w:ascii="楷体" w:hAnsi="楷体" w:eastAsia="楷体" w:cs="Calibri"/>
                <w:szCs w:val="21"/>
                <w:highlight w:val="none"/>
              </w:rPr>
              <w:t>:</w:t>
            </w:r>
            <w:r>
              <w:rPr>
                <w:rFonts w:hint="eastAsia" w:ascii="楷体" w:hAnsi="楷体" w:eastAsia="楷体" w:cs="Calibri"/>
                <w:szCs w:val="21"/>
                <w:highlight w:val="none"/>
              </w:rPr>
              <w:t>00（不含）</w:t>
            </w:r>
          </w:p>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开放日为T日</w:t>
            </w:r>
          </w:p>
        </w:tc>
        <w:tc>
          <w:tcPr>
            <w:tcW w:w="3260"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视为开放日后第1个工作日的申购，将于开放日后第2个工作日对申购申请进行确认（T+2日）</w:t>
            </w:r>
          </w:p>
        </w:tc>
        <w:tc>
          <w:tcPr>
            <w:tcW w:w="1843"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T+1日</w:t>
            </w:r>
          </w:p>
        </w:tc>
        <w:tc>
          <w:tcPr>
            <w:tcW w:w="14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T+1日</w:t>
            </w:r>
            <w:r>
              <w:rPr>
                <w:rFonts w:hint="eastAsia" w:ascii="楷体" w:hAnsi="楷体" w:eastAsia="楷体" w:cs="Calibri"/>
                <w:szCs w:val="21"/>
                <w:highlight w:val="none"/>
                <w:lang w:val="en-US" w:eastAsia="zh-CN"/>
              </w:rPr>
              <w:t>15</w:t>
            </w:r>
            <w:r>
              <w:rPr>
                <w:rFonts w:hint="eastAsia" w:ascii="楷体" w:hAnsi="楷体" w:eastAsia="楷体" w:cs="Calibri"/>
                <w:szCs w:val="21"/>
                <w:highlight w:val="none"/>
              </w:rPr>
              <w:t>:</w:t>
            </w:r>
            <w:r>
              <w:rPr>
                <w:rFonts w:hint="eastAsia" w:ascii="楷体" w:hAnsi="楷体" w:eastAsia="楷体" w:cs="Calibri"/>
                <w:szCs w:val="21"/>
                <w:highlight w:val="none"/>
                <w:lang w:val="en-US" w:eastAsia="zh-CN"/>
              </w:rPr>
              <w:t>3</w:t>
            </w:r>
            <w:r>
              <w:rPr>
                <w:rFonts w:hint="eastAsia" w:ascii="楷体" w:hAnsi="楷体" w:eastAsia="楷体" w:cs="Calibri"/>
                <w:szCs w:val="21"/>
                <w:highlight w:val="none"/>
              </w:rPr>
              <w:t>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非开放日00:00</w:t>
            </w:r>
            <w:r>
              <w:rPr>
                <w:rFonts w:ascii="楷体" w:hAnsi="楷体" w:eastAsia="楷体" w:cs="Calibri"/>
                <w:szCs w:val="21"/>
                <w:highlight w:val="none"/>
              </w:rPr>
              <w:t>-</w:t>
            </w:r>
            <w:r>
              <w:rPr>
                <w:rFonts w:hint="eastAsia" w:ascii="楷体" w:hAnsi="楷体" w:eastAsia="楷体" w:cs="Calibri"/>
                <w:szCs w:val="21"/>
                <w:highlight w:val="none"/>
              </w:rPr>
              <w:t>24</w:t>
            </w:r>
            <w:r>
              <w:rPr>
                <w:rFonts w:ascii="楷体" w:hAnsi="楷体" w:eastAsia="楷体" w:cs="Calibri"/>
                <w:szCs w:val="21"/>
                <w:highlight w:val="none"/>
              </w:rPr>
              <w:t>:</w:t>
            </w:r>
            <w:r>
              <w:rPr>
                <w:rFonts w:hint="eastAsia" w:ascii="楷体" w:hAnsi="楷体" w:eastAsia="楷体" w:cs="Calibri"/>
                <w:szCs w:val="21"/>
                <w:highlight w:val="none"/>
              </w:rPr>
              <w:t>00（不含）</w:t>
            </w:r>
          </w:p>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非开放日后第1个工作日为T日</w:t>
            </w:r>
          </w:p>
        </w:tc>
        <w:tc>
          <w:tcPr>
            <w:tcW w:w="3260"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视为非开放日后第1个工作日的申购（T日），将于非开放日后第2个工作日对申购申请进行确认（T+1日）</w:t>
            </w:r>
          </w:p>
        </w:tc>
        <w:tc>
          <w:tcPr>
            <w:tcW w:w="1843"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T日</w:t>
            </w:r>
          </w:p>
        </w:tc>
        <w:tc>
          <w:tcPr>
            <w:tcW w:w="14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T日</w:t>
            </w:r>
            <w:r>
              <w:rPr>
                <w:rFonts w:hint="eastAsia" w:ascii="楷体" w:hAnsi="楷体" w:eastAsia="楷体" w:cs="Calibri"/>
                <w:szCs w:val="21"/>
                <w:highlight w:val="none"/>
                <w:lang w:val="en-US" w:eastAsia="zh-CN"/>
              </w:rPr>
              <w:t>15</w:t>
            </w:r>
            <w:r>
              <w:rPr>
                <w:rFonts w:hint="eastAsia" w:ascii="楷体" w:hAnsi="楷体" w:eastAsia="楷体" w:cs="Calibri"/>
                <w:szCs w:val="21"/>
                <w:highlight w:val="none"/>
              </w:rPr>
              <w:t>:</w:t>
            </w:r>
            <w:r>
              <w:rPr>
                <w:rFonts w:hint="eastAsia" w:ascii="楷体" w:hAnsi="楷体" w:eastAsia="楷体" w:cs="Calibri"/>
                <w:szCs w:val="21"/>
                <w:highlight w:val="none"/>
                <w:lang w:val="en-US" w:eastAsia="zh-CN"/>
              </w:rPr>
              <w:t>3</w:t>
            </w:r>
            <w:r>
              <w:rPr>
                <w:rFonts w:hint="eastAsia" w:ascii="楷体" w:hAnsi="楷体" w:eastAsia="楷体" w:cs="Calibri"/>
                <w:szCs w:val="21"/>
                <w:highlight w:val="none"/>
              </w:rPr>
              <w:t>0前</w:t>
            </w:r>
          </w:p>
        </w:tc>
      </w:tr>
    </w:tbl>
    <w:p>
      <w:pPr>
        <w:tabs>
          <w:tab w:val="left" w:pos="1092"/>
        </w:tabs>
        <w:ind w:firstLine="480" w:firstLineChars="200"/>
        <w:rPr>
          <w:highlight w:val="none"/>
        </w:rPr>
      </w:pPr>
      <w:r>
        <w:rPr>
          <w:rFonts w:hint="eastAsia" w:ascii="楷体" w:hAnsi="楷体" w:eastAsia="楷体" w:cs="Calibri"/>
          <w:sz w:val="24"/>
          <w:szCs w:val="24"/>
          <w:highlight w:val="none"/>
          <w:lang w:val="en-US" w:eastAsia="zh-CN"/>
        </w:rPr>
        <w:t>其他</w:t>
      </w:r>
      <w:r>
        <w:rPr>
          <w:rFonts w:hint="eastAsia" w:ascii="楷体" w:hAnsi="楷体" w:eastAsia="楷体" w:cs="Calibri"/>
          <w:sz w:val="24"/>
          <w:szCs w:val="24"/>
          <w:highlight w:val="none"/>
        </w:rPr>
        <w:t>份额：</w:t>
      </w:r>
    </w:p>
    <w:tbl>
      <w:tblPr>
        <w:tblStyle w:val="15"/>
        <w:tblpPr w:leftFromText="180" w:rightFromText="180" w:vertAnchor="text" w:horzAnchor="margin" w:tblpY="18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260"/>
        <w:gridCol w:w="184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5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申购申请时间</w:t>
            </w:r>
          </w:p>
        </w:tc>
        <w:tc>
          <w:tcPr>
            <w:tcW w:w="3260"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申购确认方式</w:t>
            </w:r>
          </w:p>
        </w:tc>
        <w:tc>
          <w:tcPr>
            <w:tcW w:w="1843"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申购扣款日</w:t>
            </w:r>
          </w:p>
        </w:tc>
        <w:tc>
          <w:tcPr>
            <w:tcW w:w="14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申购撤单截止时间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5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开放日0</w:t>
            </w:r>
            <w:r>
              <w:rPr>
                <w:rFonts w:hint="eastAsia" w:ascii="楷体" w:hAnsi="楷体" w:eastAsia="楷体" w:cs="Calibri"/>
                <w:szCs w:val="21"/>
                <w:highlight w:val="none"/>
                <w:lang w:val="en-US" w:eastAsia="zh-CN"/>
              </w:rPr>
              <w:t>:</w:t>
            </w:r>
            <w:r>
              <w:rPr>
                <w:rFonts w:ascii="楷体" w:hAnsi="楷体" w:eastAsia="楷体" w:cs="Calibri"/>
                <w:szCs w:val="21"/>
                <w:highlight w:val="none"/>
              </w:rPr>
              <w:t>00-</w:t>
            </w:r>
            <w:r>
              <w:rPr>
                <w:rFonts w:hint="eastAsia" w:ascii="楷体" w:hAnsi="楷体" w:eastAsia="楷体" w:cs="Calibri"/>
                <w:szCs w:val="21"/>
                <w:highlight w:val="none"/>
              </w:rPr>
              <w:t>17:00（不含）</w:t>
            </w:r>
          </w:p>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开放日为T日</w:t>
            </w:r>
          </w:p>
        </w:tc>
        <w:tc>
          <w:tcPr>
            <w:tcW w:w="3260"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开放日后第1个工作日对申购申请进行确认（T+1日）</w:t>
            </w:r>
          </w:p>
        </w:tc>
        <w:tc>
          <w:tcPr>
            <w:tcW w:w="1843"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T日</w:t>
            </w:r>
          </w:p>
        </w:tc>
        <w:tc>
          <w:tcPr>
            <w:tcW w:w="14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T日17:00前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开放日17:00</w:t>
            </w:r>
            <w:r>
              <w:rPr>
                <w:rFonts w:ascii="楷体" w:hAnsi="楷体" w:eastAsia="楷体" w:cs="Calibri"/>
                <w:szCs w:val="21"/>
                <w:highlight w:val="none"/>
              </w:rPr>
              <w:t>-</w:t>
            </w:r>
            <w:r>
              <w:rPr>
                <w:rFonts w:hint="eastAsia" w:ascii="楷体" w:hAnsi="楷体" w:eastAsia="楷体" w:cs="Calibri"/>
                <w:szCs w:val="21"/>
                <w:highlight w:val="none"/>
              </w:rPr>
              <w:t>24</w:t>
            </w:r>
            <w:r>
              <w:rPr>
                <w:rFonts w:ascii="楷体" w:hAnsi="楷体" w:eastAsia="楷体" w:cs="Calibri"/>
                <w:szCs w:val="21"/>
                <w:highlight w:val="none"/>
              </w:rPr>
              <w:t>:</w:t>
            </w:r>
            <w:r>
              <w:rPr>
                <w:rFonts w:hint="eastAsia" w:ascii="楷体" w:hAnsi="楷体" w:eastAsia="楷体" w:cs="Calibri"/>
                <w:szCs w:val="21"/>
                <w:highlight w:val="none"/>
              </w:rPr>
              <w:t>00（不含）</w:t>
            </w:r>
          </w:p>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开放日为T日</w:t>
            </w:r>
          </w:p>
        </w:tc>
        <w:tc>
          <w:tcPr>
            <w:tcW w:w="3260"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视为开放日后第1个工作日的申购，将于开放日后第2个工作日对申购申请进行确认（T+2日）</w:t>
            </w:r>
          </w:p>
        </w:tc>
        <w:tc>
          <w:tcPr>
            <w:tcW w:w="1843"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T+1日</w:t>
            </w:r>
          </w:p>
        </w:tc>
        <w:tc>
          <w:tcPr>
            <w:tcW w:w="14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T+1日17:00前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非开放日00:00</w:t>
            </w:r>
            <w:r>
              <w:rPr>
                <w:rFonts w:ascii="楷体" w:hAnsi="楷体" w:eastAsia="楷体" w:cs="Calibri"/>
                <w:szCs w:val="21"/>
                <w:highlight w:val="none"/>
              </w:rPr>
              <w:t>-</w:t>
            </w:r>
            <w:r>
              <w:rPr>
                <w:rFonts w:hint="eastAsia" w:ascii="楷体" w:hAnsi="楷体" w:eastAsia="楷体" w:cs="Calibri"/>
                <w:szCs w:val="21"/>
                <w:highlight w:val="none"/>
              </w:rPr>
              <w:t>24</w:t>
            </w:r>
            <w:r>
              <w:rPr>
                <w:rFonts w:ascii="楷体" w:hAnsi="楷体" w:eastAsia="楷体" w:cs="Calibri"/>
                <w:szCs w:val="21"/>
                <w:highlight w:val="none"/>
              </w:rPr>
              <w:t>:</w:t>
            </w:r>
            <w:r>
              <w:rPr>
                <w:rFonts w:hint="eastAsia" w:ascii="楷体" w:hAnsi="楷体" w:eastAsia="楷体" w:cs="Calibri"/>
                <w:szCs w:val="21"/>
                <w:highlight w:val="none"/>
              </w:rPr>
              <w:t>00（不含）</w:t>
            </w:r>
          </w:p>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非开放日后第1个工作日为T日</w:t>
            </w:r>
          </w:p>
        </w:tc>
        <w:tc>
          <w:tcPr>
            <w:tcW w:w="3260"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视为非开放日后第1个工作日的申购（T日），将于非开放日后第2个工作日对申购申请进行确认（T+1日）</w:t>
            </w:r>
          </w:p>
        </w:tc>
        <w:tc>
          <w:tcPr>
            <w:tcW w:w="1843"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T日</w:t>
            </w:r>
          </w:p>
        </w:tc>
        <w:tc>
          <w:tcPr>
            <w:tcW w:w="14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T日17:00前</w:t>
            </w:r>
          </w:p>
        </w:tc>
      </w:tr>
    </w:tbl>
    <w:p>
      <w:pPr>
        <w:keepNext w:val="0"/>
        <w:keepLines w:val="0"/>
        <w:pageBreakBefore w:val="0"/>
        <w:widowControl w:val="0"/>
        <w:tabs>
          <w:tab w:val="left" w:pos="728"/>
          <w:tab w:val="left" w:pos="1092"/>
        </w:tabs>
        <w:kinsoku/>
        <w:wordWrap/>
        <w:overflowPunct/>
        <w:topLinePunct w:val="0"/>
        <w:autoSpaceDE/>
        <w:autoSpaceDN/>
        <w:bidi w:val="0"/>
        <w:adjustRightInd/>
        <w:snapToGrid/>
        <w:ind w:firstLine="420" w:firstLineChars="200"/>
        <w:textAlignment w:val="auto"/>
        <w:rPr>
          <w:rFonts w:ascii="楷体" w:hAnsi="楷体" w:eastAsia="楷体" w:cs="Calibri"/>
          <w:szCs w:val="21"/>
          <w:highlight w:val="none"/>
        </w:rPr>
      </w:pPr>
      <w:r>
        <w:rPr>
          <w:rFonts w:hint="eastAsia" w:ascii="楷体" w:hAnsi="楷体" w:eastAsia="楷体" w:cs="Calibri"/>
          <w:szCs w:val="21"/>
          <w:highlight w:val="none"/>
        </w:rPr>
        <w:t>注：申购申请开始</w:t>
      </w:r>
      <w:r>
        <w:rPr>
          <w:rFonts w:ascii="楷体" w:hAnsi="楷体" w:eastAsia="楷体" w:cs="Calibri"/>
          <w:szCs w:val="21"/>
          <w:highlight w:val="none"/>
        </w:rPr>
        <w:t>/截止时间以各销售机构系统设置为准</w:t>
      </w:r>
      <w:r>
        <w:rPr>
          <w:rFonts w:hint="eastAsia" w:ascii="楷体" w:hAnsi="楷体" w:eastAsia="楷体" w:cs="Calibri"/>
          <w:szCs w:val="21"/>
          <w:highlight w:val="none"/>
        </w:rPr>
        <w:t>；申购扣款时间以各销售机构实际扣款时间为准；申购撤单截止时间以各销售机构系统设置为准。</w:t>
      </w:r>
    </w:p>
    <w:p>
      <w:pPr>
        <w:tabs>
          <w:tab w:val="left" w:pos="728"/>
          <w:tab w:val="left" w:pos="1092"/>
        </w:tabs>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投资者应在系统扣款前保证资金账户中拥有足够可用余额，因投资者资金账户余额不足、司法冻结、不可抗力因素或其他不可归责于苏银理财和销售机构的事由出现，造成扣款失败、申购申请未被确认的，苏银理财和销售机构不承担法律责任。</w:t>
      </w:r>
      <w:r>
        <w:rPr>
          <w:rFonts w:hint="eastAsia" w:ascii="楷体" w:hAnsi="楷体" w:eastAsia="楷体" w:cs="Calibri"/>
          <w:b/>
          <w:bCs/>
          <w:sz w:val="24"/>
          <w:szCs w:val="24"/>
          <w:highlight w:val="none"/>
          <w:u w:val="single"/>
        </w:rPr>
        <w:t>份额确认前投资者已扣划的申购资金属于在途待确认份额状态，苏银理财不计付在途资金从扣款日至份额确认日间的利息。</w:t>
      </w:r>
    </w:p>
    <w:p>
      <w:pPr>
        <w:numPr>
          <w:ilvl w:val="0"/>
          <w:numId w:val="13"/>
        </w:numPr>
        <w:tabs>
          <w:tab w:val="left" w:pos="993"/>
        </w:tabs>
        <w:ind w:left="0" w:firstLine="482" w:firstLineChars="200"/>
        <w:outlineLvl w:val="1"/>
        <w:rPr>
          <w:rFonts w:ascii="楷体" w:hAnsi="楷体" w:eastAsia="楷体" w:cs="Calibri"/>
          <w:b/>
          <w:sz w:val="24"/>
          <w:szCs w:val="24"/>
          <w:highlight w:val="none"/>
        </w:rPr>
      </w:pPr>
      <w:r>
        <w:rPr>
          <w:rFonts w:ascii="楷体" w:hAnsi="楷体" w:eastAsia="楷体" w:cs="Calibri"/>
          <w:b/>
          <w:sz w:val="24"/>
          <w:szCs w:val="24"/>
          <w:highlight w:val="none"/>
        </w:rPr>
        <w:t>赎回及赎回资金的清算</w:t>
      </w:r>
    </w:p>
    <w:p>
      <w:pPr>
        <w:numPr>
          <w:ilvl w:val="0"/>
          <w:numId w:val="16"/>
        </w:numPr>
        <w:tabs>
          <w:tab w:val="left" w:pos="728"/>
          <w:tab w:val="left" w:pos="1092"/>
        </w:tabs>
        <w:ind w:left="0" w:firstLine="482" w:firstLineChars="200"/>
        <w:rPr>
          <w:rFonts w:ascii="楷体" w:hAnsi="楷体" w:eastAsia="楷体" w:cs="Calibri"/>
          <w:sz w:val="24"/>
          <w:szCs w:val="24"/>
          <w:highlight w:val="none"/>
        </w:rPr>
      </w:pPr>
      <w:r>
        <w:rPr>
          <w:rFonts w:hint="eastAsia" w:ascii="楷体" w:hAnsi="楷体" w:eastAsia="楷体" w:cs="Calibri"/>
          <w:b/>
          <w:sz w:val="24"/>
          <w:szCs w:val="24"/>
          <w:highlight w:val="none"/>
        </w:rPr>
        <w:t>赎回期</w:t>
      </w:r>
      <w:r>
        <w:rPr>
          <w:rFonts w:hint="eastAsia" w:ascii="楷体" w:hAnsi="楷体" w:eastAsia="楷体" w:cs="Calibri"/>
          <w:sz w:val="24"/>
          <w:szCs w:val="24"/>
          <w:highlight w:val="none"/>
        </w:rPr>
        <w:t>：本产品存续期内，00:00至24:00投资者均可提交赎回申请（系统清算时间除外）。</w:t>
      </w:r>
      <w:r>
        <w:rPr>
          <w:rFonts w:hint="eastAsia" w:ascii="楷体" w:hAnsi="楷体" w:eastAsia="楷体" w:cs="Calibri"/>
          <w:b/>
          <w:sz w:val="24"/>
          <w:szCs w:val="24"/>
          <w:highlight w:val="none"/>
          <w:u w:val="single"/>
        </w:rPr>
        <w:t>管理人在开放日对投资者的赎回申请进行确认</w:t>
      </w:r>
      <w:r>
        <w:rPr>
          <w:rFonts w:hint="eastAsia" w:ascii="楷体" w:hAnsi="楷体" w:eastAsia="楷体" w:cs="Calibri"/>
          <w:b/>
          <w:sz w:val="24"/>
          <w:szCs w:val="24"/>
          <w:highlight w:val="none"/>
          <w:u w:val="single"/>
          <w:lang w:eastAsia="zh-CN"/>
        </w:rPr>
        <w:t>。</w:t>
      </w:r>
    </w:p>
    <w:p>
      <w:pPr>
        <w:numPr>
          <w:ilvl w:val="0"/>
          <w:numId w:val="16"/>
        </w:numPr>
        <w:tabs>
          <w:tab w:val="left" w:pos="728"/>
          <w:tab w:val="left" w:pos="1092"/>
        </w:tabs>
        <w:ind w:left="0" w:firstLine="482" w:firstLineChars="200"/>
        <w:rPr>
          <w:rFonts w:ascii="楷体" w:hAnsi="楷体" w:eastAsia="楷体" w:cs="Calibri"/>
          <w:b/>
          <w:sz w:val="24"/>
          <w:szCs w:val="24"/>
          <w:highlight w:val="none"/>
        </w:rPr>
      </w:pPr>
      <w:r>
        <w:rPr>
          <w:rFonts w:hint="eastAsia" w:ascii="楷体" w:hAnsi="楷体" w:eastAsia="楷体" w:cs="Calibri"/>
          <w:b/>
          <w:sz w:val="24"/>
          <w:szCs w:val="24"/>
          <w:highlight w:val="none"/>
        </w:rPr>
        <w:t>赎回原则</w:t>
      </w:r>
    </w:p>
    <w:p>
      <w:pPr>
        <w:numPr>
          <w:ilvl w:val="0"/>
          <w:numId w:val="17"/>
        </w:numPr>
        <w:tabs>
          <w:tab w:val="left" w:pos="1092"/>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“确定价”原则：投资者赎回本理财产品时，采用“确定价”原则，价格为1元/份。</w:t>
      </w:r>
    </w:p>
    <w:p>
      <w:pPr>
        <w:numPr>
          <w:ilvl w:val="0"/>
          <w:numId w:val="17"/>
        </w:numPr>
        <w:tabs>
          <w:tab w:val="left" w:pos="1092"/>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“份额赎回”原则：本理财产品赎回以份额申请，赎回金额=赎回份额×产品单位净值。</w:t>
      </w:r>
    </w:p>
    <w:p>
      <w:pPr>
        <w:numPr>
          <w:ilvl w:val="0"/>
          <w:numId w:val="16"/>
        </w:numPr>
        <w:tabs>
          <w:tab w:val="left" w:pos="728"/>
          <w:tab w:val="left" w:pos="1092"/>
        </w:tabs>
        <w:ind w:left="0" w:firstLine="482" w:firstLineChars="200"/>
        <w:rPr>
          <w:rFonts w:ascii="楷体" w:hAnsi="楷体" w:eastAsia="楷体" w:cs="Calibri"/>
          <w:sz w:val="24"/>
          <w:szCs w:val="24"/>
          <w:highlight w:val="none"/>
        </w:rPr>
      </w:pPr>
      <w:r>
        <w:rPr>
          <w:rFonts w:hint="eastAsia" w:ascii="楷体" w:hAnsi="楷体" w:eastAsia="楷体" w:cs="Calibri"/>
          <w:b/>
          <w:sz w:val="24"/>
          <w:szCs w:val="24"/>
          <w:highlight w:val="none"/>
        </w:rPr>
        <w:t>赎回确认规则</w:t>
      </w:r>
    </w:p>
    <w:p>
      <w:pPr>
        <w:tabs>
          <w:tab w:val="left" w:pos="1092"/>
        </w:tabs>
        <w:ind w:firstLine="480" w:firstLineChars="200"/>
        <w:rPr>
          <w:rFonts w:hint="eastAsia" w:ascii="楷体" w:hAnsi="楷体" w:eastAsia="楷体" w:cs="Calibri"/>
          <w:sz w:val="24"/>
          <w:szCs w:val="24"/>
          <w:highlight w:val="none"/>
          <w:lang w:val="en-US" w:eastAsia="zh-CN"/>
        </w:rPr>
      </w:pPr>
      <w:r>
        <w:rPr>
          <w:rFonts w:hint="eastAsia" w:ascii="楷体" w:hAnsi="楷体" w:eastAsia="楷体" w:cs="Calibri"/>
          <w:sz w:val="24"/>
          <w:szCs w:val="24"/>
          <w:highlight w:val="none"/>
          <w:lang w:val="en-US" w:eastAsia="zh-CN"/>
        </w:rPr>
        <w:t>A/B份额：</w:t>
      </w:r>
    </w:p>
    <w:tbl>
      <w:tblPr>
        <w:tblStyle w:val="15"/>
        <w:tblpPr w:leftFromText="180" w:rightFromText="180" w:vertAnchor="text" w:horzAnchor="margin" w:tblpY="18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3402"/>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943"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赎回申请时间</w:t>
            </w:r>
          </w:p>
        </w:tc>
        <w:tc>
          <w:tcPr>
            <w:tcW w:w="3402"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赎回确认方式</w:t>
            </w:r>
          </w:p>
        </w:tc>
        <w:tc>
          <w:tcPr>
            <w:tcW w:w="1701"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赎回资金最快到账时间</w:t>
            </w:r>
          </w:p>
        </w:tc>
        <w:tc>
          <w:tcPr>
            <w:tcW w:w="14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赎回撤单截止时间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943"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开放日0:</w:t>
            </w:r>
            <w:r>
              <w:rPr>
                <w:rFonts w:ascii="楷体" w:hAnsi="楷体" w:eastAsia="楷体" w:cs="Calibri"/>
                <w:szCs w:val="21"/>
                <w:highlight w:val="none"/>
              </w:rPr>
              <w:t>00-</w:t>
            </w:r>
            <w:r>
              <w:rPr>
                <w:rFonts w:hint="eastAsia" w:ascii="楷体" w:hAnsi="楷体" w:eastAsia="楷体" w:cs="Calibri"/>
                <w:szCs w:val="21"/>
                <w:highlight w:val="none"/>
                <w:lang w:val="en-US" w:eastAsia="zh-CN"/>
              </w:rPr>
              <w:t>24</w:t>
            </w:r>
            <w:r>
              <w:rPr>
                <w:rFonts w:hint="eastAsia" w:ascii="楷体" w:hAnsi="楷体" w:eastAsia="楷体" w:cs="Calibri"/>
                <w:szCs w:val="21"/>
                <w:highlight w:val="none"/>
              </w:rPr>
              <w:t>:00（不含）</w:t>
            </w:r>
          </w:p>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开放日为T日</w:t>
            </w:r>
          </w:p>
        </w:tc>
        <w:tc>
          <w:tcPr>
            <w:tcW w:w="3402"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开放日后第1个工作日对赎回申请进行确认（T+1日）</w:t>
            </w:r>
          </w:p>
        </w:tc>
        <w:tc>
          <w:tcPr>
            <w:tcW w:w="1701"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最快T+1到账</w:t>
            </w:r>
          </w:p>
        </w:tc>
        <w:tc>
          <w:tcPr>
            <w:tcW w:w="14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T日</w:t>
            </w:r>
            <w:r>
              <w:rPr>
                <w:rFonts w:hint="eastAsia" w:ascii="楷体" w:hAnsi="楷体" w:eastAsia="楷体" w:cs="Calibri"/>
                <w:szCs w:val="21"/>
                <w:highlight w:val="none"/>
                <w:lang w:val="en-US" w:eastAsia="zh-CN"/>
              </w:rPr>
              <w:t>24</w:t>
            </w:r>
            <w:r>
              <w:rPr>
                <w:rFonts w:hint="eastAsia" w:ascii="楷体" w:hAnsi="楷体" w:eastAsia="楷体" w:cs="Calibri"/>
                <w:szCs w:val="21"/>
                <w:highlight w:val="none"/>
              </w:rPr>
              <w:t>:00前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非开放日00:00</w:t>
            </w:r>
            <w:r>
              <w:rPr>
                <w:rFonts w:ascii="楷体" w:hAnsi="楷体" w:eastAsia="楷体" w:cs="Calibri"/>
                <w:szCs w:val="21"/>
                <w:highlight w:val="none"/>
              </w:rPr>
              <w:t>-</w:t>
            </w:r>
            <w:r>
              <w:rPr>
                <w:rFonts w:hint="eastAsia" w:ascii="楷体" w:hAnsi="楷体" w:eastAsia="楷体" w:cs="Calibri"/>
                <w:szCs w:val="21"/>
                <w:highlight w:val="none"/>
              </w:rPr>
              <w:t>24</w:t>
            </w:r>
            <w:r>
              <w:rPr>
                <w:rFonts w:ascii="楷体" w:hAnsi="楷体" w:eastAsia="楷体" w:cs="Calibri"/>
                <w:szCs w:val="21"/>
                <w:highlight w:val="none"/>
              </w:rPr>
              <w:t>:</w:t>
            </w:r>
            <w:r>
              <w:rPr>
                <w:rFonts w:hint="eastAsia" w:ascii="楷体" w:hAnsi="楷体" w:eastAsia="楷体" w:cs="Calibri"/>
                <w:szCs w:val="21"/>
                <w:highlight w:val="none"/>
              </w:rPr>
              <w:t>00（不含）</w:t>
            </w:r>
          </w:p>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非开放日后第1个工作日为T日</w:t>
            </w:r>
          </w:p>
        </w:tc>
        <w:tc>
          <w:tcPr>
            <w:tcW w:w="3402"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视为非开放日后第1个工作日的赎回（T日），将于非开放日后第2个工作日对赎回申请进行确认（T+1日）</w:t>
            </w:r>
          </w:p>
        </w:tc>
        <w:tc>
          <w:tcPr>
            <w:tcW w:w="1701"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最快T+1日到账</w:t>
            </w:r>
          </w:p>
        </w:tc>
        <w:tc>
          <w:tcPr>
            <w:tcW w:w="14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T日</w:t>
            </w:r>
            <w:r>
              <w:rPr>
                <w:rFonts w:hint="eastAsia" w:ascii="楷体" w:hAnsi="楷体" w:eastAsia="楷体" w:cs="Calibri"/>
                <w:szCs w:val="21"/>
                <w:highlight w:val="none"/>
                <w:lang w:val="en-US" w:eastAsia="zh-CN"/>
              </w:rPr>
              <w:t>24</w:t>
            </w:r>
            <w:r>
              <w:rPr>
                <w:rFonts w:hint="eastAsia" w:ascii="楷体" w:hAnsi="楷体" w:eastAsia="楷体" w:cs="Calibri"/>
                <w:szCs w:val="21"/>
                <w:highlight w:val="none"/>
              </w:rPr>
              <w:t>:00前</w:t>
            </w:r>
          </w:p>
        </w:tc>
      </w:tr>
    </w:tbl>
    <w:p>
      <w:pPr>
        <w:tabs>
          <w:tab w:val="left" w:pos="1092"/>
        </w:tabs>
        <w:ind w:firstLine="480" w:firstLineChars="200"/>
        <w:rPr>
          <w:rFonts w:hint="eastAsia" w:ascii="楷体" w:hAnsi="楷体" w:eastAsia="楷体" w:cs="Calibri"/>
          <w:sz w:val="24"/>
          <w:szCs w:val="24"/>
          <w:highlight w:val="none"/>
          <w:lang w:val="en-US" w:eastAsia="zh-CN"/>
        </w:rPr>
      </w:pPr>
      <w:r>
        <w:rPr>
          <w:rFonts w:hint="eastAsia" w:ascii="楷体" w:hAnsi="楷体" w:eastAsia="楷体" w:cs="Calibri"/>
          <w:sz w:val="24"/>
          <w:szCs w:val="24"/>
          <w:highlight w:val="none"/>
          <w:lang w:val="en-US" w:eastAsia="zh-CN"/>
        </w:rPr>
        <w:t>F份额：</w:t>
      </w:r>
    </w:p>
    <w:tbl>
      <w:tblPr>
        <w:tblStyle w:val="15"/>
        <w:tblpPr w:leftFromText="180" w:rightFromText="180" w:vertAnchor="text" w:horzAnchor="margin" w:tblpY="18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3402"/>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943"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赎回申请时间</w:t>
            </w:r>
          </w:p>
        </w:tc>
        <w:tc>
          <w:tcPr>
            <w:tcW w:w="3402"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赎回确认方式</w:t>
            </w:r>
          </w:p>
        </w:tc>
        <w:tc>
          <w:tcPr>
            <w:tcW w:w="1701"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赎回资金最快到账时间</w:t>
            </w:r>
          </w:p>
        </w:tc>
        <w:tc>
          <w:tcPr>
            <w:tcW w:w="14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赎回撤单截止时间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943"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开放日0:</w:t>
            </w:r>
            <w:r>
              <w:rPr>
                <w:rFonts w:ascii="楷体" w:hAnsi="楷体" w:eastAsia="楷体" w:cs="Calibri"/>
                <w:szCs w:val="21"/>
                <w:highlight w:val="none"/>
              </w:rPr>
              <w:t>00-</w:t>
            </w:r>
            <w:r>
              <w:rPr>
                <w:rFonts w:hint="eastAsia" w:ascii="楷体" w:hAnsi="楷体" w:eastAsia="楷体" w:cs="Calibri"/>
                <w:szCs w:val="21"/>
                <w:highlight w:val="none"/>
              </w:rPr>
              <w:t>1</w:t>
            </w:r>
            <w:r>
              <w:rPr>
                <w:rFonts w:hint="eastAsia" w:ascii="楷体" w:hAnsi="楷体" w:eastAsia="楷体" w:cs="Calibri"/>
                <w:szCs w:val="21"/>
                <w:highlight w:val="none"/>
                <w:lang w:val="en-US" w:eastAsia="zh-CN"/>
              </w:rPr>
              <w:t>5</w:t>
            </w:r>
            <w:r>
              <w:rPr>
                <w:rFonts w:hint="eastAsia" w:ascii="楷体" w:hAnsi="楷体" w:eastAsia="楷体" w:cs="Calibri"/>
                <w:szCs w:val="21"/>
                <w:highlight w:val="none"/>
              </w:rPr>
              <w:t>:</w:t>
            </w:r>
            <w:r>
              <w:rPr>
                <w:rFonts w:hint="eastAsia" w:ascii="楷体" w:hAnsi="楷体" w:eastAsia="楷体" w:cs="Calibri"/>
                <w:szCs w:val="21"/>
                <w:highlight w:val="none"/>
                <w:lang w:val="en-US" w:eastAsia="zh-CN"/>
              </w:rPr>
              <w:t>3</w:t>
            </w:r>
            <w:r>
              <w:rPr>
                <w:rFonts w:hint="eastAsia" w:ascii="楷体" w:hAnsi="楷体" w:eastAsia="楷体" w:cs="Calibri"/>
                <w:szCs w:val="21"/>
                <w:highlight w:val="none"/>
              </w:rPr>
              <w:t>0（不含）</w:t>
            </w:r>
          </w:p>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开放日为T日</w:t>
            </w:r>
          </w:p>
        </w:tc>
        <w:tc>
          <w:tcPr>
            <w:tcW w:w="3402"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开放日后第1个工作日对赎回申请进行确认（T+1日）</w:t>
            </w:r>
          </w:p>
        </w:tc>
        <w:tc>
          <w:tcPr>
            <w:tcW w:w="1701"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最快T+1到账</w:t>
            </w:r>
          </w:p>
        </w:tc>
        <w:tc>
          <w:tcPr>
            <w:tcW w:w="14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T日</w:t>
            </w:r>
            <w:r>
              <w:rPr>
                <w:rFonts w:hint="eastAsia" w:ascii="楷体" w:hAnsi="楷体" w:eastAsia="楷体" w:cs="Calibri"/>
                <w:szCs w:val="21"/>
                <w:highlight w:val="none"/>
                <w:lang w:val="en-US" w:eastAsia="zh-CN"/>
              </w:rPr>
              <w:t>15</w:t>
            </w:r>
            <w:r>
              <w:rPr>
                <w:rFonts w:hint="eastAsia" w:ascii="楷体" w:hAnsi="楷体" w:eastAsia="楷体" w:cs="Calibri"/>
                <w:szCs w:val="21"/>
                <w:highlight w:val="none"/>
              </w:rPr>
              <w:t>:</w:t>
            </w:r>
            <w:r>
              <w:rPr>
                <w:rFonts w:hint="eastAsia" w:ascii="楷体" w:hAnsi="楷体" w:eastAsia="楷体" w:cs="Calibri"/>
                <w:szCs w:val="21"/>
                <w:highlight w:val="none"/>
                <w:lang w:val="en-US" w:eastAsia="zh-CN"/>
              </w:rPr>
              <w:t>3</w:t>
            </w:r>
            <w:r>
              <w:rPr>
                <w:rFonts w:hint="eastAsia" w:ascii="楷体" w:hAnsi="楷体" w:eastAsia="楷体" w:cs="Calibri"/>
                <w:szCs w:val="21"/>
                <w:highlight w:val="none"/>
              </w:rPr>
              <w:t>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开放日1</w:t>
            </w:r>
            <w:r>
              <w:rPr>
                <w:rFonts w:hint="eastAsia" w:ascii="楷体" w:hAnsi="楷体" w:eastAsia="楷体" w:cs="Calibri"/>
                <w:szCs w:val="21"/>
                <w:highlight w:val="none"/>
                <w:lang w:val="en-US" w:eastAsia="zh-CN"/>
              </w:rPr>
              <w:t>5</w:t>
            </w:r>
            <w:r>
              <w:rPr>
                <w:rFonts w:hint="eastAsia" w:ascii="楷体" w:hAnsi="楷体" w:eastAsia="楷体" w:cs="Calibri"/>
                <w:szCs w:val="21"/>
                <w:highlight w:val="none"/>
              </w:rPr>
              <w:t>:</w:t>
            </w:r>
            <w:r>
              <w:rPr>
                <w:rFonts w:hint="eastAsia" w:ascii="楷体" w:hAnsi="楷体" w:eastAsia="楷体" w:cs="Calibri"/>
                <w:szCs w:val="21"/>
                <w:highlight w:val="none"/>
                <w:lang w:val="en-US" w:eastAsia="zh-CN"/>
              </w:rPr>
              <w:t>3</w:t>
            </w:r>
            <w:r>
              <w:rPr>
                <w:rFonts w:hint="eastAsia" w:ascii="楷体" w:hAnsi="楷体" w:eastAsia="楷体" w:cs="Calibri"/>
                <w:szCs w:val="21"/>
                <w:highlight w:val="none"/>
              </w:rPr>
              <w:t>0</w:t>
            </w:r>
            <w:r>
              <w:rPr>
                <w:rFonts w:ascii="楷体" w:hAnsi="楷体" w:eastAsia="楷体" w:cs="Calibri"/>
                <w:szCs w:val="21"/>
                <w:highlight w:val="none"/>
              </w:rPr>
              <w:t>-</w:t>
            </w:r>
            <w:r>
              <w:rPr>
                <w:rFonts w:hint="eastAsia" w:ascii="楷体" w:hAnsi="楷体" w:eastAsia="楷体" w:cs="Calibri"/>
                <w:szCs w:val="21"/>
                <w:highlight w:val="none"/>
              </w:rPr>
              <w:t>24</w:t>
            </w:r>
            <w:r>
              <w:rPr>
                <w:rFonts w:ascii="楷体" w:hAnsi="楷体" w:eastAsia="楷体" w:cs="Calibri"/>
                <w:szCs w:val="21"/>
                <w:highlight w:val="none"/>
              </w:rPr>
              <w:t>:</w:t>
            </w:r>
            <w:r>
              <w:rPr>
                <w:rFonts w:hint="eastAsia" w:ascii="楷体" w:hAnsi="楷体" w:eastAsia="楷体" w:cs="Calibri"/>
                <w:szCs w:val="21"/>
                <w:highlight w:val="none"/>
              </w:rPr>
              <w:t>00（不含）</w:t>
            </w:r>
          </w:p>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开放日为T日</w:t>
            </w:r>
          </w:p>
        </w:tc>
        <w:tc>
          <w:tcPr>
            <w:tcW w:w="3402"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视为开放日后第1个工作日的赎回，将于开放日后第2个工作日对赎回申请进行确认（T+2日）</w:t>
            </w:r>
          </w:p>
        </w:tc>
        <w:tc>
          <w:tcPr>
            <w:tcW w:w="1701"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最快T+2日到账</w:t>
            </w:r>
          </w:p>
        </w:tc>
        <w:tc>
          <w:tcPr>
            <w:tcW w:w="14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T+1日</w:t>
            </w:r>
            <w:r>
              <w:rPr>
                <w:rFonts w:hint="eastAsia" w:ascii="楷体" w:hAnsi="楷体" w:eastAsia="楷体" w:cs="Calibri"/>
                <w:szCs w:val="21"/>
                <w:highlight w:val="none"/>
                <w:lang w:val="en-US" w:eastAsia="zh-CN"/>
              </w:rPr>
              <w:t>15</w:t>
            </w:r>
            <w:r>
              <w:rPr>
                <w:rFonts w:hint="eastAsia" w:ascii="楷体" w:hAnsi="楷体" w:eastAsia="楷体" w:cs="Calibri"/>
                <w:szCs w:val="21"/>
                <w:highlight w:val="none"/>
              </w:rPr>
              <w:t>:</w:t>
            </w:r>
            <w:r>
              <w:rPr>
                <w:rFonts w:hint="eastAsia" w:ascii="楷体" w:hAnsi="楷体" w:eastAsia="楷体" w:cs="Calibri"/>
                <w:szCs w:val="21"/>
                <w:highlight w:val="none"/>
                <w:lang w:val="en-US" w:eastAsia="zh-CN"/>
              </w:rPr>
              <w:t>3</w:t>
            </w:r>
            <w:r>
              <w:rPr>
                <w:rFonts w:hint="eastAsia" w:ascii="楷体" w:hAnsi="楷体" w:eastAsia="楷体" w:cs="Calibri"/>
                <w:szCs w:val="21"/>
                <w:highlight w:val="none"/>
              </w:rPr>
              <w:t>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非开放日00:00</w:t>
            </w:r>
            <w:r>
              <w:rPr>
                <w:rFonts w:ascii="楷体" w:hAnsi="楷体" w:eastAsia="楷体" w:cs="Calibri"/>
                <w:szCs w:val="21"/>
                <w:highlight w:val="none"/>
              </w:rPr>
              <w:t>-</w:t>
            </w:r>
            <w:r>
              <w:rPr>
                <w:rFonts w:hint="eastAsia" w:ascii="楷体" w:hAnsi="楷体" w:eastAsia="楷体" w:cs="Calibri"/>
                <w:szCs w:val="21"/>
                <w:highlight w:val="none"/>
              </w:rPr>
              <w:t>24</w:t>
            </w:r>
            <w:r>
              <w:rPr>
                <w:rFonts w:ascii="楷体" w:hAnsi="楷体" w:eastAsia="楷体" w:cs="Calibri"/>
                <w:szCs w:val="21"/>
                <w:highlight w:val="none"/>
              </w:rPr>
              <w:t>:</w:t>
            </w:r>
            <w:r>
              <w:rPr>
                <w:rFonts w:hint="eastAsia" w:ascii="楷体" w:hAnsi="楷体" w:eastAsia="楷体" w:cs="Calibri"/>
                <w:szCs w:val="21"/>
                <w:highlight w:val="none"/>
              </w:rPr>
              <w:t>00（不含）</w:t>
            </w:r>
          </w:p>
          <w:p>
            <w:pPr>
              <w:tabs>
                <w:tab w:val="left" w:pos="728"/>
                <w:tab w:val="left" w:pos="1092"/>
              </w:tabs>
              <w:jc w:val="center"/>
              <w:rPr>
                <w:rFonts w:hint="eastAsia" w:ascii="楷体" w:hAnsi="楷体" w:eastAsia="楷体" w:cs="Calibri"/>
                <w:szCs w:val="21"/>
                <w:highlight w:val="none"/>
              </w:rPr>
            </w:pPr>
            <w:r>
              <w:rPr>
                <w:rFonts w:hint="eastAsia" w:ascii="楷体" w:hAnsi="楷体" w:eastAsia="楷体" w:cs="Calibri"/>
                <w:szCs w:val="21"/>
                <w:highlight w:val="none"/>
              </w:rPr>
              <w:t>非开放日后第1个工作日为T日</w:t>
            </w:r>
          </w:p>
        </w:tc>
        <w:tc>
          <w:tcPr>
            <w:tcW w:w="3402" w:type="dxa"/>
            <w:vAlign w:val="center"/>
          </w:tcPr>
          <w:p>
            <w:pPr>
              <w:tabs>
                <w:tab w:val="left" w:pos="728"/>
                <w:tab w:val="left" w:pos="1092"/>
              </w:tabs>
              <w:jc w:val="center"/>
              <w:rPr>
                <w:rFonts w:hint="eastAsia" w:ascii="楷体" w:hAnsi="楷体" w:eastAsia="楷体" w:cs="Calibri"/>
                <w:szCs w:val="21"/>
                <w:highlight w:val="none"/>
              </w:rPr>
            </w:pPr>
            <w:r>
              <w:rPr>
                <w:rFonts w:hint="eastAsia" w:ascii="楷体" w:hAnsi="楷体" w:eastAsia="楷体" w:cs="Calibri"/>
                <w:szCs w:val="21"/>
                <w:highlight w:val="none"/>
              </w:rPr>
              <w:t>视为非开放日后第1个工作日的赎回（T日），将于非开放日后第2个工作日对赎回申请进行确认（T+1日）</w:t>
            </w:r>
          </w:p>
        </w:tc>
        <w:tc>
          <w:tcPr>
            <w:tcW w:w="1701" w:type="dxa"/>
            <w:vAlign w:val="center"/>
          </w:tcPr>
          <w:p>
            <w:pPr>
              <w:tabs>
                <w:tab w:val="left" w:pos="728"/>
                <w:tab w:val="left" w:pos="1092"/>
              </w:tabs>
              <w:jc w:val="center"/>
              <w:rPr>
                <w:rFonts w:hint="eastAsia" w:ascii="楷体" w:hAnsi="楷体" w:eastAsia="楷体" w:cs="Calibri"/>
                <w:szCs w:val="21"/>
                <w:highlight w:val="none"/>
              </w:rPr>
            </w:pPr>
            <w:r>
              <w:rPr>
                <w:rFonts w:hint="eastAsia" w:ascii="楷体" w:hAnsi="楷体" w:eastAsia="楷体" w:cs="Calibri"/>
                <w:szCs w:val="21"/>
                <w:highlight w:val="none"/>
              </w:rPr>
              <w:t>最快T+1日到账</w:t>
            </w:r>
          </w:p>
        </w:tc>
        <w:tc>
          <w:tcPr>
            <w:tcW w:w="1418" w:type="dxa"/>
            <w:vAlign w:val="center"/>
          </w:tcPr>
          <w:p>
            <w:pPr>
              <w:tabs>
                <w:tab w:val="left" w:pos="728"/>
                <w:tab w:val="left" w:pos="1092"/>
              </w:tabs>
              <w:jc w:val="center"/>
              <w:rPr>
                <w:rFonts w:hint="eastAsia" w:ascii="楷体" w:hAnsi="楷体" w:eastAsia="楷体" w:cs="Calibri"/>
                <w:szCs w:val="21"/>
                <w:highlight w:val="none"/>
              </w:rPr>
            </w:pPr>
            <w:r>
              <w:rPr>
                <w:rFonts w:hint="eastAsia" w:ascii="楷体" w:hAnsi="楷体" w:eastAsia="楷体" w:cs="Calibri"/>
                <w:szCs w:val="21"/>
                <w:highlight w:val="none"/>
              </w:rPr>
              <w:t>T日</w:t>
            </w:r>
            <w:r>
              <w:rPr>
                <w:rFonts w:hint="eastAsia" w:ascii="楷体" w:hAnsi="楷体" w:eastAsia="楷体" w:cs="Calibri"/>
                <w:szCs w:val="21"/>
                <w:highlight w:val="none"/>
                <w:lang w:val="en-US" w:eastAsia="zh-CN"/>
              </w:rPr>
              <w:t>15</w:t>
            </w:r>
            <w:r>
              <w:rPr>
                <w:rFonts w:hint="eastAsia" w:ascii="楷体" w:hAnsi="楷体" w:eastAsia="楷体" w:cs="Calibri"/>
                <w:szCs w:val="21"/>
                <w:highlight w:val="none"/>
              </w:rPr>
              <w:t>:</w:t>
            </w:r>
            <w:r>
              <w:rPr>
                <w:rFonts w:hint="eastAsia" w:ascii="楷体" w:hAnsi="楷体" w:eastAsia="楷体" w:cs="Calibri"/>
                <w:szCs w:val="21"/>
                <w:highlight w:val="none"/>
                <w:lang w:val="en-US" w:eastAsia="zh-CN"/>
              </w:rPr>
              <w:t>3</w:t>
            </w:r>
            <w:r>
              <w:rPr>
                <w:rFonts w:hint="eastAsia" w:ascii="楷体" w:hAnsi="楷体" w:eastAsia="楷体" w:cs="Calibri"/>
                <w:szCs w:val="21"/>
                <w:highlight w:val="none"/>
              </w:rPr>
              <w:t>0前</w:t>
            </w:r>
          </w:p>
        </w:tc>
      </w:tr>
    </w:tbl>
    <w:p>
      <w:pPr>
        <w:numPr>
          <w:ilvl w:val="0"/>
          <w:numId w:val="0"/>
        </w:numPr>
        <w:tabs>
          <w:tab w:val="left" w:pos="1092"/>
        </w:tabs>
        <w:ind w:leftChars="200"/>
        <w:rPr>
          <w:rFonts w:hint="eastAsia" w:eastAsia="楷体"/>
          <w:highlight w:val="none"/>
          <w:lang w:val="en-US" w:eastAsia="zh-CN"/>
        </w:rPr>
      </w:pPr>
      <w:r>
        <w:rPr>
          <w:rFonts w:hint="eastAsia" w:ascii="楷体" w:hAnsi="楷体" w:eastAsia="楷体" w:cs="Calibri"/>
          <w:sz w:val="24"/>
          <w:szCs w:val="24"/>
          <w:highlight w:val="none"/>
          <w:lang w:val="en-US" w:eastAsia="zh-CN"/>
        </w:rPr>
        <w:t>其他份额:</w:t>
      </w:r>
    </w:p>
    <w:tbl>
      <w:tblPr>
        <w:tblStyle w:val="15"/>
        <w:tblpPr w:leftFromText="180" w:rightFromText="180" w:vertAnchor="text" w:horzAnchor="margin" w:tblpY="18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3402"/>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943"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赎回申请时间</w:t>
            </w:r>
          </w:p>
        </w:tc>
        <w:tc>
          <w:tcPr>
            <w:tcW w:w="3402"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赎回确认方式</w:t>
            </w:r>
          </w:p>
        </w:tc>
        <w:tc>
          <w:tcPr>
            <w:tcW w:w="1701"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赎回资金最快到账时间</w:t>
            </w:r>
          </w:p>
        </w:tc>
        <w:tc>
          <w:tcPr>
            <w:tcW w:w="14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赎回撤单截止时间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943"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开放日0:</w:t>
            </w:r>
            <w:r>
              <w:rPr>
                <w:rFonts w:ascii="楷体" w:hAnsi="楷体" w:eastAsia="楷体" w:cs="Calibri"/>
                <w:szCs w:val="21"/>
                <w:highlight w:val="none"/>
              </w:rPr>
              <w:t>00-</w:t>
            </w:r>
            <w:r>
              <w:rPr>
                <w:rFonts w:hint="eastAsia" w:ascii="楷体" w:hAnsi="楷体" w:eastAsia="楷体" w:cs="Calibri"/>
                <w:szCs w:val="21"/>
                <w:highlight w:val="none"/>
              </w:rPr>
              <w:t>17:00（不含）</w:t>
            </w:r>
          </w:p>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开放日为T日</w:t>
            </w:r>
          </w:p>
        </w:tc>
        <w:tc>
          <w:tcPr>
            <w:tcW w:w="3402"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开放日后第1个工作日对赎回申请进行确认（T+1日）</w:t>
            </w:r>
          </w:p>
        </w:tc>
        <w:tc>
          <w:tcPr>
            <w:tcW w:w="1701"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最快T+1到账</w:t>
            </w:r>
          </w:p>
        </w:tc>
        <w:tc>
          <w:tcPr>
            <w:tcW w:w="14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T日17:00前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43"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开放日17:00</w:t>
            </w:r>
            <w:r>
              <w:rPr>
                <w:rFonts w:ascii="楷体" w:hAnsi="楷体" w:eastAsia="楷体" w:cs="Calibri"/>
                <w:szCs w:val="21"/>
                <w:highlight w:val="none"/>
              </w:rPr>
              <w:t>-</w:t>
            </w:r>
            <w:r>
              <w:rPr>
                <w:rFonts w:hint="eastAsia" w:ascii="楷体" w:hAnsi="楷体" w:eastAsia="楷体" w:cs="Calibri"/>
                <w:szCs w:val="21"/>
                <w:highlight w:val="none"/>
              </w:rPr>
              <w:t>24</w:t>
            </w:r>
            <w:r>
              <w:rPr>
                <w:rFonts w:ascii="楷体" w:hAnsi="楷体" w:eastAsia="楷体" w:cs="Calibri"/>
                <w:szCs w:val="21"/>
                <w:highlight w:val="none"/>
              </w:rPr>
              <w:t>:</w:t>
            </w:r>
            <w:r>
              <w:rPr>
                <w:rFonts w:hint="eastAsia" w:ascii="楷体" w:hAnsi="楷体" w:eastAsia="楷体" w:cs="Calibri"/>
                <w:szCs w:val="21"/>
                <w:highlight w:val="none"/>
              </w:rPr>
              <w:t>00（不含）</w:t>
            </w:r>
          </w:p>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开放日为T日</w:t>
            </w:r>
          </w:p>
        </w:tc>
        <w:tc>
          <w:tcPr>
            <w:tcW w:w="3402"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视为开放日后第1个工作日的赎回，将于开放日后第2个工作日对赎回申请进行确认（T+2日）</w:t>
            </w:r>
          </w:p>
        </w:tc>
        <w:tc>
          <w:tcPr>
            <w:tcW w:w="1701"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最快T+2日到账</w:t>
            </w:r>
          </w:p>
        </w:tc>
        <w:tc>
          <w:tcPr>
            <w:tcW w:w="14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T+1日17:00前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非开放日00:00</w:t>
            </w:r>
            <w:r>
              <w:rPr>
                <w:rFonts w:ascii="楷体" w:hAnsi="楷体" w:eastAsia="楷体" w:cs="Calibri"/>
                <w:szCs w:val="21"/>
                <w:highlight w:val="none"/>
              </w:rPr>
              <w:t>-</w:t>
            </w:r>
            <w:r>
              <w:rPr>
                <w:rFonts w:hint="eastAsia" w:ascii="楷体" w:hAnsi="楷体" w:eastAsia="楷体" w:cs="Calibri"/>
                <w:szCs w:val="21"/>
                <w:highlight w:val="none"/>
              </w:rPr>
              <w:t>24</w:t>
            </w:r>
            <w:r>
              <w:rPr>
                <w:rFonts w:ascii="楷体" w:hAnsi="楷体" w:eastAsia="楷体" w:cs="Calibri"/>
                <w:szCs w:val="21"/>
                <w:highlight w:val="none"/>
              </w:rPr>
              <w:t>:</w:t>
            </w:r>
            <w:r>
              <w:rPr>
                <w:rFonts w:hint="eastAsia" w:ascii="楷体" w:hAnsi="楷体" w:eastAsia="楷体" w:cs="Calibri"/>
                <w:szCs w:val="21"/>
                <w:highlight w:val="none"/>
              </w:rPr>
              <w:t>00（不含）</w:t>
            </w:r>
          </w:p>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非开放日后第1个工作日为T日</w:t>
            </w:r>
          </w:p>
        </w:tc>
        <w:tc>
          <w:tcPr>
            <w:tcW w:w="3402"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视为非开放日后第1个工作日的赎回（T日），将于非开放日后第2个工作日对赎回申请进行确认（T+1日）</w:t>
            </w:r>
          </w:p>
        </w:tc>
        <w:tc>
          <w:tcPr>
            <w:tcW w:w="1701"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最快T+1日到账</w:t>
            </w:r>
          </w:p>
        </w:tc>
        <w:tc>
          <w:tcPr>
            <w:tcW w:w="1418" w:type="dxa"/>
            <w:vAlign w:val="center"/>
          </w:tcPr>
          <w:p>
            <w:pPr>
              <w:tabs>
                <w:tab w:val="left" w:pos="728"/>
                <w:tab w:val="left" w:pos="1092"/>
              </w:tabs>
              <w:jc w:val="center"/>
              <w:rPr>
                <w:rFonts w:ascii="楷体" w:hAnsi="楷体" w:eastAsia="楷体" w:cs="Calibri"/>
                <w:szCs w:val="21"/>
                <w:highlight w:val="none"/>
              </w:rPr>
            </w:pPr>
            <w:r>
              <w:rPr>
                <w:rFonts w:hint="eastAsia" w:ascii="楷体" w:hAnsi="楷体" w:eastAsia="楷体" w:cs="Calibri"/>
                <w:szCs w:val="21"/>
                <w:highlight w:val="none"/>
              </w:rPr>
              <w:t>T日17:00前</w:t>
            </w:r>
          </w:p>
        </w:tc>
      </w:tr>
    </w:tbl>
    <w:p>
      <w:pPr>
        <w:tabs>
          <w:tab w:val="left" w:pos="728"/>
          <w:tab w:val="left" w:pos="1092"/>
        </w:tabs>
        <w:ind w:firstLine="420" w:firstLineChars="200"/>
        <w:rPr>
          <w:rFonts w:hint="eastAsia" w:ascii="楷体" w:hAnsi="楷体" w:eastAsia="楷体" w:cs="Calibri"/>
          <w:szCs w:val="21"/>
          <w:highlight w:val="none"/>
          <w:lang w:eastAsia="zh-CN"/>
        </w:rPr>
      </w:pPr>
      <w:r>
        <w:rPr>
          <w:rFonts w:hint="eastAsia" w:ascii="楷体" w:hAnsi="楷体" w:eastAsia="楷体" w:cs="Calibri"/>
          <w:szCs w:val="21"/>
          <w:highlight w:val="none"/>
        </w:rPr>
        <w:t>注：赎回申请开始</w:t>
      </w:r>
      <w:r>
        <w:rPr>
          <w:rFonts w:ascii="楷体" w:hAnsi="楷体" w:eastAsia="楷体" w:cs="Calibri"/>
          <w:szCs w:val="21"/>
          <w:highlight w:val="none"/>
        </w:rPr>
        <w:t>/截止时间以各销售机构系统设置为准；</w:t>
      </w:r>
      <w:r>
        <w:rPr>
          <w:rFonts w:hint="eastAsia" w:ascii="楷体" w:hAnsi="楷体" w:eastAsia="楷体" w:cs="Calibri"/>
          <w:szCs w:val="21"/>
          <w:highlight w:val="none"/>
        </w:rPr>
        <w:t>赎回资金到账时间以实际入账时间为准；赎回撤单截止时间以各销售机构系统设置为准</w:t>
      </w:r>
      <w:r>
        <w:rPr>
          <w:rFonts w:hint="eastAsia" w:ascii="楷体" w:hAnsi="楷体" w:eastAsia="楷体" w:cs="Calibri"/>
          <w:szCs w:val="21"/>
          <w:highlight w:val="none"/>
          <w:lang w:eastAsia="zh-CN"/>
        </w:rPr>
        <w:t>。</w:t>
      </w:r>
    </w:p>
    <w:p>
      <w:pPr>
        <w:tabs>
          <w:tab w:val="left" w:pos="993"/>
        </w:tabs>
        <w:ind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投资者若触发巨额赎回条款，此时系统有权拒绝投资者的赎回申请。</w:t>
      </w:r>
    </w:p>
    <w:p>
      <w:pPr>
        <w:numPr>
          <w:ilvl w:val="0"/>
          <w:numId w:val="16"/>
        </w:numPr>
        <w:tabs>
          <w:tab w:val="left" w:pos="728"/>
          <w:tab w:val="left" w:pos="1092"/>
        </w:tabs>
        <w:ind w:left="0" w:firstLine="482" w:firstLineChars="200"/>
        <w:rPr>
          <w:rFonts w:ascii="楷体" w:hAnsi="楷体" w:eastAsia="楷体" w:cs="Calibri"/>
          <w:sz w:val="24"/>
          <w:szCs w:val="24"/>
          <w:highlight w:val="none"/>
        </w:rPr>
      </w:pPr>
      <w:r>
        <w:rPr>
          <w:rFonts w:hint="eastAsia" w:ascii="楷体" w:hAnsi="楷体" w:eastAsia="楷体" w:cs="Calibri"/>
          <w:b/>
          <w:sz w:val="24"/>
          <w:szCs w:val="24"/>
          <w:highlight w:val="none"/>
        </w:rPr>
        <w:t>快速赎回规则</w:t>
      </w:r>
    </w:p>
    <w:p>
      <w:pPr>
        <w:tabs>
          <w:tab w:val="left" w:pos="993"/>
        </w:tabs>
        <w:ind w:firstLine="482" w:firstLineChars="200"/>
        <w:rPr>
          <w:rFonts w:ascii="楷体" w:hAnsi="楷体" w:eastAsia="楷体" w:cs="Calibri"/>
          <w:b/>
          <w:bCs/>
          <w:sz w:val="24"/>
          <w:szCs w:val="24"/>
          <w:highlight w:val="none"/>
          <w:u w:val="single"/>
        </w:rPr>
      </w:pPr>
      <w:r>
        <w:rPr>
          <w:rFonts w:hint="eastAsia" w:ascii="楷体" w:hAnsi="楷体" w:eastAsia="楷体" w:cs="Calibri"/>
          <w:b/>
          <w:bCs/>
          <w:sz w:val="24"/>
          <w:szCs w:val="24"/>
          <w:highlight w:val="none"/>
          <w:u w:val="single"/>
        </w:rPr>
        <w:t>本产品销售机构可为投资者提供</w:t>
      </w:r>
      <w:r>
        <w:rPr>
          <w:rFonts w:ascii="楷体" w:hAnsi="楷体" w:eastAsia="楷体" w:cs="Calibri"/>
          <w:b/>
          <w:bCs/>
          <w:sz w:val="24"/>
          <w:szCs w:val="24"/>
          <w:highlight w:val="none"/>
          <w:u w:val="single"/>
        </w:rPr>
        <w:t xml:space="preserve"> </w:t>
      </w:r>
      <w:r>
        <w:rPr>
          <w:rFonts w:hint="eastAsia" w:ascii="楷体" w:hAnsi="楷体" w:eastAsia="楷体" w:cs="Calibri"/>
          <w:b/>
          <w:bCs/>
          <w:sz w:val="24"/>
          <w:szCs w:val="24"/>
          <w:highlight w:val="none"/>
          <w:u w:val="single"/>
        </w:rPr>
        <w:t>“快速赎回”增值服务，客户可通过销售机构渠道进行快速赎回，如无特殊情况，快速赎回资金将于赎回申请日当日到账。</w:t>
      </w:r>
    </w:p>
    <w:p>
      <w:pPr>
        <w:tabs>
          <w:tab w:val="left" w:pos="993"/>
        </w:tabs>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“快速赎回”为本理财产品的增值服务，</w:t>
      </w:r>
      <w:r>
        <w:rPr>
          <w:rFonts w:hint="eastAsia" w:ascii="楷体" w:hAnsi="楷体" w:eastAsia="楷体" w:cs="Calibri"/>
          <w:b w:val="0"/>
          <w:sz w:val="24"/>
          <w:szCs w:val="24"/>
          <w:highlight w:val="none"/>
          <w:u w:val="none"/>
          <w:lang w:val="en-US" w:eastAsia="zh-CN"/>
        </w:rPr>
        <w:t>非法定义务，</w:t>
      </w:r>
      <w:r>
        <w:rPr>
          <w:rFonts w:hint="eastAsia" w:ascii="楷体" w:hAnsi="楷体" w:eastAsia="楷体" w:cs="Calibri"/>
          <w:b w:val="0"/>
          <w:sz w:val="24"/>
          <w:szCs w:val="24"/>
          <w:highlight w:val="none"/>
          <w:u w:val="none"/>
        </w:rPr>
        <w:t>是否开通以销售机构设置为准，</w:t>
      </w:r>
      <w:r>
        <w:rPr>
          <w:rFonts w:hint="eastAsia" w:ascii="楷体" w:hAnsi="楷体" w:eastAsia="楷体" w:cs="Calibri"/>
          <w:sz w:val="24"/>
          <w:szCs w:val="24"/>
          <w:highlight w:val="none"/>
        </w:rPr>
        <w:t>具体业务处理原则以销售机构的快速赎回服务协议约定为准。管理人将根据快速赎回服务协议的约定，履行份额快速过户及理财份额收益划付等职责。</w:t>
      </w:r>
      <w:r>
        <w:rPr>
          <w:rFonts w:hint="eastAsia" w:ascii="楷体" w:hAnsi="楷体" w:eastAsia="楷体" w:cs="Calibri"/>
          <w:b w:val="0"/>
          <w:sz w:val="24"/>
          <w:szCs w:val="24"/>
          <w:highlight w:val="none"/>
          <w:u w:val="none"/>
          <w:lang w:val="en-US" w:eastAsia="zh-CN"/>
        </w:rPr>
        <w:t>销售机构因特殊情况</w:t>
      </w:r>
      <w:r>
        <w:rPr>
          <w:rFonts w:hint="eastAsia" w:ascii="楷体" w:hAnsi="楷体" w:eastAsia="楷体" w:cs="Calibri"/>
          <w:b w:val="0"/>
          <w:sz w:val="24"/>
          <w:szCs w:val="24"/>
          <w:highlight w:val="none"/>
          <w:u w:val="none"/>
        </w:rPr>
        <w:t>（包括但不限于专门用于快速赎回业务的账户异常或账户余额不足等）无法继续提供快速赎回服务的</w:t>
      </w:r>
      <w:r>
        <w:rPr>
          <w:rFonts w:hint="eastAsia" w:ascii="楷体" w:hAnsi="楷体" w:eastAsia="楷体" w:cs="Calibri"/>
          <w:b w:val="0"/>
          <w:sz w:val="24"/>
          <w:szCs w:val="24"/>
          <w:highlight w:val="none"/>
          <w:u w:val="none"/>
          <w:lang w:eastAsia="zh-CN"/>
        </w:rPr>
        <w:t>，</w:t>
      </w:r>
      <w:r>
        <w:rPr>
          <w:rFonts w:hint="eastAsia" w:ascii="楷体" w:hAnsi="楷体" w:eastAsia="楷体" w:cs="Calibri"/>
          <w:b w:val="0"/>
          <w:sz w:val="24"/>
          <w:szCs w:val="24"/>
          <w:highlight w:val="none"/>
          <w:u w:val="none"/>
          <w:lang w:val="en-US" w:eastAsia="zh-CN"/>
        </w:rPr>
        <w:t>销售机构有权暂停或终止“快速赎回”业务。</w:t>
      </w:r>
    </w:p>
    <w:p>
      <w:pPr>
        <w:tabs>
          <w:tab w:val="left" w:pos="993"/>
        </w:tabs>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每只产品每个自然日单个销售渠道为客户提供的“快速赎回”限额为1万元。</w:t>
      </w:r>
    </w:p>
    <w:p>
      <w:pPr>
        <w:tabs>
          <w:tab w:val="left" w:pos="993"/>
        </w:tabs>
        <w:ind w:firstLine="482" w:firstLineChars="200"/>
        <w:rPr>
          <w:rFonts w:ascii="楷体" w:hAnsi="楷体" w:eastAsia="楷体" w:cs="Calibri"/>
          <w:b/>
          <w:sz w:val="24"/>
          <w:szCs w:val="24"/>
          <w:highlight w:val="none"/>
        </w:rPr>
      </w:pPr>
      <w:r>
        <w:rPr>
          <w:rFonts w:ascii="楷体" w:hAnsi="楷体" w:eastAsia="楷体" w:cs="Calibri"/>
          <w:b/>
          <w:bCs/>
          <w:sz w:val="24"/>
          <w:szCs w:val="24"/>
          <w:highlight w:val="none"/>
        </w:rPr>
        <w:t>5.强制赎回费</w:t>
      </w:r>
    </w:p>
    <w:p>
      <w:pPr>
        <w:tabs>
          <w:tab w:val="left" w:pos="993"/>
        </w:tabs>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本理财计划出现以下情形之一时将有权收取强制赎回费：</w:t>
      </w:r>
    </w:p>
    <w:p>
      <w:pPr>
        <w:ind w:left="115" w:right="115" w:rightChars="55" w:firstLine="236" w:firstLineChars="100"/>
        <w:rPr>
          <w:rFonts w:ascii="楷体" w:hAnsi="楷体" w:eastAsia="楷体" w:cs="宋体"/>
          <w:spacing w:val="-2"/>
          <w:sz w:val="24"/>
          <w:szCs w:val="24"/>
          <w:highlight w:val="none"/>
        </w:rPr>
      </w:pPr>
      <w:r>
        <w:rPr>
          <w:rFonts w:hint="eastAsia" w:ascii="楷体" w:hAnsi="楷体" w:eastAsia="楷体" w:cs="宋体"/>
          <w:spacing w:val="-2"/>
          <w:sz w:val="24"/>
          <w:szCs w:val="24"/>
          <w:highlight w:val="none"/>
        </w:rPr>
        <w:t>（</w:t>
      </w:r>
      <w:r>
        <w:rPr>
          <w:rFonts w:ascii="楷体" w:hAnsi="楷体" w:eastAsia="楷体" w:cs="宋体"/>
          <w:spacing w:val="-2"/>
          <w:sz w:val="24"/>
          <w:szCs w:val="24"/>
          <w:highlight w:val="none"/>
        </w:rPr>
        <w:t>1）</w:t>
      </w:r>
      <w:r>
        <w:rPr>
          <w:rFonts w:hint="eastAsia" w:ascii="楷体" w:hAnsi="楷体" w:eastAsia="楷体" w:cs="宋体"/>
          <w:b/>
          <w:spacing w:val="-2"/>
          <w:sz w:val="24"/>
          <w:szCs w:val="24"/>
          <w:highlight w:val="none"/>
          <w:u w:val="single"/>
        </w:rPr>
        <w:t>在满足相关流动性风险管理要求的前提下，当本产品持有的现金、国债、中央银行票据、政策性金融债券以及</w:t>
      </w:r>
      <w:r>
        <w:rPr>
          <w:rFonts w:ascii="楷体" w:hAnsi="楷体" w:eastAsia="楷体" w:cs="宋体"/>
          <w:b/>
          <w:spacing w:val="-2"/>
          <w:sz w:val="24"/>
          <w:szCs w:val="24"/>
          <w:highlight w:val="none"/>
          <w:u w:val="single"/>
        </w:rPr>
        <w:t>5个交易日内到期的其他金融工具占本产品资产净值的比例合计低于5%且偏离度为负时，管理人有权对当日单个投资者申请赎回份额超过本产品总份额1%以上的赎回申请征收1%的强制赎回费用，并将上述赎回费用全额计入本产品财产。</w:t>
      </w:r>
      <w:r>
        <w:rPr>
          <w:rFonts w:hint="eastAsia" w:ascii="楷体" w:hAnsi="楷体" w:eastAsia="楷体" w:cs="宋体"/>
          <w:spacing w:val="-2"/>
          <w:sz w:val="24"/>
          <w:szCs w:val="24"/>
          <w:highlight w:val="none"/>
        </w:rPr>
        <w:t>管理人与托管人协商确认上述做法无益于本产品利益最大化的情形除外。</w:t>
      </w:r>
    </w:p>
    <w:p>
      <w:pPr>
        <w:ind w:left="115" w:right="115" w:rightChars="55" w:firstLine="236" w:firstLineChars="100"/>
        <w:rPr>
          <w:rFonts w:ascii="楷体" w:hAnsi="楷体" w:eastAsia="楷体" w:cs="宋体"/>
          <w:b/>
          <w:spacing w:val="-2"/>
          <w:sz w:val="24"/>
          <w:szCs w:val="24"/>
          <w:highlight w:val="none"/>
          <w:u w:val="single"/>
        </w:rPr>
      </w:pPr>
      <w:r>
        <w:rPr>
          <w:rFonts w:hint="eastAsia" w:ascii="楷体" w:hAnsi="楷体" w:eastAsia="楷体" w:cs="宋体"/>
          <w:spacing w:val="-2"/>
          <w:sz w:val="24"/>
          <w:szCs w:val="24"/>
          <w:highlight w:val="none"/>
        </w:rPr>
        <w:t>（</w:t>
      </w:r>
      <w:r>
        <w:rPr>
          <w:rFonts w:ascii="楷体" w:hAnsi="楷体" w:eastAsia="楷体" w:cs="宋体"/>
          <w:spacing w:val="-2"/>
          <w:sz w:val="24"/>
          <w:szCs w:val="24"/>
          <w:highlight w:val="none"/>
        </w:rPr>
        <w:t>2）本产品前10名投资者的持有份额合计超过本产品总份额50%的，当投资组合中现金、国债、中央银行票据、政策性金融债券以及5个交易日内到期的其他金融工具占本产品资产净值的比例合计低于10%且偏离度为负时，</w:t>
      </w:r>
      <w:r>
        <w:rPr>
          <w:rFonts w:hint="eastAsia" w:ascii="楷体" w:hAnsi="楷体" w:eastAsia="楷体" w:cs="宋体"/>
          <w:b/>
          <w:spacing w:val="-2"/>
          <w:sz w:val="24"/>
          <w:szCs w:val="24"/>
          <w:highlight w:val="none"/>
          <w:u w:val="single"/>
        </w:rPr>
        <w:t>管理人有权对投资者超过本产品总份额</w:t>
      </w:r>
      <w:r>
        <w:rPr>
          <w:rFonts w:ascii="楷体" w:hAnsi="楷体" w:eastAsia="楷体" w:cs="宋体"/>
          <w:b/>
          <w:spacing w:val="-2"/>
          <w:sz w:val="24"/>
          <w:szCs w:val="24"/>
          <w:highlight w:val="none"/>
          <w:u w:val="single"/>
        </w:rPr>
        <w:t>1%以上的赎回申请征收1%的强制赎回费用。</w:t>
      </w:r>
    </w:p>
    <w:p>
      <w:pPr>
        <w:ind w:right="115" w:rightChars="55" w:firstLine="472" w:firstLineChars="200"/>
        <w:rPr>
          <w:rFonts w:ascii="楷体" w:hAnsi="楷体" w:eastAsia="楷体" w:cs="宋体"/>
          <w:spacing w:val="-2"/>
          <w:sz w:val="24"/>
          <w:szCs w:val="24"/>
          <w:highlight w:val="none"/>
        </w:rPr>
      </w:pPr>
      <w:r>
        <w:rPr>
          <w:rFonts w:hint="eastAsia" w:ascii="楷体" w:hAnsi="楷体" w:eastAsia="楷体" w:cs="宋体"/>
          <w:spacing w:val="-2"/>
          <w:sz w:val="24"/>
          <w:szCs w:val="24"/>
          <w:highlight w:val="none"/>
        </w:rPr>
        <w:t>法律法规或监管机构另有规定的，从其规定。</w:t>
      </w:r>
    </w:p>
    <w:p>
      <w:pPr>
        <w:numPr>
          <w:ilvl w:val="0"/>
          <w:numId w:val="13"/>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巨额赎回</w:t>
      </w:r>
    </w:p>
    <w:p>
      <w:pPr>
        <w:numPr>
          <w:ilvl w:val="0"/>
          <w:numId w:val="18"/>
        </w:numPr>
        <w:tabs>
          <w:tab w:val="left" w:pos="728"/>
        </w:tabs>
        <w:ind w:left="0" w:firstLine="482" w:firstLineChars="200"/>
        <w:outlineLvl w:val="2"/>
        <w:rPr>
          <w:rFonts w:ascii="楷体" w:hAnsi="楷体" w:eastAsia="楷体" w:cs="Calibri"/>
          <w:b/>
          <w:sz w:val="24"/>
          <w:szCs w:val="24"/>
          <w:highlight w:val="none"/>
        </w:rPr>
      </w:pPr>
      <w:r>
        <w:rPr>
          <w:rFonts w:hint="eastAsia" w:ascii="楷体" w:hAnsi="楷体" w:eastAsia="楷体" w:cs="Calibri"/>
          <w:b/>
          <w:sz w:val="24"/>
          <w:szCs w:val="24"/>
          <w:highlight w:val="none"/>
        </w:rPr>
        <w:t>巨额赎回的认定</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理财产品每个开放日投资者净赎回申请（赎回申请份额总数扣除申购申请份额总数）超过本理财产品上一工作日日终总份额</w:t>
      </w:r>
      <w:r>
        <w:rPr>
          <w:rFonts w:ascii="楷体" w:hAnsi="楷体" w:eastAsia="楷体"/>
          <w:sz w:val="24"/>
          <w:szCs w:val="24"/>
          <w:highlight w:val="none"/>
        </w:rPr>
        <w:t>10%时，即认定为发生巨额赎回。</w:t>
      </w:r>
    </w:p>
    <w:p>
      <w:pPr>
        <w:numPr>
          <w:ilvl w:val="0"/>
          <w:numId w:val="18"/>
        </w:numPr>
        <w:tabs>
          <w:tab w:val="left" w:pos="728"/>
        </w:tabs>
        <w:ind w:left="0" w:firstLine="482" w:firstLineChars="200"/>
        <w:outlineLvl w:val="2"/>
        <w:rPr>
          <w:rFonts w:ascii="楷体" w:hAnsi="楷体" w:eastAsia="楷体" w:cs="Calibri"/>
          <w:b/>
          <w:sz w:val="24"/>
          <w:szCs w:val="24"/>
          <w:highlight w:val="none"/>
        </w:rPr>
      </w:pPr>
      <w:r>
        <w:rPr>
          <w:rFonts w:hint="eastAsia" w:ascii="楷体" w:hAnsi="楷体" w:eastAsia="楷体" w:cs="Calibri"/>
          <w:b/>
          <w:sz w:val="24"/>
          <w:szCs w:val="24"/>
          <w:highlight w:val="none"/>
        </w:rPr>
        <w:t>巨额赎回的处理</w:t>
      </w:r>
    </w:p>
    <w:p>
      <w:pPr>
        <w:ind w:firstLine="480" w:firstLineChars="200"/>
        <w:rPr>
          <w:rStyle w:val="20"/>
          <w:highlight w:val="none"/>
        </w:rPr>
      </w:pPr>
      <w:r>
        <w:rPr>
          <w:rFonts w:hint="eastAsia" w:ascii="楷体" w:hAnsi="楷体" w:eastAsia="楷体"/>
          <w:sz w:val="24"/>
          <w:szCs w:val="24"/>
          <w:highlight w:val="none"/>
        </w:rPr>
        <w:t>发生巨额赎回时，当日办理的赎回份额不得低于前一日终理财产品总份额的</w:t>
      </w:r>
      <w:r>
        <w:rPr>
          <w:rFonts w:ascii="楷体" w:hAnsi="楷体" w:eastAsia="楷体"/>
          <w:sz w:val="24"/>
          <w:szCs w:val="24"/>
          <w:highlight w:val="none"/>
        </w:rPr>
        <w:t>10%，对其余赎回申请管理人有权</w:t>
      </w:r>
      <w:r>
        <w:rPr>
          <w:rFonts w:hint="eastAsia" w:ascii="楷体" w:hAnsi="楷体" w:eastAsia="楷体"/>
          <w:sz w:val="24"/>
          <w:szCs w:val="24"/>
          <w:highlight w:val="none"/>
        </w:rPr>
        <w:t>选择全额赎回、部分赎回或延缓支付赎回款项</w:t>
      </w:r>
      <w:r>
        <w:rPr>
          <w:rFonts w:ascii="楷体" w:hAnsi="楷体" w:eastAsia="楷体"/>
          <w:sz w:val="24"/>
          <w:szCs w:val="24"/>
          <w:highlight w:val="none"/>
        </w:rPr>
        <w:t>。对该产品单个份额持有人的赎回申请，按照其申请占当日申请赎回总份额的比例，确定该份额持有人当日办理的赎回份额。对于该开放日内净赎回额超过本产品上一工作日日终份额10%时，管理人有权拒绝超过10%以上部分的赎回申请，这可能影响投资者的资金安排。</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（1）全额赎回：当产品管理人有能力兑付投资者的全部赎回申请时，将在申请确认日按投资者申请赎回份额执行正常赎回程序。</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（2）部分赎回</w:t>
      </w:r>
      <w:r>
        <w:rPr>
          <w:rFonts w:ascii="楷体" w:hAnsi="楷体" w:eastAsia="楷体"/>
          <w:sz w:val="24"/>
          <w:szCs w:val="24"/>
          <w:highlight w:val="none"/>
        </w:rPr>
        <w:t>：</w:t>
      </w:r>
      <w:r>
        <w:rPr>
          <w:rFonts w:hint="eastAsia" w:ascii="楷体" w:hAnsi="楷体" w:eastAsia="楷体"/>
          <w:sz w:val="24"/>
          <w:szCs w:val="24"/>
          <w:highlight w:val="none"/>
        </w:rPr>
        <w:t>当产品管理人认为兑付投资者的赎回申请可能会对产品的资产净值造成较大波动时，当日办理的赎回份额不得低于前一日终理财产品总份额的</w:t>
      </w:r>
      <w:r>
        <w:rPr>
          <w:rFonts w:ascii="楷体" w:hAnsi="楷体" w:eastAsia="楷体"/>
          <w:sz w:val="24"/>
          <w:szCs w:val="24"/>
          <w:highlight w:val="none"/>
        </w:rPr>
        <w:t>10%，对其余赎回申请管理人有权暂停接受或延期办理。</w:t>
      </w:r>
      <w:r>
        <w:rPr>
          <w:rFonts w:hint="eastAsia" w:ascii="楷体" w:hAnsi="楷体" w:eastAsia="楷体"/>
          <w:sz w:val="24"/>
          <w:szCs w:val="24"/>
          <w:highlight w:val="none"/>
        </w:rPr>
        <w:t>若管理人对该部分赎回申请选择延期办理，则管理人有权对赎回开放日内所有投资者的赎回申请，按照单个投资者当日申请赎回份额占当日申请赎回总份额的比例，确定该份额持有人当日办理的赎回份额。</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示例：客户当日申请赎回份额5万份，当日全部赎回申请1亿份，假设前一日存续份额5亿份，发生巨额赎回，管理人当日办理的赎回份额5000万份，则客户当日确认办理的份额为5/10000*5000=2.5万份。</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若管理人对于超过</w:t>
      </w:r>
      <w:r>
        <w:rPr>
          <w:rFonts w:ascii="楷体" w:hAnsi="楷体" w:eastAsia="楷体"/>
          <w:sz w:val="24"/>
          <w:szCs w:val="24"/>
          <w:highlight w:val="none"/>
        </w:rPr>
        <w:t>10%以上部分的赎回申请</w:t>
      </w:r>
      <w:r>
        <w:rPr>
          <w:rFonts w:hint="eastAsia" w:ascii="楷体" w:hAnsi="楷体" w:eastAsia="楷体"/>
          <w:sz w:val="24"/>
          <w:szCs w:val="24"/>
          <w:highlight w:val="none"/>
        </w:rPr>
        <w:t>选择延期办理，对于未确认受理的赎回申请份额，投资者</w:t>
      </w:r>
      <w:r>
        <w:rPr>
          <w:rFonts w:ascii="楷体" w:hAnsi="楷体" w:eastAsia="楷体"/>
          <w:sz w:val="24"/>
          <w:szCs w:val="24"/>
          <w:highlight w:val="none"/>
        </w:rPr>
        <w:t>可</w:t>
      </w:r>
      <w:r>
        <w:rPr>
          <w:rFonts w:hint="eastAsia" w:ascii="楷体" w:hAnsi="楷体" w:eastAsia="楷体"/>
          <w:sz w:val="24"/>
          <w:szCs w:val="24"/>
          <w:highlight w:val="none"/>
        </w:rPr>
        <w:t>选择将当日未获受理部分予以撤销，未选择撤销的赎回申请，产品</w:t>
      </w:r>
      <w:r>
        <w:rPr>
          <w:rFonts w:ascii="楷体" w:hAnsi="楷体" w:eastAsia="楷体"/>
          <w:sz w:val="24"/>
          <w:szCs w:val="24"/>
          <w:highlight w:val="none"/>
        </w:rPr>
        <w:t>管理人可以</w:t>
      </w:r>
      <w:r>
        <w:rPr>
          <w:rFonts w:hint="eastAsia" w:ascii="楷体" w:hAnsi="楷体" w:eastAsia="楷体"/>
          <w:sz w:val="24"/>
          <w:szCs w:val="24"/>
          <w:highlight w:val="none"/>
        </w:rPr>
        <w:t>延迟至下一开放日处理，转入下一开放日的赎回申请不享有优先确认权。</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w:t>
      </w:r>
      <w:r>
        <w:rPr>
          <w:rFonts w:ascii="楷体" w:hAnsi="楷体" w:eastAsia="楷体"/>
          <w:sz w:val="24"/>
          <w:szCs w:val="24"/>
          <w:highlight w:val="none"/>
        </w:rPr>
        <w:t>3</w:t>
      </w:r>
      <w:r>
        <w:rPr>
          <w:rFonts w:hint="eastAsia" w:ascii="楷体" w:hAnsi="楷体" w:eastAsia="楷体"/>
          <w:sz w:val="24"/>
          <w:szCs w:val="24"/>
          <w:highlight w:val="none"/>
        </w:rPr>
        <w:t>）延缓支付赎回款项：连续</w:t>
      </w:r>
      <w:r>
        <w:rPr>
          <w:rFonts w:ascii="楷体" w:hAnsi="楷体" w:eastAsia="楷体"/>
          <w:sz w:val="24"/>
          <w:szCs w:val="24"/>
          <w:highlight w:val="none"/>
        </w:rPr>
        <w:t>2个以上开放日发生巨额赎回的，管理人有权选择全额赎回或部分赎回等措施外，对于已经接受的赎回申请，管理人可以延缓支付赎回款项，但延缓期限不得超过20个工作日。</w:t>
      </w:r>
    </w:p>
    <w:p>
      <w:pPr>
        <w:numPr>
          <w:ilvl w:val="255"/>
          <w:numId w:val="0"/>
        </w:numPr>
        <w:ind w:firstLine="480" w:firstLineChars="200"/>
        <w:rPr>
          <w:rFonts w:ascii="楷体" w:hAnsi="楷体" w:eastAsia="楷体"/>
          <w:sz w:val="24"/>
          <w:szCs w:val="24"/>
          <w:highlight w:val="none"/>
        </w:rPr>
      </w:pPr>
      <w:r>
        <w:rPr>
          <w:rFonts w:hint="eastAsia" w:ascii="楷体" w:hAnsi="楷体" w:eastAsia="楷体"/>
          <w:sz w:val="24"/>
          <w:szCs w:val="24"/>
          <w:highlight w:val="none"/>
        </w:rPr>
        <w:t>（4）当发生巨额赎回或连续巨额赎回，管理人选择延期办理巨额赎回申请、暂停接受赎回申请或延缓支付赎回款项时，管理人将根据本理财产品说明书约定的信息披露方式向投资者进行信息披露。</w:t>
      </w:r>
    </w:p>
    <w:p>
      <w:pPr>
        <w:numPr>
          <w:ilvl w:val="0"/>
          <w:numId w:val="13"/>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特殊情形及处理</w:t>
      </w:r>
    </w:p>
    <w:p>
      <w:pPr>
        <w:ind w:firstLine="482" w:firstLineChars="200"/>
        <w:outlineLvl w:val="2"/>
        <w:rPr>
          <w:rFonts w:ascii="楷体" w:hAnsi="楷体" w:eastAsia="楷体"/>
          <w:b/>
          <w:bCs/>
          <w:sz w:val="24"/>
          <w:szCs w:val="24"/>
          <w:highlight w:val="none"/>
        </w:rPr>
      </w:pPr>
      <w:r>
        <w:rPr>
          <w:rFonts w:ascii="楷体" w:hAnsi="楷体" w:eastAsia="楷体"/>
          <w:b/>
          <w:bCs/>
          <w:sz w:val="24"/>
          <w:szCs w:val="24"/>
          <w:highlight w:val="none"/>
        </w:rPr>
        <w:t>1.</w:t>
      </w:r>
      <w:r>
        <w:rPr>
          <w:rFonts w:hint="eastAsia" w:ascii="楷体" w:hAnsi="楷体" w:eastAsia="楷体"/>
          <w:b/>
          <w:bCs/>
          <w:sz w:val="24"/>
          <w:szCs w:val="24"/>
          <w:highlight w:val="none"/>
        </w:rPr>
        <w:t>除以下情形外，管理人不得拒绝接受或暂停接受投资者的申购申请：</w:t>
      </w:r>
    </w:p>
    <w:p>
      <w:pPr>
        <w:numPr>
          <w:ilvl w:val="255"/>
          <w:numId w:val="0"/>
        </w:numPr>
        <w:tabs>
          <w:tab w:val="left" w:pos="728"/>
        </w:tabs>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（1）不可抗力的原因导致产品无法正常运作。</w:t>
      </w:r>
    </w:p>
    <w:p>
      <w:pPr>
        <w:numPr>
          <w:ilvl w:val="255"/>
          <w:numId w:val="0"/>
        </w:numPr>
        <w:tabs>
          <w:tab w:val="left" w:pos="728"/>
        </w:tabs>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（2）超出产品单一投资者持有上限。</w:t>
      </w:r>
    </w:p>
    <w:p>
      <w:pPr>
        <w:numPr>
          <w:ilvl w:val="255"/>
          <w:numId w:val="0"/>
        </w:numPr>
        <w:tabs>
          <w:tab w:val="left" w:pos="728"/>
        </w:tabs>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（3）超过产品规模上限。</w:t>
      </w:r>
    </w:p>
    <w:p>
      <w:pPr>
        <w:numPr>
          <w:ilvl w:val="255"/>
          <w:numId w:val="0"/>
        </w:numPr>
        <w:tabs>
          <w:tab w:val="left" w:pos="728"/>
        </w:tabs>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（4）发生《理财产品说明书》约定的暂停估值的情形。（详见十二、产品估值）</w:t>
      </w:r>
    </w:p>
    <w:p>
      <w:pPr>
        <w:numPr>
          <w:ilvl w:val="255"/>
          <w:numId w:val="0"/>
        </w:numPr>
        <w:tabs>
          <w:tab w:val="left" w:pos="728"/>
        </w:tabs>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（5）管理人接受某笔或者某些申购申请有可能导致单一投资者持有理财计划份额的比例达到或者超过50%的情形。</w:t>
      </w:r>
    </w:p>
    <w:p>
      <w:pPr>
        <w:numPr>
          <w:ilvl w:val="255"/>
          <w:numId w:val="0"/>
        </w:numPr>
        <w:tabs>
          <w:tab w:val="left" w:pos="728"/>
        </w:tabs>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（6）当接受某笔或某些申购申请可能对存量理财计划份额持有人利益构成潜在重大不利影响时。</w:t>
      </w:r>
    </w:p>
    <w:p>
      <w:pPr>
        <w:numPr>
          <w:ilvl w:val="255"/>
          <w:numId w:val="0"/>
        </w:numPr>
        <w:tabs>
          <w:tab w:val="left" w:pos="728"/>
        </w:tabs>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（7）当前一估值日产品资产净值50%以上的资产不具备活跃交易市场或者在活跃市场中无报价，且不能采用估值技术可靠计量公允价值的，管理人经与托管人协商确认后，决定暂停接受理财产品申购申请的。</w:t>
      </w:r>
    </w:p>
    <w:p>
      <w:pPr>
        <w:numPr>
          <w:ilvl w:val="255"/>
          <w:numId w:val="0"/>
        </w:numPr>
        <w:tabs>
          <w:tab w:val="left" w:pos="728"/>
        </w:tabs>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（8）法律、法规规定认定的其他情形。</w:t>
      </w:r>
    </w:p>
    <w:p>
      <w:pPr>
        <w:numPr>
          <w:ilvl w:val="255"/>
          <w:numId w:val="0"/>
        </w:numPr>
        <w:tabs>
          <w:tab w:val="left" w:pos="728"/>
        </w:tabs>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若管理人决定拒绝接受或暂停接受投资者的申购申请，则将会在3个交易日内根据《理财产品说明书》约定的信息披露方式向投资者进行信息披露。若投资者的全部或部分申购申请被拒绝，被拒绝申购款项本金将退还给投资者，管理人不承担申购款项在该期间所产生的利息等损失。在上述暂停或拒绝申购的情况消除后，管理人将及时恢复申购业务的办理。</w:t>
      </w:r>
    </w:p>
    <w:p>
      <w:pPr>
        <w:ind w:firstLine="482" w:firstLineChars="200"/>
        <w:outlineLvl w:val="2"/>
        <w:rPr>
          <w:rFonts w:ascii="楷体" w:hAnsi="楷体" w:eastAsia="楷体"/>
          <w:b/>
          <w:bCs/>
          <w:sz w:val="24"/>
          <w:szCs w:val="24"/>
          <w:highlight w:val="none"/>
        </w:rPr>
      </w:pPr>
      <w:r>
        <w:rPr>
          <w:rFonts w:ascii="楷体" w:hAnsi="楷体" w:eastAsia="楷体"/>
          <w:b/>
          <w:bCs/>
          <w:sz w:val="24"/>
          <w:szCs w:val="24"/>
          <w:highlight w:val="none"/>
        </w:rPr>
        <w:t>2.</w:t>
      </w:r>
      <w:r>
        <w:rPr>
          <w:rFonts w:hint="eastAsia" w:ascii="楷体" w:hAnsi="楷体" w:eastAsia="楷体"/>
          <w:b/>
          <w:bCs/>
          <w:sz w:val="24"/>
          <w:szCs w:val="24"/>
          <w:highlight w:val="none"/>
        </w:rPr>
        <w:t>除以下情形外，管理人不得暂停接受投资者的赎回申请或延缓支付赎回款项：</w:t>
      </w:r>
    </w:p>
    <w:p>
      <w:pPr>
        <w:numPr>
          <w:ilvl w:val="255"/>
          <w:numId w:val="0"/>
        </w:numPr>
        <w:tabs>
          <w:tab w:val="left" w:pos="728"/>
        </w:tabs>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（1）不可抗力的原因导致管理人不能支付赎回款项。</w:t>
      </w:r>
    </w:p>
    <w:p>
      <w:pPr>
        <w:numPr>
          <w:ilvl w:val="255"/>
          <w:numId w:val="0"/>
        </w:numPr>
        <w:tabs>
          <w:tab w:val="left" w:pos="728"/>
        </w:tabs>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（2）触发巨额赎回条款。</w:t>
      </w:r>
    </w:p>
    <w:p>
      <w:pPr>
        <w:numPr>
          <w:ilvl w:val="255"/>
          <w:numId w:val="0"/>
        </w:numPr>
        <w:tabs>
          <w:tab w:val="left" w:pos="728"/>
        </w:tabs>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（3）发生《理财产品说明书》约定的暂停估值的情形。（详见十二、产品估值）</w:t>
      </w:r>
    </w:p>
    <w:p>
      <w:pPr>
        <w:numPr>
          <w:ilvl w:val="255"/>
          <w:numId w:val="0"/>
        </w:numPr>
        <w:tabs>
          <w:tab w:val="left" w:pos="728"/>
        </w:tabs>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（4）当接受某笔或某些赎回申请可能对存量理财计划份额持有人利益构成潜在重大不利影响时。</w:t>
      </w:r>
    </w:p>
    <w:p>
      <w:pPr>
        <w:numPr>
          <w:ilvl w:val="255"/>
          <w:numId w:val="0"/>
        </w:numPr>
        <w:tabs>
          <w:tab w:val="left" w:pos="728"/>
        </w:tabs>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（5）发生单个投资者单个开放日申请赎回理财计划份额超过理财产品总份额10%的情形。</w:t>
      </w:r>
    </w:p>
    <w:p>
      <w:pPr>
        <w:numPr>
          <w:ilvl w:val="255"/>
          <w:numId w:val="0"/>
        </w:numPr>
        <w:tabs>
          <w:tab w:val="left" w:pos="728"/>
        </w:tabs>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（6）法律、法规规定认定的其他情形。</w:t>
      </w:r>
    </w:p>
    <w:p>
      <w:pPr>
        <w:numPr>
          <w:ilvl w:val="255"/>
          <w:numId w:val="0"/>
        </w:numPr>
        <w:tabs>
          <w:tab w:val="left" w:pos="728"/>
        </w:tabs>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若管理人决定</w:t>
      </w:r>
      <w:r>
        <w:rPr>
          <w:rFonts w:hint="eastAsia" w:ascii="楷体" w:hAnsi="楷体" w:eastAsia="楷体"/>
          <w:sz w:val="24"/>
          <w:szCs w:val="24"/>
          <w:highlight w:val="none"/>
        </w:rPr>
        <w:t>暂停接受投资者的赎回申请或延缓支付赎回款项</w:t>
      </w:r>
      <w:r>
        <w:rPr>
          <w:rFonts w:hint="eastAsia" w:ascii="楷体" w:hAnsi="楷体" w:eastAsia="楷体" w:cs="Calibri"/>
          <w:sz w:val="24"/>
          <w:szCs w:val="24"/>
          <w:highlight w:val="none"/>
        </w:rPr>
        <w:t>，则将会在3个交易日内根据《理财产品说明书》约定的信息披露方式向投资者进行信息披露。若投资者的全部或部分赎回申请被拒绝，投资者可将当日未能受理部分予以撤销。在上述</w:t>
      </w:r>
      <w:r>
        <w:rPr>
          <w:rFonts w:hint="eastAsia" w:ascii="楷体" w:hAnsi="楷体" w:eastAsia="楷体"/>
          <w:sz w:val="24"/>
          <w:szCs w:val="24"/>
          <w:highlight w:val="none"/>
        </w:rPr>
        <w:t>暂停接受投资者的赎回申请或延缓支付赎回款项的情况消除后</w:t>
      </w:r>
      <w:r>
        <w:rPr>
          <w:rFonts w:hint="eastAsia" w:ascii="楷体" w:hAnsi="楷体" w:eastAsia="楷体" w:cs="Calibri"/>
          <w:sz w:val="24"/>
          <w:szCs w:val="24"/>
          <w:highlight w:val="none"/>
        </w:rPr>
        <w:t>，管理人将及时恢复申购业务的办理。</w:t>
      </w:r>
    </w:p>
    <w:p>
      <w:pPr>
        <w:tabs>
          <w:tab w:val="left" w:pos="1134"/>
        </w:tabs>
        <w:ind w:left="420" w:leftChars="200"/>
        <w:outlineLvl w:val="0"/>
        <w:rPr>
          <w:rFonts w:ascii="楷体" w:hAnsi="楷体" w:eastAsia="楷体"/>
          <w:b/>
          <w:sz w:val="28"/>
          <w:szCs w:val="28"/>
          <w:highlight w:val="none"/>
        </w:rPr>
      </w:pPr>
      <w:r>
        <w:rPr>
          <w:rFonts w:hint="eastAsia" w:ascii="楷体" w:hAnsi="楷体" w:eastAsia="楷体"/>
          <w:b/>
          <w:sz w:val="28"/>
          <w:szCs w:val="28"/>
          <w:highlight w:val="none"/>
        </w:rPr>
        <w:t>十、收益分配</w:t>
      </w:r>
    </w:p>
    <w:p>
      <w:pPr>
        <w:ind w:firstLine="482" w:firstLineChars="200"/>
        <w:rPr>
          <w:rFonts w:ascii="楷体" w:hAnsi="楷体" w:eastAsia="楷体"/>
          <w:b/>
          <w:sz w:val="24"/>
          <w:szCs w:val="24"/>
          <w:highlight w:val="none"/>
          <w:u w:val="single"/>
        </w:rPr>
      </w:pPr>
      <w:r>
        <w:rPr>
          <w:rFonts w:hint="eastAsia" w:ascii="楷体" w:hAnsi="楷体" w:eastAsia="楷体"/>
          <w:b/>
          <w:sz w:val="24"/>
          <w:szCs w:val="24"/>
          <w:highlight w:val="none"/>
          <w:u w:val="single"/>
        </w:rPr>
        <w:t>投资者持有本理财产品期间及到期时，管理人不承诺保证投资本金安全且不保证理财收益，投资者收益（如有）随理财产品的投资盈亏水平浮动。</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本理财产品根据每日收益情况，以理财产品实际收益为基准，每日为投资者计提当日理财收益，每日结转为份额，投资者继续持有的红利份额可参与后续理财产品投资收益分配。</w:t>
      </w:r>
    </w:p>
    <w:p>
      <w:pPr>
        <w:numPr>
          <w:ilvl w:val="0"/>
          <w:numId w:val="19"/>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每万份收益</w:t>
      </w:r>
    </w:p>
    <w:p>
      <w:pPr>
        <w:numPr>
          <w:ilvl w:val="0"/>
          <w:numId w:val="20"/>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每个估值日管理人将每日投资收益扣除固定费用（包括托管费、销售费、投资管理费）、运作产品所必须缴纳的税费、业绩报酬（如有）后的盈余部分作为投资红利分配给投资者。</w:t>
      </w:r>
    </w:p>
    <w:p>
      <w:pPr>
        <w:numPr>
          <w:ilvl w:val="0"/>
          <w:numId w:val="20"/>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单个投资者应分配红利=单个投资者当日存量份额/投资者所属份额当日存量份额总数×投资者所属份额当日投资收益，采用截位法保留至小数点后2位。</w:t>
      </w:r>
      <w:r>
        <w:rPr>
          <w:rFonts w:hint="eastAsia" w:ascii="楷体" w:hAnsi="楷体" w:eastAsia="楷体" w:cs="Calibri"/>
          <w:b/>
          <w:bCs/>
          <w:sz w:val="24"/>
          <w:szCs w:val="24"/>
          <w:highlight w:val="none"/>
          <w:u w:val="single"/>
        </w:rPr>
        <w:t>单个投资者当日存量份额较低时，投资者持有份额可能无法获得红利。</w:t>
      </w:r>
    </w:p>
    <w:p>
      <w:pPr>
        <w:numPr>
          <w:ilvl w:val="0"/>
          <w:numId w:val="20"/>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每万份收益=投资者所属份额当日投资收益/投资者所属份额当日存量份额总数×10000，采用截位法保留至小数点后第4位。</w:t>
      </w:r>
    </w:p>
    <w:p>
      <w:pPr>
        <w:numPr>
          <w:ilvl w:val="0"/>
          <w:numId w:val="20"/>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产品管理人每个工作日公布上一日每万份收益。</w:t>
      </w:r>
    </w:p>
    <w:p>
      <w:pPr>
        <w:numPr>
          <w:ilvl w:val="0"/>
          <w:numId w:val="20"/>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理财产品每万份收益仅供投资者购买时参考，并不代表本产品实际收益或未来的表现，也不构成管理人对本产品收益的任何承诺或保证，产品收益以管理人实际支付为准。</w:t>
      </w:r>
    </w:p>
    <w:p>
      <w:pPr>
        <w:numPr>
          <w:ilvl w:val="0"/>
          <w:numId w:val="19"/>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七日年化收益率</w:t>
      </w:r>
    </w:p>
    <w:p>
      <w:pPr>
        <w:ind w:firstLine="420" w:firstLineChars="200"/>
        <w:rPr>
          <w:rFonts w:ascii="楷体" w:hAnsi="楷体" w:eastAsia="楷体"/>
          <w:sz w:val="24"/>
          <w:szCs w:val="24"/>
          <w:highlight w:val="none"/>
        </w:rPr>
      </w:pPr>
      <w:r>
        <w:rPr>
          <w:rFonts w:hint="eastAsia" w:ascii="楷体" w:hAnsi="楷体" w:eastAsia="楷体"/>
          <w:position w:val="-23"/>
          <w:highlight w:val="none"/>
        </w:rPr>
        <w:drawing>
          <wp:inline distT="0" distB="0" distL="0" distR="0">
            <wp:extent cx="3343275" cy="400050"/>
            <wp:effectExtent l="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43275" cy="400050"/>
                    </a:xfrm>
                    <a:prstGeom prst="rect">
                      <a:avLst/>
                    </a:prstGeom>
                    <a:noFill/>
                    <a:ln>
                      <a:noFill/>
                    </a:ln>
                  </pic:spPr>
                </pic:pic>
              </a:graphicData>
            </a:graphic>
          </wp:inline>
        </w:drawing>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其中，R</w:t>
      </w:r>
      <w:r>
        <w:rPr>
          <w:rFonts w:hint="eastAsia" w:ascii="楷体" w:hAnsi="楷体" w:eastAsia="楷体" w:cs="Calibri"/>
          <w:sz w:val="24"/>
          <w:szCs w:val="24"/>
          <w:highlight w:val="none"/>
          <w:vertAlign w:val="subscript"/>
        </w:rPr>
        <w:t>i</w:t>
      </w:r>
      <w:r>
        <w:rPr>
          <w:rFonts w:hint="eastAsia" w:ascii="楷体" w:hAnsi="楷体" w:eastAsia="楷体" w:cs="Calibri"/>
          <w:sz w:val="24"/>
          <w:szCs w:val="24"/>
          <w:highlight w:val="none"/>
        </w:rPr>
        <w:t>为最近每万份理财产品收益。7日年化收益率用四舍五入保留至百分号内小数点后第2位。</w:t>
      </w:r>
    </w:p>
    <w:p>
      <w:pPr>
        <w:ind w:firstLine="480" w:firstLineChars="200"/>
        <w:rPr>
          <w:rFonts w:ascii="楷体" w:hAnsi="楷体" w:eastAsia="楷体"/>
          <w:sz w:val="24"/>
          <w:szCs w:val="24"/>
          <w:highlight w:val="none"/>
        </w:rPr>
      </w:pPr>
      <w:r>
        <w:rPr>
          <w:rFonts w:hint="eastAsia" w:ascii="楷体" w:hAnsi="楷体" w:eastAsia="楷体" w:cs="Calibri"/>
          <w:sz w:val="24"/>
          <w:szCs w:val="24"/>
          <w:highlight w:val="none"/>
        </w:rPr>
        <w:t>产品</w:t>
      </w:r>
      <w:r>
        <w:rPr>
          <w:rFonts w:hint="eastAsia" w:ascii="楷体" w:hAnsi="楷体" w:eastAsia="楷体"/>
          <w:sz w:val="24"/>
          <w:szCs w:val="24"/>
          <w:highlight w:val="none"/>
        </w:rPr>
        <w:t>每个工作日公布最近7日（含节假日）收益率所折算的产品七日年化收益率。</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理财产品七日年化收益率仅供投资者购买时参考，并不代表本产品实际收益或未来的表现，也不构成管理人对本产品收益的任何承诺或保证，产品收益以管理人实际支付为准。</w:t>
      </w:r>
    </w:p>
    <w:p>
      <w:pPr>
        <w:numPr>
          <w:ilvl w:val="0"/>
          <w:numId w:val="19"/>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收益分配时间</w:t>
      </w:r>
    </w:p>
    <w:p>
      <w:pPr>
        <w:numPr>
          <w:ilvl w:val="0"/>
          <w:numId w:val="21"/>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若本产品当日投资收益大于零，管理人于下一工作日系统日启后将前一工作日（含两个工作日间的节假日）投资者应分配红利分配给投资者，红利分配方式为红利再投。投资者可于红利到账日的当日申请赎回分配的红利份额，若投资者继续持有分配的红利份额，分配的红利份额将参与后续理财产品投资收益分配。</w:t>
      </w:r>
    </w:p>
    <w:p>
      <w:pPr>
        <w:numPr>
          <w:ilvl w:val="0"/>
          <w:numId w:val="21"/>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若当日净收益等于零，则投资者理财产品份额不变。</w:t>
      </w:r>
    </w:p>
    <w:p>
      <w:pPr>
        <w:numPr>
          <w:ilvl w:val="0"/>
          <w:numId w:val="21"/>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若当日净收益小于零，则等比缩减投资者持有的理财产品份额，投资者将出现投资损失。</w:t>
      </w:r>
    </w:p>
    <w:p>
      <w:pPr>
        <w:tabs>
          <w:tab w:val="left" w:pos="1428"/>
        </w:tabs>
        <w:ind w:left="420" w:leftChars="200"/>
        <w:outlineLvl w:val="0"/>
        <w:rPr>
          <w:rFonts w:ascii="楷体" w:hAnsi="楷体" w:eastAsia="楷体"/>
          <w:b/>
          <w:sz w:val="28"/>
          <w:szCs w:val="28"/>
          <w:highlight w:val="none"/>
        </w:rPr>
      </w:pPr>
      <w:r>
        <w:rPr>
          <w:rFonts w:hint="eastAsia" w:ascii="楷体" w:hAnsi="楷体" w:eastAsia="楷体"/>
          <w:b/>
          <w:sz w:val="28"/>
          <w:szCs w:val="28"/>
          <w:highlight w:val="none"/>
        </w:rPr>
        <w:t>十一、产品费用</w:t>
      </w:r>
    </w:p>
    <w:p>
      <w:pPr>
        <w:numPr>
          <w:ilvl w:val="0"/>
          <w:numId w:val="22"/>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费用种类</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本产品费用包括托管费、销售服务费、投资管理费以及产品运作和清算中产生的其他费用等。</w:t>
      </w:r>
    </w:p>
    <w:p>
      <w:pPr>
        <w:numPr>
          <w:ilvl w:val="0"/>
          <w:numId w:val="22"/>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计提方法、计提标准和支付方式</w:t>
      </w:r>
    </w:p>
    <w:p>
      <w:pPr>
        <w:numPr>
          <w:ilvl w:val="0"/>
          <w:numId w:val="23"/>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托管费：本产品的托管费每日计提，按季支付，由托管行收取。计算方法如下：</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每日应计提的托管费＝</w:t>
      </w:r>
      <w:r>
        <w:rPr>
          <w:rFonts w:hint="eastAsia" w:ascii="楷体" w:hAnsi="楷体" w:eastAsia="楷体"/>
          <w:sz w:val="24"/>
          <w:szCs w:val="24"/>
          <w:highlight w:val="none"/>
          <w:lang w:val="en-US" w:eastAsia="zh-CN"/>
        </w:rPr>
        <w:t>当日理财产品份额</w:t>
      </w:r>
      <w:r>
        <w:rPr>
          <w:rFonts w:hint="eastAsia" w:ascii="楷体" w:hAnsi="楷体" w:eastAsia="楷体"/>
          <w:sz w:val="24"/>
          <w:szCs w:val="24"/>
          <w:highlight w:val="none"/>
        </w:rPr>
        <w:t>×</w:t>
      </w:r>
      <w:r>
        <w:rPr>
          <w:rFonts w:hint="eastAsia" w:ascii="楷体" w:hAnsi="楷体" w:eastAsia="楷体"/>
          <w:sz w:val="24"/>
          <w:szCs w:val="24"/>
          <w:highlight w:val="none"/>
          <w:lang w:val="en-US" w:eastAsia="zh-CN"/>
        </w:rPr>
        <w:t>托管费率</w:t>
      </w:r>
      <w:r>
        <w:rPr>
          <w:rFonts w:hint="eastAsia" w:ascii="楷体" w:hAnsi="楷体" w:eastAsia="楷体"/>
          <w:sz w:val="24"/>
          <w:szCs w:val="24"/>
          <w:highlight w:val="none"/>
        </w:rPr>
        <w:t>÷</w:t>
      </w:r>
      <w:r>
        <w:rPr>
          <w:rFonts w:ascii="楷体" w:hAnsi="楷体" w:eastAsia="楷体"/>
          <w:sz w:val="24"/>
          <w:szCs w:val="24"/>
          <w:highlight w:val="none"/>
        </w:rPr>
        <w:t>365</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四舍五入保留至小数点后两位</w:t>
      </w:r>
    </w:p>
    <w:p>
      <w:pPr>
        <w:numPr>
          <w:ilvl w:val="0"/>
          <w:numId w:val="23"/>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销售服务费：本产品的销售服务费每日计提，按季支付，由销售机构收取。计算方法如下：</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每日应计提的销售服务费＝∑</w:t>
      </w:r>
      <w:r>
        <w:rPr>
          <w:rFonts w:hint="eastAsia" w:ascii="楷体" w:hAnsi="楷体" w:eastAsia="楷体"/>
          <w:sz w:val="24"/>
          <w:szCs w:val="24"/>
          <w:highlight w:val="none"/>
          <w:lang w:val="en-US" w:eastAsia="zh-CN"/>
        </w:rPr>
        <w:t>当日各理财产品份额</w:t>
      </w:r>
      <w:r>
        <w:rPr>
          <w:rFonts w:hint="eastAsia" w:ascii="楷体" w:hAnsi="楷体" w:eastAsia="楷体"/>
          <w:sz w:val="24"/>
          <w:szCs w:val="24"/>
          <w:highlight w:val="none"/>
        </w:rPr>
        <w:t>×各份额销售服务费率÷</w:t>
      </w:r>
      <w:r>
        <w:rPr>
          <w:rFonts w:ascii="楷体" w:hAnsi="楷体" w:eastAsia="楷体"/>
          <w:sz w:val="24"/>
          <w:szCs w:val="24"/>
          <w:highlight w:val="none"/>
        </w:rPr>
        <w:t>365</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四舍五入保留至小数点后两位</w:t>
      </w:r>
    </w:p>
    <w:p>
      <w:pPr>
        <w:numPr>
          <w:ilvl w:val="0"/>
          <w:numId w:val="23"/>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投资管理费：本产品的投资管理费每日计提，</w:t>
      </w:r>
      <w:r>
        <w:rPr>
          <w:rFonts w:hint="eastAsia" w:ascii="楷体" w:hAnsi="楷体" w:eastAsia="楷体" w:cs="Calibri"/>
          <w:sz w:val="24"/>
          <w:szCs w:val="24"/>
          <w:highlight w:val="none"/>
          <w:lang w:val="en-US" w:eastAsia="zh-CN"/>
        </w:rPr>
        <w:t>按月</w:t>
      </w:r>
      <w:r>
        <w:rPr>
          <w:rFonts w:hint="eastAsia" w:ascii="楷体" w:hAnsi="楷体" w:eastAsia="楷体" w:cs="Calibri"/>
          <w:sz w:val="24"/>
          <w:szCs w:val="24"/>
          <w:highlight w:val="none"/>
        </w:rPr>
        <w:t>支付，由管理人收取。计算方法如下：</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每日应计提的投资管理费＝∑</w:t>
      </w:r>
      <w:r>
        <w:rPr>
          <w:rFonts w:hint="eastAsia" w:ascii="楷体" w:hAnsi="楷体" w:eastAsia="楷体"/>
          <w:sz w:val="24"/>
          <w:szCs w:val="24"/>
          <w:highlight w:val="none"/>
          <w:lang w:val="en-US" w:eastAsia="zh-CN"/>
        </w:rPr>
        <w:t>当日各理财产品份额</w:t>
      </w:r>
      <w:r>
        <w:rPr>
          <w:rFonts w:hint="eastAsia" w:ascii="楷体" w:hAnsi="楷体" w:eastAsia="楷体"/>
          <w:sz w:val="24"/>
          <w:szCs w:val="24"/>
          <w:highlight w:val="none"/>
        </w:rPr>
        <w:t>×各份额投资管理费率÷</w:t>
      </w:r>
      <w:r>
        <w:rPr>
          <w:rFonts w:ascii="楷体" w:hAnsi="楷体" w:eastAsia="楷体"/>
          <w:sz w:val="24"/>
          <w:szCs w:val="24"/>
          <w:highlight w:val="none"/>
        </w:rPr>
        <w:t>365</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四舍五入保留至小数点后两位</w:t>
      </w:r>
    </w:p>
    <w:p>
      <w:pPr>
        <w:numPr>
          <w:ilvl w:val="0"/>
          <w:numId w:val="23"/>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产品运作和清算中产生的交易手续费、注册登记费、账户服务费、审计费、及其他应由本产品承担的费用，按照实际发生时从产品中列支。</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产品管理人有权根据市场情况等</w:t>
      </w:r>
      <w:r>
        <w:rPr>
          <w:rFonts w:hint="eastAsia" w:ascii="楷体" w:hAnsi="楷体" w:eastAsia="楷体"/>
          <w:sz w:val="24"/>
          <w:szCs w:val="24"/>
          <w:highlight w:val="none"/>
          <w:lang w:eastAsia="zh-CN"/>
        </w:rPr>
        <w:t>调整上述各项费用费率收取方式及比例</w:t>
      </w:r>
      <w:r>
        <w:rPr>
          <w:rFonts w:hint="eastAsia" w:ascii="楷体" w:hAnsi="楷体" w:eastAsia="楷体"/>
          <w:sz w:val="24"/>
          <w:szCs w:val="24"/>
          <w:highlight w:val="none"/>
        </w:rPr>
        <w:t>，并至少于调整日之前2个工作日进行公告</w:t>
      </w:r>
      <w:r>
        <w:rPr>
          <w:rFonts w:hint="eastAsia" w:ascii="楷体" w:hAnsi="楷体" w:eastAsia="楷体"/>
          <w:sz w:val="24"/>
          <w:szCs w:val="24"/>
          <w:highlight w:val="none"/>
          <w:lang w:eastAsia="zh-CN"/>
        </w:rPr>
        <w:t>，产品管理人将通过短信及苏银理财有限责任公司官方网站（www.suyinwealth.com）、销售机构电子渠道和营业网点等方式进行信息披露</w:t>
      </w:r>
      <w:r>
        <w:rPr>
          <w:rFonts w:hint="eastAsia" w:ascii="楷体" w:hAnsi="楷体" w:eastAsia="楷体"/>
          <w:sz w:val="24"/>
          <w:szCs w:val="24"/>
          <w:highlight w:val="none"/>
        </w:rPr>
        <w:t>。如投资者不接受的，可在公告约定的期限内赎回本产品，此种情况下产品管理人将可能开放赎回</w:t>
      </w:r>
      <w:r>
        <w:rPr>
          <w:rFonts w:hint="eastAsia" w:ascii="楷体" w:hAnsi="楷体" w:eastAsia="楷体"/>
          <w:sz w:val="24"/>
          <w:szCs w:val="24"/>
          <w:highlight w:val="none"/>
          <w:lang w:eastAsia="zh-CN"/>
        </w:rPr>
        <w:t>，</w:t>
      </w:r>
      <w:r>
        <w:rPr>
          <w:rFonts w:hint="eastAsia" w:ascii="楷体" w:hAnsi="楷体" w:eastAsia="楷体"/>
          <w:sz w:val="24"/>
          <w:szCs w:val="24"/>
          <w:highlight w:val="none"/>
        </w:rPr>
        <w:t>具体以届时产品管理人公告为准；如投资者未赎回本产品，则视为本理财产品投资者接受相关调整且同意在调整后继续持有本理财产品。本产品不收取认购费用、申购费用、赎回费用。</w:t>
      </w:r>
    </w:p>
    <w:p>
      <w:pPr>
        <w:numPr>
          <w:ilvl w:val="255"/>
          <w:numId w:val="0"/>
        </w:numPr>
        <w:tabs>
          <w:tab w:val="left" w:pos="1428"/>
        </w:tabs>
        <w:ind w:left="420" w:leftChars="200"/>
        <w:outlineLvl w:val="0"/>
        <w:rPr>
          <w:rFonts w:ascii="楷体" w:hAnsi="楷体" w:eastAsia="楷体"/>
          <w:b/>
          <w:sz w:val="28"/>
          <w:szCs w:val="28"/>
          <w:highlight w:val="none"/>
        </w:rPr>
      </w:pPr>
      <w:r>
        <w:rPr>
          <w:rFonts w:hint="eastAsia" w:ascii="楷体" w:hAnsi="楷体" w:eastAsia="楷体"/>
          <w:b/>
          <w:sz w:val="28"/>
          <w:szCs w:val="28"/>
          <w:highlight w:val="none"/>
        </w:rPr>
        <w:t>十二、产品估值</w:t>
      </w:r>
    </w:p>
    <w:p>
      <w:pPr>
        <w:numPr>
          <w:ilvl w:val="0"/>
          <w:numId w:val="24"/>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估值对象</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本产品所拥有的各类证券、银行存款、应收款项及其它资产和负债。</w:t>
      </w:r>
    </w:p>
    <w:p>
      <w:pPr>
        <w:numPr>
          <w:ilvl w:val="0"/>
          <w:numId w:val="24"/>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估值要求</w:t>
      </w:r>
    </w:p>
    <w:p>
      <w:pPr>
        <w:numPr>
          <w:ilvl w:val="0"/>
          <w:numId w:val="25"/>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本产品资产估值的目的是客观、准确的反映资产净值，确定理财产品资产净值，并为理财产品的收益分配提供计价依据。</w:t>
      </w:r>
    </w:p>
    <w:p>
      <w:pPr>
        <w:numPr>
          <w:ilvl w:val="0"/>
          <w:numId w:val="25"/>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本产品每万份收益随投资收益变化，本理财产品存续期内，管理人于每个理财产品工作日计算理财产品每万份收益，并于该工作日后第一个工作日通过信息披露约定的渠道发布理财产品份额收益率，理财产品每万份收益采用截位法保留至小数点后第4位。</w:t>
      </w:r>
    </w:p>
    <w:p>
      <w:pPr>
        <w:numPr>
          <w:ilvl w:val="0"/>
          <w:numId w:val="24"/>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估值方法</w:t>
      </w:r>
    </w:p>
    <w:p>
      <w:pPr>
        <w:ind w:firstLine="480" w:firstLineChars="200"/>
        <w:rPr>
          <w:rFonts w:ascii="楷体" w:hAnsi="楷体" w:eastAsia="楷体" w:cs="Calibri"/>
          <w:sz w:val="24"/>
          <w:szCs w:val="24"/>
          <w:highlight w:val="none"/>
        </w:rPr>
      </w:pPr>
      <w:r>
        <w:rPr>
          <w:rFonts w:ascii="楷体" w:hAnsi="楷体" w:eastAsia="楷体" w:cs="Calibri"/>
          <w:sz w:val="24"/>
          <w:szCs w:val="24"/>
          <w:highlight w:val="none"/>
        </w:rPr>
        <w:t>本理财产品估值采用摊余成本法，即计价对象以买入成本列示，按实际利率并考虑其买入时的溢价与折价，在其剩余存续期内摊销，每日计提损益。</w:t>
      </w:r>
      <w:r>
        <w:rPr>
          <w:rFonts w:hint="eastAsia" w:ascii="楷体" w:hAnsi="楷体" w:eastAsia="楷体" w:cs="Calibri"/>
          <w:sz w:val="24"/>
          <w:szCs w:val="24"/>
          <w:highlight w:val="none"/>
        </w:rPr>
        <w:br w:type="textWrapping"/>
      </w:r>
      <w:r>
        <w:rPr>
          <w:rFonts w:ascii="楷体" w:hAnsi="楷体" w:eastAsia="楷体" w:cs="Calibri"/>
          <w:sz w:val="24"/>
          <w:szCs w:val="24"/>
          <w:highlight w:val="none"/>
        </w:rPr>
        <w:t xml:space="preserve">    </w:t>
      </w:r>
      <w:r>
        <w:rPr>
          <w:rFonts w:hint="eastAsia" w:ascii="楷体" w:hAnsi="楷体" w:eastAsia="楷体" w:cs="Calibri"/>
          <w:sz w:val="24"/>
          <w:szCs w:val="24"/>
          <w:highlight w:val="none"/>
        </w:rPr>
        <w:t>1.</w:t>
      </w:r>
      <w:r>
        <w:rPr>
          <w:rFonts w:ascii="楷体" w:hAnsi="楷体" w:eastAsia="楷体" w:cs="Calibri"/>
          <w:sz w:val="24"/>
          <w:szCs w:val="24"/>
          <w:highlight w:val="none"/>
        </w:rPr>
        <w:t>债券等资产采用溢折价摊销后的成本列示，按票面利率计提应收利息。</w:t>
      </w:r>
      <w:r>
        <w:rPr>
          <w:rFonts w:hint="eastAsia" w:ascii="楷体" w:hAnsi="楷体" w:eastAsia="楷体" w:cs="Calibri"/>
          <w:sz w:val="24"/>
          <w:szCs w:val="24"/>
          <w:highlight w:val="none"/>
        </w:rPr>
        <w:br w:type="textWrapping"/>
      </w:r>
      <w:r>
        <w:rPr>
          <w:rFonts w:ascii="楷体" w:hAnsi="楷体" w:eastAsia="楷体" w:cs="Calibri"/>
          <w:sz w:val="24"/>
          <w:szCs w:val="24"/>
          <w:highlight w:val="none"/>
        </w:rPr>
        <w:t xml:space="preserve">    </w:t>
      </w:r>
      <w:r>
        <w:rPr>
          <w:rFonts w:hint="eastAsia" w:ascii="楷体" w:hAnsi="楷体" w:eastAsia="楷体" w:cs="Calibri"/>
          <w:sz w:val="24"/>
          <w:szCs w:val="24"/>
          <w:highlight w:val="none"/>
        </w:rPr>
        <w:t>2.</w:t>
      </w:r>
      <w:r>
        <w:rPr>
          <w:rFonts w:ascii="楷体" w:hAnsi="楷体" w:eastAsia="楷体" w:cs="Calibri"/>
          <w:sz w:val="24"/>
          <w:szCs w:val="24"/>
          <w:highlight w:val="none"/>
        </w:rPr>
        <w:t>债券回购以成本列示，按协议利率在实际持有期间内逐日计提利息。</w:t>
      </w:r>
      <w:r>
        <w:rPr>
          <w:rFonts w:hint="eastAsia" w:ascii="楷体" w:hAnsi="楷体" w:eastAsia="楷体" w:cs="Calibri"/>
          <w:sz w:val="24"/>
          <w:szCs w:val="24"/>
          <w:highlight w:val="none"/>
        </w:rPr>
        <w:br w:type="textWrapping"/>
      </w:r>
      <w:r>
        <w:rPr>
          <w:rFonts w:ascii="楷体" w:hAnsi="楷体" w:eastAsia="楷体" w:cs="Calibri"/>
          <w:sz w:val="24"/>
          <w:szCs w:val="24"/>
          <w:highlight w:val="none"/>
        </w:rPr>
        <w:t xml:space="preserve">    </w:t>
      </w:r>
      <w:r>
        <w:rPr>
          <w:rFonts w:hint="eastAsia" w:ascii="楷体" w:hAnsi="楷体" w:eastAsia="楷体" w:cs="Calibri"/>
          <w:sz w:val="24"/>
          <w:szCs w:val="24"/>
          <w:highlight w:val="none"/>
        </w:rPr>
        <w:t>3.</w:t>
      </w:r>
      <w:r>
        <w:rPr>
          <w:rFonts w:ascii="楷体" w:hAnsi="楷体" w:eastAsia="楷体" w:cs="Calibri"/>
          <w:sz w:val="24"/>
          <w:szCs w:val="24"/>
          <w:highlight w:val="none"/>
        </w:rPr>
        <w:t>银行存款以本金列示，按银行适用利率逐日计提利息。</w:t>
      </w:r>
      <w:r>
        <w:rPr>
          <w:rFonts w:hint="eastAsia" w:ascii="楷体" w:hAnsi="楷体" w:eastAsia="楷体" w:cs="Calibri"/>
          <w:sz w:val="24"/>
          <w:szCs w:val="24"/>
          <w:highlight w:val="none"/>
        </w:rPr>
        <w:br w:type="textWrapping"/>
      </w:r>
      <w:r>
        <w:rPr>
          <w:rFonts w:ascii="楷体" w:hAnsi="楷体" w:eastAsia="楷体" w:cs="Calibri"/>
          <w:sz w:val="24"/>
          <w:szCs w:val="24"/>
          <w:highlight w:val="none"/>
        </w:rPr>
        <w:t xml:space="preserve">    </w:t>
      </w:r>
      <w:r>
        <w:rPr>
          <w:rFonts w:hint="eastAsia" w:ascii="楷体" w:hAnsi="楷体" w:eastAsia="楷体" w:cs="Calibri"/>
          <w:sz w:val="24"/>
          <w:szCs w:val="24"/>
          <w:highlight w:val="none"/>
        </w:rPr>
        <w:t>4.</w:t>
      </w:r>
      <w:r>
        <w:rPr>
          <w:rFonts w:ascii="楷体" w:hAnsi="楷体" w:eastAsia="楷体" w:cs="Calibri"/>
          <w:sz w:val="24"/>
          <w:szCs w:val="24"/>
          <w:highlight w:val="none"/>
        </w:rPr>
        <w:t>货币市场基金以估值截止时点能够取得的最新每万份收益进行估值。</w:t>
      </w:r>
      <w:r>
        <w:rPr>
          <w:rFonts w:hint="eastAsia" w:ascii="楷体" w:hAnsi="楷体" w:eastAsia="楷体" w:cs="Calibri"/>
          <w:sz w:val="24"/>
          <w:szCs w:val="24"/>
          <w:highlight w:val="none"/>
        </w:rPr>
        <w:br w:type="textWrapping"/>
      </w:r>
      <w:r>
        <w:rPr>
          <w:rFonts w:ascii="楷体" w:hAnsi="楷体" w:eastAsia="楷体" w:cs="Calibri"/>
          <w:sz w:val="24"/>
          <w:szCs w:val="24"/>
          <w:highlight w:val="none"/>
        </w:rPr>
        <w:t xml:space="preserve">    </w:t>
      </w:r>
      <w:r>
        <w:rPr>
          <w:rFonts w:hint="eastAsia" w:ascii="楷体" w:hAnsi="楷体" w:eastAsia="楷体" w:cs="Calibri"/>
          <w:sz w:val="24"/>
          <w:szCs w:val="24"/>
          <w:highlight w:val="none"/>
        </w:rPr>
        <w:t>5.</w:t>
      </w:r>
      <w:r>
        <w:rPr>
          <w:rFonts w:ascii="楷体" w:hAnsi="楷体" w:eastAsia="楷体" w:cs="Calibri"/>
          <w:sz w:val="24"/>
          <w:szCs w:val="24"/>
          <w:highlight w:val="none"/>
        </w:rPr>
        <w:t>投资于信托计划、资产管理计划、基金等资产：按合同约定的估值方案，以信托计划的受托人、资产管理计划或基金的管理人等和资产托管人共同确认的净值或投资收益情况进行估值。</w:t>
      </w:r>
    </w:p>
    <w:p>
      <w:pPr>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6.</w:t>
      </w:r>
      <w:r>
        <w:rPr>
          <w:rFonts w:ascii="楷体" w:hAnsi="楷体" w:eastAsia="楷体" w:cs="Calibri"/>
          <w:sz w:val="24"/>
          <w:szCs w:val="24"/>
          <w:highlight w:val="none"/>
        </w:rPr>
        <w:t>若理财产品存续期间持有其他投资品种，</w:t>
      </w:r>
      <w:r>
        <w:rPr>
          <w:rFonts w:hint="eastAsia" w:ascii="楷体" w:hAnsi="楷体" w:eastAsia="楷体" w:cs="Calibri"/>
          <w:sz w:val="24"/>
          <w:szCs w:val="24"/>
          <w:highlight w:val="none"/>
          <w:lang w:val="en-US" w:eastAsia="zh-CN"/>
        </w:rPr>
        <w:t>按摊余成本法估值</w:t>
      </w:r>
      <w:r>
        <w:rPr>
          <w:rFonts w:ascii="楷体" w:hAnsi="楷体" w:eastAsia="楷体" w:cs="Calibri"/>
          <w:sz w:val="24"/>
          <w:szCs w:val="24"/>
          <w:highlight w:val="none"/>
        </w:rPr>
        <w:t>。</w:t>
      </w:r>
    </w:p>
    <w:p>
      <w:pPr>
        <w:rPr>
          <w:rFonts w:ascii="楷体" w:hAnsi="楷体" w:eastAsia="楷体" w:cs="Calibri"/>
          <w:sz w:val="24"/>
          <w:szCs w:val="24"/>
          <w:highlight w:val="none"/>
        </w:rPr>
      </w:pPr>
      <w:r>
        <w:rPr>
          <w:rFonts w:ascii="楷体" w:hAnsi="楷体" w:eastAsia="楷体" w:cs="Calibri"/>
          <w:sz w:val="24"/>
          <w:szCs w:val="24"/>
          <w:highlight w:val="none"/>
        </w:rPr>
        <w:t xml:space="preserve">    </w:t>
      </w:r>
      <w:r>
        <w:rPr>
          <w:rFonts w:hint="eastAsia" w:ascii="楷体" w:hAnsi="楷体" w:eastAsia="楷体" w:cs="Calibri"/>
          <w:sz w:val="24"/>
          <w:szCs w:val="24"/>
          <w:highlight w:val="none"/>
        </w:rPr>
        <w:t>7</w:t>
      </w:r>
      <w:r>
        <w:rPr>
          <w:rFonts w:ascii="楷体" w:hAnsi="楷体" w:eastAsia="楷体" w:cs="Calibri"/>
          <w:sz w:val="24"/>
          <w:szCs w:val="24"/>
          <w:highlight w:val="none"/>
        </w:rPr>
        <w:t>.</w:t>
      </w:r>
      <w:r>
        <w:rPr>
          <w:rFonts w:hint="eastAsia" w:ascii="楷体" w:hAnsi="楷体" w:eastAsia="楷体" w:cs="Calibri"/>
          <w:sz w:val="24"/>
          <w:szCs w:val="24"/>
          <w:highlight w:val="none"/>
        </w:rPr>
        <w:t>由于按摊余成本法计价可能会出现被计价对象的其他可参考公允价值指标和摊余成本之间的偏离，为消除或减少因理财产品资产净值的背离导致理财产品产品份额投资者权益的稀释或其他不公平的结果，在实际操作中，理财产品管理人与理财产品托管人将对理财产品持有的估值对象进行重新评估，即“影子定价”。当投资组合的摊余成本与其他可参考公允价值指标产生重大偏离，管理人将按照其它可参考公允价值指标对组合的账面价值进行调整，使理财产品资产净值更能公允地反映理财产品资产价值，确保以摊余成本法计算的理财产品资产净值不会对理财产品投资者造成实质性的损害。其中，当影子定价确定的本产品资产净值与摊余成本法计算的资产净值正偏离度绝对值达到0.5%时，管理人应当暂停接受申购并在5个交易日内将正偏离度绝对值调整到0.5%以内。当负偏离度绝对值达到0.25%时，管理人应当在5个交易日内将负偏离度绝对值调整到0.25%以内。当负偏离度绝对值达到0.5%时，管理人应当采取相应措施，将负偏离度绝对值控制在0.5%以内。当负偏离度绝对值连续两个交易日超过0.5%时，管理人应当采用公允价值估值方法对持有投资组合的账面价值进行调整，或者采取暂停接受所有赎回申请并终止理财产品合同进行财产清算等措施。当出现上述情形时，管理人将依据法律法规规定履行信息披露程序。</w:t>
      </w:r>
    </w:p>
    <w:p>
      <w:pPr>
        <w:rPr>
          <w:rFonts w:ascii="楷体" w:hAnsi="楷体" w:eastAsia="楷体" w:cs="Calibri"/>
          <w:sz w:val="24"/>
          <w:szCs w:val="24"/>
          <w:highlight w:val="none"/>
        </w:rPr>
      </w:pPr>
      <w:r>
        <w:rPr>
          <w:rFonts w:hint="eastAsia" w:ascii="楷体" w:hAnsi="楷体" w:eastAsia="楷体" w:cs="Calibri"/>
          <w:sz w:val="24"/>
          <w:szCs w:val="24"/>
          <w:highlight w:val="none"/>
        </w:rPr>
        <w:t>影子定价与摊余成本法确定的现金管理类产品资产净值的偏离度＝</w:t>
      </w:r>
      <m:oMath>
        <m:f>
          <m:fPr>
            <m:ctrlPr>
              <w:rPr>
                <w:rFonts w:ascii="Cambria Math" w:hAnsi="Cambria Math" w:eastAsia="楷体" w:cs="Calibri"/>
                <w:sz w:val="28"/>
                <w:szCs w:val="24"/>
                <w:highlight w:val="none"/>
              </w:rPr>
            </m:ctrlPr>
          </m:fPr>
          <m:num>
            <m:r>
              <m:rPr>
                <m:sty m:val="p"/>
              </m:rPr>
              <w:rPr>
                <w:rFonts w:hint="eastAsia" w:ascii="Cambria Math" w:hAnsi="Cambria Math" w:eastAsia="楷体" w:cs="Calibri"/>
                <w:sz w:val="28"/>
                <w:szCs w:val="24"/>
                <w:highlight w:val="none"/>
              </w:rPr>
              <m:t>NAVs</m:t>
            </m:r>
            <m:r>
              <m:rPr>
                <m:sty m:val="p"/>
              </m:rPr>
              <w:rPr>
                <w:rFonts w:ascii="Cambria Math" w:hAnsi="Cambria Math" w:eastAsia="楷体" w:cs="Calibri"/>
                <w:sz w:val="28"/>
                <w:szCs w:val="24"/>
                <w:highlight w:val="none"/>
              </w:rPr>
              <m:t>−NAVa</m:t>
            </m:r>
            <m:ctrlPr>
              <w:rPr>
                <w:rFonts w:ascii="Cambria Math" w:hAnsi="Cambria Math" w:eastAsia="楷体" w:cs="Calibri"/>
                <w:sz w:val="28"/>
                <w:szCs w:val="24"/>
                <w:highlight w:val="none"/>
              </w:rPr>
            </m:ctrlPr>
          </m:num>
          <m:den>
            <m:r>
              <m:rPr>
                <m:sty m:val="p"/>
              </m:rPr>
              <w:rPr>
                <w:rFonts w:hint="eastAsia" w:ascii="Cambria Math" w:hAnsi="Cambria Math" w:eastAsia="楷体" w:cs="Calibri"/>
                <w:sz w:val="28"/>
                <w:szCs w:val="24"/>
                <w:highlight w:val="none"/>
              </w:rPr>
              <m:t>NAVa</m:t>
            </m:r>
            <m:ctrlPr>
              <w:rPr>
                <w:rFonts w:ascii="Cambria Math" w:hAnsi="Cambria Math" w:eastAsia="楷体" w:cs="Calibri"/>
                <w:sz w:val="28"/>
                <w:szCs w:val="24"/>
                <w:highlight w:val="none"/>
              </w:rPr>
            </m:ctrlPr>
          </m:den>
        </m:f>
      </m:oMath>
      <w:r>
        <w:rPr>
          <w:rFonts w:hint="eastAsia" w:ascii="楷体" w:hAnsi="楷体" w:eastAsia="楷体" w:cs="Calibri"/>
          <w:sz w:val="24"/>
          <w:szCs w:val="24"/>
          <w:highlight w:val="none"/>
        </w:rPr>
        <w:t xml:space="preserve">，其中，NAVs为影子定价确定的现金管理类产品资产净值，NAVa为摊余成本法确定的现金管理类产品资产净值。 </w:t>
      </w:r>
      <w:r>
        <w:rPr>
          <w:rFonts w:ascii="楷体" w:hAnsi="楷体" w:eastAsia="楷体" w:cs="Calibri"/>
          <w:sz w:val="24"/>
          <w:szCs w:val="24"/>
          <w:highlight w:val="none"/>
        </w:rPr>
        <w:t xml:space="preserve"> </w:t>
      </w:r>
    </w:p>
    <w:p>
      <w:pPr>
        <w:ind w:firstLine="480"/>
        <w:rPr>
          <w:rFonts w:ascii="楷体" w:hAnsi="楷体" w:eastAsia="楷体" w:cs="Calibri"/>
          <w:sz w:val="24"/>
          <w:szCs w:val="24"/>
          <w:highlight w:val="none"/>
        </w:rPr>
      </w:pPr>
      <w:r>
        <w:rPr>
          <w:rFonts w:hint="eastAsia" w:ascii="楷体" w:hAnsi="楷体" w:eastAsia="楷体" w:cs="Calibri"/>
          <w:sz w:val="24"/>
          <w:szCs w:val="24"/>
          <w:highlight w:val="none"/>
          <w:lang w:val="en-US" w:eastAsia="zh-CN"/>
        </w:rPr>
        <w:t>8</w:t>
      </w:r>
      <w:r>
        <w:rPr>
          <w:rFonts w:hint="eastAsia" w:ascii="楷体" w:hAnsi="楷体" w:eastAsia="楷体" w:cs="Calibri"/>
          <w:sz w:val="24"/>
          <w:szCs w:val="24"/>
          <w:highlight w:val="none"/>
        </w:rPr>
        <w:t>.</w:t>
      </w:r>
      <w:r>
        <w:rPr>
          <w:rFonts w:ascii="楷体" w:hAnsi="楷体" w:eastAsia="楷体" w:cs="Calibri"/>
          <w:sz w:val="24"/>
          <w:szCs w:val="24"/>
          <w:highlight w:val="none"/>
        </w:rPr>
        <w:t>按以上估值方法进行估值时，所造成的误差不作为理财产品估值错误处理。</w:t>
      </w:r>
    </w:p>
    <w:p>
      <w:pPr>
        <w:rPr>
          <w:rFonts w:ascii="楷体" w:hAnsi="楷体" w:eastAsia="楷体" w:cs="Calibri"/>
          <w:sz w:val="24"/>
          <w:szCs w:val="24"/>
          <w:highlight w:val="none"/>
        </w:rPr>
      </w:pPr>
      <w:r>
        <w:rPr>
          <w:rFonts w:ascii="楷体" w:hAnsi="楷体" w:eastAsia="楷体" w:cs="Calibri"/>
          <w:sz w:val="24"/>
          <w:szCs w:val="24"/>
          <w:highlight w:val="none"/>
        </w:rPr>
        <w:t xml:space="preserve">    </w:t>
      </w:r>
      <w:r>
        <w:rPr>
          <w:rFonts w:hint="eastAsia" w:ascii="楷体" w:hAnsi="楷体" w:eastAsia="楷体" w:cs="Calibri"/>
          <w:sz w:val="24"/>
          <w:szCs w:val="24"/>
          <w:highlight w:val="none"/>
          <w:lang w:val="en-US" w:eastAsia="zh-CN"/>
        </w:rPr>
        <w:t>9</w:t>
      </w:r>
      <w:r>
        <w:rPr>
          <w:rFonts w:hint="eastAsia" w:ascii="楷体" w:hAnsi="楷体" w:eastAsia="楷体" w:cs="Calibri"/>
          <w:sz w:val="24"/>
          <w:szCs w:val="24"/>
          <w:highlight w:val="none"/>
        </w:rPr>
        <w:t>.</w:t>
      </w:r>
      <w:r>
        <w:rPr>
          <w:rFonts w:ascii="楷体" w:hAnsi="楷体" w:eastAsia="楷体" w:cs="Calibri"/>
          <w:sz w:val="24"/>
          <w:szCs w:val="24"/>
          <w:highlight w:val="none"/>
        </w:rPr>
        <w:t>扣除项：应由理财产品承担的理财产品费用和税费（如有）</w:t>
      </w:r>
      <w:r>
        <w:rPr>
          <w:rFonts w:hint="eastAsia" w:ascii="楷体" w:hAnsi="楷体" w:eastAsia="楷体" w:cs="Calibri"/>
          <w:sz w:val="24"/>
          <w:szCs w:val="24"/>
          <w:highlight w:val="none"/>
        </w:rPr>
        <w:t>。</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如有新增事项或变更事项，按国家法律法规及监管最新规定执行。</w:t>
      </w:r>
    </w:p>
    <w:p>
      <w:pPr>
        <w:numPr>
          <w:ilvl w:val="0"/>
          <w:numId w:val="24"/>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估值错误的处理</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产品管理人和产品托管人将采取必要、适当合理的措施确保产品资产估值的准确性、及时性。当产品单位净值出现错误时，产品管理人应当立即予以纠正，并采取合理的措施防止损失进一步扩大。由于证券交易所、期货交易所、第三方估值机构、登记机构、资管计划管理人等发送数据错误等非理财产品管理人和托管人原因，或由于其它不可抗力原因，产品管理人和产品托管人虽然已采取必要、适当、合理的措施进行检查，但是未能发现该错误的，由此造成的产品估值错误，产品管理人和产品托管人免除赔偿责任。但产品管理人和产品托管人应当积极采取必要的措施消除由此造成的影响。</w:t>
      </w:r>
    </w:p>
    <w:p>
      <w:pPr>
        <w:numPr>
          <w:ilvl w:val="0"/>
          <w:numId w:val="24"/>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暂停估值</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理财产品投资所涉及的证券交易所遇法定节假日或其他原因暂停营业时，或因任何不可抗力致使无法准确评估资产价值时，可暂停估值。但估值条件恢复时，将按规定完成估值工作。</w:t>
      </w:r>
    </w:p>
    <w:p>
      <w:pPr>
        <w:numPr>
          <w:ilvl w:val="255"/>
          <w:numId w:val="0"/>
        </w:numPr>
        <w:tabs>
          <w:tab w:val="left" w:pos="1428"/>
        </w:tabs>
        <w:ind w:left="420" w:leftChars="200"/>
        <w:outlineLvl w:val="0"/>
        <w:rPr>
          <w:rFonts w:ascii="楷体" w:hAnsi="楷体" w:eastAsia="楷体"/>
          <w:b/>
          <w:sz w:val="28"/>
          <w:szCs w:val="28"/>
          <w:highlight w:val="none"/>
        </w:rPr>
      </w:pPr>
      <w:r>
        <w:rPr>
          <w:rFonts w:hint="eastAsia" w:ascii="楷体" w:hAnsi="楷体" w:eastAsia="楷体"/>
          <w:b/>
          <w:sz w:val="28"/>
          <w:szCs w:val="28"/>
          <w:highlight w:val="none"/>
        </w:rPr>
        <w:t>十三、产品的终止与清算</w:t>
      </w:r>
    </w:p>
    <w:p>
      <w:pPr>
        <w:numPr>
          <w:ilvl w:val="0"/>
          <w:numId w:val="26"/>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理财产品的终止</w:t>
      </w:r>
    </w:p>
    <w:p>
      <w:pPr>
        <w:numPr>
          <w:ilvl w:val="0"/>
          <w:numId w:val="27"/>
        </w:numPr>
        <w:tabs>
          <w:tab w:val="left" w:pos="728"/>
        </w:tabs>
        <w:ind w:left="0" w:firstLine="482" w:firstLineChars="200"/>
        <w:outlineLvl w:val="2"/>
        <w:rPr>
          <w:rFonts w:ascii="楷体" w:hAnsi="楷体" w:eastAsia="楷体" w:cs="Calibri"/>
          <w:b/>
          <w:sz w:val="24"/>
          <w:szCs w:val="24"/>
          <w:highlight w:val="none"/>
        </w:rPr>
      </w:pPr>
      <w:r>
        <w:rPr>
          <w:rFonts w:hint="eastAsia" w:ascii="楷体" w:hAnsi="楷体" w:eastAsia="楷体" w:cs="Calibri"/>
          <w:b/>
          <w:sz w:val="24"/>
          <w:szCs w:val="24"/>
          <w:highlight w:val="none"/>
        </w:rPr>
        <w:t>提前终止</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在理财产品投资运作期间内，投资者无权要求提前终止该理财产品。在理财产品投资运作期间内，当出现下列情形之一时，产品管理人有权部分或全部终止本产品：</w:t>
      </w:r>
    </w:p>
    <w:p>
      <w:pPr>
        <w:numPr>
          <w:ilvl w:val="0"/>
          <w:numId w:val="28"/>
        </w:numPr>
        <w:tabs>
          <w:tab w:val="left" w:pos="1092"/>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因不可抗力原因导致理财产品无法继续运作。</w:t>
      </w:r>
    </w:p>
    <w:p>
      <w:pPr>
        <w:numPr>
          <w:ilvl w:val="0"/>
          <w:numId w:val="28"/>
        </w:numPr>
        <w:tabs>
          <w:tab w:val="left" w:pos="1092"/>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因法律法规变化或国家金融政策调整、紧急措施出台影响产品继续正常运作。</w:t>
      </w:r>
    </w:p>
    <w:p>
      <w:pPr>
        <w:numPr>
          <w:ilvl w:val="0"/>
          <w:numId w:val="28"/>
        </w:numPr>
        <w:tabs>
          <w:tab w:val="left" w:pos="1092"/>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法律法规规定或监管部门认定的其他情形。</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理财产品不因投资者死亡、丧失民事行为能力、破产等原因而终止。投资者因各种原因无法继续履行合同的，投资者的法定继承人、承继人、指定受益人或继任管理人等合法主体承担原投资者在本理财产品合同中相应的全部权利与义务。</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如理财产品管理人提前终止本理财产品，将至少提前</w:t>
      </w:r>
      <w:r>
        <w:rPr>
          <w:rFonts w:ascii="楷体" w:hAnsi="楷体" w:eastAsia="楷体"/>
          <w:sz w:val="24"/>
          <w:szCs w:val="24"/>
          <w:highlight w:val="none"/>
        </w:rPr>
        <w:t>2</w:t>
      </w:r>
      <w:r>
        <w:rPr>
          <w:rFonts w:hint="eastAsia" w:ascii="楷体" w:hAnsi="楷体" w:eastAsia="楷体"/>
          <w:sz w:val="24"/>
          <w:szCs w:val="24"/>
          <w:highlight w:val="none"/>
        </w:rPr>
        <w:t>个工作日（含）按本理财产品说明书约定的信息披露方式予以披露。</w:t>
      </w:r>
    </w:p>
    <w:p>
      <w:pPr>
        <w:numPr>
          <w:ilvl w:val="0"/>
          <w:numId w:val="27"/>
        </w:numPr>
        <w:tabs>
          <w:tab w:val="left" w:pos="728"/>
        </w:tabs>
        <w:ind w:left="0" w:firstLine="482" w:firstLineChars="200"/>
        <w:outlineLvl w:val="2"/>
        <w:rPr>
          <w:rFonts w:ascii="楷体" w:hAnsi="楷体" w:eastAsia="楷体" w:cs="Calibri"/>
          <w:b/>
          <w:sz w:val="24"/>
          <w:szCs w:val="24"/>
          <w:highlight w:val="none"/>
        </w:rPr>
      </w:pPr>
      <w:r>
        <w:rPr>
          <w:rFonts w:hint="eastAsia" w:ascii="楷体" w:hAnsi="楷体" w:eastAsia="楷体" w:cs="Calibri"/>
          <w:b/>
          <w:sz w:val="24"/>
          <w:szCs w:val="24"/>
          <w:highlight w:val="none"/>
        </w:rPr>
        <w:t>正常兑付</w:t>
      </w:r>
    </w:p>
    <w:p>
      <w:pPr>
        <w:ind w:firstLine="480" w:firstLineChars="200"/>
        <w:rPr>
          <w:rFonts w:ascii="楷体" w:hAnsi="楷体" w:eastAsia="楷体" w:cs="Calibri"/>
          <w:b/>
          <w:sz w:val="24"/>
          <w:szCs w:val="24"/>
          <w:highlight w:val="none"/>
        </w:rPr>
      </w:pPr>
      <w:r>
        <w:rPr>
          <w:rFonts w:hint="eastAsia" w:ascii="楷体" w:hAnsi="楷体" w:eastAsia="楷体"/>
          <w:sz w:val="24"/>
          <w:szCs w:val="24"/>
          <w:highlight w:val="none"/>
        </w:rPr>
        <w:t>投资者持有本理财产品至产品到期日，投资者的投资本金和收益（如有）将在产品到期后一次性支付。理财产品正常终止并兑付的，投资者的投资本金和收益（如有）将于产品到期日后5个工作日以内划至投资者指定账户，如遇法定节假日或公休日则相应顺延。产品到期日至资金实际到账日之间，投资者资金不计息。</w:t>
      </w:r>
    </w:p>
    <w:p>
      <w:pPr>
        <w:numPr>
          <w:ilvl w:val="0"/>
          <w:numId w:val="27"/>
        </w:numPr>
        <w:tabs>
          <w:tab w:val="left" w:pos="728"/>
        </w:tabs>
        <w:ind w:left="0" w:firstLine="482" w:firstLineChars="200"/>
        <w:outlineLvl w:val="2"/>
        <w:rPr>
          <w:rFonts w:ascii="楷体" w:hAnsi="楷体" w:eastAsia="楷体" w:cs="Calibri"/>
          <w:b/>
          <w:sz w:val="24"/>
          <w:szCs w:val="24"/>
          <w:highlight w:val="none"/>
        </w:rPr>
      </w:pPr>
      <w:r>
        <w:rPr>
          <w:rFonts w:hint="eastAsia" w:ascii="楷体" w:hAnsi="楷体" w:eastAsia="楷体" w:cs="Calibri"/>
          <w:b/>
          <w:sz w:val="24"/>
          <w:szCs w:val="24"/>
          <w:highlight w:val="none"/>
        </w:rPr>
        <w:t>★延期兑付</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出现以下情况，产品管理人有权延长本理财产品的终止日：</w:t>
      </w:r>
    </w:p>
    <w:p>
      <w:pPr>
        <w:numPr>
          <w:ilvl w:val="0"/>
          <w:numId w:val="29"/>
        </w:numPr>
        <w:tabs>
          <w:tab w:val="left" w:pos="1092"/>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产品终止日遇非工作日则顺延至下一工作日，投资者清算资金到账日将相应调整；</w:t>
      </w:r>
    </w:p>
    <w:p>
      <w:pPr>
        <w:numPr>
          <w:ilvl w:val="0"/>
          <w:numId w:val="29"/>
        </w:numPr>
        <w:tabs>
          <w:tab w:val="left" w:pos="1092"/>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因不可抗力、市场发生重大变化等原因导致产品项下对应的投资标的无法及时变现、无法及时收回资金</w:t>
      </w:r>
      <w:r>
        <w:rPr>
          <w:rFonts w:hint="eastAsia" w:ascii="楷体" w:hAnsi="楷体" w:eastAsia="楷体" w:cs="Calibri"/>
          <w:sz w:val="24"/>
          <w:szCs w:val="24"/>
          <w:highlight w:val="none"/>
          <w:lang w:eastAsia="zh-CN"/>
        </w:rPr>
        <w:t>；</w:t>
      </w:r>
    </w:p>
    <w:p>
      <w:pPr>
        <w:numPr>
          <w:ilvl w:val="0"/>
          <w:numId w:val="29"/>
        </w:numPr>
        <w:tabs>
          <w:tab w:val="left" w:pos="1092"/>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法律法规规定或监管部门认定的其他情形</w:t>
      </w:r>
      <w:r>
        <w:rPr>
          <w:rFonts w:hint="eastAsia" w:ascii="楷体" w:hAnsi="楷体" w:eastAsia="楷体" w:cs="Calibri"/>
          <w:sz w:val="24"/>
          <w:szCs w:val="24"/>
          <w:highlight w:val="none"/>
          <w:lang w:eastAsia="zh-CN"/>
        </w:rPr>
        <w:t>。</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产品管理人决定延期兑付的，将至少提前</w:t>
      </w:r>
      <w:r>
        <w:rPr>
          <w:rFonts w:ascii="楷体" w:hAnsi="楷体" w:eastAsia="楷体"/>
          <w:sz w:val="24"/>
          <w:szCs w:val="24"/>
          <w:highlight w:val="none"/>
        </w:rPr>
        <w:t>2</w:t>
      </w:r>
      <w:r>
        <w:rPr>
          <w:rFonts w:hint="eastAsia" w:ascii="楷体" w:hAnsi="楷体" w:eastAsia="楷体"/>
          <w:sz w:val="24"/>
          <w:szCs w:val="24"/>
          <w:highlight w:val="none"/>
        </w:rPr>
        <w:t>个工作日（含）按本理财产品说明书约定的信息披露方式予以披露。</w:t>
      </w:r>
    </w:p>
    <w:p>
      <w:pPr>
        <w:numPr>
          <w:ilvl w:val="0"/>
          <w:numId w:val="26"/>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理财产品的清算</w:t>
      </w:r>
    </w:p>
    <w:p>
      <w:pPr>
        <w:numPr>
          <w:ilvl w:val="0"/>
          <w:numId w:val="30"/>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自本理财产品终止日至投资者理财本金及收益到账日之间为本理财产品的清算期。清算期不计算利息或投资收益。清算期原则上不得超过5个工作日，清算期超过5个工作日的，将依约定进行公告。</w:t>
      </w:r>
    </w:p>
    <w:p>
      <w:pPr>
        <w:numPr>
          <w:ilvl w:val="0"/>
          <w:numId w:val="30"/>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产品管理人将依照合同约定公布提前终止日并明确兑付日（一般为提前终止日之后的三个工作日以内）。产品管理人应将投资者理财资金于兑付日（遇节假日顺延）内划转至投资者资金账户。理财产品提前终止日（含当日）至兑付日之间，投资者资金不计息。</w:t>
      </w:r>
    </w:p>
    <w:p>
      <w:pPr>
        <w:numPr>
          <w:ilvl w:val="255"/>
          <w:numId w:val="0"/>
        </w:numPr>
        <w:tabs>
          <w:tab w:val="left" w:pos="1428"/>
        </w:tabs>
        <w:ind w:left="420" w:leftChars="200"/>
        <w:outlineLvl w:val="0"/>
        <w:rPr>
          <w:rFonts w:ascii="楷体" w:hAnsi="楷体" w:eastAsia="楷体"/>
          <w:b/>
          <w:sz w:val="28"/>
          <w:szCs w:val="28"/>
          <w:highlight w:val="none"/>
        </w:rPr>
      </w:pPr>
      <w:r>
        <w:rPr>
          <w:rFonts w:hint="eastAsia" w:ascii="楷体" w:hAnsi="楷体" w:eastAsia="楷体"/>
          <w:b/>
          <w:sz w:val="28"/>
          <w:szCs w:val="28"/>
          <w:highlight w:val="none"/>
        </w:rPr>
        <w:t>十四、税收规定</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根据中国增值税等税收相关法律法规、税收政策等要求，本理财产品运营过程中发生的增值税应税行为，以理财产品管理人为纳税人。签约各方同意本理财产品在运营过程应缴纳的增值税及附加税费（包括但不限于城市维护建设税、教育费附加及地方教育附加等）由管理人从理财产品财产中支付，应缴纳增值税的原因包括但不限于投资者从理财产品中获取的收益被政府机关认定为应缴纳部分、投资者转让未到期理财产品等，并由管理人根据中国税务机关要求，履行相关纳税申报义务，由此可能会使理财产品净值或实际收益降低，请投资者知悉。</w:t>
      </w:r>
      <w:r>
        <w:rPr>
          <w:rFonts w:hint="eastAsia" w:ascii="楷体" w:hAnsi="楷体" w:eastAsia="楷体"/>
          <w:b/>
          <w:sz w:val="24"/>
          <w:szCs w:val="24"/>
          <w:highlight w:val="none"/>
          <w:u w:val="single"/>
        </w:rPr>
        <w:t>投资者从理财产品取得的收益应缴纳的税款，由投资者自行申报及缴纳。</w:t>
      </w:r>
    </w:p>
    <w:p>
      <w:pPr>
        <w:numPr>
          <w:ilvl w:val="255"/>
          <w:numId w:val="0"/>
        </w:numPr>
        <w:tabs>
          <w:tab w:val="left" w:pos="1414"/>
        </w:tabs>
        <w:ind w:left="420" w:leftChars="200"/>
        <w:outlineLvl w:val="0"/>
        <w:rPr>
          <w:rFonts w:ascii="楷体" w:hAnsi="楷体" w:eastAsia="楷体"/>
          <w:b/>
          <w:sz w:val="28"/>
          <w:szCs w:val="28"/>
          <w:highlight w:val="none"/>
        </w:rPr>
      </w:pPr>
      <w:r>
        <w:rPr>
          <w:rFonts w:hint="eastAsia" w:ascii="楷体" w:hAnsi="楷体" w:eastAsia="楷体"/>
          <w:b/>
          <w:sz w:val="28"/>
          <w:szCs w:val="28"/>
          <w:highlight w:val="none"/>
        </w:rPr>
        <w:t>十五、产品托管人</w:t>
      </w:r>
    </w:p>
    <w:p>
      <w:pPr>
        <w:numPr>
          <w:ilvl w:val="0"/>
          <w:numId w:val="31"/>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托管人</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本产品托管人为江苏银行股份有限公司。产品管理人在此特别披露</w:t>
      </w:r>
      <w:r>
        <w:rPr>
          <w:rFonts w:ascii="楷体" w:hAnsi="楷体" w:eastAsia="楷体"/>
          <w:sz w:val="24"/>
          <w:szCs w:val="24"/>
          <w:highlight w:val="none"/>
        </w:rPr>
        <w:t>：</w:t>
      </w:r>
      <w:r>
        <w:rPr>
          <w:rFonts w:hint="eastAsia" w:ascii="楷体" w:hAnsi="楷体" w:eastAsia="楷体"/>
          <w:sz w:val="24"/>
          <w:szCs w:val="24"/>
          <w:highlight w:val="none"/>
        </w:rPr>
        <w:t>托管人为产品管理人的关联方</w:t>
      </w:r>
      <w:r>
        <w:rPr>
          <w:rFonts w:ascii="楷体" w:hAnsi="楷体" w:eastAsia="楷体"/>
          <w:sz w:val="24"/>
          <w:szCs w:val="24"/>
          <w:highlight w:val="none"/>
        </w:rPr>
        <w:t>，</w:t>
      </w:r>
      <w:r>
        <w:rPr>
          <w:rFonts w:hint="eastAsia" w:ascii="楷体" w:hAnsi="楷体" w:eastAsia="楷体"/>
          <w:sz w:val="24"/>
          <w:szCs w:val="24"/>
          <w:highlight w:val="none"/>
        </w:rPr>
        <w:t>产品管理人聘请其担任托管人已履行现行法律法规和监管规定所规定必须履行的程序</w:t>
      </w:r>
      <w:r>
        <w:rPr>
          <w:rFonts w:ascii="楷体" w:hAnsi="楷体" w:eastAsia="楷体"/>
          <w:sz w:val="24"/>
          <w:szCs w:val="24"/>
          <w:highlight w:val="none"/>
        </w:rPr>
        <w:t>，</w:t>
      </w:r>
      <w:r>
        <w:rPr>
          <w:rFonts w:hint="eastAsia" w:ascii="楷体" w:hAnsi="楷体" w:eastAsia="楷体"/>
          <w:sz w:val="24"/>
          <w:szCs w:val="24"/>
          <w:highlight w:val="none"/>
        </w:rPr>
        <w:t>产品管理人、投资者同意并接受理财产品由托管人托管。</w:t>
      </w:r>
    </w:p>
    <w:p>
      <w:pPr>
        <w:numPr>
          <w:ilvl w:val="0"/>
          <w:numId w:val="31"/>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托管人职责</w:t>
      </w:r>
    </w:p>
    <w:p>
      <w:pPr>
        <w:numPr>
          <w:ilvl w:val="0"/>
          <w:numId w:val="32"/>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安全保管理财产品财产；</w:t>
      </w:r>
    </w:p>
    <w:p>
      <w:pPr>
        <w:numPr>
          <w:ilvl w:val="0"/>
          <w:numId w:val="32"/>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为理财产品开立银行托管账户、证券账户等；</w:t>
      </w:r>
    </w:p>
    <w:p>
      <w:pPr>
        <w:numPr>
          <w:ilvl w:val="0"/>
          <w:numId w:val="32"/>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确认与执行理财产品资金划拨指令，办理理财产品资金的收付，核对理财产品资金划拨记录；</w:t>
      </w:r>
    </w:p>
    <w:p>
      <w:pPr>
        <w:numPr>
          <w:ilvl w:val="0"/>
          <w:numId w:val="32"/>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建立与理财产品管理人的对账机制，复核理财产品资产净值、理财产品份额申购、赎回价格，及时核查投资资金的支付和到账情况；</w:t>
      </w:r>
    </w:p>
    <w:p>
      <w:pPr>
        <w:numPr>
          <w:ilvl w:val="0"/>
          <w:numId w:val="32"/>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监督理财产品投资运作；</w:t>
      </w:r>
    </w:p>
    <w:p>
      <w:pPr>
        <w:numPr>
          <w:ilvl w:val="0"/>
          <w:numId w:val="32"/>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办理与理财产品托管业务活动相关的信息披露事项；</w:t>
      </w:r>
    </w:p>
    <w:p>
      <w:pPr>
        <w:numPr>
          <w:ilvl w:val="0"/>
          <w:numId w:val="32"/>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保存理财产品托管业务活动的记录、账册、报表和其他相关材料；</w:t>
      </w:r>
    </w:p>
    <w:p>
      <w:pPr>
        <w:numPr>
          <w:ilvl w:val="0"/>
          <w:numId w:val="32"/>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对理财产品投资信息和相关资料承担保密责任；</w:t>
      </w:r>
    </w:p>
    <w:p>
      <w:pPr>
        <w:numPr>
          <w:ilvl w:val="0"/>
          <w:numId w:val="32"/>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国务院银行业监督管理机构规定的其他职责。</w:t>
      </w:r>
    </w:p>
    <w:p>
      <w:pPr>
        <w:numPr>
          <w:ilvl w:val="255"/>
          <w:numId w:val="0"/>
        </w:numPr>
        <w:tabs>
          <w:tab w:val="left" w:pos="1428"/>
        </w:tabs>
        <w:ind w:left="420" w:leftChars="200"/>
        <w:outlineLvl w:val="0"/>
        <w:rPr>
          <w:rFonts w:ascii="楷体" w:hAnsi="楷体" w:eastAsia="楷体"/>
          <w:b/>
          <w:sz w:val="28"/>
          <w:szCs w:val="28"/>
          <w:highlight w:val="none"/>
        </w:rPr>
      </w:pPr>
      <w:r>
        <w:rPr>
          <w:rFonts w:hint="eastAsia" w:ascii="楷体" w:hAnsi="楷体" w:eastAsia="楷体"/>
          <w:b/>
          <w:sz w:val="28"/>
          <w:szCs w:val="28"/>
          <w:highlight w:val="none"/>
        </w:rPr>
        <w:t>十六、信息披露</w:t>
      </w:r>
    </w:p>
    <w:p>
      <w:pPr>
        <w:numPr>
          <w:ilvl w:val="0"/>
          <w:numId w:val="33"/>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信息披露内容</w:t>
      </w:r>
    </w:p>
    <w:p>
      <w:pPr>
        <w:numPr>
          <w:ilvl w:val="0"/>
          <w:numId w:val="34"/>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产品类型、募集信息、产品净值、产品规模、托管安排、投资账户信息；</w:t>
      </w:r>
    </w:p>
    <w:p>
      <w:pPr>
        <w:numPr>
          <w:ilvl w:val="0"/>
          <w:numId w:val="34"/>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产品投向、投资比例、持仓情况、杠杆水平以及主要投资风险；</w:t>
      </w:r>
    </w:p>
    <w:p>
      <w:pPr>
        <w:numPr>
          <w:ilvl w:val="0"/>
          <w:numId w:val="34"/>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产品收益分配、各项费用情况；</w:t>
      </w:r>
    </w:p>
    <w:p>
      <w:pPr>
        <w:numPr>
          <w:ilvl w:val="0"/>
          <w:numId w:val="34"/>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产品涉及关联交易；</w:t>
      </w:r>
    </w:p>
    <w:p>
      <w:pPr>
        <w:numPr>
          <w:ilvl w:val="0"/>
          <w:numId w:val="34"/>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其他影响本产品投资运作的重大事项、临时性信息披露等。</w:t>
      </w:r>
    </w:p>
    <w:p>
      <w:pPr>
        <w:numPr>
          <w:ilvl w:val="0"/>
          <w:numId w:val="33"/>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信息披露频率</w:t>
      </w:r>
    </w:p>
    <w:p>
      <w:pPr>
        <w:numPr>
          <w:ilvl w:val="0"/>
          <w:numId w:val="35"/>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发行公告：管理人在产品成立后5个工作日内，披露产品成立公告，内容包括理财产品成立日期和募集规模等信息。</w:t>
      </w:r>
    </w:p>
    <w:p>
      <w:pPr>
        <w:numPr>
          <w:ilvl w:val="0"/>
          <w:numId w:val="35"/>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定期公告：管理人在每个季度结束之日起15个工作日内、上半年结束之日起60个工作日内、每年结束之日起90个工作日内，披露产品季度、半年和年度报告等定期报告；产品成立不足90个工作日或者剩余存续期不超过90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tabs>
          <w:tab w:val="left" w:pos="728"/>
        </w:tabs>
        <w:ind w:firstLine="482" w:firstLineChars="200"/>
        <w:rPr>
          <w:rFonts w:ascii="楷体" w:hAnsi="楷体" w:eastAsia="楷体" w:cs="Calibri"/>
          <w:b/>
          <w:sz w:val="24"/>
          <w:szCs w:val="24"/>
          <w:highlight w:val="none"/>
          <w:u w:val="single"/>
        </w:rPr>
      </w:pPr>
      <w:r>
        <w:rPr>
          <w:rFonts w:hint="eastAsia" w:ascii="楷体" w:hAnsi="楷体" w:eastAsia="楷体" w:cs="Calibri"/>
          <w:b/>
          <w:sz w:val="24"/>
          <w:szCs w:val="24"/>
          <w:highlight w:val="none"/>
          <w:u w:val="single"/>
        </w:rPr>
        <w:t>管理人应当在本理财产品的半年和年度报告中，披露本理财产品前</w:t>
      </w:r>
      <w:r>
        <w:rPr>
          <w:rFonts w:ascii="楷体" w:hAnsi="楷体" w:eastAsia="楷体" w:cs="Calibri"/>
          <w:b/>
          <w:sz w:val="24"/>
          <w:szCs w:val="24"/>
          <w:highlight w:val="none"/>
          <w:u w:val="single"/>
        </w:rPr>
        <w:t>10名投资者的类别、持有份额及占总份额的比例等信息。</w:t>
      </w:r>
    </w:p>
    <w:p>
      <w:pPr>
        <w:tabs>
          <w:tab w:val="left" w:pos="728"/>
        </w:tabs>
        <w:ind w:firstLine="482" w:firstLineChars="200"/>
        <w:rPr>
          <w:rFonts w:ascii="楷体" w:hAnsi="楷体" w:eastAsia="楷体" w:cs="Calibri"/>
          <w:sz w:val="24"/>
          <w:szCs w:val="24"/>
          <w:highlight w:val="none"/>
        </w:rPr>
      </w:pPr>
      <w:r>
        <w:rPr>
          <w:rFonts w:hint="eastAsia" w:ascii="楷体" w:hAnsi="楷体" w:eastAsia="楷体" w:cs="Calibri"/>
          <w:b/>
          <w:sz w:val="24"/>
          <w:szCs w:val="24"/>
          <w:highlight w:val="none"/>
          <w:u w:val="single"/>
        </w:rPr>
        <w:t>本理财产品存续期间，如出现单一投资者持有产品份额达到或者超过本理财产品总份额</w:t>
      </w:r>
      <w:r>
        <w:rPr>
          <w:rFonts w:ascii="楷体" w:hAnsi="楷体" w:eastAsia="楷体" w:cs="Calibri"/>
          <w:b/>
          <w:sz w:val="24"/>
          <w:szCs w:val="24"/>
          <w:highlight w:val="none"/>
          <w:u w:val="single"/>
        </w:rPr>
        <w:t>20%的情形，为保障其他投资者的权益，管理人应当在定期报告中披露该投资者的类别、持有份额及占比、持有份额变化情况及产品风险等信息，</w:t>
      </w:r>
      <w:r>
        <w:rPr>
          <w:rFonts w:hint="eastAsia" w:ascii="楷体" w:hAnsi="楷体" w:eastAsia="楷体" w:cs="Calibri"/>
          <w:b/>
          <w:sz w:val="24"/>
          <w:szCs w:val="24"/>
          <w:highlight w:val="none"/>
          <w:u w:val="single"/>
        </w:rPr>
        <w:t>监管机构</w:t>
      </w:r>
      <w:r>
        <w:rPr>
          <w:rFonts w:ascii="楷体" w:hAnsi="楷体" w:eastAsia="楷体" w:cs="Calibri"/>
          <w:b/>
          <w:sz w:val="24"/>
          <w:szCs w:val="24"/>
          <w:highlight w:val="none"/>
          <w:u w:val="single"/>
        </w:rPr>
        <w:t>认定的特殊情形除外</w:t>
      </w:r>
      <w:r>
        <w:rPr>
          <w:rFonts w:hint="eastAsia" w:ascii="楷体" w:hAnsi="楷体" w:eastAsia="楷体" w:cs="Calibri"/>
          <w:sz w:val="24"/>
          <w:szCs w:val="24"/>
          <w:highlight w:val="none"/>
        </w:rPr>
        <w:t>。</w:t>
      </w:r>
    </w:p>
    <w:p>
      <w:pPr>
        <w:numPr>
          <w:ilvl w:val="0"/>
          <w:numId w:val="35"/>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到期公告：管理人在产品终止后5个工作日内，披露产品到期公告，内容包括理财产品的存续期限、终止日期、收费情况和收益分配情况等信息。</w:t>
      </w:r>
    </w:p>
    <w:p>
      <w:pPr>
        <w:numPr>
          <w:ilvl w:val="0"/>
          <w:numId w:val="35"/>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重大事项公告：管理人在发生可能对理财产品投资者或者理财产品收益产生重大事项的事件后2个工作日内发布重大事项公告。</w:t>
      </w:r>
    </w:p>
    <w:p>
      <w:pPr>
        <w:numPr>
          <w:ilvl w:val="0"/>
          <w:numId w:val="35"/>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产品净值披露：管理人在每个工作日披露上一日每万份收益和七日年化收益率。</w:t>
      </w:r>
    </w:p>
    <w:p>
      <w:pPr>
        <w:numPr>
          <w:ilvl w:val="0"/>
          <w:numId w:val="35"/>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临时性信息披露：管理人将及时披露国务院银行业监督管理机构规定的其他信息或除重大事项事件以外的其他信息。</w:t>
      </w:r>
    </w:p>
    <w:p>
      <w:pPr>
        <w:numPr>
          <w:ilvl w:val="0"/>
          <w:numId w:val="35"/>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半年度整体报告：每半年披露从事理财业务活动的有关信息。</w:t>
      </w:r>
    </w:p>
    <w:p>
      <w:pPr>
        <w:numPr>
          <w:ilvl w:val="0"/>
          <w:numId w:val="35"/>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理财账单：管理人每月向投资者提供其所持有的理财产品账单，账单内容包括但不限于投资者持有的理财产品份额、认购金额、份额净值、份额累计净值、资产净值、收益情况、投资者理财交易账户发生的交易明细记录等信息。</w:t>
      </w:r>
    </w:p>
    <w:p>
      <w:pPr>
        <w:numPr>
          <w:ilvl w:val="0"/>
          <w:numId w:val="33"/>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信息披露方式</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由苏银理财按监管要求和说明书的约定，同时通过以下方式向投资者进行信息披露，披露方式包括：</w:t>
      </w:r>
    </w:p>
    <w:p>
      <w:pPr>
        <w:numPr>
          <w:ilvl w:val="0"/>
          <w:numId w:val="36"/>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苏银理财通过苏银理财有限责任公司官方网站（</w:t>
      </w:r>
      <w:r>
        <w:rPr>
          <w:rFonts w:ascii="楷体" w:hAnsi="楷体" w:eastAsia="楷体" w:cs="Calibri"/>
          <w:sz w:val="24"/>
          <w:szCs w:val="24"/>
          <w:highlight w:val="none"/>
        </w:rPr>
        <w:t>www</w:t>
      </w:r>
      <w:r>
        <w:rPr>
          <w:rFonts w:hint="eastAsia" w:ascii="楷体" w:hAnsi="楷体" w:eastAsia="楷体" w:cs="Calibri"/>
          <w:sz w:val="24"/>
          <w:szCs w:val="24"/>
          <w:highlight w:val="none"/>
          <w:lang w:val="en-US" w:eastAsia="zh-CN"/>
        </w:rPr>
        <w:t>.</w:t>
      </w:r>
      <w:r>
        <w:rPr>
          <w:rFonts w:ascii="楷体" w:hAnsi="楷体" w:eastAsia="楷体" w:cs="Calibri"/>
          <w:sz w:val="24"/>
          <w:szCs w:val="24"/>
          <w:highlight w:val="none"/>
        </w:rPr>
        <w:t>suyinwealth</w:t>
      </w:r>
      <w:r>
        <w:rPr>
          <w:rFonts w:hint="eastAsia" w:ascii="楷体" w:hAnsi="楷体" w:eastAsia="楷体" w:cs="Calibri"/>
          <w:sz w:val="24"/>
          <w:szCs w:val="24"/>
          <w:highlight w:val="none"/>
          <w:lang w:val="en-US" w:eastAsia="zh-CN"/>
        </w:rPr>
        <w:t>.</w:t>
      </w:r>
      <w:r>
        <w:rPr>
          <w:rFonts w:ascii="楷体" w:hAnsi="楷体" w:eastAsia="楷体" w:cs="Calibri"/>
          <w:sz w:val="24"/>
          <w:szCs w:val="24"/>
          <w:highlight w:val="none"/>
        </w:rPr>
        <w:t>com</w:t>
      </w:r>
      <w:r>
        <w:rPr>
          <w:rFonts w:hint="eastAsia" w:ascii="楷体" w:hAnsi="楷体" w:eastAsia="楷体" w:cs="Calibri"/>
          <w:sz w:val="24"/>
          <w:szCs w:val="24"/>
          <w:highlight w:val="none"/>
        </w:rPr>
        <w:t>）进行信息披露。</w:t>
      </w:r>
    </w:p>
    <w:p>
      <w:pPr>
        <w:numPr>
          <w:ilvl w:val="0"/>
          <w:numId w:val="36"/>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苏银理财将信息披露内容发送销售机构，由销售机构通过</w:t>
      </w:r>
      <w:r>
        <w:rPr>
          <w:rFonts w:hint="eastAsia" w:ascii="楷体" w:hAnsi="楷体" w:eastAsia="楷体" w:cs="Calibri"/>
          <w:sz w:val="24"/>
          <w:szCs w:val="24"/>
          <w:highlight w:val="none"/>
          <w:lang w:val="en-US" w:eastAsia="zh-CN"/>
        </w:rPr>
        <w:t>短信及</w:t>
      </w:r>
      <w:r>
        <w:rPr>
          <w:rFonts w:hint="eastAsia" w:ascii="楷体" w:hAnsi="楷体" w:eastAsia="楷体" w:cs="Calibri"/>
          <w:sz w:val="24"/>
          <w:szCs w:val="24"/>
          <w:highlight w:val="none"/>
        </w:rPr>
        <w:t>销售机构电子渠道和营业网点</w:t>
      </w:r>
      <w:r>
        <w:rPr>
          <w:rFonts w:hint="eastAsia" w:ascii="楷体" w:hAnsi="楷体" w:eastAsia="楷体" w:cs="Calibri"/>
          <w:sz w:val="24"/>
          <w:szCs w:val="24"/>
          <w:highlight w:val="none"/>
          <w:lang w:val="en-US" w:eastAsia="zh-CN"/>
        </w:rPr>
        <w:t>等方式</w:t>
      </w:r>
      <w:r>
        <w:rPr>
          <w:rFonts w:hint="eastAsia" w:ascii="楷体" w:hAnsi="楷体" w:eastAsia="楷体" w:cs="Calibri"/>
          <w:sz w:val="24"/>
          <w:szCs w:val="24"/>
          <w:highlight w:val="none"/>
        </w:rPr>
        <w:t>进行信息披露。</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相关信息在发布或发出之日视为通知已送达投资者并生效，</w:t>
      </w:r>
      <w:r>
        <w:rPr>
          <w:rFonts w:hint="eastAsia" w:ascii="楷体" w:hAnsi="楷体" w:eastAsia="楷体"/>
          <w:sz w:val="24"/>
          <w:szCs w:val="24"/>
          <w:highlight w:val="none"/>
          <w:lang w:val="en-US" w:eastAsia="zh-CN"/>
        </w:rPr>
        <w:t>管理人已完全履行信息披露义务。如因投资者未及时查询，或由于通讯故障、非产品管理人原因的系统故障以及其它不可抗力等因素的影响，致使投资者无法及时获取产品信息而产生的全部责任和风险（包括但不限于因未及时获取信息而错过资金使用和再投资的机会等），都由投资者自行承担。因此</w:t>
      </w:r>
      <w:r>
        <w:rPr>
          <w:rFonts w:hint="eastAsia" w:ascii="楷体" w:hAnsi="楷体" w:eastAsia="楷体"/>
          <w:sz w:val="24"/>
          <w:szCs w:val="24"/>
          <w:highlight w:val="none"/>
        </w:rPr>
        <w:t>请</w:t>
      </w:r>
      <w:r>
        <w:rPr>
          <w:rFonts w:hint="eastAsia" w:ascii="楷体" w:hAnsi="楷体" w:eastAsia="楷体"/>
          <w:sz w:val="24"/>
          <w:szCs w:val="24"/>
          <w:highlight w:val="none"/>
          <w:lang w:val="en-US" w:eastAsia="zh-CN"/>
        </w:rPr>
        <w:t>投资者</w:t>
      </w:r>
      <w:r>
        <w:rPr>
          <w:rFonts w:hint="eastAsia" w:ascii="楷体" w:hAnsi="楷体" w:eastAsia="楷体"/>
          <w:sz w:val="24"/>
          <w:szCs w:val="24"/>
          <w:highlight w:val="none"/>
        </w:rPr>
        <w:t>及时登陆苏银理财有限责任</w:t>
      </w:r>
      <w:r>
        <w:rPr>
          <w:rFonts w:hint="eastAsia" w:ascii="楷体" w:hAnsi="楷体" w:eastAsia="楷体"/>
          <w:sz w:val="24"/>
          <w:szCs w:val="24"/>
          <w:highlight w:val="none"/>
          <w:lang w:val="en-US" w:eastAsia="zh-CN"/>
        </w:rPr>
        <w:t>公司</w:t>
      </w:r>
      <w:r>
        <w:rPr>
          <w:rFonts w:hint="eastAsia" w:ascii="楷体" w:hAnsi="楷体" w:eastAsia="楷体"/>
          <w:sz w:val="24"/>
          <w:szCs w:val="24"/>
          <w:highlight w:val="none"/>
        </w:rPr>
        <w:t>官方网站或者向销售机构查询获取披露信息。</w:t>
      </w:r>
    </w:p>
    <w:p>
      <w:pPr>
        <w:numPr>
          <w:ilvl w:val="255"/>
          <w:numId w:val="0"/>
        </w:numPr>
        <w:tabs>
          <w:tab w:val="left" w:pos="1428"/>
        </w:tabs>
        <w:ind w:left="420" w:leftChars="200"/>
        <w:outlineLvl w:val="0"/>
        <w:rPr>
          <w:rFonts w:ascii="楷体" w:hAnsi="楷体" w:eastAsia="楷体"/>
          <w:b/>
          <w:sz w:val="28"/>
          <w:szCs w:val="28"/>
          <w:highlight w:val="none"/>
        </w:rPr>
      </w:pPr>
      <w:r>
        <w:rPr>
          <w:rFonts w:hint="eastAsia" w:ascii="楷体" w:hAnsi="楷体" w:eastAsia="楷体"/>
          <w:b/>
          <w:sz w:val="28"/>
          <w:szCs w:val="28"/>
          <w:highlight w:val="none"/>
        </w:rPr>
        <w:t>十七、其他</w:t>
      </w:r>
    </w:p>
    <w:p>
      <w:pPr>
        <w:numPr>
          <w:ilvl w:val="0"/>
          <w:numId w:val="37"/>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追索条款</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若本理财产品所投资的金融资产到期不能全部偿付导致资产减值甚至本金大幅损失，则苏银理财将以管理人名义，代表理财产品投资者利益行使诉讼权利或者实施其他权利救济措施。</w:t>
      </w:r>
    </w:p>
    <w:p>
      <w:pPr>
        <w:numPr>
          <w:ilvl w:val="0"/>
          <w:numId w:val="37"/>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信息安全</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苏银理财及销售机构将据相关法律、法规严格履行投资者信息保密责任，除监管机构或司法机关等有权机构外，不得对其他第三方提供任何投资者信息。投资者在此同意并授权，苏银理财可根据监管要求，为理财产品登记等需要，向登记部门或监管机构提供投资者相关信息。</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投资者在此同意并授权苏银理财可根据业务需要向苏银理财集团成员、服务机构及其他苏银理财认为必要的业务合作机构提供苏银理财获取的投资者个人信息，范围包括但不限于投资人的身份信息、账户信息等。上述第三方将为处理本协议项下事务之目的接触并按照苏银理财的业务要求以及“最少必须”原则使用投资人个人信息。苏银理财承诺将向有关第三方明确其保护投资人信息的职责并要求第三方承担相应的保密义务。</w:t>
      </w:r>
    </w:p>
    <w:p>
      <w:pPr>
        <w:numPr>
          <w:ilvl w:val="0"/>
          <w:numId w:val="37"/>
        </w:numPr>
        <w:tabs>
          <w:tab w:val="left" w:pos="993"/>
        </w:tabs>
        <w:ind w:left="0" w:firstLine="482" w:firstLineChars="200"/>
        <w:outlineLvl w:val="1"/>
        <w:rPr>
          <w:rFonts w:ascii="楷体" w:hAnsi="楷体" w:eastAsia="楷体" w:cs="Calibri"/>
          <w:b/>
          <w:sz w:val="24"/>
          <w:szCs w:val="24"/>
          <w:highlight w:val="none"/>
        </w:rPr>
      </w:pPr>
      <w:r>
        <w:rPr>
          <w:rFonts w:hint="eastAsia" w:ascii="楷体" w:hAnsi="楷体" w:eastAsia="楷体" w:cs="Calibri"/>
          <w:b/>
          <w:sz w:val="24"/>
          <w:szCs w:val="24"/>
          <w:highlight w:val="none"/>
        </w:rPr>
        <w:t>争议解决</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本合同的订立、生效、履行、解释、修改和终止等事项均适用中华人民共和国（不包括香港特别行政区、澳门特别行政区和台湾地区）法律。因本合同引起的或与本合同有关的任何争议，应当首先通过双方之间的友好协商解决；协商不成的，双方均有权提交产品管理人所在地有管辖权的人民法院诉讼解决。</w:t>
      </w:r>
    </w:p>
    <w:p>
      <w:pPr>
        <w:ind w:firstLine="480" w:firstLineChars="200"/>
        <w:rPr>
          <w:rFonts w:ascii="楷体" w:hAnsi="楷体" w:eastAsia="楷体"/>
          <w:b/>
          <w:sz w:val="28"/>
          <w:szCs w:val="28"/>
          <w:highlight w:val="none"/>
        </w:rPr>
      </w:pPr>
      <w:r>
        <w:rPr>
          <w:rFonts w:hint="eastAsia" w:ascii="楷体" w:hAnsi="楷体" w:eastAsia="楷体"/>
          <w:sz w:val="24"/>
          <w:szCs w:val="24"/>
          <w:highlight w:val="none"/>
        </w:rPr>
        <w:t>苏银理财有限责任公司将恪守勤勉尽责的原则，合理配置资产组合，为投资者提供专业化的理财服务。投资者应密切关注苏银理财有限责任公司与本产品有关的信息公告，以免造成不必要的损失。</w:t>
      </w:r>
      <w:bookmarkStart w:id="0" w:name="_GoBack"/>
      <w:bookmarkEnd w:id="0"/>
    </w:p>
    <w:p>
      <w:pPr>
        <w:rPr>
          <w:rFonts w:ascii="楷体" w:hAnsi="楷体" w:eastAsia="楷体"/>
          <w:sz w:val="24"/>
          <w:szCs w:val="24"/>
          <w:highlight w:val="none"/>
        </w:rPr>
      </w:pPr>
    </w:p>
    <w:sectPr>
      <w:headerReference r:id="rId10" w:type="first"/>
      <w:headerReference r:id="rId8" w:type="default"/>
      <w:footerReference r:id="rId11" w:type="default"/>
      <w:head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浠垮畫">
    <w:altName w:val="方正仿宋简体"/>
    <w:panose1 w:val="00000000000000000000"/>
    <w:charset w:val="86"/>
    <w:family w:val="auto"/>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1"/>
        <w:rPr>
          <w:rFonts w:ascii="楷体" w:hAnsi="楷体" w:eastAsia="楷体" w:cs="楷体"/>
        </w:rPr>
      </w:pPr>
      <w:r>
        <w:rPr>
          <w:rFonts w:hint="eastAsia" w:ascii="楷体" w:hAnsi="楷体" w:eastAsia="楷体" w:cs="楷体"/>
          <w:sz w:val="15"/>
          <w:szCs w:val="15"/>
        </w:rPr>
        <w:footnoteRef/>
      </w:r>
      <w:r>
        <w:rPr>
          <w:rFonts w:hint="eastAsia" w:ascii="楷体" w:hAnsi="楷体" w:eastAsia="楷体" w:cs="楷体"/>
        </w:rPr>
        <w:t xml:space="preserve"> 投资者权益须知的名称和内容以销售机构实际使用为准。</w:t>
      </w:r>
    </w:p>
  </w:footnote>
  <w:footnote w:id="1">
    <w:p>
      <w:pPr>
        <w:pStyle w:val="11"/>
      </w:pPr>
      <w:r>
        <w:rPr>
          <w:rFonts w:hint="eastAsia" w:ascii="楷体" w:hAnsi="楷体" w:eastAsia="楷体" w:cs="楷体"/>
          <w:sz w:val="15"/>
          <w:szCs w:val="15"/>
        </w:rPr>
        <w:footnoteRef/>
      </w:r>
      <w:r>
        <w:rPr>
          <w:rFonts w:hint="eastAsia" w:ascii="楷体" w:hAnsi="楷体" w:eastAsia="楷体" w:cs="楷体"/>
        </w:rPr>
        <w:t xml:space="preserve"> 理财产品（代理）销售协议书的名称和内容以销售机构实际使用为准</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黑体" w:eastAsia="黑体" w:cs="黑体"/>
        <w:spacing w:val="-2"/>
        <w:sz w:val="24"/>
        <w:szCs w:val="24"/>
      </w:rPr>
    </w:pPr>
    <w:r>
      <w:pict>
        <v:shape id="WordPictureWatermark367144751" o:spid="_x0000_s1046" o:spt="75" type="#_x0000_t75" style="position:absolute;left:0pt;height:862.85pt;width:1137.35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苏银理财"/>
          <o:lock v:ext="edit" aspectratio="t"/>
        </v:shape>
      </w:pict>
    </w:r>
    <w:r>
      <w:drawing>
        <wp:anchor distT="0" distB="0" distL="114300" distR="114300" simplePos="0" relativeHeight="251666432" behindDoc="0" locked="0" layoutInCell="1" allowOverlap="1">
          <wp:simplePos x="0" y="0"/>
          <wp:positionH relativeFrom="column">
            <wp:posOffset>3923665</wp:posOffset>
          </wp:positionH>
          <wp:positionV relativeFrom="paragraph">
            <wp:posOffset>-95250</wp:posOffset>
          </wp:positionV>
          <wp:extent cx="1325245" cy="424815"/>
          <wp:effectExtent l="0" t="0" r="8255" b="0"/>
          <wp:wrapSquare wrapText="bothSides"/>
          <wp:docPr id="23" name="图片 2" descr="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说明: C:\Users\JSYH\Desktop\苏银理财.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325245" cy="424815"/>
                  </a:xfrm>
                  <a:prstGeom prst="rect">
                    <a:avLst/>
                  </a:prstGeom>
                  <a:noFill/>
                  <a:ln>
                    <a:noFill/>
                  </a:ln>
                </pic:spPr>
              </pic:pic>
            </a:graphicData>
          </a:graphic>
        </wp:anchor>
      </w:drawing>
    </w:r>
    <w:r>
      <w:rPr>
        <w:rFonts w:hint="eastAsia" w:ascii="黑体" w:eastAsia="黑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44750" o:spid="_x0000_s1048" o:spt="75" type="#_x0000_t75" style="position:absolute;left:0pt;height:862.85pt;width:1137.3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44749" o:spid="_x0000_s1045" o:spt="75" type="#_x0000_t75" style="position:absolute;left:0pt;height:862.85pt;width:1137.3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pict>
        <v:shape id="WordPictureWatermark367128483" o:spid="_x0000_s1036" o:spt="75" type="#_x0000_t75" style="position:absolute;left:0pt;margin-left:-361pt;margin-top:-83.1pt;height:862.85pt;width:1137.35pt;mso-position-horizontal-relative:margin;mso-position-vertical-relative:margin;z-index:-251655168;mso-width-relative:page;mso-height-relative:page;" filled="f" o:preferrelative="t" stroked="f" coordsize="21600,21600" o:allowincell="f">
          <v:path/>
          <v:fill on="f" focussize="0,0"/>
          <v:stroke on="f" joinstyle="miter"/>
          <v:imagedata r:id="rId1" gain="19661f" blacklevel="22938f" o:title="苏银理财"/>
          <o:lock v:ext="edit" aspectratio="t"/>
        </v:shape>
      </w:pict>
    </w:r>
    <w:r>
      <w:drawing>
        <wp:anchor distT="0" distB="0" distL="114300" distR="114300" simplePos="0" relativeHeight="251665408" behindDoc="0" locked="0" layoutInCell="1" allowOverlap="1">
          <wp:simplePos x="0" y="0"/>
          <wp:positionH relativeFrom="column">
            <wp:posOffset>3923665</wp:posOffset>
          </wp:positionH>
          <wp:positionV relativeFrom="paragraph">
            <wp:posOffset>-95250</wp:posOffset>
          </wp:positionV>
          <wp:extent cx="1325245" cy="424815"/>
          <wp:effectExtent l="0" t="0" r="8255" b="0"/>
          <wp:wrapSquare wrapText="bothSides"/>
          <wp:docPr id="9"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说明: 说明: C:\Users\JSYH\Desktop\苏银理财.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1035" o:spt="75" type="#_x0000_t75" style="position:absolute;left:0pt;height:862.85pt;width:1137.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1034" o:spt="75" type="#_x0000_t75" style="position:absolute;left:0pt;height:862.85pt;width:1137.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5D0C4"/>
    <w:multiLevelType w:val="singleLevel"/>
    <w:tmpl w:val="EE75D0C4"/>
    <w:lvl w:ilvl="0" w:tentative="0">
      <w:start w:val="1"/>
      <w:numFmt w:val="decimal"/>
      <w:suff w:val="nothing"/>
      <w:lvlText w:val="（%1）"/>
      <w:lvlJc w:val="left"/>
    </w:lvl>
  </w:abstractNum>
  <w:abstractNum w:abstractNumId="1">
    <w:nsid w:val="0579248A"/>
    <w:multiLevelType w:val="multilevel"/>
    <w:tmpl w:val="0579248A"/>
    <w:lvl w:ilvl="0" w:tentative="0">
      <w:start w:val="1"/>
      <w:numFmt w:val="decimal"/>
      <w:lvlText w:val="%1."/>
      <w:lvlJc w:val="left"/>
      <w:pPr>
        <w:ind w:left="1980" w:hanging="420"/>
      </w:pPr>
      <w:rPr>
        <w:rFonts w:hint="default"/>
        <w:b w:val="0"/>
        <w:bCs w:val="0"/>
      </w:rPr>
    </w:lvl>
    <w:lvl w:ilvl="1" w:tentative="0">
      <w:start w:val="1"/>
      <w:numFmt w:val="lowerLetter"/>
      <w:lvlText w:val="%2)"/>
      <w:lvlJc w:val="left"/>
      <w:pPr>
        <w:ind w:left="2400" w:hanging="420"/>
      </w:pPr>
    </w:lvl>
    <w:lvl w:ilvl="2" w:tentative="0">
      <w:start w:val="1"/>
      <w:numFmt w:val="lowerRoman"/>
      <w:lvlText w:val="%3."/>
      <w:lvlJc w:val="right"/>
      <w:pPr>
        <w:ind w:left="2820" w:hanging="420"/>
      </w:pPr>
    </w:lvl>
    <w:lvl w:ilvl="3" w:tentative="0">
      <w:start w:val="1"/>
      <w:numFmt w:val="decimal"/>
      <w:lvlText w:val="%4."/>
      <w:lvlJc w:val="left"/>
      <w:pPr>
        <w:ind w:left="3240" w:hanging="420"/>
      </w:pPr>
    </w:lvl>
    <w:lvl w:ilvl="4" w:tentative="0">
      <w:start w:val="1"/>
      <w:numFmt w:val="lowerLetter"/>
      <w:lvlText w:val="%5)"/>
      <w:lvlJc w:val="left"/>
      <w:pPr>
        <w:ind w:left="3660" w:hanging="420"/>
      </w:pPr>
    </w:lvl>
    <w:lvl w:ilvl="5" w:tentative="0">
      <w:start w:val="1"/>
      <w:numFmt w:val="lowerRoman"/>
      <w:lvlText w:val="%6."/>
      <w:lvlJc w:val="right"/>
      <w:pPr>
        <w:ind w:left="4080" w:hanging="420"/>
      </w:pPr>
    </w:lvl>
    <w:lvl w:ilvl="6" w:tentative="0">
      <w:start w:val="1"/>
      <w:numFmt w:val="decimal"/>
      <w:lvlText w:val="%7."/>
      <w:lvlJc w:val="left"/>
      <w:pPr>
        <w:ind w:left="4500" w:hanging="420"/>
      </w:pPr>
    </w:lvl>
    <w:lvl w:ilvl="7" w:tentative="0">
      <w:start w:val="1"/>
      <w:numFmt w:val="lowerLetter"/>
      <w:lvlText w:val="%8)"/>
      <w:lvlJc w:val="left"/>
      <w:pPr>
        <w:ind w:left="4920" w:hanging="420"/>
      </w:pPr>
    </w:lvl>
    <w:lvl w:ilvl="8" w:tentative="0">
      <w:start w:val="1"/>
      <w:numFmt w:val="lowerRoman"/>
      <w:lvlText w:val="%9."/>
      <w:lvlJc w:val="right"/>
      <w:pPr>
        <w:ind w:left="5340" w:hanging="420"/>
      </w:pPr>
    </w:lvl>
  </w:abstractNum>
  <w:abstractNum w:abstractNumId="2">
    <w:nsid w:val="07102B14"/>
    <w:multiLevelType w:val="multilevel"/>
    <w:tmpl w:val="07102B14"/>
    <w:lvl w:ilvl="0" w:tentative="0">
      <w:start w:val="1"/>
      <w:numFmt w:val="decimal"/>
      <w:lvlText w:val="%1."/>
      <w:lvlJc w:val="left"/>
      <w:pPr>
        <w:ind w:left="212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A62A71"/>
    <w:multiLevelType w:val="multilevel"/>
    <w:tmpl w:val="0AA62A7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D981FD4"/>
    <w:multiLevelType w:val="multilevel"/>
    <w:tmpl w:val="0D981FD4"/>
    <w:lvl w:ilvl="0" w:tentative="0">
      <w:start w:val="1"/>
      <w:numFmt w:val="decimal"/>
      <w:lvlText w:val="%1."/>
      <w:lvlJc w:val="left"/>
      <w:pPr>
        <w:ind w:left="1980" w:hanging="420"/>
      </w:pPr>
      <w:rPr>
        <w:rFonts w:hint="default"/>
        <w:b w:val="0"/>
        <w:bCs w:val="0"/>
      </w:rPr>
    </w:lvl>
    <w:lvl w:ilvl="1" w:tentative="0">
      <w:start w:val="1"/>
      <w:numFmt w:val="lowerLetter"/>
      <w:lvlText w:val="%2)"/>
      <w:lvlJc w:val="left"/>
      <w:pPr>
        <w:ind w:left="2400" w:hanging="420"/>
      </w:pPr>
    </w:lvl>
    <w:lvl w:ilvl="2" w:tentative="0">
      <w:start w:val="1"/>
      <w:numFmt w:val="lowerRoman"/>
      <w:lvlText w:val="%3."/>
      <w:lvlJc w:val="right"/>
      <w:pPr>
        <w:ind w:left="2820" w:hanging="420"/>
      </w:pPr>
    </w:lvl>
    <w:lvl w:ilvl="3" w:tentative="0">
      <w:start w:val="1"/>
      <w:numFmt w:val="decimal"/>
      <w:lvlText w:val="%4."/>
      <w:lvlJc w:val="left"/>
      <w:pPr>
        <w:ind w:left="3240" w:hanging="420"/>
      </w:pPr>
    </w:lvl>
    <w:lvl w:ilvl="4" w:tentative="0">
      <w:start w:val="1"/>
      <w:numFmt w:val="lowerLetter"/>
      <w:lvlText w:val="%5)"/>
      <w:lvlJc w:val="left"/>
      <w:pPr>
        <w:ind w:left="3660" w:hanging="420"/>
      </w:pPr>
    </w:lvl>
    <w:lvl w:ilvl="5" w:tentative="0">
      <w:start w:val="1"/>
      <w:numFmt w:val="lowerRoman"/>
      <w:lvlText w:val="%6."/>
      <w:lvlJc w:val="right"/>
      <w:pPr>
        <w:ind w:left="4080" w:hanging="420"/>
      </w:pPr>
    </w:lvl>
    <w:lvl w:ilvl="6" w:tentative="0">
      <w:start w:val="1"/>
      <w:numFmt w:val="decimal"/>
      <w:lvlText w:val="%7."/>
      <w:lvlJc w:val="left"/>
      <w:pPr>
        <w:ind w:left="4500" w:hanging="420"/>
      </w:pPr>
    </w:lvl>
    <w:lvl w:ilvl="7" w:tentative="0">
      <w:start w:val="1"/>
      <w:numFmt w:val="lowerLetter"/>
      <w:lvlText w:val="%8)"/>
      <w:lvlJc w:val="left"/>
      <w:pPr>
        <w:ind w:left="4920" w:hanging="420"/>
      </w:pPr>
    </w:lvl>
    <w:lvl w:ilvl="8" w:tentative="0">
      <w:start w:val="1"/>
      <w:numFmt w:val="lowerRoman"/>
      <w:lvlText w:val="%9."/>
      <w:lvlJc w:val="right"/>
      <w:pPr>
        <w:ind w:left="5340" w:hanging="420"/>
      </w:pPr>
    </w:lvl>
  </w:abstractNum>
  <w:abstractNum w:abstractNumId="6">
    <w:nsid w:val="1B890F9E"/>
    <w:multiLevelType w:val="multilevel"/>
    <w:tmpl w:val="1B890F9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CA52050"/>
    <w:multiLevelType w:val="multilevel"/>
    <w:tmpl w:val="1CA52050"/>
    <w:lvl w:ilvl="0" w:tentative="0">
      <w:start w:val="1"/>
      <w:numFmt w:val="chineseCountingThousand"/>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96D7B4C"/>
    <w:multiLevelType w:val="multilevel"/>
    <w:tmpl w:val="296D7B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B5E71E1"/>
    <w:multiLevelType w:val="multilevel"/>
    <w:tmpl w:val="2B5E71E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3266630"/>
    <w:multiLevelType w:val="multilevel"/>
    <w:tmpl w:val="3326663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3DE002A"/>
    <w:multiLevelType w:val="multilevel"/>
    <w:tmpl w:val="33DE002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4304046"/>
    <w:multiLevelType w:val="multilevel"/>
    <w:tmpl w:val="3430404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0CE7009"/>
    <w:multiLevelType w:val="multilevel"/>
    <w:tmpl w:val="40CE7009"/>
    <w:lvl w:ilvl="0" w:tentative="0">
      <w:start w:val="1"/>
      <w:numFmt w:val="decimal"/>
      <w:lvlText w:val="%1."/>
      <w:lvlJc w:val="left"/>
      <w:pPr>
        <w:ind w:left="212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1C02CA7"/>
    <w:multiLevelType w:val="multilevel"/>
    <w:tmpl w:val="41C02C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5714B71"/>
    <w:multiLevelType w:val="multilevel"/>
    <w:tmpl w:val="45714B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9655AE0"/>
    <w:multiLevelType w:val="multilevel"/>
    <w:tmpl w:val="49655AE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CC848E7"/>
    <w:multiLevelType w:val="multilevel"/>
    <w:tmpl w:val="4CC848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1F440F1"/>
    <w:multiLevelType w:val="multilevel"/>
    <w:tmpl w:val="51F440F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2915C06"/>
    <w:multiLevelType w:val="multilevel"/>
    <w:tmpl w:val="52915C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5CB1E63"/>
    <w:multiLevelType w:val="multilevel"/>
    <w:tmpl w:val="55CB1E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8D10B54"/>
    <w:multiLevelType w:val="multilevel"/>
    <w:tmpl w:val="58D10B5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A1C30FB"/>
    <w:multiLevelType w:val="multilevel"/>
    <w:tmpl w:val="5A1C30F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BC30213"/>
    <w:multiLevelType w:val="multilevel"/>
    <w:tmpl w:val="5BC302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D055B78"/>
    <w:multiLevelType w:val="multilevel"/>
    <w:tmpl w:val="5D055B7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05B5574"/>
    <w:multiLevelType w:val="multilevel"/>
    <w:tmpl w:val="605B557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5A40DEB"/>
    <w:multiLevelType w:val="multilevel"/>
    <w:tmpl w:val="65A40DE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6FA54A7"/>
    <w:multiLevelType w:val="multilevel"/>
    <w:tmpl w:val="66FA54A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7267532"/>
    <w:multiLevelType w:val="multilevel"/>
    <w:tmpl w:val="6726753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B501D7C"/>
    <w:multiLevelType w:val="multilevel"/>
    <w:tmpl w:val="6B501D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BFB44B6"/>
    <w:multiLevelType w:val="multilevel"/>
    <w:tmpl w:val="6BFB44B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A0107E"/>
    <w:multiLevelType w:val="multilevel"/>
    <w:tmpl w:val="6CA010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CD3B1D"/>
    <w:multiLevelType w:val="multilevel"/>
    <w:tmpl w:val="6CCD3B1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DA47F2C"/>
    <w:multiLevelType w:val="multilevel"/>
    <w:tmpl w:val="6DA47F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5E52FDD"/>
    <w:multiLevelType w:val="multilevel"/>
    <w:tmpl w:val="75E52F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C3373F8"/>
    <w:multiLevelType w:val="multilevel"/>
    <w:tmpl w:val="7C3373F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DB725C8"/>
    <w:multiLevelType w:val="multilevel"/>
    <w:tmpl w:val="7DB72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7"/>
  </w:num>
  <w:num w:numId="4">
    <w:abstractNumId w:val="12"/>
  </w:num>
  <w:num w:numId="5">
    <w:abstractNumId w:val="28"/>
  </w:num>
  <w:num w:numId="6">
    <w:abstractNumId w:val="22"/>
  </w:num>
  <w:num w:numId="7">
    <w:abstractNumId w:val="31"/>
  </w:num>
  <w:num w:numId="8">
    <w:abstractNumId w:val="8"/>
  </w:num>
  <w:num w:numId="9">
    <w:abstractNumId w:val="14"/>
  </w:num>
  <w:num w:numId="10">
    <w:abstractNumId w:val="0"/>
  </w:num>
  <w:num w:numId="11">
    <w:abstractNumId w:val="34"/>
  </w:num>
  <w:num w:numId="12">
    <w:abstractNumId w:val="17"/>
  </w:num>
  <w:num w:numId="13">
    <w:abstractNumId w:val="9"/>
  </w:num>
  <w:num w:numId="14">
    <w:abstractNumId w:val="1"/>
  </w:num>
  <w:num w:numId="15">
    <w:abstractNumId w:val="27"/>
  </w:num>
  <w:num w:numId="16">
    <w:abstractNumId w:val="5"/>
  </w:num>
  <w:num w:numId="17">
    <w:abstractNumId w:val="30"/>
  </w:num>
  <w:num w:numId="18">
    <w:abstractNumId w:val="23"/>
  </w:num>
  <w:num w:numId="19">
    <w:abstractNumId w:val="6"/>
  </w:num>
  <w:num w:numId="20">
    <w:abstractNumId w:val="13"/>
  </w:num>
  <w:num w:numId="21">
    <w:abstractNumId w:val="2"/>
  </w:num>
  <w:num w:numId="22">
    <w:abstractNumId w:val="18"/>
  </w:num>
  <w:num w:numId="23">
    <w:abstractNumId w:val="36"/>
  </w:num>
  <w:num w:numId="24">
    <w:abstractNumId w:val="21"/>
  </w:num>
  <w:num w:numId="25">
    <w:abstractNumId w:val="19"/>
  </w:num>
  <w:num w:numId="26">
    <w:abstractNumId w:val="10"/>
  </w:num>
  <w:num w:numId="27">
    <w:abstractNumId w:val="29"/>
  </w:num>
  <w:num w:numId="28">
    <w:abstractNumId w:val="4"/>
  </w:num>
  <w:num w:numId="29">
    <w:abstractNumId w:val="32"/>
  </w:num>
  <w:num w:numId="30">
    <w:abstractNumId w:val="20"/>
  </w:num>
  <w:num w:numId="31">
    <w:abstractNumId w:val="25"/>
  </w:num>
  <w:num w:numId="32">
    <w:abstractNumId w:val="11"/>
  </w:num>
  <w:num w:numId="33">
    <w:abstractNumId w:val="35"/>
  </w:num>
  <w:num w:numId="34">
    <w:abstractNumId w:val="16"/>
  </w:num>
  <w:num w:numId="35">
    <w:abstractNumId w:val="33"/>
  </w:num>
  <w:num w:numId="36">
    <w:abstractNumId w:val="3"/>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3B"/>
    <w:rsid w:val="00002389"/>
    <w:rsid w:val="00003606"/>
    <w:rsid w:val="000048B0"/>
    <w:rsid w:val="00005B01"/>
    <w:rsid w:val="00006EAF"/>
    <w:rsid w:val="000101E4"/>
    <w:rsid w:val="0001103A"/>
    <w:rsid w:val="00011464"/>
    <w:rsid w:val="00012543"/>
    <w:rsid w:val="000131EF"/>
    <w:rsid w:val="00013628"/>
    <w:rsid w:val="00014334"/>
    <w:rsid w:val="00014EC2"/>
    <w:rsid w:val="000158A7"/>
    <w:rsid w:val="00015A92"/>
    <w:rsid w:val="00015D58"/>
    <w:rsid w:val="00016232"/>
    <w:rsid w:val="00017933"/>
    <w:rsid w:val="000202AB"/>
    <w:rsid w:val="0002052D"/>
    <w:rsid w:val="00020A6F"/>
    <w:rsid w:val="00021007"/>
    <w:rsid w:val="00023A4F"/>
    <w:rsid w:val="00023BA8"/>
    <w:rsid w:val="00023E47"/>
    <w:rsid w:val="000247F9"/>
    <w:rsid w:val="00026143"/>
    <w:rsid w:val="000263ED"/>
    <w:rsid w:val="00026D13"/>
    <w:rsid w:val="00027056"/>
    <w:rsid w:val="000279D8"/>
    <w:rsid w:val="00027E61"/>
    <w:rsid w:val="00027F48"/>
    <w:rsid w:val="0003072E"/>
    <w:rsid w:val="00030D69"/>
    <w:rsid w:val="000315E6"/>
    <w:rsid w:val="00031707"/>
    <w:rsid w:val="00031806"/>
    <w:rsid w:val="00031A38"/>
    <w:rsid w:val="00031BAC"/>
    <w:rsid w:val="00031F80"/>
    <w:rsid w:val="000345D3"/>
    <w:rsid w:val="00034890"/>
    <w:rsid w:val="00035045"/>
    <w:rsid w:val="00036007"/>
    <w:rsid w:val="000375C2"/>
    <w:rsid w:val="000401BF"/>
    <w:rsid w:val="000405B1"/>
    <w:rsid w:val="00043555"/>
    <w:rsid w:val="00043D5F"/>
    <w:rsid w:val="000462D8"/>
    <w:rsid w:val="000469D0"/>
    <w:rsid w:val="00046AAA"/>
    <w:rsid w:val="0004768E"/>
    <w:rsid w:val="000503FC"/>
    <w:rsid w:val="00050975"/>
    <w:rsid w:val="00051DB3"/>
    <w:rsid w:val="00054158"/>
    <w:rsid w:val="00054854"/>
    <w:rsid w:val="000553A7"/>
    <w:rsid w:val="00057222"/>
    <w:rsid w:val="00057646"/>
    <w:rsid w:val="00057F4B"/>
    <w:rsid w:val="00060571"/>
    <w:rsid w:val="000617D2"/>
    <w:rsid w:val="00061D74"/>
    <w:rsid w:val="00062791"/>
    <w:rsid w:val="00064F2B"/>
    <w:rsid w:val="000661A6"/>
    <w:rsid w:val="00066F56"/>
    <w:rsid w:val="000677EE"/>
    <w:rsid w:val="00071418"/>
    <w:rsid w:val="00071581"/>
    <w:rsid w:val="00072396"/>
    <w:rsid w:val="0007293A"/>
    <w:rsid w:val="00072D1F"/>
    <w:rsid w:val="0007366C"/>
    <w:rsid w:val="00074189"/>
    <w:rsid w:val="00074306"/>
    <w:rsid w:val="000757BB"/>
    <w:rsid w:val="0007693B"/>
    <w:rsid w:val="000804C2"/>
    <w:rsid w:val="00080C2C"/>
    <w:rsid w:val="00081AD6"/>
    <w:rsid w:val="00082051"/>
    <w:rsid w:val="000848C8"/>
    <w:rsid w:val="000849CB"/>
    <w:rsid w:val="000853F6"/>
    <w:rsid w:val="000867A8"/>
    <w:rsid w:val="00087036"/>
    <w:rsid w:val="00087D83"/>
    <w:rsid w:val="00087EDB"/>
    <w:rsid w:val="00091208"/>
    <w:rsid w:val="000913BF"/>
    <w:rsid w:val="00091907"/>
    <w:rsid w:val="00093C11"/>
    <w:rsid w:val="00094613"/>
    <w:rsid w:val="00094631"/>
    <w:rsid w:val="00096382"/>
    <w:rsid w:val="0009795C"/>
    <w:rsid w:val="00097F80"/>
    <w:rsid w:val="000A2D2D"/>
    <w:rsid w:val="000A2E68"/>
    <w:rsid w:val="000A45AB"/>
    <w:rsid w:val="000B0078"/>
    <w:rsid w:val="000B0690"/>
    <w:rsid w:val="000B3B58"/>
    <w:rsid w:val="000B3D2F"/>
    <w:rsid w:val="000B3EFD"/>
    <w:rsid w:val="000B4410"/>
    <w:rsid w:val="000B659B"/>
    <w:rsid w:val="000B6E9F"/>
    <w:rsid w:val="000C3DB1"/>
    <w:rsid w:val="000C54ED"/>
    <w:rsid w:val="000C5C02"/>
    <w:rsid w:val="000C6143"/>
    <w:rsid w:val="000C7382"/>
    <w:rsid w:val="000D1ED6"/>
    <w:rsid w:val="000D35BD"/>
    <w:rsid w:val="000D6E4B"/>
    <w:rsid w:val="000D71CF"/>
    <w:rsid w:val="000D7225"/>
    <w:rsid w:val="000D722C"/>
    <w:rsid w:val="000E0485"/>
    <w:rsid w:val="000E2E7D"/>
    <w:rsid w:val="000E32E2"/>
    <w:rsid w:val="000E34BA"/>
    <w:rsid w:val="000E34F3"/>
    <w:rsid w:val="000E4205"/>
    <w:rsid w:val="000E72A0"/>
    <w:rsid w:val="000E7CF6"/>
    <w:rsid w:val="000F034D"/>
    <w:rsid w:val="000F0433"/>
    <w:rsid w:val="000F1D3C"/>
    <w:rsid w:val="000F3D5D"/>
    <w:rsid w:val="000F4243"/>
    <w:rsid w:val="000F4811"/>
    <w:rsid w:val="000F4ABF"/>
    <w:rsid w:val="000F4B2B"/>
    <w:rsid w:val="000F5B66"/>
    <w:rsid w:val="000F5FF6"/>
    <w:rsid w:val="000F65C5"/>
    <w:rsid w:val="000F7056"/>
    <w:rsid w:val="000F7D2C"/>
    <w:rsid w:val="00100193"/>
    <w:rsid w:val="00100F0C"/>
    <w:rsid w:val="001025A3"/>
    <w:rsid w:val="001036A0"/>
    <w:rsid w:val="0010457E"/>
    <w:rsid w:val="0010540B"/>
    <w:rsid w:val="001065F5"/>
    <w:rsid w:val="0010678E"/>
    <w:rsid w:val="001074AB"/>
    <w:rsid w:val="00110417"/>
    <w:rsid w:val="00110AB0"/>
    <w:rsid w:val="00111E3E"/>
    <w:rsid w:val="0011258E"/>
    <w:rsid w:val="001126F6"/>
    <w:rsid w:val="00112F03"/>
    <w:rsid w:val="00115E7F"/>
    <w:rsid w:val="0011696D"/>
    <w:rsid w:val="00117CE3"/>
    <w:rsid w:val="00121681"/>
    <w:rsid w:val="00121ED8"/>
    <w:rsid w:val="00122035"/>
    <w:rsid w:val="00122F58"/>
    <w:rsid w:val="0012352A"/>
    <w:rsid w:val="00123BCB"/>
    <w:rsid w:val="0012411A"/>
    <w:rsid w:val="001242DE"/>
    <w:rsid w:val="00124929"/>
    <w:rsid w:val="00125B8C"/>
    <w:rsid w:val="0012647A"/>
    <w:rsid w:val="00127044"/>
    <w:rsid w:val="001303B2"/>
    <w:rsid w:val="00130EED"/>
    <w:rsid w:val="00130F7B"/>
    <w:rsid w:val="00131F1B"/>
    <w:rsid w:val="0013364F"/>
    <w:rsid w:val="001336CE"/>
    <w:rsid w:val="00133AAF"/>
    <w:rsid w:val="00133B98"/>
    <w:rsid w:val="0013472F"/>
    <w:rsid w:val="00134733"/>
    <w:rsid w:val="001359ED"/>
    <w:rsid w:val="00135B61"/>
    <w:rsid w:val="00136797"/>
    <w:rsid w:val="001405C2"/>
    <w:rsid w:val="00140B25"/>
    <w:rsid w:val="00142F4F"/>
    <w:rsid w:val="001450DF"/>
    <w:rsid w:val="0014734D"/>
    <w:rsid w:val="00151CC7"/>
    <w:rsid w:val="00152B36"/>
    <w:rsid w:val="001530B2"/>
    <w:rsid w:val="001543E7"/>
    <w:rsid w:val="00154456"/>
    <w:rsid w:val="00154508"/>
    <w:rsid w:val="00154F7A"/>
    <w:rsid w:val="00155B77"/>
    <w:rsid w:val="00156867"/>
    <w:rsid w:val="00157C4D"/>
    <w:rsid w:val="00160569"/>
    <w:rsid w:val="00160CEC"/>
    <w:rsid w:val="00161E2F"/>
    <w:rsid w:val="001624A3"/>
    <w:rsid w:val="001624DA"/>
    <w:rsid w:val="00162AA1"/>
    <w:rsid w:val="00162BF5"/>
    <w:rsid w:val="00164B60"/>
    <w:rsid w:val="00165862"/>
    <w:rsid w:val="00165E23"/>
    <w:rsid w:val="00166B3A"/>
    <w:rsid w:val="00170099"/>
    <w:rsid w:val="00170194"/>
    <w:rsid w:val="00170927"/>
    <w:rsid w:val="0017092A"/>
    <w:rsid w:val="00170A6E"/>
    <w:rsid w:val="00172B90"/>
    <w:rsid w:val="00173A2B"/>
    <w:rsid w:val="00173CE1"/>
    <w:rsid w:val="00174417"/>
    <w:rsid w:val="001749CF"/>
    <w:rsid w:val="001750FE"/>
    <w:rsid w:val="00175E88"/>
    <w:rsid w:val="00175FA5"/>
    <w:rsid w:val="00176B8E"/>
    <w:rsid w:val="001770F3"/>
    <w:rsid w:val="001774A0"/>
    <w:rsid w:val="00177BCC"/>
    <w:rsid w:val="0018179B"/>
    <w:rsid w:val="0018251A"/>
    <w:rsid w:val="00183463"/>
    <w:rsid w:val="001846FB"/>
    <w:rsid w:val="00184D1D"/>
    <w:rsid w:val="001860DF"/>
    <w:rsid w:val="00191737"/>
    <w:rsid w:val="00194E69"/>
    <w:rsid w:val="001968BC"/>
    <w:rsid w:val="00197DD9"/>
    <w:rsid w:val="001A059E"/>
    <w:rsid w:val="001A05F5"/>
    <w:rsid w:val="001A1C12"/>
    <w:rsid w:val="001A418D"/>
    <w:rsid w:val="001A422B"/>
    <w:rsid w:val="001A502C"/>
    <w:rsid w:val="001A57DB"/>
    <w:rsid w:val="001A586B"/>
    <w:rsid w:val="001A73F1"/>
    <w:rsid w:val="001A77E8"/>
    <w:rsid w:val="001B1360"/>
    <w:rsid w:val="001B1BB1"/>
    <w:rsid w:val="001B1D26"/>
    <w:rsid w:val="001B1D7F"/>
    <w:rsid w:val="001B1E1E"/>
    <w:rsid w:val="001B25A3"/>
    <w:rsid w:val="001B2F76"/>
    <w:rsid w:val="001B2F82"/>
    <w:rsid w:val="001B396B"/>
    <w:rsid w:val="001B44A7"/>
    <w:rsid w:val="001B4B9C"/>
    <w:rsid w:val="001B57A4"/>
    <w:rsid w:val="001B72EB"/>
    <w:rsid w:val="001B7D0D"/>
    <w:rsid w:val="001B7F6F"/>
    <w:rsid w:val="001C13E9"/>
    <w:rsid w:val="001C3886"/>
    <w:rsid w:val="001C4148"/>
    <w:rsid w:val="001C432A"/>
    <w:rsid w:val="001C469F"/>
    <w:rsid w:val="001C6DD2"/>
    <w:rsid w:val="001C78FF"/>
    <w:rsid w:val="001D0B29"/>
    <w:rsid w:val="001D1C27"/>
    <w:rsid w:val="001D2A8B"/>
    <w:rsid w:val="001D3ED4"/>
    <w:rsid w:val="001D48EE"/>
    <w:rsid w:val="001D49AC"/>
    <w:rsid w:val="001D4B2D"/>
    <w:rsid w:val="001D4BC9"/>
    <w:rsid w:val="001D4FE1"/>
    <w:rsid w:val="001D78FF"/>
    <w:rsid w:val="001E0062"/>
    <w:rsid w:val="001E0387"/>
    <w:rsid w:val="001E223F"/>
    <w:rsid w:val="001E4374"/>
    <w:rsid w:val="001E49AE"/>
    <w:rsid w:val="001E4A82"/>
    <w:rsid w:val="001E4C0D"/>
    <w:rsid w:val="001E4E95"/>
    <w:rsid w:val="001E55CB"/>
    <w:rsid w:val="001E631F"/>
    <w:rsid w:val="001E6744"/>
    <w:rsid w:val="001E68EF"/>
    <w:rsid w:val="001F0A69"/>
    <w:rsid w:val="001F1728"/>
    <w:rsid w:val="001F2658"/>
    <w:rsid w:val="001F3AD6"/>
    <w:rsid w:val="001F3C4B"/>
    <w:rsid w:val="001F3CCB"/>
    <w:rsid w:val="001F63BD"/>
    <w:rsid w:val="001F6775"/>
    <w:rsid w:val="001F69BF"/>
    <w:rsid w:val="00200449"/>
    <w:rsid w:val="00200523"/>
    <w:rsid w:val="0020097F"/>
    <w:rsid w:val="00200DF8"/>
    <w:rsid w:val="0020123C"/>
    <w:rsid w:val="0020196F"/>
    <w:rsid w:val="002024E9"/>
    <w:rsid w:val="002026C0"/>
    <w:rsid w:val="002047F3"/>
    <w:rsid w:val="0020590E"/>
    <w:rsid w:val="00205EB2"/>
    <w:rsid w:val="00205FEC"/>
    <w:rsid w:val="0020639A"/>
    <w:rsid w:val="00210857"/>
    <w:rsid w:val="002119A2"/>
    <w:rsid w:val="00211F5B"/>
    <w:rsid w:val="00213632"/>
    <w:rsid w:val="0021388F"/>
    <w:rsid w:val="00215F66"/>
    <w:rsid w:val="0021712C"/>
    <w:rsid w:val="0022162D"/>
    <w:rsid w:val="00221937"/>
    <w:rsid w:val="002222A4"/>
    <w:rsid w:val="00223EEA"/>
    <w:rsid w:val="00224018"/>
    <w:rsid w:val="0022633B"/>
    <w:rsid w:val="00226F9D"/>
    <w:rsid w:val="00230ED7"/>
    <w:rsid w:val="00230F4A"/>
    <w:rsid w:val="002319B1"/>
    <w:rsid w:val="00231B08"/>
    <w:rsid w:val="00232A54"/>
    <w:rsid w:val="0023376E"/>
    <w:rsid w:val="0023523A"/>
    <w:rsid w:val="00235E45"/>
    <w:rsid w:val="002366EB"/>
    <w:rsid w:val="00236C4F"/>
    <w:rsid w:val="002379DD"/>
    <w:rsid w:val="00237FDB"/>
    <w:rsid w:val="0024053C"/>
    <w:rsid w:val="0024212E"/>
    <w:rsid w:val="002436C1"/>
    <w:rsid w:val="00243DF5"/>
    <w:rsid w:val="00244E6D"/>
    <w:rsid w:val="00245106"/>
    <w:rsid w:val="00245D03"/>
    <w:rsid w:val="0024748B"/>
    <w:rsid w:val="00247A34"/>
    <w:rsid w:val="00247A7D"/>
    <w:rsid w:val="0025150E"/>
    <w:rsid w:val="00252198"/>
    <w:rsid w:val="00252B51"/>
    <w:rsid w:val="00253997"/>
    <w:rsid w:val="0025423C"/>
    <w:rsid w:val="00254A3C"/>
    <w:rsid w:val="00254A8B"/>
    <w:rsid w:val="00256E57"/>
    <w:rsid w:val="0025744E"/>
    <w:rsid w:val="002579CC"/>
    <w:rsid w:val="0026284C"/>
    <w:rsid w:val="002659F1"/>
    <w:rsid w:val="00265F91"/>
    <w:rsid w:val="0026641B"/>
    <w:rsid w:val="002672C8"/>
    <w:rsid w:val="00270665"/>
    <w:rsid w:val="00272261"/>
    <w:rsid w:val="00272C53"/>
    <w:rsid w:val="00272E20"/>
    <w:rsid w:val="00273681"/>
    <w:rsid w:val="00273B34"/>
    <w:rsid w:val="00273B74"/>
    <w:rsid w:val="00274D47"/>
    <w:rsid w:val="00274FAF"/>
    <w:rsid w:val="0027510A"/>
    <w:rsid w:val="00276200"/>
    <w:rsid w:val="002765F4"/>
    <w:rsid w:val="00276883"/>
    <w:rsid w:val="00277498"/>
    <w:rsid w:val="00277C1F"/>
    <w:rsid w:val="002808A9"/>
    <w:rsid w:val="002821D7"/>
    <w:rsid w:val="00282F20"/>
    <w:rsid w:val="002872D2"/>
    <w:rsid w:val="0029004F"/>
    <w:rsid w:val="00291B84"/>
    <w:rsid w:val="00291F42"/>
    <w:rsid w:val="00292610"/>
    <w:rsid w:val="00292B19"/>
    <w:rsid w:val="00292B5E"/>
    <w:rsid w:val="00292FFC"/>
    <w:rsid w:val="002932FC"/>
    <w:rsid w:val="0029429C"/>
    <w:rsid w:val="00294431"/>
    <w:rsid w:val="00294B49"/>
    <w:rsid w:val="00295538"/>
    <w:rsid w:val="00297034"/>
    <w:rsid w:val="002A046A"/>
    <w:rsid w:val="002A1262"/>
    <w:rsid w:val="002A23E0"/>
    <w:rsid w:val="002A2E20"/>
    <w:rsid w:val="002A32DF"/>
    <w:rsid w:val="002A46D7"/>
    <w:rsid w:val="002A6980"/>
    <w:rsid w:val="002A7DF5"/>
    <w:rsid w:val="002A7E94"/>
    <w:rsid w:val="002B0795"/>
    <w:rsid w:val="002B2620"/>
    <w:rsid w:val="002B3225"/>
    <w:rsid w:val="002B497E"/>
    <w:rsid w:val="002B5694"/>
    <w:rsid w:val="002B605E"/>
    <w:rsid w:val="002B657A"/>
    <w:rsid w:val="002C021F"/>
    <w:rsid w:val="002C1C54"/>
    <w:rsid w:val="002C2056"/>
    <w:rsid w:val="002C23F7"/>
    <w:rsid w:val="002C320F"/>
    <w:rsid w:val="002C3367"/>
    <w:rsid w:val="002C622F"/>
    <w:rsid w:val="002C6D69"/>
    <w:rsid w:val="002C7016"/>
    <w:rsid w:val="002C7117"/>
    <w:rsid w:val="002C7CB4"/>
    <w:rsid w:val="002D0706"/>
    <w:rsid w:val="002D29FD"/>
    <w:rsid w:val="002D2AEC"/>
    <w:rsid w:val="002D2C1F"/>
    <w:rsid w:val="002D3635"/>
    <w:rsid w:val="002D5411"/>
    <w:rsid w:val="002D5589"/>
    <w:rsid w:val="002D727A"/>
    <w:rsid w:val="002E00B8"/>
    <w:rsid w:val="002E0589"/>
    <w:rsid w:val="002E1382"/>
    <w:rsid w:val="002E3A84"/>
    <w:rsid w:val="002E6AD0"/>
    <w:rsid w:val="002E6F55"/>
    <w:rsid w:val="002F0E4E"/>
    <w:rsid w:val="002F2771"/>
    <w:rsid w:val="002F344B"/>
    <w:rsid w:val="002F403C"/>
    <w:rsid w:val="002F561E"/>
    <w:rsid w:val="002F709A"/>
    <w:rsid w:val="002F77A8"/>
    <w:rsid w:val="00301619"/>
    <w:rsid w:val="00301AD3"/>
    <w:rsid w:val="00301E80"/>
    <w:rsid w:val="00302755"/>
    <w:rsid w:val="003039FF"/>
    <w:rsid w:val="00304D18"/>
    <w:rsid w:val="00305A15"/>
    <w:rsid w:val="00306353"/>
    <w:rsid w:val="00306D41"/>
    <w:rsid w:val="00307094"/>
    <w:rsid w:val="00307342"/>
    <w:rsid w:val="00307A5F"/>
    <w:rsid w:val="00310A72"/>
    <w:rsid w:val="0031143A"/>
    <w:rsid w:val="00311C18"/>
    <w:rsid w:val="0031298C"/>
    <w:rsid w:val="00313619"/>
    <w:rsid w:val="00313D52"/>
    <w:rsid w:val="00314235"/>
    <w:rsid w:val="00315CC3"/>
    <w:rsid w:val="0032098B"/>
    <w:rsid w:val="003222FC"/>
    <w:rsid w:val="003227E7"/>
    <w:rsid w:val="00325D85"/>
    <w:rsid w:val="0032607C"/>
    <w:rsid w:val="00326E7B"/>
    <w:rsid w:val="00327CCE"/>
    <w:rsid w:val="0033166C"/>
    <w:rsid w:val="003324AE"/>
    <w:rsid w:val="00332C6A"/>
    <w:rsid w:val="0033358A"/>
    <w:rsid w:val="00333937"/>
    <w:rsid w:val="003342B8"/>
    <w:rsid w:val="0033504B"/>
    <w:rsid w:val="003362C7"/>
    <w:rsid w:val="00336A5A"/>
    <w:rsid w:val="00337AA0"/>
    <w:rsid w:val="00337DE3"/>
    <w:rsid w:val="00342ADB"/>
    <w:rsid w:val="00343B0F"/>
    <w:rsid w:val="00343D4D"/>
    <w:rsid w:val="00347006"/>
    <w:rsid w:val="00347D0D"/>
    <w:rsid w:val="003503AE"/>
    <w:rsid w:val="00351D8C"/>
    <w:rsid w:val="0035213A"/>
    <w:rsid w:val="00353419"/>
    <w:rsid w:val="00353F27"/>
    <w:rsid w:val="00355D35"/>
    <w:rsid w:val="00356BEA"/>
    <w:rsid w:val="0035741C"/>
    <w:rsid w:val="00360094"/>
    <w:rsid w:val="003627FB"/>
    <w:rsid w:val="00362826"/>
    <w:rsid w:val="00363EEF"/>
    <w:rsid w:val="0036403D"/>
    <w:rsid w:val="0036406A"/>
    <w:rsid w:val="0036455C"/>
    <w:rsid w:val="003656BF"/>
    <w:rsid w:val="00366074"/>
    <w:rsid w:val="003661FF"/>
    <w:rsid w:val="00367122"/>
    <w:rsid w:val="00367428"/>
    <w:rsid w:val="003676E9"/>
    <w:rsid w:val="0037083D"/>
    <w:rsid w:val="00372402"/>
    <w:rsid w:val="003724FE"/>
    <w:rsid w:val="003726C4"/>
    <w:rsid w:val="003732C5"/>
    <w:rsid w:val="00374086"/>
    <w:rsid w:val="00374DFE"/>
    <w:rsid w:val="003758DB"/>
    <w:rsid w:val="00375BEB"/>
    <w:rsid w:val="00375DA9"/>
    <w:rsid w:val="00377518"/>
    <w:rsid w:val="003800B4"/>
    <w:rsid w:val="003809E0"/>
    <w:rsid w:val="003814E2"/>
    <w:rsid w:val="00381E88"/>
    <w:rsid w:val="003821F9"/>
    <w:rsid w:val="003827CD"/>
    <w:rsid w:val="00383A99"/>
    <w:rsid w:val="00383D6D"/>
    <w:rsid w:val="003852EF"/>
    <w:rsid w:val="003870EE"/>
    <w:rsid w:val="0038729B"/>
    <w:rsid w:val="00387A01"/>
    <w:rsid w:val="003926B7"/>
    <w:rsid w:val="00393452"/>
    <w:rsid w:val="00394C2C"/>
    <w:rsid w:val="00395441"/>
    <w:rsid w:val="00396F85"/>
    <w:rsid w:val="0039723A"/>
    <w:rsid w:val="003A1CB9"/>
    <w:rsid w:val="003A27B8"/>
    <w:rsid w:val="003A2B7D"/>
    <w:rsid w:val="003A3D8C"/>
    <w:rsid w:val="003A3E40"/>
    <w:rsid w:val="003A539D"/>
    <w:rsid w:val="003A59F9"/>
    <w:rsid w:val="003A5F79"/>
    <w:rsid w:val="003A5FA1"/>
    <w:rsid w:val="003A6124"/>
    <w:rsid w:val="003A6CA4"/>
    <w:rsid w:val="003A7623"/>
    <w:rsid w:val="003B1725"/>
    <w:rsid w:val="003B242C"/>
    <w:rsid w:val="003B324C"/>
    <w:rsid w:val="003B4CE4"/>
    <w:rsid w:val="003B4D64"/>
    <w:rsid w:val="003B5DFB"/>
    <w:rsid w:val="003B6220"/>
    <w:rsid w:val="003B76DC"/>
    <w:rsid w:val="003C13CA"/>
    <w:rsid w:val="003C1E93"/>
    <w:rsid w:val="003C2161"/>
    <w:rsid w:val="003C31CD"/>
    <w:rsid w:val="003C3D4A"/>
    <w:rsid w:val="003C596C"/>
    <w:rsid w:val="003D03AF"/>
    <w:rsid w:val="003D07CA"/>
    <w:rsid w:val="003D1FE5"/>
    <w:rsid w:val="003D3735"/>
    <w:rsid w:val="003D497A"/>
    <w:rsid w:val="003D5148"/>
    <w:rsid w:val="003D6081"/>
    <w:rsid w:val="003D6720"/>
    <w:rsid w:val="003D6B3F"/>
    <w:rsid w:val="003D7951"/>
    <w:rsid w:val="003E030F"/>
    <w:rsid w:val="003E1EFB"/>
    <w:rsid w:val="003E2B26"/>
    <w:rsid w:val="003E4299"/>
    <w:rsid w:val="003E6D92"/>
    <w:rsid w:val="003E6F85"/>
    <w:rsid w:val="003E70B9"/>
    <w:rsid w:val="003E7812"/>
    <w:rsid w:val="003F2136"/>
    <w:rsid w:val="003F277A"/>
    <w:rsid w:val="003F31E6"/>
    <w:rsid w:val="003F40F9"/>
    <w:rsid w:val="003F4C40"/>
    <w:rsid w:val="003F52FE"/>
    <w:rsid w:val="003F580D"/>
    <w:rsid w:val="003F61D7"/>
    <w:rsid w:val="003F780E"/>
    <w:rsid w:val="00401F3A"/>
    <w:rsid w:val="00402686"/>
    <w:rsid w:val="0040272E"/>
    <w:rsid w:val="00402EA0"/>
    <w:rsid w:val="00403452"/>
    <w:rsid w:val="0040350A"/>
    <w:rsid w:val="00403F44"/>
    <w:rsid w:val="004041C9"/>
    <w:rsid w:val="004062F1"/>
    <w:rsid w:val="0040793A"/>
    <w:rsid w:val="004079CC"/>
    <w:rsid w:val="004106A7"/>
    <w:rsid w:val="00410F85"/>
    <w:rsid w:val="00412823"/>
    <w:rsid w:val="0041382E"/>
    <w:rsid w:val="00413D00"/>
    <w:rsid w:val="00414410"/>
    <w:rsid w:val="0041442A"/>
    <w:rsid w:val="00414992"/>
    <w:rsid w:val="00416ED0"/>
    <w:rsid w:val="004175B0"/>
    <w:rsid w:val="00421C9B"/>
    <w:rsid w:val="004233D8"/>
    <w:rsid w:val="00423C6E"/>
    <w:rsid w:val="00423ED9"/>
    <w:rsid w:val="00425F90"/>
    <w:rsid w:val="00426041"/>
    <w:rsid w:val="00426CBC"/>
    <w:rsid w:val="00427CC0"/>
    <w:rsid w:val="0043002F"/>
    <w:rsid w:val="004303B3"/>
    <w:rsid w:val="004305C9"/>
    <w:rsid w:val="00430927"/>
    <w:rsid w:val="0043097E"/>
    <w:rsid w:val="0043308A"/>
    <w:rsid w:val="00433113"/>
    <w:rsid w:val="00433F87"/>
    <w:rsid w:val="00434262"/>
    <w:rsid w:val="0043673C"/>
    <w:rsid w:val="00436801"/>
    <w:rsid w:val="00437DA0"/>
    <w:rsid w:val="004408A0"/>
    <w:rsid w:val="004412CE"/>
    <w:rsid w:val="00441312"/>
    <w:rsid w:val="00441ED0"/>
    <w:rsid w:val="00442603"/>
    <w:rsid w:val="00442BF4"/>
    <w:rsid w:val="00444898"/>
    <w:rsid w:val="004457E4"/>
    <w:rsid w:val="00445E88"/>
    <w:rsid w:val="004506BE"/>
    <w:rsid w:val="004509F6"/>
    <w:rsid w:val="00453254"/>
    <w:rsid w:val="00453540"/>
    <w:rsid w:val="0045366F"/>
    <w:rsid w:val="00453F4D"/>
    <w:rsid w:val="00455C1F"/>
    <w:rsid w:val="00455D49"/>
    <w:rsid w:val="00455DF1"/>
    <w:rsid w:val="00456A0F"/>
    <w:rsid w:val="00460F22"/>
    <w:rsid w:val="00463619"/>
    <w:rsid w:val="0046446A"/>
    <w:rsid w:val="004645D0"/>
    <w:rsid w:val="00464A97"/>
    <w:rsid w:val="00464FA6"/>
    <w:rsid w:val="004651E5"/>
    <w:rsid w:val="004673A5"/>
    <w:rsid w:val="00467543"/>
    <w:rsid w:val="004676E4"/>
    <w:rsid w:val="0046796E"/>
    <w:rsid w:val="00467E09"/>
    <w:rsid w:val="00470519"/>
    <w:rsid w:val="004707EC"/>
    <w:rsid w:val="00470F11"/>
    <w:rsid w:val="0047173F"/>
    <w:rsid w:val="00471A65"/>
    <w:rsid w:val="0047215E"/>
    <w:rsid w:val="004722FE"/>
    <w:rsid w:val="00472764"/>
    <w:rsid w:val="00472A2C"/>
    <w:rsid w:val="004739B2"/>
    <w:rsid w:val="00473ED0"/>
    <w:rsid w:val="00474D99"/>
    <w:rsid w:val="004758B6"/>
    <w:rsid w:val="004761F8"/>
    <w:rsid w:val="0047624F"/>
    <w:rsid w:val="00476551"/>
    <w:rsid w:val="00476764"/>
    <w:rsid w:val="00477506"/>
    <w:rsid w:val="00477994"/>
    <w:rsid w:val="00480ED0"/>
    <w:rsid w:val="00481CB0"/>
    <w:rsid w:val="00482251"/>
    <w:rsid w:val="00482CC2"/>
    <w:rsid w:val="004835E4"/>
    <w:rsid w:val="00483838"/>
    <w:rsid w:val="00483A00"/>
    <w:rsid w:val="00483D82"/>
    <w:rsid w:val="00484CF0"/>
    <w:rsid w:val="00484D6A"/>
    <w:rsid w:val="004856F7"/>
    <w:rsid w:val="00485E98"/>
    <w:rsid w:val="00485EE5"/>
    <w:rsid w:val="00487169"/>
    <w:rsid w:val="00490405"/>
    <w:rsid w:val="00490539"/>
    <w:rsid w:val="004907EE"/>
    <w:rsid w:val="004910C2"/>
    <w:rsid w:val="00491342"/>
    <w:rsid w:val="00491B25"/>
    <w:rsid w:val="004923DC"/>
    <w:rsid w:val="004925DF"/>
    <w:rsid w:val="004929D1"/>
    <w:rsid w:val="004939CA"/>
    <w:rsid w:val="00497D5C"/>
    <w:rsid w:val="004A243A"/>
    <w:rsid w:val="004A2756"/>
    <w:rsid w:val="004A49CD"/>
    <w:rsid w:val="004A4AED"/>
    <w:rsid w:val="004A58D1"/>
    <w:rsid w:val="004A5E88"/>
    <w:rsid w:val="004A65C0"/>
    <w:rsid w:val="004A6C11"/>
    <w:rsid w:val="004A74CE"/>
    <w:rsid w:val="004B1E66"/>
    <w:rsid w:val="004B2EC3"/>
    <w:rsid w:val="004B4001"/>
    <w:rsid w:val="004B4B39"/>
    <w:rsid w:val="004B6EA9"/>
    <w:rsid w:val="004B735F"/>
    <w:rsid w:val="004B77FF"/>
    <w:rsid w:val="004B7F73"/>
    <w:rsid w:val="004C0D55"/>
    <w:rsid w:val="004C0F0C"/>
    <w:rsid w:val="004C187B"/>
    <w:rsid w:val="004C1C90"/>
    <w:rsid w:val="004C49FA"/>
    <w:rsid w:val="004C4C9B"/>
    <w:rsid w:val="004C4EA4"/>
    <w:rsid w:val="004C701F"/>
    <w:rsid w:val="004C7C47"/>
    <w:rsid w:val="004D0388"/>
    <w:rsid w:val="004D0478"/>
    <w:rsid w:val="004D0A93"/>
    <w:rsid w:val="004D20F5"/>
    <w:rsid w:val="004D34DD"/>
    <w:rsid w:val="004D382B"/>
    <w:rsid w:val="004D3B10"/>
    <w:rsid w:val="004D49D8"/>
    <w:rsid w:val="004D6E8F"/>
    <w:rsid w:val="004D73A7"/>
    <w:rsid w:val="004D73BA"/>
    <w:rsid w:val="004D7BA3"/>
    <w:rsid w:val="004E1FFC"/>
    <w:rsid w:val="004E3B6D"/>
    <w:rsid w:val="004E3C6A"/>
    <w:rsid w:val="004E46B0"/>
    <w:rsid w:val="004E594D"/>
    <w:rsid w:val="004E645B"/>
    <w:rsid w:val="004F0A8A"/>
    <w:rsid w:val="004F3425"/>
    <w:rsid w:val="004F369D"/>
    <w:rsid w:val="004F3AC9"/>
    <w:rsid w:val="004F3E2D"/>
    <w:rsid w:val="004F3E60"/>
    <w:rsid w:val="004F46F0"/>
    <w:rsid w:val="004F4F78"/>
    <w:rsid w:val="004F55EC"/>
    <w:rsid w:val="005011AD"/>
    <w:rsid w:val="005013A2"/>
    <w:rsid w:val="005032A0"/>
    <w:rsid w:val="0050386F"/>
    <w:rsid w:val="00503982"/>
    <w:rsid w:val="005041D5"/>
    <w:rsid w:val="00506806"/>
    <w:rsid w:val="005071D2"/>
    <w:rsid w:val="00510526"/>
    <w:rsid w:val="00510823"/>
    <w:rsid w:val="0051208D"/>
    <w:rsid w:val="00512670"/>
    <w:rsid w:val="00512AC8"/>
    <w:rsid w:val="00515789"/>
    <w:rsid w:val="00516DA1"/>
    <w:rsid w:val="005201F1"/>
    <w:rsid w:val="0052073F"/>
    <w:rsid w:val="00520ACC"/>
    <w:rsid w:val="00520B0B"/>
    <w:rsid w:val="005212D4"/>
    <w:rsid w:val="00521859"/>
    <w:rsid w:val="00522AA1"/>
    <w:rsid w:val="0052415B"/>
    <w:rsid w:val="005243E7"/>
    <w:rsid w:val="00526313"/>
    <w:rsid w:val="005266CB"/>
    <w:rsid w:val="00527FBD"/>
    <w:rsid w:val="0053069A"/>
    <w:rsid w:val="005308B0"/>
    <w:rsid w:val="0053444E"/>
    <w:rsid w:val="0053487E"/>
    <w:rsid w:val="0053510C"/>
    <w:rsid w:val="005362B4"/>
    <w:rsid w:val="0053633A"/>
    <w:rsid w:val="00536E3A"/>
    <w:rsid w:val="005400DC"/>
    <w:rsid w:val="00540E77"/>
    <w:rsid w:val="00542940"/>
    <w:rsid w:val="00542A74"/>
    <w:rsid w:val="00542CCA"/>
    <w:rsid w:val="0054309D"/>
    <w:rsid w:val="005436F3"/>
    <w:rsid w:val="00544451"/>
    <w:rsid w:val="005449D5"/>
    <w:rsid w:val="00544A6C"/>
    <w:rsid w:val="00551427"/>
    <w:rsid w:val="00551C0A"/>
    <w:rsid w:val="005532D9"/>
    <w:rsid w:val="005542EF"/>
    <w:rsid w:val="00554430"/>
    <w:rsid w:val="00555F85"/>
    <w:rsid w:val="0055630E"/>
    <w:rsid w:val="005567F7"/>
    <w:rsid w:val="00560551"/>
    <w:rsid w:val="00561FE9"/>
    <w:rsid w:val="00562804"/>
    <w:rsid w:val="00563061"/>
    <w:rsid w:val="00564093"/>
    <w:rsid w:val="00564DFE"/>
    <w:rsid w:val="00564F46"/>
    <w:rsid w:val="005659B2"/>
    <w:rsid w:val="00566CB6"/>
    <w:rsid w:val="00567AAC"/>
    <w:rsid w:val="0057295B"/>
    <w:rsid w:val="00572A2F"/>
    <w:rsid w:val="00572C28"/>
    <w:rsid w:val="00572D91"/>
    <w:rsid w:val="00574893"/>
    <w:rsid w:val="005753ED"/>
    <w:rsid w:val="00575E03"/>
    <w:rsid w:val="00576B32"/>
    <w:rsid w:val="00576B9E"/>
    <w:rsid w:val="00577555"/>
    <w:rsid w:val="005803FA"/>
    <w:rsid w:val="005827DA"/>
    <w:rsid w:val="0058356E"/>
    <w:rsid w:val="00583A5E"/>
    <w:rsid w:val="00585DCB"/>
    <w:rsid w:val="005865C7"/>
    <w:rsid w:val="00590CD8"/>
    <w:rsid w:val="00593310"/>
    <w:rsid w:val="0059593D"/>
    <w:rsid w:val="00595C4D"/>
    <w:rsid w:val="00597498"/>
    <w:rsid w:val="0059767A"/>
    <w:rsid w:val="00597A01"/>
    <w:rsid w:val="00597B28"/>
    <w:rsid w:val="005A0462"/>
    <w:rsid w:val="005A43FC"/>
    <w:rsid w:val="005A588A"/>
    <w:rsid w:val="005A6007"/>
    <w:rsid w:val="005A6752"/>
    <w:rsid w:val="005A6DE4"/>
    <w:rsid w:val="005A7236"/>
    <w:rsid w:val="005A7777"/>
    <w:rsid w:val="005A7842"/>
    <w:rsid w:val="005B08B3"/>
    <w:rsid w:val="005B0F07"/>
    <w:rsid w:val="005B16D7"/>
    <w:rsid w:val="005B1B3D"/>
    <w:rsid w:val="005B1BB5"/>
    <w:rsid w:val="005B37DB"/>
    <w:rsid w:val="005B3AC2"/>
    <w:rsid w:val="005B439F"/>
    <w:rsid w:val="005B4492"/>
    <w:rsid w:val="005B49CC"/>
    <w:rsid w:val="005B62FA"/>
    <w:rsid w:val="005B6576"/>
    <w:rsid w:val="005C09F1"/>
    <w:rsid w:val="005C0B01"/>
    <w:rsid w:val="005C1CF3"/>
    <w:rsid w:val="005C37A8"/>
    <w:rsid w:val="005C3B0D"/>
    <w:rsid w:val="005C4B2D"/>
    <w:rsid w:val="005C5BC2"/>
    <w:rsid w:val="005C72E9"/>
    <w:rsid w:val="005C79F4"/>
    <w:rsid w:val="005D0472"/>
    <w:rsid w:val="005D163E"/>
    <w:rsid w:val="005D33A6"/>
    <w:rsid w:val="005D4199"/>
    <w:rsid w:val="005D4D03"/>
    <w:rsid w:val="005D5292"/>
    <w:rsid w:val="005D5470"/>
    <w:rsid w:val="005D637B"/>
    <w:rsid w:val="005D6B93"/>
    <w:rsid w:val="005E0829"/>
    <w:rsid w:val="005E14F6"/>
    <w:rsid w:val="005E162C"/>
    <w:rsid w:val="005E26A1"/>
    <w:rsid w:val="005E2B12"/>
    <w:rsid w:val="005E2D33"/>
    <w:rsid w:val="005E3651"/>
    <w:rsid w:val="005E43ED"/>
    <w:rsid w:val="005E449C"/>
    <w:rsid w:val="005E494F"/>
    <w:rsid w:val="005E5312"/>
    <w:rsid w:val="005E588E"/>
    <w:rsid w:val="005E5B8D"/>
    <w:rsid w:val="005E5F0F"/>
    <w:rsid w:val="005E695B"/>
    <w:rsid w:val="005F0E22"/>
    <w:rsid w:val="005F1547"/>
    <w:rsid w:val="005F1604"/>
    <w:rsid w:val="005F24F4"/>
    <w:rsid w:val="005F2903"/>
    <w:rsid w:val="005F31D7"/>
    <w:rsid w:val="005F3AA3"/>
    <w:rsid w:val="005F537F"/>
    <w:rsid w:val="005F5931"/>
    <w:rsid w:val="005F7D07"/>
    <w:rsid w:val="0060020D"/>
    <w:rsid w:val="00600CC8"/>
    <w:rsid w:val="00602794"/>
    <w:rsid w:val="00602CF4"/>
    <w:rsid w:val="00604135"/>
    <w:rsid w:val="006058CB"/>
    <w:rsid w:val="00605AFB"/>
    <w:rsid w:val="0060733C"/>
    <w:rsid w:val="00607C36"/>
    <w:rsid w:val="0061140B"/>
    <w:rsid w:val="00613453"/>
    <w:rsid w:val="006134C1"/>
    <w:rsid w:val="0061470B"/>
    <w:rsid w:val="00614908"/>
    <w:rsid w:val="00615029"/>
    <w:rsid w:val="00616593"/>
    <w:rsid w:val="00616758"/>
    <w:rsid w:val="00616AE1"/>
    <w:rsid w:val="006179F7"/>
    <w:rsid w:val="00617F6B"/>
    <w:rsid w:val="0062067C"/>
    <w:rsid w:val="006214AD"/>
    <w:rsid w:val="0062541F"/>
    <w:rsid w:val="00625863"/>
    <w:rsid w:val="006260E5"/>
    <w:rsid w:val="0062683F"/>
    <w:rsid w:val="00626F05"/>
    <w:rsid w:val="00627B69"/>
    <w:rsid w:val="00633754"/>
    <w:rsid w:val="006348F4"/>
    <w:rsid w:val="006358BE"/>
    <w:rsid w:val="00635B89"/>
    <w:rsid w:val="00635E85"/>
    <w:rsid w:val="00636C4C"/>
    <w:rsid w:val="00636E4B"/>
    <w:rsid w:val="006371FF"/>
    <w:rsid w:val="00643DD9"/>
    <w:rsid w:val="00644A75"/>
    <w:rsid w:val="006452B6"/>
    <w:rsid w:val="00645B41"/>
    <w:rsid w:val="006472A0"/>
    <w:rsid w:val="00651287"/>
    <w:rsid w:val="00651512"/>
    <w:rsid w:val="00653665"/>
    <w:rsid w:val="00653E27"/>
    <w:rsid w:val="00654956"/>
    <w:rsid w:val="00654DE7"/>
    <w:rsid w:val="0065533C"/>
    <w:rsid w:val="00656340"/>
    <w:rsid w:val="00656A9D"/>
    <w:rsid w:val="00656F5E"/>
    <w:rsid w:val="00660D19"/>
    <w:rsid w:val="00662CBC"/>
    <w:rsid w:val="0066449E"/>
    <w:rsid w:val="0067038D"/>
    <w:rsid w:val="00671A6A"/>
    <w:rsid w:val="00673F0C"/>
    <w:rsid w:val="006741EA"/>
    <w:rsid w:val="00676223"/>
    <w:rsid w:val="00676A38"/>
    <w:rsid w:val="00680098"/>
    <w:rsid w:val="00680333"/>
    <w:rsid w:val="00680957"/>
    <w:rsid w:val="006821CE"/>
    <w:rsid w:val="00682CFC"/>
    <w:rsid w:val="00683B13"/>
    <w:rsid w:val="00686325"/>
    <w:rsid w:val="00686EC4"/>
    <w:rsid w:val="00687063"/>
    <w:rsid w:val="00687C14"/>
    <w:rsid w:val="00690E37"/>
    <w:rsid w:val="00691425"/>
    <w:rsid w:val="006955A5"/>
    <w:rsid w:val="00695E17"/>
    <w:rsid w:val="00696763"/>
    <w:rsid w:val="0069734A"/>
    <w:rsid w:val="006A139A"/>
    <w:rsid w:val="006A1939"/>
    <w:rsid w:val="006A303A"/>
    <w:rsid w:val="006A45A4"/>
    <w:rsid w:val="006A5C3E"/>
    <w:rsid w:val="006A5CC0"/>
    <w:rsid w:val="006A5DF0"/>
    <w:rsid w:val="006B0367"/>
    <w:rsid w:val="006B06E6"/>
    <w:rsid w:val="006B147C"/>
    <w:rsid w:val="006B1E00"/>
    <w:rsid w:val="006B202A"/>
    <w:rsid w:val="006B3AD9"/>
    <w:rsid w:val="006B3E3B"/>
    <w:rsid w:val="006B4199"/>
    <w:rsid w:val="006B4802"/>
    <w:rsid w:val="006B5097"/>
    <w:rsid w:val="006B5516"/>
    <w:rsid w:val="006B5D36"/>
    <w:rsid w:val="006B7A09"/>
    <w:rsid w:val="006C42CE"/>
    <w:rsid w:val="006C4DE9"/>
    <w:rsid w:val="006C5486"/>
    <w:rsid w:val="006C592D"/>
    <w:rsid w:val="006C5D93"/>
    <w:rsid w:val="006C74B3"/>
    <w:rsid w:val="006D096A"/>
    <w:rsid w:val="006D209C"/>
    <w:rsid w:val="006D3791"/>
    <w:rsid w:val="006D45C7"/>
    <w:rsid w:val="006D465F"/>
    <w:rsid w:val="006D46A6"/>
    <w:rsid w:val="006D4B56"/>
    <w:rsid w:val="006D7209"/>
    <w:rsid w:val="006D7EFF"/>
    <w:rsid w:val="006E11C9"/>
    <w:rsid w:val="006E31AE"/>
    <w:rsid w:val="006E4984"/>
    <w:rsid w:val="006E5E71"/>
    <w:rsid w:val="006E7EFC"/>
    <w:rsid w:val="006F0A6C"/>
    <w:rsid w:val="006F32BF"/>
    <w:rsid w:val="006F3567"/>
    <w:rsid w:val="006F38A2"/>
    <w:rsid w:val="006F38F6"/>
    <w:rsid w:val="006F3989"/>
    <w:rsid w:val="006F4219"/>
    <w:rsid w:val="006F55D6"/>
    <w:rsid w:val="006F575A"/>
    <w:rsid w:val="00700449"/>
    <w:rsid w:val="00700A73"/>
    <w:rsid w:val="00700F46"/>
    <w:rsid w:val="007015E9"/>
    <w:rsid w:val="00702A10"/>
    <w:rsid w:val="0070484E"/>
    <w:rsid w:val="00704ED8"/>
    <w:rsid w:val="0070601C"/>
    <w:rsid w:val="00707008"/>
    <w:rsid w:val="00710993"/>
    <w:rsid w:val="007125C7"/>
    <w:rsid w:val="00712884"/>
    <w:rsid w:val="00713C6D"/>
    <w:rsid w:val="00714D9B"/>
    <w:rsid w:val="00715090"/>
    <w:rsid w:val="00715379"/>
    <w:rsid w:val="0071587A"/>
    <w:rsid w:val="007159EB"/>
    <w:rsid w:val="007160E0"/>
    <w:rsid w:val="00716E3F"/>
    <w:rsid w:val="00717DE7"/>
    <w:rsid w:val="00720629"/>
    <w:rsid w:val="00720B16"/>
    <w:rsid w:val="007219C5"/>
    <w:rsid w:val="00721B5C"/>
    <w:rsid w:val="007223FC"/>
    <w:rsid w:val="00723E51"/>
    <w:rsid w:val="00725B78"/>
    <w:rsid w:val="00725F23"/>
    <w:rsid w:val="007267EB"/>
    <w:rsid w:val="0072737A"/>
    <w:rsid w:val="00730159"/>
    <w:rsid w:val="00730C0D"/>
    <w:rsid w:val="0073129C"/>
    <w:rsid w:val="00731C60"/>
    <w:rsid w:val="00731D68"/>
    <w:rsid w:val="007339DB"/>
    <w:rsid w:val="00735608"/>
    <w:rsid w:val="007356FC"/>
    <w:rsid w:val="00735CE3"/>
    <w:rsid w:val="00736DD5"/>
    <w:rsid w:val="0074101E"/>
    <w:rsid w:val="0074150A"/>
    <w:rsid w:val="00741FEC"/>
    <w:rsid w:val="007433D3"/>
    <w:rsid w:val="00743A86"/>
    <w:rsid w:val="00743F1B"/>
    <w:rsid w:val="00743F6E"/>
    <w:rsid w:val="0074430F"/>
    <w:rsid w:val="007448B9"/>
    <w:rsid w:val="007468E9"/>
    <w:rsid w:val="00746BED"/>
    <w:rsid w:val="00747D71"/>
    <w:rsid w:val="00750288"/>
    <w:rsid w:val="00751BF1"/>
    <w:rsid w:val="007537F1"/>
    <w:rsid w:val="007545CD"/>
    <w:rsid w:val="007549E4"/>
    <w:rsid w:val="00755E18"/>
    <w:rsid w:val="00756643"/>
    <w:rsid w:val="007567FF"/>
    <w:rsid w:val="00756DA9"/>
    <w:rsid w:val="0075794D"/>
    <w:rsid w:val="007608C8"/>
    <w:rsid w:val="00761696"/>
    <w:rsid w:val="007616B5"/>
    <w:rsid w:val="00761834"/>
    <w:rsid w:val="00761D56"/>
    <w:rsid w:val="007620D8"/>
    <w:rsid w:val="007631A8"/>
    <w:rsid w:val="0076420A"/>
    <w:rsid w:val="0076492F"/>
    <w:rsid w:val="0076493D"/>
    <w:rsid w:val="00764D0F"/>
    <w:rsid w:val="00764ED5"/>
    <w:rsid w:val="007665AE"/>
    <w:rsid w:val="007665E7"/>
    <w:rsid w:val="00766AE8"/>
    <w:rsid w:val="00767809"/>
    <w:rsid w:val="00773845"/>
    <w:rsid w:val="007745B6"/>
    <w:rsid w:val="0077605D"/>
    <w:rsid w:val="0077746C"/>
    <w:rsid w:val="007806D6"/>
    <w:rsid w:val="00780896"/>
    <w:rsid w:val="00780E48"/>
    <w:rsid w:val="00780FF2"/>
    <w:rsid w:val="007815A1"/>
    <w:rsid w:val="00783BF6"/>
    <w:rsid w:val="00784BA7"/>
    <w:rsid w:val="0078501F"/>
    <w:rsid w:val="00785229"/>
    <w:rsid w:val="0079186B"/>
    <w:rsid w:val="007919EE"/>
    <w:rsid w:val="0079267C"/>
    <w:rsid w:val="00792A9A"/>
    <w:rsid w:val="00792B29"/>
    <w:rsid w:val="00793312"/>
    <w:rsid w:val="0079391A"/>
    <w:rsid w:val="007943E6"/>
    <w:rsid w:val="00794B5C"/>
    <w:rsid w:val="00794C7A"/>
    <w:rsid w:val="00796A9E"/>
    <w:rsid w:val="00796D05"/>
    <w:rsid w:val="00797687"/>
    <w:rsid w:val="007A0BE3"/>
    <w:rsid w:val="007A25AF"/>
    <w:rsid w:val="007A2AE9"/>
    <w:rsid w:val="007A2DEB"/>
    <w:rsid w:val="007A30A5"/>
    <w:rsid w:val="007A568E"/>
    <w:rsid w:val="007A5FB9"/>
    <w:rsid w:val="007A651C"/>
    <w:rsid w:val="007A664A"/>
    <w:rsid w:val="007A6E4F"/>
    <w:rsid w:val="007A70C6"/>
    <w:rsid w:val="007A7382"/>
    <w:rsid w:val="007A7FF2"/>
    <w:rsid w:val="007B11D0"/>
    <w:rsid w:val="007B189F"/>
    <w:rsid w:val="007B1CB5"/>
    <w:rsid w:val="007B27E9"/>
    <w:rsid w:val="007B2987"/>
    <w:rsid w:val="007B39E1"/>
    <w:rsid w:val="007B6A8F"/>
    <w:rsid w:val="007B70D3"/>
    <w:rsid w:val="007B7D10"/>
    <w:rsid w:val="007C1116"/>
    <w:rsid w:val="007C12D9"/>
    <w:rsid w:val="007C3AA6"/>
    <w:rsid w:val="007C4B93"/>
    <w:rsid w:val="007C4EF2"/>
    <w:rsid w:val="007C55D4"/>
    <w:rsid w:val="007D093F"/>
    <w:rsid w:val="007D0BE8"/>
    <w:rsid w:val="007D0D6D"/>
    <w:rsid w:val="007D283E"/>
    <w:rsid w:val="007D36CA"/>
    <w:rsid w:val="007D4C02"/>
    <w:rsid w:val="007D5920"/>
    <w:rsid w:val="007D6496"/>
    <w:rsid w:val="007D6731"/>
    <w:rsid w:val="007D6837"/>
    <w:rsid w:val="007D7001"/>
    <w:rsid w:val="007D782F"/>
    <w:rsid w:val="007D7E87"/>
    <w:rsid w:val="007E0FEC"/>
    <w:rsid w:val="007E1666"/>
    <w:rsid w:val="007E1ECC"/>
    <w:rsid w:val="007E2A09"/>
    <w:rsid w:val="007E40DD"/>
    <w:rsid w:val="007E4D5F"/>
    <w:rsid w:val="007E52BF"/>
    <w:rsid w:val="007E554E"/>
    <w:rsid w:val="007E594F"/>
    <w:rsid w:val="007E5A59"/>
    <w:rsid w:val="007E71DB"/>
    <w:rsid w:val="007E7C73"/>
    <w:rsid w:val="007F0225"/>
    <w:rsid w:val="007F0AC8"/>
    <w:rsid w:val="007F10CE"/>
    <w:rsid w:val="007F167C"/>
    <w:rsid w:val="007F2066"/>
    <w:rsid w:val="007F2B93"/>
    <w:rsid w:val="007F4005"/>
    <w:rsid w:val="007F64E9"/>
    <w:rsid w:val="007F7D89"/>
    <w:rsid w:val="007F7EFE"/>
    <w:rsid w:val="007F7F51"/>
    <w:rsid w:val="0080100B"/>
    <w:rsid w:val="008014A8"/>
    <w:rsid w:val="00801BBC"/>
    <w:rsid w:val="00802320"/>
    <w:rsid w:val="00802684"/>
    <w:rsid w:val="00804380"/>
    <w:rsid w:val="00804490"/>
    <w:rsid w:val="00806655"/>
    <w:rsid w:val="008066E5"/>
    <w:rsid w:val="00806B2A"/>
    <w:rsid w:val="0080705A"/>
    <w:rsid w:val="008071EA"/>
    <w:rsid w:val="00810DA4"/>
    <w:rsid w:val="00813597"/>
    <w:rsid w:val="00813D3B"/>
    <w:rsid w:val="00814A29"/>
    <w:rsid w:val="00823846"/>
    <w:rsid w:val="008259B8"/>
    <w:rsid w:val="00825ADA"/>
    <w:rsid w:val="00825DEA"/>
    <w:rsid w:val="0082667C"/>
    <w:rsid w:val="008266E5"/>
    <w:rsid w:val="008269BB"/>
    <w:rsid w:val="00827362"/>
    <w:rsid w:val="008279A8"/>
    <w:rsid w:val="00827CE5"/>
    <w:rsid w:val="00827E59"/>
    <w:rsid w:val="0083160C"/>
    <w:rsid w:val="00832029"/>
    <w:rsid w:val="00832787"/>
    <w:rsid w:val="0083338A"/>
    <w:rsid w:val="00833923"/>
    <w:rsid w:val="0083465D"/>
    <w:rsid w:val="00834CDA"/>
    <w:rsid w:val="0083532F"/>
    <w:rsid w:val="008362EF"/>
    <w:rsid w:val="008367C0"/>
    <w:rsid w:val="00840F68"/>
    <w:rsid w:val="00843EBB"/>
    <w:rsid w:val="008443EB"/>
    <w:rsid w:val="00844E1C"/>
    <w:rsid w:val="00845002"/>
    <w:rsid w:val="008465EC"/>
    <w:rsid w:val="00847A9C"/>
    <w:rsid w:val="008528BA"/>
    <w:rsid w:val="00853C7D"/>
    <w:rsid w:val="00854421"/>
    <w:rsid w:val="00855674"/>
    <w:rsid w:val="00855C9D"/>
    <w:rsid w:val="008611EC"/>
    <w:rsid w:val="0086291A"/>
    <w:rsid w:val="00862D4F"/>
    <w:rsid w:val="00864591"/>
    <w:rsid w:val="00867BD0"/>
    <w:rsid w:val="00870112"/>
    <w:rsid w:val="00871456"/>
    <w:rsid w:val="00871856"/>
    <w:rsid w:val="00872ABA"/>
    <w:rsid w:val="00872FCE"/>
    <w:rsid w:val="00873D82"/>
    <w:rsid w:val="00874290"/>
    <w:rsid w:val="00874D57"/>
    <w:rsid w:val="00874EBD"/>
    <w:rsid w:val="008750A3"/>
    <w:rsid w:val="008761FC"/>
    <w:rsid w:val="00877D2F"/>
    <w:rsid w:val="008800C1"/>
    <w:rsid w:val="0088062E"/>
    <w:rsid w:val="00881137"/>
    <w:rsid w:val="00882559"/>
    <w:rsid w:val="00882933"/>
    <w:rsid w:val="00883A75"/>
    <w:rsid w:val="00883F98"/>
    <w:rsid w:val="00884396"/>
    <w:rsid w:val="008843FC"/>
    <w:rsid w:val="00885E0F"/>
    <w:rsid w:val="008862BD"/>
    <w:rsid w:val="008863E8"/>
    <w:rsid w:val="00886400"/>
    <w:rsid w:val="008917E7"/>
    <w:rsid w:val="008941BE"/>
    <w:rsid w:val="008947CF"/>
    <w:rsid w:val="008962E9"/>
    <w:rsid w:val="0089642E"/>
    <w:rsid w:val="0089653C"/>
    <w:rsid w:val="00896CA9"/>
    <w:rsid w:val="008A0D19"/>
    <w:rsid w:val="008A0DE6"/>
    <w:rsid w:val="008A1FF5"/>
    <w:rsid w:val="008A233D"/>
    <w:rsid w:val="008A237E"/>
    <w:rsid w:val="008A3BD1"/>
    <w:rsid w:val="008A447D"/>
    <w:rsid w:val="008A4AF5"/>
    <w:rsid w:val="008A4EFA"/>
    <w:rsid w:val="008A62A5"/>
    <w:rsid w:val="008A791B"/>
    <w:rsid w:val="008A7E2E"/>
    <w:rsid w:val="008B0488"/>
    <w:rsid w:val="008B3124"/>
    <w:rsid w:val="008B3B4B"/>
    <w:rsid w:val="008B5749"/>
    <w:rsid w:val="008B6744"/>
    <w:rsid w:val="008B72A5"/>
    <w:rsid w:val="008B7762"/>
    <w:rsid w:val="008C0421"/>
    <w:rsid w:val="008C0B42"/>
    <w:rsid w:val="008C1918"/>
    <w:rsid w:val="008C1A51"/>
    <w:rsid w:val="008C2A4A"/>
    <w:rsid w:val="008C2F29"/>
    <w:rsid w:val="008C4AD0"/>
    <w:rsid w:val="008C6B30"/>
    <w:rsid w:val="008C7E4D"/>
    <w:rsid w:val="008D087D"/>
    <w:rsid w:val="008D3033"/>
    <w:rsid w:val="008D493B"/>
    <w:rsid w:val="008D4A7C"/>
    <w:rsid w:val="008D51DA"/>
    <w:rsid w:val="008D53A9"/>
    <w:rsid w:val="008D5615"/>
    <w:rsid w:val="008D5F0D"/>
    <w:rsid w:val="008D683A"/>
    <w:rsid w:val="008D6F1D"/>
    <w:rsid w:val="008E0359"/>
    <w:rsid w:val="008E0805"/>
    <w:rsid w:val="008E0FFB"/>
    <w:rsid w:val="008E25B1"/>
    <w:rsid w:val="008E2B4D"/>
    <w:rsid w:val="008E3094"/>
    <w:rsid w:val="008E3295"/>
    <w:rsid w:val="008E55EA"/>
    <w:rsid w:val="008E5926"/>
    <w:rsid w:val="008E75C5"/>
    <w:rsid w:val="008E7887"/>
    <w:rsid w:val="008E7E6E"/>
    <w:rsid w:val="008F1194"/>
    <w:rsid w:val="008F1884"/>
    <w:rsid w:val="008F1AD8"/>
    <w:rsid w:val="008F237A"/>
    <w:rsid w:val="008F2796"/>
    <w:rsid w:val="008F34D3"/>
    <w:rsid w:val="008F63EB"/>
    <w:rsid w:val="008F6A2F"/>
    <w:rsid w:val="008F6B5E"/>
    <w:rsid w:val="008F755E"/>
    <w:rsid w:val="008F79D0"/>
    <w:rsid w:val="009008B1"/>
    <w:rsid w:val="00901DB3"/>
    <w:rsid w:val="00902015"/>
    <w:rsid w:val="00903531"/>
    <w:rsid w:val="00904A65"/>
    <w:rsid w:val="00905793"/>
    <w:rsid w:val="00907263"/>
    <w:rsid w:val="009073CE"/>
    <w:rsid w:val="00910C58"/>
    <w:rsid w:val="0091161D"/>
    <w:rsid w:val="009123F6"/>
    <w:rsid w:val="00913E2A"/>
    <w:rsid w:val="0091468D"/>
    <w:rsid w:val="0091475E"/>
    <w:rsid w:val="00914F38"/>
    <w:rsid w:val="009163B6"/>
    <w:rsid w:val="00916B61"/>
    <w:rsid w:val="00917ED2"/>
    <w:rsid w:val="00917F42"/>
    <w:rsid w:val="009205E3"/>
    <w:rsid w:val="009217A9"/>
    <w:rsid w:val="00922F29"/>
    <w:rsid w:val="009231E6"/>
    <w:rsid w:val="00924303"/>
    <w:rsid w:val="00924926"/>
    <w:rsid w:val="00924ED9"/>
    <w:rsid w:val="0092594C"/>
    <w:rsid w:val="00926954"/>
    <w:rsid w:val="009277E9"/>
    <w:rsid w:val="00927A03"/>
    <w:rsid w:val="0093042C"/>
    <w:rsid w:val="00931316"/>
    <w:rsid w:val="009315B3"/>
    <w:rsid w:val="00933086"/>
    <w:rsid w:val="00933611"/>
    <w:rsid w:val="0093478E"/>
    <w:rsid w:val="00934A0F"/>
    <w:rsid w:val="00934ABD"/>
    <w:rsid w:val="00934FDD"/>
    <w:rsid w:val="009364C0"/>
    <w:rsid w:val="00937ED6"/>
    <w:rsid w:val="00940452"/>
    <w:rsid w:val="009406E7"/>
    <w:rsid w:val="00940B04"/>
    <w:rsid w:val="00944575"/>
    <w:rsid w:val="00944AB3"/>
    <w:rsid w:val="009465F6"/>
    <w:rsid w:val="009469A2"/>
    <w:rsid w:val="00950141"/>
    <w:rsid w:val="00950FC7"/>
    <w:rsid w:val="00951D07"/>
    <w:rsid w:val="00952A3E"/>
    <w:rsid w:val="00953FB3"/>
    <w:rsid w:val="0095455D"/>
    <w:rsid w:val="0095482D"/>
    <w:rsid w:val="009563AA"/>
    <w:rsid w:val="00957BED"/>
    <w:rsid w:val="0096004E"/>
    <w:rsid w:val="009623A4"/>
    <w:rsid w:val="00962AE7"/>
    <w:rsid w:val="00963229"/>
    <w:rsid w:val="0096515A"/>
    <w:rsid w:val="0096573E"/>
    <w:rsid w:val="00965C79"/>
    <w:rsid w:val="009662F5"/>
    <w:rsid w:val="00966601"/>
    <w:rsid w:val="00967094"/>
    <w:rsid w:val="00970079"/>
    <w:rsid w:val="009700A9"/>
    <w:rsid w:val="00970A79"/>
    <w:rsid w:val="00973C9C"/>
    <w:rsid w:val="009752BD"/>
    <w:rsid w:val="009758CF"/>
    <w:rsid w:val="00976C9C"/>
    <w:rsid w:val="00976CF4"/>
    <w:rsid w:val="009835C4"/>
    <w:rsid w:val="00983B0F"/>
    <w:rsid w:val="00984E05"/>
    <w:rsid w:val="00985554"/>
    <w:rsid w:val="00985A65"/>
    <w:rsid w:val="0098672A"/>
    <w:rsid w:val="00987830"/>
    <w:rsid w:val="00990141"/>
    <w:rsid w:val="00990D6F"/>
    <w:rsid w:val="0099131F"/>
    <w:rsid w:val="0099157D"/>
    <w:rsid w:val="00993A67"/>
    <w:rsid w:val="00994D7F"/>
    <w:rsid w:val="009962A0"/>
    <w:rsid w:val="0099644E"/>
    <w:rsid w:val="00996F8C"/>
    <w:rsid w:val="009A0627"/>
    <w:rsid w:val="009A44CB"/>
    <w:rsid w:val="009A454D"/>
    <w:rsid w:val="009A472B"/>
    <w:rsid w:val="009A5C14"/>
    <w:rsid w:val="009A5EC8"/>
    <w:rsid w:val="009A6141"/>
    <w:rsid w:val="009A750A"/>
    <w:rsid w:val="009A7763"/>
    <w:rsid w:val="009A7A9E"/>
    <w:rsid w:val="009A7B95"/>
    <w:rsid w:val="009B05E8"/>
    <w:rsid w:val="009B05F1"/>
    <w:rsid w:val="009B126C"/>
    <w:rsid w:val="009B19B4"/>
    <w:rsid w:val="009B2CF2"/>
    <w:rsid w:val="009B3751"/>
    <w:rsid w:val="009B45E7"/>
    <w:rsid w:val="009B493A"/>
    <w:rsid w:val="009B4DE3"/>
    <w:rsid w:val="009B537A"/>
    <w:rsid w:val="009B62CB"/>
    <w:rsid w:val="009B6612"/>
    <w:rsid w:val="009B6A55"/>
    <w:rsid w:val="009B7481"/>
    <w:rsid w:val="009B751A"/>
    <w:rsid w:val="009C02BD"/>
    <w:rsid w:val="009C158C"/>
    <w:rsid w:val="009C196E"/>
    <w:rsid w:val="009C2F04"/>
    <w:rsid w:val="009C3B52"/>
    <w:rsid w:val="009C4A6F"/>
    <w:rsid w:val="009C55F9"/>
    <w:rsid w:val="009C6025"/>
    <w:rsid w:val="009C7197"/>
    <w:rsid w:val="009D161B"/>
    <w:rsid w:val="009D18A0"/>
    <w:rsid w:val="009D1EF0"/>
    <w:rsid w:val="009D478F"/>
    <w:rsid w:val="009D479C"/>
    <w:rsid w:val="009D5125"/>
    <w:rsid w:val="009D545D"/>
    <w:rsid w:val="009D6126"/>
    <w:rsid w:val="009D705F"/>
    <w:rsid w:val="009D707E"/>
    <w:rsid w:val="009D7772"/>
    <w:rsid w:val="009D7E79"/>
    <w:rsid w:val="009E1143"/>
    <w:rsid w:val="009E165F"/>
    <w:rsid w:val="009E26F3"/>
    <w:rsid w:val="009E2925"/>
    <w:rsid w:val="009E409E"/>
    <w:rsid w:val="009E4C22"/>
    <w:rsid w:val="009E63C4"/>
    <w:rsid w:val="009E7131"/>
    <w:rsid w:val="009F0065"/>
    <w:rsid w:val="009F0651"/>
    <w:rsid w:val="009F0908"/>
    <w:rsid w:val="009F1BCB"/>
    <w:rsid w:val="009F2488"/>
    <w:rsid w:val="009F3305"/>
    <w:rsid w:val="009F3650"/>
    <w:rsid w:val="009F6E81"/>
    <w:rsid w:val="009F7321"/>
    <w:rsid w:val="00A00194"/>
    <w:rsid w:val="00A001C6"/>
    <w:rsid w:val="00A00244"/>
    <w:rsid w:val="00A02BF2"/>
    <w:rsid w:val="00A031F9"/>
    <w:rsid w:val="00A03BD6"/>
    <w:rsid w:val="00A05A0B"/>
    <w:rsid w:val="00A05E0C"/>
    <w:rsid w:val="00A10C32"/>
    <w:rsid w:val="00A12FE6"/>
    <w:rsid w:val="00A14944"/>
    <w:rsid w:val="00A1714E"/>
    <w:rsid w:val="00A2017E"/>
    <w:rsid w:val="00A2337E"/>
    <w:rsid w:val="00A24A28"/>
    <w:rsid w:val="00A24B21"/>
    <w:rsid w:val="00A24FA6"/>
    <w:rsid w:val="00A253E4"/>
    <w:rsid w:val="00A2547A"/>
    <w:rsid w:val="00A261BA"/>
    <w:rsid w:val="00A27C2D"/>
    <w:rsid w:val="00A33A71"/>
    <w:rsid w:val="00A33CBD"/>
    <w:rsid w:val="00A343D4"/>
    <w:rsid w:val="00A403A8"/>
    <w:rsid w:val="00A404B2"/>
    <w:rsid w:val="00A406D2"/>
    <w:rsid w:val="00A41764"/>
    <w:rsid w:val="00A41901"/>
    <w:rsid w:val="00A41B44"/>
    <w:rsid w:val="00A41C86"/>
    <w:rsid w:val="00A428F3"/>
    <w:rsid w:val="00A42F93"/>
    <w:rsid w:val="00A44630"/>
    <w:rsid w:val="00A446D4"/>
    <w:rsid w:val="00A44AC4"/>
    <w:rsid w:val="00A4582E"/>
    <w:rsid w:val="00A466C5"/>
    <w:rsid w:val="00A472C5"/>
    <w:rsid w:val="00A50CD1"/>
    <w:rsid w:val="00A513F1"/>
    <w:rsid w:val="00A528CC"/>
    <w:rsid w:val="00A52EF0"/>
    <w:rsid w:val="00A53DF9"/>
    <w:rsid w:val="00A5472F"/>
    <w:rsid w:val="00A54C4F"/>
    <w:rsid w:val="00A560DE"/>
    <w:rsid w:val="00A565E9"/>
    <w:rsid w:val="00A56F02"/>
    <w:rsid w:val="00A57FD5"/>
    <w:rsid w:val="00A60463"/>
    <w:rsid w:val="00A60D31"/>
    <w:rsid w:val="00A61A8A"/>
    <w:rsid w:val="00A61B87"/>
    <w:rsid w:val="00A62028"/>
    <w:rsid w:val="00A628D7"/>
    <w:rsid w:val="00A6320B"/>
    <w:rsid w:val="00A6444C"/>
    <w:rsid w:val="00A64491"/>
    <w:rsid w:val="00A65141"/>
    <w:rsid w:val="00A66485"/>
    <w:rsid w:val="00A66DA4"/>
    <w:rsid w:val="00A71874"/>
    <w:rsid w:val="00A74126"/>
    <w:rsid w:val="00A7441C"/>
    <w:rsid w:val="00A75036"/>
    <w:rsid w:val="00A7606A"/>
    <w:rsid w:val="00A7702A"/>
    <w:rsid w:val="00A80332"/>
    <w:rsid w:val="00A80AA1"/>
    <w:rsid w:val="00A80D18"/>
    <w:rsid w:val="00A80DE6"/>
    <w:rsid w:val="00A82149"/>
    <w:rsid w:val="00A8228B"/>
    <w:rsid w:val="00A82C28"/>
    <w:rsid w:val="00A84413"/>
    <w:rsid w:val="00A85069"/>
    <w:rsid w:val="00A851D3"/>
    <w:rsid w:val="00A85C99"/>
    <w:rsid w:val="00A85E2E"/>
    <w:rsid w:val="00A86059"/>
    <w:rsid w:val="00A8682A"/>
    <w:rsid w:val="00A87275"/>
    <w:rsid w:val="00A877EA"/>
    <w:rsid w:val="00A90434"/>
    <w:rsid w:val="00A90848"/>
    <w:rsid w:val="00A90ADF"/>
    <w:rsid w:val="00A90D5D"/>
    <w:rsid w:val="00A919A8"/>
    <w:rsid w:val="00A94817"/>
    <w:rsid w:val="00A95E04"/>
    <w:rsid w:val="00A9702D"/>
    <w:rsid w:val="00AA09CE"/>
    <w:rsid w:val="00AA109A"/>
    <w:rsid w:val="00AA184D"/>
    <w:rsid w:val="00AA21D4"/>
    <w:rsid w:val="00AA242A"/>
    <w:rsid w:val="00AA3ADF"/>
    <w:rsid w:val="00AA4945"/>
    <w:rsid w:val="00AA4E30"/>
    <w:rsid w:val="00AA4F18"/>
    <w:rsid w:val="00AA7490"/>
    <w:rsid w:val="00AA7EB9"/>
    <w:rsid w:val="00AB0321"/>
    <w:rsid w:val="00AB21EA"/>
    <w:rsid w:val="00AB29DA"/>
    <w:rsid w:val="00AB2D5C"/>
    <w:rsid w:val="00AB30C4"/>
    <w:rsid w:val="00AB38FC"/>
    <w:rsid w:val="00AB3BFD"/>
    <w:rsid w:val="00AB4582"/>
    <w:rsid w:val="00AB4664"/>
    <w:rsid w:val="00AB51C0"/>
    <w:rsid w:val="00AB538D"/>
    <w:rsid w:val="00AB70F7"/>
    <w:rsid w:val="00AC078F"/>
    <w:rsid w:val="00AC12F5"/>
    <w:rsid w:val="00AC2A9D"/>
    <w:rsid w:val="00AC56CE"/>
    <w:rsid w:val="00AC59CF"/>
    <w:rsid w:val="00AC604F"/>
    <w:rsid w:val="00AC71B2"/>
    <w:rsid w:val="00AC79C0"/>
    <w:rsid w:val="00AC7EE4"/>
    <w:rsid w:val="00AD240B"/>
    <w:rsid w:val="00AD2F15"/>
    <w:rsid w:val="00AD34FD"/>
    <w:rsid w:val="00AD4224"/>
    <w:rsid w:val="00AD4E75"/>
    <w:rsid w:val="00AD5D5A"/>
    <w:rsid w:val="00AD6DC7"/>
    <w:rsid w:val="00AD74C8"/>
    <w:rsid w:val="00AE047F"/>
    <w:rsid w:val="00AE3181"/>
    <w:rsid w:val="00AE357C"/>
    <w:rsid w:val="00AE3F94"/>
    <w:rsid w:val="00AE6795"/>
    <w:rsid w:val="00AE6CB3"/>
    <w:rsid w:val="00AE6ED6"/>
    <w:rsid w:val="00AE7EDF"/>
    <w:rsid w:val="00AF07F9"/>
    <w:rsid w:val="00AF165B"/>
    <w:rsid w:val="00AF16C9"/>
    <w:rsid w:val="00AF3257"/>
    <w:rsid w:val="00AF4186"/>
    <w:rsid w:val="00AF4323"/>
    <w:rsid w:val="00AF4AF8"/>
    <w:rsid w:val="00AF59DA"/>
    <w:rsid w:val="00B006E7"/>
    <w:rsid w:val="00B01969"/>
    <w:rsid w:val="00B02FCB"/>
    <w:rsid w:val="00B04BED"/>
    <w:rsid w:val="00B07347"/>
    <w:rsid w:val="00B10470"/>
    <w:rsid w:val="00B10AEC"/>
    <w:rsid w:val="00B11E89"/>
    <w:rsid w:val="00B12515"/>
    <w:rsid w:val="00B1367C"/>
    <w:rsid w:val="00B14BD4"/>
    <w:rsid w:val="00B16963"/>
    <w:rsid w:val="00B1774E"/>
    <w:rsid w:val="00B2034E"/>
    <w:rsid w:val="00B2044E"/>
    <w:rsid w:val="00B21DE8"/>
    <w:rsid w:val="00B234B3"/>
    <w:rsid w:val="00B24FA2"/>
    <w:rsid w:val="00B25E60"/>
    <w:rsid w:val="00B26121"/>
    <w:rsid w:val="00B27C22"/>
    <w:rsid w:val="00B27D31"/>
    <w:rsid w:val="00B30BB7"/>
    <w:rsid w:val="00B3130A"/>
    <w:rsid w:val="00B320FF"/>
    <w:rsid w:val="00B32385"/>
    <w:rsid w:val="00B32B9E"/>
    <w:rsid w:val="00B32FB1"/>
    <w:rsid w:val="00B350EC"/>
    <w:rsid w:val="00B35AFE"/>
    <w:rsid w:val="00B40329"/>
    <w:rsid w:val="00B40B8D"/>
    <w:rsid w:val="00B4103B"/>
    <w:rsid w:val="00B422E2"/>
    <w:rsid w:val="00B432A2"/>
    <w:rsid w:val="00B4416E"/>
    <w:rsid w:val="00B45440"/>
    <w:rsid w:val="00B4724A"/>
    <w:rsid w:val="00B5219A"/>
    <w:rsid w:val="00B53BE1"/>
    <w:rsid w:val="00B5466A"/>
    <w:rsid w:val="00B546E5"/>
    <w:rsid w:val="00B54E07"/>
    <w:rsid w:val="00B54EBB"/>
    <w:rsid w:val="00B565C8"/>
    <w:rsid w:val="00B575ED"/>
    <w:rsid w:val="00B57F78"/>
    <w:rsid w:val="00B62F9E"/>
    <w:rsid w:val="00B6326B"/>
    <w:rsid w:val="00B652B5"/>
    <w:rsid w:val="00B66F7A"/>
    <w:rsid w:val="00B67C43"/>
    <w:rsid w:val="00B67ED0"/>
    <w:rsid w:val="00B70E53"/>
    <w:rsid w:val="00B71451"/>
    <w:rsid w:val="00B74278"/>
    <w:rsid w:val="00B74705"/>
    <w:rsid w:val="00B74730"/>
    <w:rsid w:val="00B75149"/>
    <w:rsid w:val="00B773C5"/>
    <w:rsid w:val="00B80201"/>
    <w:rsid w:val="00B803D6"/>
    <w:rsid w:val="00B83257"/>
    <w:rsid w:val="00B83A93"/>
    <w:rsid w:val="00B83B89"/>
    <w:rsid w:val="00B868B8"/>
    <w:rsid w:val="00B903E3"/>
    <w:rsid w:val="00B90D97"/>
    <w:rsid w:val="00B911C2"/>
    <w:rsid w:val="00B91DF8"/>
    <w:rsid w:val="00B93396"/>
    <w:rsid w:val="00B95300"/>
    <w:rsid w:val="00B9543E"/>
    <w:rsid w:val="00B9594C"/>
    <w:rsid w:val="00B969CB"/>
    <w:rsid w:val="00B96F03"/>
    <w:rsid w:val="00B9734C"/>
    <w:rsid w:val="00BA0B05"/>
    <w:rsid w:val="00BA1C6F"/>
    <w:rsid w:val="00BA314C"/>
    <w:rsid w:val="00BA52F8"/>
    <w:rsid w:val="00BA6C1F"/>
    <w:rsid w:val="00BA6D21"/>
    <w:rsid w:val="00BB1BEE"/>
    <w:rsid w:val="00BB1E94"/>
    <w:rsid w:val="00BB57F4"/>
    <w:rsid w:val="00BB64DA"/>
    <w:rsid w:val="00BB667B"/>
    <w:rsid w:val="00BB7712"/>
    <w:rsid w:val="00BC1222"/>
    <w:rsid w:val="00BC177D"/>
    <w:rsid w:val="00BC1947"/>
    <w:rsid w:val="00BC1A41"/>
    <w:rsid w:val="00BC2114"/>
    <w:rsid w:val="00BC240F"/>
    <w:rsid w:val="00BC2908"/>
    <w:rsid w:val="00BC37A5"/>
    <w:rsid w:val="00BC3FC3"/>
    <w:rsid w:val="00BC5224"/>
    <w:rsid w:val="00BC6BAB"/>
    <w:rsid w:val="00BC6FDF"/>
    <w:rsid w:val="00BC7725"/>
    <w:rsid w:val="00BC7AE4"/>
    <w:rsid w:val="00BC7D79"/>
    <w:rsid w:val="00BD0075"/>
    <w:rsid w:val="00BD02DD"/>
    <w:rsid w:val="00BD09E2"/>
    <w:rsid w:val="00BD28C4"/>
    <w:rsid w:val="00BD2C45"/>
    <w:rsid w:val="00BD4A4B"/>
    <w:rsid w:val="00BD4C27"/>
    <w:rsid w:val="00BD626E"/>
    <w:rsid w:val="00BD6ABF"/>
    <w:rsid w:val="00BD6E92"/>
    <w:rsid w:val="00BD74FA"/>
    <w:rsid w:val="00BD7A22"/>
    <w:rsid w:val="00BE05BB"/>
    <w:rsid w:val="00BE0F25"/>
    <w:rsid w:val="00BE207E"/>
    <w:rsid w:val="00BE274E"/>
    <w:rsid w:val="00BE2B1B"/>
    <w:rsid w:val="00BE336C"/>
    <w:rsid w:val="00BE4D2C"/>
    <w:rsid w:val="00BE5835"/>
    <w:rsid w:val="00BE7308"/>
    <w:rsid w:val="00BE74DF"/>
    <w:rsid w:val="00BE7988"/>
    <w:rsid w:val="00BE7F6B"/>
    <w:rsid w:val="00BF0382"/>
    <w:rsid w:val="00BF082E"/>
    <w:rsid w:val="00BF0FC4"/>
    <w:rsid w:val="00BF1E0A"/>
    <w:rsid w:val="00BF27E9"/>
    <w:rsid w:val="00BF4212"/>
    <w:rsid w:val="00BF6F76"/>
    <w:rsid w:val="00C02978"/>
    <w:rsid w:val="00C034A9"/>
    <w:rsid w:val="00C03859"/>
    <w:rsid w:val="00C03DBF"/>
    <w:rsid w:val="00C04FA0"/>
    <w:rsid w:val="00C05E01"/>
    <w:rsid w:val="00C05E42"/>
    <w:rsid w:val="00C06075"/>
    <w:rsid w:val="00C063F1"/>
    <w:rsid w:val="00C078BD"/>
    <w:rsid w:val="00C11AF5"/>
    <w:rsid w:val="00C13805"/>
    <w:rsid w:val="00C15CA6"/>
    <w:rsid w:val="00C16807"/>
    <w:rsid w:val="00C2025F"/>
    <w:rsid w:val="00C214FA"/>
    <w:rsid w:val="00C2167D"/>
    <w:rsid w:val="00C21BCC"/>
    <w:rsid w:val="00C228FA"/>
    <w:rsid w:val="00C23390"/>
    <w:rsid w:val="00C23C07"/>
    <w:rsid w:val="00C2403A"/>
    <w:rsid w:val="00C24CC2"/>
    <w:rsid w:val="00C260F7"/>
    <w:rsid w:val="00C2632E"/>
    <w:rsid w:val="00C266D3"/>
    <w:rsid w:val="00C266DA"/>
    <w:rsid w:val="00C26FE9"/>
    <w:rsid w:val="00C27941"/>
    <w:rsid w:val="00C27BD3"/>
    <w:rsid w:val="00C27D03"/>
    <w:rsid w:val="00C30D8F"/>
    <w:rsid w:val="00C30ECF"/>
    <w:rsid w:val="00C31095"/>
    <w:rsid w:val="00C31607"/>
    <w:rsid w:val="00C32321"/>
    <w:rsid w:val="00C32332"/>
    <w:rsid w:val="00C349F0"/>
    <w:rsid w:val="00C34A1E"/>
    <w:rsid w:val="00C3720B"/>
    <w:rsid w:val="00C41423"/>
    <w:rsid w:val="00C41D5D"/>
    <w:rsid w:val="00C429A1"/>
    <w:rsid w:val="00C43335"/>
    <w:rsid w:val="00C4334F"/>
    <w:rsid w:val="00C4434A"/>
    <w:rsid w:val="00C44974"/>
    <w:rsid w:val="00C44E9E"/>
    <w:rsid w:val="00C46098"/>
    <w:rsid w:val="00C46439"/>
    <w:rsid w:val="00C46B32"/>
    <w:rsid w:val="00C47A26"/>
    <w:rsid w:val="00C50556"/>
    <w:rsid w:val="00C50E1F"/>
    <w:rsid w:val="00C516EC"/>
    <w:rsid w:val="00C53DC9"/>
    <w:rsid w:val="00C55526"/>
    <w:rsid w:val="00C569A6"/>
    <w:rsid w:val="00C571A9"/>
    <w:rsid w:val="00C57A73"/>
    <w:rsid w:val="00C615A7"/>
    <w:rsid w:val="00C616BF"/>
    <w:rsid w:val="00C62C5D"/>
    <w:rsid w:val="00C64873"/>
    <w:rsid w:val="00C65A0A"/>
    <w:rsid w:val="00C66628"/>
    <w:rsid w:val="00C6723F"/>
    <w:rsid w:val="00C67B39"/>
    <w:rsid w:val="00C734C0"/>
    <w:rsid w:val="00C73966"/>
    <w:rsid w:val="00C73C3D"/>
    <w:rsid w:val="00C7422F"/>
    <w:rsid w:val="00C751BF"/>
    <w:rsid w:val="00C7651A"/>
    <w:rsid w:val="00C77280"/>
    <w:rsid w:val="00C7772C"/>
    <w:rsid w:val="00C812AA"/>
    <w:rsid w:val="00C81AD1"/>
    <w:rsid w:val="00C83111"/>
    <w:rsid w:val="00C84265"/>
    <w:rsid w:val="00C84ED5"/>
    <w:rsid w:val="00C87250"/>
    <w:rsid w:val="00C9070B"/>
    <w:rsid w:val="00C941DC"/>
    <w:rsid w:val="00C94791"/>
    <w:rsid w:val="00C96465"/>
    <w:rsid w:val="00C96D0A"/>
    <w:rsid w:val="00C97EDB"/>
    <w:rsid w:val="00CA001B"/>
    <w:rsid w:val="00CA01AD"/>
    <w:rsid w:val="00CA0417"/>
    <w:rsid w:val="00CA0456"/>
    <w:rsid w:val="00CA0D73"/>
    <w:rsid w:val="00CA1A52"/>
    <w:rsid w:val="00CA2625"/>
    <w:rsid w:val="00CA2C90"/>
    <w:rsid w:val="00CA3024"/>
    <w:rsid w:val="00CA3E46"/>
    <w:rsid w:val="00CA485C"/>
    <w:rsid w:val="00CA5403"/>
    <w:rsid w:val="00CA5475"/>
    <w:rsid w:val="00CA69EC"/>
    <w:rsid w:val="00CA6FE3"/>
    <w:rsid w:val="00CA76CF"/>
    <w:rsid w:val="00CA7880"/>
    <w:rsid w:val="00CB1161"/>
    <w:rsid w:val="00CB19DA"/>
    <w:rsid w:val="00CB1BF5"/>
    <w:rsid w:val="00CB3AF4"/>
    <w:rsid w:val="00CB3F45"/>
    <w:rsid w:val="00CB40A0"/>
    <w:rsid w:val="00CB44F6"/>
    <w:rsid w:val="00CB51FF"/>
    <w:rsid w:val="00CB77CB"/>
    <w:rsid w:val="00CC0334"/>
    <w:rsid w:val="00CC1692"/>
    <w:rsid w:val="00CC1B8B"/>
    <w:rsid w:val="00CC1DF5"/>
    <w:rsid w:val="00CC3A59"/>
    <w:rsid w:val="00CC3B45"/>
    <w:rsid w:val="00CC4253"/>
    <w:rsid w:val="00CC444E"/>
    <w:rsid w:val="00CC4804"/>
    <w:rsid w:val="00CC5133"/>
    <w:rsid w:val="00CC5F27"/>
    <w:rsid w:val="00CC63FE"/>
    <w:rsid w:val="00CC7437"/>
    <w:rsid w:val="00CC7752"/>
    <w:rsid w:val="00CD16A3"/>
    <w:rsid w:val="00CD1841"/>
    <w:rsid w:val="00CD20E1"/>
    <w:rsid w:val="00CD3BBB"/>
    <w:rsid w:val="00CD3C54"/>
    <w:rsid w:val="00CD51EC"/>
    <w:rsid w:val="00CD6961"/>
    <w:rsid w:val="00CD7CC7"/>
    <w:rsid w:val="00CE081E"/>
    <w:rsid w:val="00CE08DD"/>
    <w:rsid w:val="00CE09F2"/>
    <w:rsid w:val="00CE2CDA"/>
    <w:rsid w:val="00CE3521"/>
    <w:rsid w:val="00CE3BC2"/>
    <w:rsid w:val="00CE4873"/>
    <w:rsid w:val="00CE5723"/>
    <w:rsid w:val="00CE57FF"/>
    <w:rsid w:val="00CE6ED8"/>
    <w:rsid w:val="00CE74C3"/>
    <w:rsid w:val="00CF0025"/>
    <w:rsid w:val="00CF0EFF"/>
    <w:rsid w:val="00CF1168"/>
    <w:rsid w:val="00CF1C88"/>
    <w:rsid w:val="00CF3FC7"/>
    <w:rsid w:val="00CF4077"/>
    <w:rsid w:val="00CF4841"/>
    <w:rsid w:val="00CF5493"/>
    <w:rsid w:val="00CF67D8"/>
    <w:rsid w:val="00CF694E"/>
    <w:rsid w:val="00CF6BF4"/>
    <w:rsid w:val="00CF77C7"/>
    <w:rsid w:val="00CF7DE9"/>
    <w:rsid w:val="00D01398"/>
    <w:rsid w:val="00D01640"/>
    <w:rsid w:val="00D0189D"/>
    <w:rsid w:val="00D03B93"/>
    <w:rsid w:val="00D041B0"/>
    <w:rsid w:val="00D043DC"/>
    <w:rsid w:val="00D04528"/>
    <w:rsid w:val="00D04DD7"/>
    <w:rsid w:val="00D050BA"/>
    <w:rsid w:val="00D05E32"/>
    <w:rsid w:val="00D0640E"/>
    <w:rsid w:val="00D06FC6"/>
    <w:rsid w:val="00D106A3"/>
    <w:rsid w:val="00D11CE7"/>
    <w:rsid w:val="00D12281"/>
    <w:rsid w:val="00D13BE2"/>
    <w:rsid w:val="00D14D03"/>
    <w:rsid w:val="00D174F0"/>
    <w:rsid w:val="00D175B7"/>
    <w:rsid w:val="00D17707"/>
    <w:rsid w:val="00D26679"/>
    <w:rsid w:val="00D2772F"/>
    <w:rsid w:val="00D3020A"/>
    <w:rsid w:val="00D3079F"/>
    <w:rsid w:val="00D30C5E"/>
    <w:rsid w:val="00D3100A"/>
    <w:rsid w:val="00D312EB"/>
    <w:rsid w:val="00D318BF"/>
    <w:rsid w:val="00D3348F"/>
    <w:rsid w:val="00D3413F"/>
    <w:rsid w:val="00D3477D"/>
    <w:rsid w:val="00D3483B"/>
    <w:rsid w:val="00D3497A"/>
    <w:rsid w:val="00D35B95"/>
    <w:rsid w:val="00D36B51"/>
    <w:rsid w:val="00D3705B"/>
    <w:rsid w:val="00D373B0"/>
    <w:rsid w:val="00D403B7"/>
    <w:rsid w:val="00D40C75"/>
    <w:rsid w:val="00D40F22"/>
    <w:rsid w:val="00D4142C"/>
    <w:rsid w:val="00D4229B"/>
    <w:rsid w:val="00D42F0B"/>
    <w:rsid w:val="00D45597"/>
    <w:rsid w:val="00D45823"/>
    <w:rsid w:val="00D45C32"/>
    <w:rsid w:val="00D462AD"/>
    <w:rsid w:val="00D46FF7"/>
    <w:rsid w:val="00D47AD5"/>
    <w:rsid w:val="00D518C3"/>
    <w:rsid w:val="00D51C09"/>
    <w:rsid w:val="00D532C6"/>
    <w:rsid w:val="00D5426B"/>
    <w:rsid w:val="00D54C4D"/>
    <w:rsid w:val="00D5599A"/>
    <w:rsid w:val="00D55B21"/>
    <w:rsid w:val="00D5693C"/>
    <w:rsid w:val="00D569AD"/>
    <w:rsid w:val="00D5793A"/>
    <w:rsid w:val="00D57E52"/>
    <w:rsid w:val="00D605E5"/>
    <w:rsid w:val="00D62A8B"/>
    <w:rsid w:val="00D64868"/>
    <w:rsid w:val="00D6594B"/>
    <w:rsid w:val="00D65F89"/>
    <w:rsid w:val="00D71595"/>
    <w:rsid w:val="00D71B33"/>
    <w:rsid w:val="00D72158"/>
    <w:rsid w:val="00D72E9A"/>
    <w:rsid w:val="00D740F4"/>
    <w:rsid w:val="00D7422C"/>
    <w:rsid w:val="00D802FD"/>
    <w:rsid w:val="00D869C5"/>
    <w:rsid w:val="00D92888"/>
    <w:rsid w:val="00D932E1"/>
    <w:rsid w:val="00D937A6"/>
    <w:rsid w:val="00D94A5A"/>
    <w:rsid w:val="00D97721"/>
    <w:rsid w:val="00DA0427"/>
    <w:rsid w:val="00DA05B7"/>
    <w:rsid w:val="00DA127D"/>
    <w:rsid w:val="00DA266F"/>
    <w:rsid w:val="00DA26A7"/>
    <w:rsid w:val="00DA2928"/>
    <w:rsid w:val="00DA30E8"/>
    <w:rsid w:val="00DA3AE2"/>
    <w:rsid w:val="00DA3B33"/>
    <w:rsid w:val="00DA42A3"/>
    <w:rsid w:val="00DA5B4D"/>
    <w:rsid w:val="00DA7075"/>
    <w:rsid w:val="00DA74A2"/>
    <w:rsid w:val="00DB0842"/>
    <w:rsid w:val="00DB1B33"/>
    <w:rsid w:val="00DB3F35"/>
    <w:rsid w:val="00DB550E"/>
    <w:rsid w:val="00DB6144"/>
    <w:rsid w:val="00DB6664"/>
    <w:rsid w:val="00DB6EAC"/>
    <w:rsid w:val="00DB73FB"/>
    <w:rsid w:val="00DB745E"/>
    <w:rsid w:val="00DB7CD4"/>
    <w:rsid w:val="00DC0DBE"/>
    <w:rsid w:val="00DC217C"/>
    <w:rsid w:val="00DC429D"/>
    <w:rsid w:val="00DC458D"/>
    <w:rsid w:val="00DC62D9"/>
    <w:rsid w:val="00DC6BCD"/>
    <w:rsid w:val="00DC6E17"/>
    <w:rsid w:val="00DC6F8F"/>
    <w:rsid w:val="00DC747D"/>
    <w:rsid w:val="00DD03E1"/>
    <w:rsid w:val="00DD26B7"/>
    <w:rsid w:val="00DD35D4"/>
    <w:rsid w:val="00DD3848"/>
    <w:rsid w:val="00DD4DCA"/>
    <w:rsid w:val="00DD5181"/>
    <w:rsid w:val="00DD569F"/>
    <w:rsid w:val="00DD5B3A"/>
    <w:rsid w:val="00DD5CCB"/>
    <w:rsid w:val="00DD6003"/>
    <w:rsid w:val="00DD7B1D"/>
    <w:rsid w:val="00DE1A4C"/>
    <w:rsid w:val="00DE285A"/>
    <w:rsid w:val="00DE2F3F"/>
    <w:rsid w:val="00DE3E14"/>
    <w:rsid w:val="00DE5417"/>
    <w:rsid w:val="00DE5630"/>
    <w:rsid w:val="00DE5DD0"/>
    <w:rsid w:val="00DE608E"/>
    <w:rsid w:val="00DE7227"/>
    <w:rsid w:val="00DE76FC"/>
    <w:rsid w:val="00DF011C"/>
    <w:rsid w:val="00DF0BB3"/>
    <w:rsid w:val="00DF33A3"/>
    <w:rsid w:val="00DF3789"/>
    <w:rsid w:val="00DF3F22"/>
    <w:rsid w:val="00DF4241"/>
    <w:rsid w:val="00DF45B4"/>
    <w:rsid w:val="00DF4BAB"/>
    <w:rsid w:val="00DF5D14"/>
    <w:rsid w:val="00DF608E"/>
    <w:rsid w:val="00DF6CC5"/>
    <w:rsid w:val="00DF6FF1"/>
    <w:rsid w:val="00DF76E0"/>
    <w:rsid w:val="00E0139A"/>
    <w:rsid w:val="00E015A9"/>
    <w:rsid w:val="00E02883"/>
    <w:rsid w:val="00E04029"/>
    <w:rsid w:val="00E04242"/>
    <w:rsid w:val="00E10861"/>
    <w:rsid w:val="00E120BC"/>
    <w:rsid w:val="00E1376C"/>
    <w:rsid w:val="00E15635"/>
    <w:rsid w:val="00E16BEE"/>
    <w:rsid w:val="00E21B02"/>
    <w:rsid w:val="00E23869"/>
    <w:rsid w:val="00E23EEA"/>
    <w:rsid w:val="00E251B1"/>
    <w:rsid w:val="00E25CA8"/>
    <w:rsid w:val="00E26156"/>
    <w:rsid w:val="00E27323"/>
    <w:rsid w:val="00E3046F"/>
    <w:rsid w:val="00E30962"/>
    <w:rsid w:val="00E3099D"/>
    <w:rsid w:val="00E31CB4"/>
    <w:rsid w:val="00E333FB"/>
    <w:rsid w:val="00E3345C"/>
    <w:rsid w:val="00E36150"/>
    <w:rsid w:val="00E367BF"/>
    <w:rsid w:val="00E36EA0"/>
    <w:rsid w:val="00E36F7B"/>
    <w:rsid w:val="00E379CA"/>
    <w:rsid w:val="00E40778"/>
    <w:rsid w:val="00E41D3D"/>
    <w:rsid w:val="00E41FE9"/>
    <w:rsid w:val="00E4501A"/>
    <w:rsid w:val="00E45135"/>
    <w:rsid w:val="00E4586E"/>
    <w:rsid w:val="00E45DEB"/>
    <w:rsid w:val="00E464B9"/>
    <w:rsid w:val="00E469C1"/>
    <w:rsid w:val="00E46BFA"/>
    <w:rsid w:val="00E477BE"/>
    <w:rsid w:val="00E47B62"/>
    <w:rsid w:val="00E511EA"/>
    <w:rsid w:val="00E51517"/>
    <w:rsid w:val="00E51F74"/>
    <w:rsid w:val="00E54533"/>
    <w:rsid w:val="00E55868"/>
    <w:rsid w:val="00E60C14"/>
    <w:rsid w:val="00E61815"/>
    <w:rsid w:val="00E61B4D"/>
    <w:rsid w:val="00E63806"/>
    <w:rsid w:val="00E65A34"/>
    <w:rsid w:val="00E65D86"/>
    <w:rsid w:val="00E66967"/>
    <w:rsid w:val="00E6717D"/>
    <w:rsid w:val="00E673C6"/>
    <w:rsid w:val="00E6754B"/>
    <w:rsid w:val="00E67E1C"/>
    <w:rsid w:val="00E67F79"/>
    <w:rsid w:val="00E70E2A"/>
    <w:rsid w:val="00E71B63"/>
    <w:rsid w:val="00E71BD4"/>
    <w:rsid w:val="00E72C1A"/>
    <w:rsid w:val="00E74BBE"/>
    <w:rsid w:val="00E763CD"/>
    <w:rsid w:val="00E76A0F"/>
    <w:rsid w:val="00E7711B"/>
    <w:rsid w:val="00E77E51"/>
    <w:rsid w:val="00E807D4"/>
    <w:rsid w:val="00E8114F"/>
    <w:rsid w:val="00E82425"/>
    <w:rsid w:val="00E828F9"/>
    <w:rsid w:val="00E82AF3"/>
    <w:rsid w:val="00E82B64"/>
    <w:rsid w:val="00E83E08"/>
    <w:rsid w:val="00E850A3"/>
    <w:rsid w:val="00E8528B"/>
    <w:rsid w:val="00E859BA"/>
    <w:rsid w:val="00E864F1"/>
    <w:rsid w:val="00E86A15"/>
    <w:rsid w:val="00E87034"/>
    <w:rsid w:val="00E870B0"/>
    <w:rsid w:val="00E90733"/>
    <w:rsid w:val="00E90F26"/>
    <w:rsid w:val="00E931A2"/>
    <w:rsid w:val="00E93D9A"/>
    <w:rsid w:val="00E96340"/>
    <w:rsid w:val="00EA022F"/>
    <w:rsid w:val="00EA26A5"/>
    <w:rsid w:val="00EA2E2E"/>
    <w:rsid w:val="00EA38D5"/>
    <w:rsid w:val="00EA4363"/>
    <w:rsid w:val="00EA5409"/>
    <w:rsid w:val="00EA566B"/>
    <w:rsid w:val="00EA5F10"/>
    <w:rsid w:val="00EA5F30"/>
    <w:rsid w:val="00EA6EA0"/>
    <w:rsid w:val="00EA6F59"/>
    <w:rsid w:val="00EA725B"/>
    <w:rsid w:val="00EA789A"/>
    <w:rsid w:val="00EA7F85"/>
    <w:rsid w:val="00EB219C"/>
    <w:rsid w:val="00EB321E"/>
    <w:rsid w:val="00EB62A2"/>
    <w:rsid w:val="00EB63C2"/>
    <w:rsid w:val="00EB64FC"/>
    <w:rsid w:val="00EB7B3E"/>
    <w:rsid w:val="00EC0FC7"/>
    <w:rsid w:val="00EC3466"/>
    <w:rsid w:val="00EC37C6"/>
    <w:rsid w:val="00EC3CEA"/>
    <w:rsid w:val="00EC3DD6"/>
    <w:rsid w:val="00EC4D48"/>
    <w:rsid w:val="00EC6339"/>
    <w:rsid w:val="00EC744B"/>
    <w:rsid w:val="00EC778D"/>
    <w:rsid w:val="00EC791D"/>
    <w:rsid w:val="00EC7B5A"/>
    <w:rsid w:val="00ED1573"/>
    <w:rsid w:val="00ED1966"/>
    <w:rsid w:val="00ED3712"/>
    <w:rsid w:val="00ED419B"/>
    <w:rsid w:val="00ED4DA5"/>
    <w:rsid w:val="00ED5AAA"/>
    <w:rsid w:val="00ED5AF3"/>
    <w:rsid w:val="00ED6E55"/>
    <w:rsid w:val="00ED71E9"/>
    <w:rsid w:val="00ED7419"/>
    <w:rsid w:val="00ED7443"/>
    <w:rsid w:val="00EE050F"/>
    <w:rsid w:val="00EE081A"/>
    <w:rsid w:val="00EE1B70"/>
    <w:rsid w:val="00EE1EB5"/>
    <w:rsid w:val="00EE243B"/>
    <w:rsid w:val="00EE5AEA"/>
    <w:rsid w:val="00EE60DB"/>
    <w:rsid w:val="00EE654A"/>
    <w:rsid w:val="00EE7E38"/>
    <w:rsid w:val="00EE7EEA"/>
    <w:rsid w:val="00EF1D7E"/>
    <w:rsid w:val="00EF23FD"/>
    <w:rsid w:val="00EF2D5D"/>
    <w:rsid w:val="00EF39FC"/>
    <w:rsid w:val="00EF449C"/>
    <w:rsid w:val="00EF4CEE"/>
    <w:rsid w:val="00EF53E2"/>
    <w:rsid w:val="00EF5638"/>
    <w:rsid w:val="00EF56DF"/>
    <w:rsid w:val="00EF6801"/>
    <w:rsid w:val="00EF6F0E"/>
    <w:rsid w:val="00EF7F09"/>
    <w:rsid w:val="00F016CA"/>
    <w:rsid w:val="00F01E4F"/>
    <w:rsid w:val="00F04143"/>
    <w:rsid w:val="00F0482C"/>
    <w:rsid w:val="00F05C44"/>
    <w:rsid w:val="00F05E09"/>
    <w:rsid w:val="00F0740D"/>
    <w:rsid w:val="00F07750"/>
    <w:rsid w:val="00F07780"/>
    <w:rsid w:val="00F07DB3"/>
    <w:rsid w:val="00F106C0"/>
    <w:rsid w:val="00F10988"/>
    <w:rsid w:val="00F10A7A"/>
    <w:rsid w:val="00F10A86"/>
    <w:rsid w:val="00F12149"/>
    <w:rsid w:val="00F12E25"/>
    <w:rsid w:val="00F13587"/>
    <w:rsid w:val="00F16387"/>
    <w:rsid w:val="00F173FD"/>
    <w:rsid w:val="00F203C7"/>
    <w:rsid w:val="00F210E0"/>
    <w:rsid w:val="00F21646"/>
    <w:rsid w:val="00F21917"/>
    <w:rsid w:val="00F21C85"/>
    <w:rsid w:val="00F23544"/>
    <w:rsid w:val="00F25ABF"/>
    <w:rsid w:val="00F25BBF"/>
    <w:rsid w:val="00F27A4B"/>
    <w:rsid w:val="00F27BB1"/>
    <w:rsid w:val="00F311E3"/>
    <w:rsid w:val="00F31BEE"/>
    <w:rsid w:val="00F32B0E"/>
    <w:rsid w:val="00F331AF"/>
    <w:rsid w:val="00F33DC4"/>
    <w:rsid w:val="00F35946"/>
    <w:rsid w:val="00F359C0"/>
    <w:rsid w:val="00F37DBE"/>
    <w:rsid w:val="00F40203"/>
    <w:rsid w:val="00F411E2"/>
    <w:rsid w:val="00F4212C"/>
    <w:rsid w:val="00F421EA"/>
    <w:rsid w:val="00F430AC"/>
    <w:rsid w:val="00F44E12"/>
    <w:rsid w:val="00F45308"/>
    <w:rsid w:val="00F462D5"/>
    <w:rsid w:val="00F46975"/>
    <w:rsid w:val="00F477B9"/>
    <w:rsid w:val="00F516B5"/>
    <w:rsid w:val="00F53604"/>
    <w:rsid w:val="00F54A39"/>
    <w:rsid w:val="00F54B2D"/>
    <w:rsid w:val="00F54BBB"/>
    <w:rsid w:val="00F55625"/>
    <w:rsid w:val="00F55FAE"/>
    <w:rsid w:val="00F56422"/>
    <w:rsid w:val="00F60171"/>
    <w:rsid w:val="00F603C9"/>
    <w:rsid w:val="00F607F4"/>
    <w:rsid w:val="00F6086F"/>
    <w:rsid w:val="00F613FA"/>
    <w:rsid w:val="00F61795"/>
    <w:rsid w:val="00F6631F"/>
    <w:rsid w:val="00F67447"/>
    <w:rsid w:val="00F7059C"/>
    <w:rsid w:val="00F72112"/>
    <w:rsid w:val="00F723D6"/>
    <w:rsid w:val="00F724AB"/>
    <w:rsid w:val="00F75018"/>
    <w:rsid w:val="00F764DF"/>
    <w:rsid w:val="00F76942"/>
    <w:rsid w:val="00F77999"/>
    <w:rsid w:val="00F77E87"/>
    <w:rsid w:val="00F806A9"/>
    <w:rsid w:val="00F81390"/>
    <w:rsid w:val="00F81620"/>
    <w:rsid w:val="00F8217F"/>
    <w:rsid w:val="00F8229F"/>
    <w:rsid w:val="00F83113"/>
    <w:rsid w:val="00F83392"/>
    <w:rsid w:val="00F83C22"/>
    <w:rsid w:val="00F83E61"/>
    <w:rsid w:val="00F84521"/>
    <w:rsid w:val="00F8525D"/>
    <w:rsid w:val="00F86CF5"/>
    <w:rsid w:val="00F87451"/>
    <w:rsid w:val="00F906AB"/>
    <w:rsid w:val="00F91766"/>
    <w:rsid w:val="00F91A6E"/>
    <w:rsid w:val="00F9687E"/>
    <w:rsid w:val="00F96B7D"/>
    <w:rsid w:val="00FA0537"/>
    <w:rsid w:val="00FA0852"/>
    <w:rsid w:val="00FA1D08"/>
    <w:rsid w:val="00FA25EA"/>
    <w:rsid w:val="00FA2ECA"/>
    <w:rsid w:val="00FA2FA8"/>
    <w:rsid w:val="00FA3D82"/>
    <w:rsid w:val="00FA5F04"/>
    <w:rsid w:val="00FA65E5"/>
    <w:rsid w:val="00FA6A63"/>
    <w:rsid w:val="00FB1348"/>
    <w:rsid w:val="00FB1EA0"/>
    <w:rsid w:val="00FB2144"/>
    <w:rsid w:val="00FB2DA4"/>
    <w:rsid w:val="00FB45C2"/>
    <w:rsid w:val="00FB6B51"/>
    <w:rsid w:val="00FC2786"/>
    <w:rsid w:val="00FC36CB"/>
    <w:rsid w:val="00FC3779"/>
    <w:rsid w:val="00FC3C59"/>
    <w:rsid w:val="00FC400D"/>
    <w:rsid w:val="00FC58AA"/>
    <w:rsid w:val="00FC5982"/>
    <w:rsid w:val="00FC5AC6"/>
    <w:rsid w:val="00FC6F54"/>
    <w:rsid w:val="00FC7979"/>
    <w:rsid w:val="00FC7CE2"/>
    <w:rsid w:val="00FD1489"/>
    <w:rsid w:val="00FD15A5"/>
    <w:rsid w:val="00FD2169"/>
    <w:rsid w:val="00FD245E"/>
    <w:rsid w:val="00FD24D9"/>
    <w:rsid w:val="00FD2B4A"/>
    <w:rsid w:val="00FD43CA"/>
    <w:rsid w:val="00FD4B6C"/>
    <w:rsid w:val="00FD67DB"/>
    <w:rsid w:val="00FD760A"/>
    <w:rsid w:val="00FD7C6C"/>
    <w:rsid w:val="00FE1B51"/>
    <w:rsid w:val="00FE1CB9"/>
    <w:rsid w:val="00FE54A8"/>
    <w:rsid w:val="00FE66D2"/>
    <w:rsid w:val="00FE6741"/>
    <w:rsid w:val="00FE6B1A"/>
    <w:rsid w:val="00FE730D"/>
    <w:rsid w:val="00FF06F9"/>
    <w:rsid w:val="00FF0FB4"/>
    <w:rsid w:val="00FF1A88"/>
    <w:rsid w:val="00FF2308"/>
    <w:rsid w:val="00FF257F"/>
    <w:rsid w:val="00FF2B2A"/>
    <w:rsid w:val="00FF2B97"/>
    <w:rsid w:val="00FF386C"/>
    <w:rsid w:val="00FF3AAA"/>
    <w:rsid w:val="00FF47D8"/>
    <w:rsid w:val="00FF4EE6"/>
    <w:rsid w:val="00FF683E"/>
    <w:rsid w:val="00FF6A5B"/>
    <w:rsid w:val="00FF7BBC"/>
    <w:rsid w:val="01017FB5"/>
    <w:rsid w:val="015803F3"/>
    <w:rsid w:val="016367A9"/>
    <w:rsid w:val="016875DE"/>
    <w:rsid w:val="016C105C"/>
    <w:rsid w:val="01864CAE"/>
    <w:rsid w:val="01B34A13"/>
    <w:rsid w:val="01C55B8F"/>
    <w:rsid w:val="01D225A9"/>
    <w:rsid w:val="01E812A5"/>
    <w:rsid w:val="02027F61"/>
    <w:rsid w:val="02165375"/>
    <w:rsid w:val="02362A34"/>
    <w:rsid w:val="0255131A"/>
    <w:rsid w:val="02782A75"/>
    <w:rsid w:val="028669BE"/>
    <w:rsid w:val="028E6154"/>
    <w:rsid w:val="02A616F1"/>
    <w:rsid w:val="02B16677"/>
    <w:rsid w:val="02F91254"/>
    <w:rsid w:val="02FF0E39"/>
    <w:rsid w:val="03040CCD"/>
    <w:rsid w:val="0337506D"/>
    <w:rsid w:val="03404E17"/>
    <w:rsid w:val="034C73AE"/>
    <w:rsid w:val="036C4C82"/>
    <w:rsid w:val="03A90C74"/>
    <w:rsid w:val="03C0185E"/>
    <w:rsid w:val="03C9533F"/>
    <w:rsid w:val="03D84221"/>
    <w:rsid w:val="03DA2460"/>
    <w:rsid w:val="04071017"/>
    <w:rsid w:val="0409739F"/>
    <w:rsid w:val="04114DD0"/>
    <w:rsid w:val="042957D6"/>
    <w:rsid w:val="04386532"/>
    <w:rsid w:val="046B703C"/>
    <w:rsid w:val="04810A9A"/>
    <w:rsid w:val="049F6495"/>
    <w:rsid w:val="04A55DD3"/>
    <w:rsid w:val="04BD2C91"/>
    <w:rsid w:val="05091BBF"/>
    <w:rsid w:val="050D4AAD"/>
    <w:rsid w:val="052035FD"/>
    <w:rsid w:val="05293A29"/>
    <w:rsid w:val="056720A5"/>
    <w:rsid w:val="056E3EC5"/>
    <w:rsid w:val="05802F92"/>
    <w:rsid w:val="05C24554"/>
    <w:rsid w:val="061239DA"/>
    <w:rsid w:val="062671DC"/>
    <w:rsid w:val="06410935"/>
    <w:rsid w:val="066936FF"/>
    <w:rsid w:val="06C03FCE"/>
    <w:rsid w:val="06F85D5A"/>
    <w:rsid w:val="071378F5"/>
    <w:rsid w:val="076D5427"/>
    <w:rsid w:val="07731EDA"/>
    <w:rsid w:val="07752148"/>
    <w:rsid w:val="078B6A16"/>
    <w:rsid w:val="07932DB2"/>
    <w:rsid w:val="07A92931"/>
    <w:rsid w:val="07B64EF2"/>
    <w:rsid w:val="07B97C0C"/>
    <w:rsid w:val="07D77390"/>
    <w:rsid w:val="08423CCF"/>
    <w:rsid w:val="08550ADC"/>
    <w:rsid w:val="085B6E5F"/>
    <w:rsid w:val="08766021"/>
    <w:rsid w:val="087E55D4"/>
    <w:rsid w:val="0886050C"/>
    <w:rsid w:val="08A912EA"/>
    <w:rsid w:val="08B0597F"/>
    <w:rsid w:val="08EA4605"/>
    <w:rsid w:val="08FB6ACC"/>
    <w:rsid w:val="090A7197"/>
    <w:rsid w:val="090B4468"/>
    <w:rsid w:val="09444942"/>
    <w:rsid w:val="09536CE2"/>
    <w:rsid w:val="09587F5E"/>
    <w:rsid w:val="095B3317"/>
    <w:rsid w:val="09623EF2"/>
    <w:rsid w:val="096D30CF"/>
    <w:rsid w:val="097662B8"/>
    <w:rsid w:val="09906FBF"/>
    <w:rsid w:val="09932A1B"/>
    <w:rsid w:val="09EC4E9A"/>
    <w:rsid w:val="0A2B3E51"/>
    <w:rsid w:val="0A2B7F73"/>
    <w:rsid w:val="0A327048"/>
    <w:rsid w:val="0A4038E0"/>
    <w:rsid w:val="0A541832"/>
    <w:rsid w:val="0A64281B"/>
    <w:rsid w:val="0A835F27"/>
    <w:rsid w:val="0A8565D3"/>
    <w:rsid w:val="0A97493E"/>
    <w:rsid w:val="0AB715F7"/>
    <w:rsid w:val="0AC8583F"/>
    <w:rsid w:val="0B0D7FE5"/>
    <w:rsid w:val="0B15387F"/>
    <w:rsid w:val="0B5935F0"/>
    <w:rsid w:val="0B6642A6"/>
    <w:rsid w:val="0B74787A"/>
    <w:rsid w:val="0B93264E"/>
    <w:rsid w:val="0B986BA8"/>
    <w:rsid w:val="0BC11263"/>
    <w:rsid w:val="0BC678F4"/>
    <w:rsid w:val="0BD96283"/>
    <w:rsid w:val="0BDA5AF1"/>
    <w:rsid w:val="0BDC010B"/>
    <w:rsid w:val="0BED7F86"/>
    <w:rsid w:val="0BF367A9"/>
    <w:rsid w:val="0C510802"/>
    <w:rsid w:val="0C5C3990"/>
    <w:rsid w:val="0C9A5A67"/>
    <w:rsid w:val="0D1260BC"/>
    <w:rsid w:val="0D3F2706"/>
    <w:rsid w:val="0D542D4A"/>
    <w:rsid w:val="0D6B1BDB"/>
    <w:rsid w:val="0D817E81"/>
    <w:rsid w:val="0D9C032D"/>
    <w:rsid w:val="0DAF4280"/>
    <w:rsid w:val="0DE23A56"/>
    <w:rsid w:val="0DE71554"/>
    <w:rsid w:val="0DFA753B"/>
    <w:rsid w:val="0E076AE9"/>
    <w:rsid w:val="0E421E9F"/>
    <w:rsid w:val="0E6352A9"/>
    <w:rsid w:val="0E8A38D7"/>
    <w:rsid w:val="0EAF2698"/>
    <w:rsid w:val="0EBD3DC2"/>
    <w:rsid w:val="0EF75F06"/>
    <w:rsid w:val="0F0240D5"/>
    <w:rsid w:val="0F0B4575"/>
    <w:rsid w:val="0F126346"/>
    <w:rsid w:val="0F3D22EA"/>
    <w:rsid w:val="0F410888"/>
    <w:rsid w:val="0F4B0B20"/>
    <w:rsid w:val="0F512D6C"/>
    <w:rsid w:val="0F542C0B"/>
    <w:rsid w:val="0F6C7CDA"/>
    <w:rsid w:val="0F7718EE"/>
    <w:rsid w:val="0FB924B8"/>
    <w:rsid w:val="0FC10A69"/>
    <w:rsid w:val="0FCC1533"/>
    <w:rsid w:val="0FE031BB"/>
    <w:rsid w:val="0FF73288"/>
    <w:rsid w:val="103560D2"/>
    <w:rsid w:val="10676E85"/>
    <w:rsid w:val="10A15EB8"/>
    <w:rsid w:val="10A803F8"/>
    <w:rsid w:val="10B81047"/>
    <w:rsid w:val="10D33C73"/>
    <w:rsid w:val="10E03F70"/>
    <w:rsid w:val="10E55ACF"/>
    <w:rsid w:val="10EA06C6"/>
    <w:rsid w:val="11025A9A"/>
    <w:rsid w:val="11272C03"/>
    <w:rsid w:val="113611C5"/>
    <w:rsid w:val="11551805"/>
    <w:rsid w:val="11624886"/>
    <w:rsid w:val="11663B15"/>
    <w:rsid w:val="11854C1C"/>
    <w:rsid w:val="11870049"/>
    <w:rsid w:val="11B87EE0"/>
    <w:rsid w:val="11B968D1"/>
    <w:rsid w:val="11EE543D"/>
    <w:rsid w:val="11FA23A8"/>
    <w:rsid w:val="12095C1C"/>
    <w:rsid w:val="120D4BB9"/>
    <w:rsid w:val="12176AF0"/>
    <w:rsid w:val="12843EF9"/>
    <w:rsid w:val="129675E6"/>
    <w:rsid w:val="12A80CE4"/>
    <w:rsid w:val="12B36E39"/>
    <w:rsid w:val="12D36D20"/>
    <w:rsid w:val="12D90C47"/>
    <w:rsid w:val="12DB1AA8"/>
    <w:rsid w:val="12EA5CBC"/>
    <w:rsid w:val="12F37483"/>
    <w:rsid w:val="13043ED4"/>
    <w:rsid w:val="132052BC"/>
    <w:rsid w:val="132717F8"/>
    <w:rsid w:val="132C1521"/>
    <w:rsid w:val="13AE5522"/>
    <w:rsid w:val="13B801BA"/>
    <w:rsid w:val="13BA3578"/>
    <w:rsid w:val="13CF24C7"/>
    <w:rsid w:val="13F21EF0"/>
    <w:rsid w:val="13F55F47"/>
    <w:rsid w:val="13FB7CB1"/>
    <w:rsid w:val="1403461B"/>
    <w:rsid w:val="142349C8"/>
    <w:rsid w:val="143D6DFB"/>
    <w:rsid w:val="145452E5"/>
    <w:rsid w:val="148B4C81"/>
    <w:rsid w:val="14D230EC"/>
    <w:rsid w:val="14EB1883"/>
    <w:rsid w:val="15053359"/>
    <w:rsid w:val="15074C28"/>
    <w:rsid w:val="150B4413"/>
    <w:rsid w:val="15342FF4"/>
    <w:rsid w:val="15372973"/>
    <w:rsid w:val="154272B5"/>
    <w:rsid w:val="156D05FC"/>
    <w:rsid w:val="159A5456"/>
    <w:rsid w:val="15CF287D"/>
    <w:rsid w:val="15D63BFD"/>
    <w:rsid w:val="15DC5609"/>
    <w:rsid w:val="15EE3AFE"/>
    <w:rsid w:val="15EF5D0A"/>
    <w:rsid w:val="15FB56D6"/>
    <w:rsid w:val="16361B0A"/>
    <w:rsid w:val="163B20BE"/>
    <w:rsid w:val="169C4E56"/>
    <w:rsid w:val="16A950A8"/>
    <w:rsid w:val="16B329A8"/>
    <w:rsid w:val="16B53EAE"/>
    <w:rsid w:val="16BE50DE"/>
    <w:rsid w:val="16FE00C6"/>
    <w:rsid w:val="17095CC7"/>
    <w:rsid w:val="1732467E"/>
    <w:rsid w:val="174258ED"/>
    <w:rsid w:val="175A2E64"/>
    <w:rsid w:val="17716253"/>
    <w:rsid w:val="177A6E5F"/>
    <w:rsid w:val="17896CFA"/>
    <w:rsid w:val="17D45A8C"/>
    <w:rsid w:val="17E21328"/>
    <w:rsid w:val="17FB18BA"/>
    <w:rsid w:val="17FB2DD6"/>
    <w:rsid w:val="18123520"/>
    <w:rsid w:val="181C4222"/>
    <w:rsid w:val="182D7E75"/>
    <w:rsid w:val="184C55BE"/>
    <w:rsid w:val="185B62E4"/>
    <w:rsid w:val="188C0E28"/>
    <w:rsid w:val="189B493E"/>
    <w:rsid w:val="18BC2245"/>
    <w:rsid w:val="18E81BB0"/>
    <w:rsid w:val="18F91650"/>
    <w:rsid w:val="18FE1D0C"/>
    <w:rsid w:val="190469FF"/>
    <w:rsid w:val="191C0440"/>
    <w:rsid w:val="192B5C72"/>
    <w:rsid w:val="19532B19"/>
    <w:rsid w:val="19613133"/>
    <w:rsid w:val="196B5DCD"/>
    <w:rsid w:val="197A29D8"/>
    <w:rsid w:val="19B62935"/>
    <w:rsid w:val="19B74183"/>
    <w:rsid w:val="19F87913"/>
    <w:rsid w:val="1A0B2B00"/>
    <w:rsid w:val="1A1254D5"/>
    <w:rsid w:val="1A464DC4"/>
    <w:rsid w:val="1A70492C"/>
    <w:rsid w:val="1A777A79"/>
    <w:rsid w:val="1AD350D5"/>
    <w:rsid w:val="1AE01868"/>
    <w:rsid w:val="1AEA1F94"/>
    <w:rsid w:val="1B101607"/>
    <w:rsid w:val="1B2F60F5"/>
    <w:rsid w:val="1B335E06"/>
    <w:rsid w:val="1B3E6618"/>
    <w:rsid w:val="1B492643"/>
    <w:rsid w:val="1BC62C6F"/>
    <w:rsid w:val="1BED218B"/>
    <w:rsid w:val="1C570DF8"/>
    <w:rsid w:val="1C6108BB"/>
    <w:rsid w:val="1C7E1E02"/>
    <w:rsid w:val="1CA848A1"/>
    <w:rsid w:val="1CAA22AB"/>
    <w:rsid w:val="1CDD7500"/>
    <w:rsid w:val="1CE005C0"/>
    <w:rsid w:val="1CE354ED"/>
    <w:rsid w:val="1CE576F2"/>
    <w:rsid w:val="1CFB75A6"/>
    <w:rsid w:val="1D1C03D7"/>
    <w:rsid w:val="1D4D3358"/>
    <w:rsid w:val="1D581142"/>
    <w:rsid w:val="1D6015F5"/>
    <w:rsid w:val="1D621892"/>
    <w:rsid w:val="1D656F74"/>
    <w:rsid w:val="1D7579CC"/>
    <w:rsid w:val="1D9317B9"/>
    <w:rsid w:val="1D9E6CC4"/>
    <w:rsid w:val="1DD151B5"/>
    <w:rsid w:val="1DE04BB8"/>
    <w:rsid w:val="1E2E61DF"/>
    <w:rsid w:val="1E54580E"/>
    <w:rsid w:val="1E757AD8"/>
    <w:rsid w:val="1EAD6E8E"/>
    <w:rsid w:val="1EB83BF5"/>
    <w:rsid w:val="1EFB6814"/>
    <w:rsid w:val="1F0032CD"/>
    <w:rsid w:val="1F1719EE"/>
    <w:rsid w:val="1F335FF9"/>
    <w:rsid w:val="1F3F0A29"/>
    <w:rsid w:val="1F572B28"/>
    <w:rsid w:val="1F5F1E04"/>
    <w:rsid w:val="1F723023"/>
    <w:rsid w:val="1F730F71"/>
    <w:rsid w:val="1F7E179E"/>
    <w:rsid w:val="1F80200B"/>
    <w:rsid w:val="1F964275"/>
    <w:rsid w:val="1F9A00E9"/>
    <w:rsid w:val="1FA70684"/>
    <w:rsid w:val="1FB22198"/>
    <w:rsid w:val="1FB42B93"/>
    <w:rsid w:val="1FC83696"/>
    <w:rsid w:val="1FCC3ECC"/>
    <w:rsid w:val="200377F1"/>
    <w:rsid w:val="20135EB8"/>
    <w:rsid w:val="202B25F8"/>
    <w:rsid w:val="202C389D"/>
    <w:rsid w:val="2091347B"/>
    <w:rsid w:val="209C5FEB"/>
    <w:rsid w:val="20FB50A8"/>
    <w:rsid w:val="21051386"/>
    <w:rsid w:val="213B421E"/>
    <w:rsid w:val="214F456C"/>
    <w:rsid w:val="215060E1"/>
    <w:rsid w:val="215F0650"/>
    <w:rsid w:val="21630DBA"/>
    <w:rsid w:val="217B17CC"/>
    <w:rsid w:val="21C328F3"/>
    <w:rsid w:val="21CC533A"/>
    <w:rsid w:val="21DB2DD3"/>
    <w:rsid w:val="21E51107"/>
    <w:rsid w:val="22506514"/>
    <w:rsid w:val="22770D6A"/>
    <w:rsid w:val="228E60BF"/>
    <w:rsid w:val="22935B46"/>
    <w:rsid w:val="22961598"/>
    <w:rsid w:val="22D73079"/>
    <w:rsid w:val="22E22C59"/>
    <w:rsid w:val="23467316"/>
    <w:rsid w:val="234D3929"/>
    <w:rsid w:val="23541932"/>
    <w:rsid w:val="23602040"/>
    <w:rsid w:val="23826133"/>
    <w:rsid w:val="239D5DF0"/>
    <w:rsid w:val="23DC536C"/>
    <w:rsid w:val="23EA5CB9"/>
    <w:rsid w:val="240D352F"/>
    <w:rsid w:val="24837404"/>
    <w:rsid w:val="24922D42"/>
    <w:rsid w:val="24927187"/>
    <w:rsid w:val="24A50D63"/>
    <w:rsid w:val="24B41DC8"/>
    <w:rsid w:val="24B527D7"/>
    <w:rsid w:val="24B578FA"/>
    <w:rsid w:val="24D276CB"/>
    <w:rsid w:val="24EC172E"/>
    <w:rsid w:val="25585952"/>
    <w:rsid w:val="2575528E"/>
    <w:rsid w:val="25900048"/>
    <w:rsid w:val="25A45A3C"/>
    <w:rsid w:val="25A4761E"/>
    <w:rsid w:val="25BF622B"/>
    <w:rsid w:val="25E12785"/>
    <w:rsid w:val="25F41480"/>
    <w:rsid w:val="2613318A"/>
    <w:rsid w:val="26151600"/>
    <w:rsid w:val="262B5DD3"/>
    <w:rsid w:val="26581E6E"/>
    <w:rsid w:val="269303EE"/>
    <w:rsid w:val="26AF1BEB"/>
    <w:rsid w:val="26B54B63"/>
    <w:rsid w:val="26C7354E"/>
    <w:rsid w:val="26CA7391"/>
    <w:rsid w:val="2709690F"/>
    <w:rsid w:val="271946A1"/>
    <w:rsid w:val="271F7879"/>
    <w:rsid w:val="27283F67"/>
    <w:rsid w:val="27393819"/>
    <w:rsid w:val="2739606C"/>
    <w:rsid w:val="273D3222"/>
    <w:rsid w:val="27404151"/>
    <w:rsid w:val="2759419E"/>
    <w:rsid w:val="27776039"/>
    <w:rsid w:val="277C6962"/>
    <w:rsid w:val="27933B92"/>
    <w:rsid w:val="27B25551"/>
    <w:rsid w:val="27CC0C79"/>
    <w:rsid w:val="27CC1648"/>
    <w:rsid w:val="280129D7"/>
    <w:rsid w:val="28046835"/>
    <w:rsid w:val="280744DD"/>
    <w:rsid w:val="280E7F65"/>
    <w:rsid w:val="280F62B1"/>
    <w:rsid w:val="284875C5"/>
    <w:rsid w:val="2861255C"/>
    <w:rsid w:val="286C493A"/>
    <w:rsid w:val="28A0271E"/>
    <w:rsid w:val="28E229A0"/>
    <w:rsid w:val="28EE32A4"/>
    <w:rsid w:val="28EE54FE"/>
    <w:rsid w:val="29084ACB"/>
    <w:rsid w:val="29176FB2"/>
    <w:rsid w:val="292E7DEF"/>
    <w:rsid w:val="29352E54"/>
    <w:rsid w:val="29547BC4"/>
    <w:rsid w:val="29560D11"/>
    <w:rsid w:val="29583C63"/>
    <w:rsid w:val="296733FA"/>
    <w:rsid w:val="29827582"/>
    <w:rsid w:val="298753F5"/>
    <w:rsid w:val="299C6CB5"/>
    <w:rsid w:val="29AC16E3"/>
    <w:rsid w:val="29AE1F6A"/>
    <w:rsid w:val="29AF2C50"/>
    <w:rsid w:val="29C3093C"/>
    <w:rsid w:val="29D94976"/>
    <w:rsid w:val="2A223EAC"/>
    <w:rsid w:val="2A474E87"/>
    <w:rsid w:val="2A502E1B"/>
    <w:rsid w:val="2A75021C"/>
    <w:rsid w:val="2AD013C9"/>
    <w:rsid w:val="2ADF35A1"/>
    <w:rsid w:val="2AE45309"/>
    <w:rsid w:val="2AFA300F"/>
    <w:rsid w:val="2B4E79D6"/>
    <w:rsid w:val="2B887FAF"/>
    <w:rsid w:val="2B9B4238"/>
    <w:rsid w:val="2C134AEF"/>
    <w:rsid w:val="2C253621"/>
    <w:rsid w:val="2C49107F"/>
    <w:rsid w:val="2C6150EC"/>
    <w:rsid w:val="2C6C1E69"/>
    <w:rsid w:val="2C787A0A"/>
    <w:rsid w:val="2C8D45AA"/>
    <w:rsid w:val="2C8F140A"/>
    <w:rsid w:val="2C920118"/>
    <w:rsid w:val="2CC275EE"/>
    <w:rsid w:val="2CC610BB"/>
    <w:rsid w:val="2CCC7A2F"/>
    <w:rsid w:val="2CFE5A16"/>
    <w:rsid w:val="2D21013D"/>
    <w:rsid w:val="2D4820A2"/>
    <w:rsid w:val="2D4E158F"/>
    <w:rsid w:val="2D71574D"/>
    <w:rsid w:val="2DA61CF4"/>
    <w:rsid w:val="2DBC3E98"/>
    <w:rsid w:val="2DCD08D2"/>
    <w:rsid w:val="2E046913"/>
    <w:rsid w:val="2E4A005C"/>
    <w:rsid w:val="2E526BC2"/>
    <w:rsid w:val="2E8305FF"/>
    <w:rsid w:val="2E8D4481"/>
    <w:rsid w:val="2E986CFE"/>
    <w:rsid w:val="2EC75549"/>
    <w:rsid w:val="2ED77D86"/>
    <w:rsid w:val="2EDF7472"/>
    <w:rsid w:val="2EE029D9"/>
    <w:rsid w:val="2EEC200B"/>
    <w:rsid w:val="2F0D19CE"/>
    <w:rsid w:val="2F1500AB"/>
    <w:rsid w:val="2F172EC5"/>
    <w:rsid w:val="2F1C72FC"/>
    <w:rsid w:val="2F2B16E7"/>
    <w:rsid w:val="2F8D2746"/>
    <w:rsid w:val="2FA05C1F"/>
    <w:rsid w:val="2FA3501B"/>
    <w:rsid w:val="2FA64CBD"/>
    <w:rsid w:val="2FA7374A"/>
    <w:rsid w:val="2FC4512F"/>
    <w:rsid w:val="2FD278EA"/>
    <w:rsid w:val="2FD722A4"/>
    <w:rsid w:val="2FE774D1"/>
    <w:rsid w:val="2FEF6C8D"/>
    <w:rsid w:val="305F56A6"/>
    <w:rsid w:val="307E16F4"/>
    <w:rsid w:val="30906EF6"/>
    <w:rsid w:val="309A0B18"/>
    <w:rsid w:val="30A54307"/>
    <w:rsid w:val="30B63EEC"/>
    <w:rsid w:val="31087BF7"/>
    <w:rsid w:val="313410AA"/>
    <w:rsid w:val="313D4661"/>
    <w:rsid w:val="31476971"/>
    <w:rsid w:val="3149611E"/>
    <w:rsid w:val="315423FA"/>
    <w:rsid w:val="31947902"/>
    <w:rsid w:val="31C70184"/>
    <w:rsid w:val="31D0645F"/>
    <w:rsid w:val="31E43451"/>
    <w:rsid w:val="31E65BD3"/>
    <w:rsid w:val="31E85DFB"/>
    <w:rsid w:val="31F40A62"/>
    <w:rsid w:val="32085EEA"/>
    <w:rsid w:val="320A1B3D"/>
    <w:rsid w:val="320F059C"/>
    <w:rsid w:val="322335E5"/>
    <w:rsid w:val="322C2F30"/>
    <w:rsid w:val="326F27DC"/>
    <w:rsid w:val="327A6A63"/>
    <w:rsid w:val="327E71DC"/>
    <w:rsid w:val="32843DF1"/>
    <w:rsid w:val="328A6951"/>
    <w:rsid w:val="32946C41"/>
    <w:rsid w:val="32FB4BE9"/>
    <w:rsid w:val="32FD0716"/>
    <w:rsid w:val="33594209"/>
    <w:rsid w:val="336E7D71"/>
    <w:rsid w:val="33A61576"/>
    <w:rsid w:val="33C15A9D"/>
    <w:rsid w:val="33CE43C5"/>
    <w:rsid w:val="33E2761E"/>
    <w:rsid w:val="33ED0162"/>
    <w:rsid w:val="33F758D1"/>
    <w:rsid w:val="340F40E3"/>
    <w:rsid w:val="348770F8"/>
    <w:rsid w:val="34AC5E26"/>
    <w:rsid w:val="34D47520"/>
    <w:rsid w:val="34E46DD3"/>
    <w:rsid w:val="34E6283D"/>
    <w:rsid w:val="350E6DA3"/>
    <w:rsid w:val="35163620"/>
    <w:rsid w:val="35A3323F"/>
    <w:rsid w:val="35A57D75"/>
    <w:rsid w:val="35DC5DA7"/>
    <w:rsid w:val="35E20347"/>
    <w:rsid w:val="35EF23E4"/>
    <w:rsid w:val="35FA58A0"/>
    <w:rsid w:val="36255FB7"/>
    <w:rsid w:val="36292D10"/>
    <w:rsid w:val="363D610B"/>
    <w:rsid w:val="36413175"/>
    <w:rsid w:val="3669388C"/>
    <w:rsid w:val="366F2379"/>
    <w:rsid w:val="367869D2"/>
    <w:rsid w:val="367C1606"/>
    <w:rsid w:val="36B56003"/>
    <w:rsid w:val="36C52477"/>
    <w:rsid w:val="36D4634A"/>
    <w:rsid w:val="36DC5B61"/>
    <w:rsid w:val="36E35581"/>
    <w:rsid w:val="3715036C"/>
    <w:rsid w:val="372B426A"/>
    <w:rsid w:val="373911CF"/>
    <w:rsid w:val="37482116"/>
    <w:rsid w:val="376A4D85"/>
    <w:rsid w:val="37704D44"/>
    <w:rsid w:val="37791B81"/>
    <w:rsid w:val="378B76CC"/>
    <w:rsid w:val="379342EE"/>
    <w:rsid w:val="379E2504"/>
    <w:rsid w:val="37B56AE5"/>
    <w:rsid w:val="37BD3B90"/>
    <w:rsid w:val="37C87E10"/>
    <w:rsid w:val="37D231F3"/>
    <w:rsid w:val="37E42F24"/>
    <w:rsid w:val="37EF6FFF"/>
    <w:rsid w:val="37F00FC5"/>
    <w:rsid w:val="38124733"/>
    <w:rsid w:val="38174025"/>
    <w:rsid w:val="38460B75"/>
    <w:rsid w:val="38C04A2B"/>
    <w:rsid w:val="391332E6"/>
    <w:rsid w:val="39420DA8"/>
    <w:rsid w:val="39551F40"/>
    <w:rsid w:val="396E7FD8"/>
    <w:rsid w:val="398F4E35"/>
    <w:rsid w:val="399B22FD"/>
    <w:rsid w:val="39AE22AB"/>
    <w:rsid w:val="39B8452F"/>
    <w:rsid w:val="39C51092"/>
    <w:rsid w:val="39D8321D"/>
    <w:rsid w:val="39F6604A"/>
    <w:rsid w:val="3A063F42"/>
    <w:rsid w:val="3A1200F9"/>
    <w:rsid w:val="3A4B7EC8"/>
    <w:rsid w:val="3A7C7AEB"/>
    <w:rsid w:val="3A8123ED"/>
    <w:rsid w:val="3A847FC8"/>
    <w:rsid w:val="3AB47011"/>
    <w:rsid w:val="3AC457DD"/>
    <w:rsid w:val="3AC93C11"/>
    <w:rsid w:val="3ACD2686"/>
    <w:rsid w:val="3ADC4430"/>
    <w:rsid w:val="3AFA4DFF"/>
    <w:rsid w:val="3B01033F"/>
    <w:rsid w:val="3B4433D7"/>
    <w:rsid w:val="3B4A5732"/>
    <w:rsid w:val="3B5516BD"/>
    <w:rsid w:val="3B556C7B"/>
    <w:rsid w:val="3B613F8C"/>
    <w:rsid w:val="3B633E36"/>
    <w:rsid w:val="3B89663D"/>
    <w:rsid w:val="3B8E47F4"/>
    <w:rsid w:val="3BA21668"/>
    <w:rsid w:val="3BE732DF"/>
    <w:rsid w:val="3BEC39B5"/>
    <w:rsid w:val="3C0B183B"/>
    <w:rsid w:val="3C233025"/>
    <w:rsid w:val="3C3F2298"/>
    <w:rsid w:val="3C4022A1"/>
    <w:rsid w:val="3C4E3481"/>
    <w:rsid w:val="3C6A2522"/>
    <w:rsid w:val="3C845BB1"/>
    <w:rsid w:val="3C8619D8"/>
    <w:rsid w:val="3CBB7CB3"/>
    <w:rsid w:val="3CBF5AFE"/>
    <w:rsid w:val="3CD50896"/>
    <w:rsid w:val="3CDE1357"/>
    <w:rsid w:val="3CDF2D1F"/>
    <w:rsid w:val="3CE10208"/>
    <w:rsid w:val="3CEF7621"/>
    <w:rsid w:val="3CF727B5"/>
    <w:rsid w:val="3D1B482A"/>
    <w:rsid w:val="3D485319"/>
    <w:rsid w:val="3D5866E5"/>
    <w:rsid w:val="3D5F768E"/>
    <w:rsid w:val="3D7171BB"/>
    <w:rsid w:val="3D8B00CB"/>
    <w:rsid w:val="3D945D40"/>
    <w:rsid w:val="3DE17755"/>
    <w:rsid w:val="3DE96EC7"/>
    <w:rsid w:val="3E011EC6"/>
    <w:rsid w:val="3E111C8C"/>
    <w:rsid w:val="3E841C59"/>
    <w:rsid w:val="3EAD5C3B"/>
    <w:rsid w:val="3ED56E3D"/>
    <w:rsid w:val="3EF828EF"/>
    <w:rsid w:val="3F116342"/>
    <w:rsid w:val="3F1C69C9"/>
    <w:rsid w:val="3F292D30"/>
    <w:rsid w:val="3F2F41CE"/>
    <w:rsid w:val="3F3F4A5A"/>
    <w:rsid w:val="3F7C31EA"/>
    <w:rsid w:val="3F830750"/>
    <w:rsid w:val="3F912D81"/>
    <w:rsid w:val="3FAB2584"/>
    <w:rsid w:val="3FB719AB"/>
    <w:rsid w:val="3FC741B0"/>
    <w:rsid w:val="3FD055D7"/>
    <w:rsid w:val="3FDF3D15"/>
    <w:rsid w:val="3FEA00DC"/>
    <w:rsid w:val="40297384"/>
    <w:rsid w:val="40337EAD"/>
    <w:rsid w:val="40442A93"/>
    <w:rsid w:val="404460EA"/>
    <w:rsid w:val="4048144F"/>
    <w:rsid w:val="40542142"/>
    <w:rsid w:val="40564FBC"/>
    <w:rsid w:val="40645CC5"/>
    <w:rsid w:val="407A4354"/>
    <w:rsid w:val="40A019AE"/>
    <w:rsid w:val="40A95B0B"/>
    <w:rsid w:val="40E8556B"/>
    <w:rsid w:val="40E86709"/>
    <w:rsid w:val="40F45376"/>
    <w:rsid w:val="410C6BB5"/>
    <w:rsid w:val="412A691E"/>
    <w:rsid w:val="4158026D"/>
    <w:rsid w:val="4167063B"/>
    <w:rsid w:val="416F7CCF"/>
    <w:rsid w:val="41815D2F"/>
    <w:rsid w:val="419747DD"/>
    <w:rsid w:val="41CF3183"/>
    <w:rsid w:val="41F0685E"/>
    <w:rsid w:val="42137847"/>
    <w:rsid w:val="4248097F"/>
    <w:rsid w:val="4254643D"/>
    <w:rsid w:val="42642DA8"/>
    <w:rsid w:val="426C4306"/>
    <w:rsid w:val="42973E05"/>
    <w:rsid w:val="429C4E56"/>
    <w:rsid w:val="42AC04D0"/>
    <w:rsid w:val="42B01E94"/>
    <w:rsid w:val="42CF7B25"/>
    <w:rsid w:val="42D00296"/>
    <w:rsid w:val="42FB7EAC"/>
    <w:rsid w:val="430C1F60"/>
    <w:rsid w:val="43124DB2"/>
    <w:rsid w:val="432043B2"/>
    <w:rsid w:val="43565924"/>
    <w:rsid w:val="438A1CC5"/>
    <w:rsid w:val="439422FD"/>
    <w:rsid w:val="43AD097E"/>
    <w:rsid w:val="43BE3BFD"/>
    <w:rsid w:val="43C425E1"/>
    <w:rsid w:val="43D11EA5"/>
    <w:rsid w:val="4401470C"/>
    <w:rsid w:val="440A0AC3"/>
    <w:rsid w:val="44107720"/>
    <w:rsid w:val="442004C9"/>
    <w:rsid w:val="4427562F"/>
    <w:rsid w:val="445A306B"/>
    <w:rsid w:val="44656D1B"/>
    <w:rsid w:val="44673E2A"/>
    <w:rsid w:val="447B1B50"/>
    <w:rsid w:val="44824EB1"/>
    <w:rsid w:val="448E087A"/>
    <w:rsid w:val="44931256"/>
    <w:rsid w:val="449D1AC2"/>
    <w:rsid w:val="449F0D83"/>
    <w:rsid w:val="44F427EA"/>
    <w:rsid w:val="45284074"/>
    <w:rsid w:val="453C62BB"/>
    <w:rsid w:val="45631DE6"/>
    <w:rsid w:val="45642789"/>
    <w:rsid w:val="45792FB7"/>
    <w:rsid w:val="457B724C"/>
    <w:rsid w:val="45CD2D28"/>
    <w:rsid w:val="45F92A29"/>
    <w:rsid w:val="46011FAD"/>
    <w:rsid w:val="460F447D"/>
    <w:rsid w:val="462A10E3"/>
    <w:rsid w:val="465902CA"/>
    <w:rsid w:val="465B6787"/>
    <w:rsid w:val="468B10F1"/>
    <w:rsid w:val="46AE1456"/>
    <w:rsid w:val="46B57E51"/>
    <w:rsid w:val="46BB3473"/>
    <w:rsid w:val="46C70800"/>
    <w:rsid w:val="46C82767"/>
    <w:rsid w:val="46CD39B0"/>
    <w:rsid w:val="46E47A3F"/>
    <w:rsid w:val="46EE3A7C"/>
    <w:rsid w:val="470027C1"/>
    <w:rsid w:val="47372FE6"/>
    <w:rsid w:val="473D6C2B"/>
    <w:rsid w:val="474F1B0E"/>
    <w:rsid w:val="4762324D"/>
    <w:rsid w:val="47707C9B"/>
    <w:rsid w:val="477A1D28"/>
    <w:rsid w:val="47894D42"/>
    <w:rsid w:val="47A151B7"/>
    <w:rsid w:val="47AE02B5"/>
    <w:rsid w:val="47AF4916"/>
    <w:rsid w:val="47BF466E"/>
    <w:rsid w:val="47C5589D"/>
    <w:rsid w:val="47D472D7"/>
    <w:rsid w:val="47E84547"/>
    <w:rsid w:val="47FC6227"/>
    <w:rsid w:val="47FE172A"/>
    <w:rsid w:val="481B4DB8"/>
    <w:rsid w:val="48364A31"/>
    <w:rsid w:val="483A7F05"/>
    <w:rsid w:val="48730FBE"/>
    <w:rsid w:val="48912E94"/>
    <w:rsid w:val="4894287D"/>
    <w:rsid w:val="48B426E0"/>
    <w:rsid w:val="48B71520"/>
    <w:rsid w:val="48D00057"/>
    <w:rsid w:val="48D3260F"/>
    <w:rsid w:val="48F65A43"/>
    <w:rsid w:val="490E5F3F"/>
    <w:rsid w:val="49684D62"/>
    <w:rsid w:val="49744B32"/>
    <w:rsid w:val="497E637F"/>
    <w:rsid w:val="49DE4E36"/>
    <w:rsid w:val="49E44D8A"/>
    <w:rsid w:val="49EC5FF4"/>
    <w:rsid w:val="4A322099"/>
    <w:rsid w:val="4A3F7193"/>
    <w:rsid w:val="4A4051EF"/>
    <w:rsid w:val="4A495D2D"/>
    <w:rsid w:val="4A5F29EB"/>
    <w:rsid w:val="4A6D3679"/>
    <w:rsid w:val="4A946169"/>
    <w:rsid w:val="4A98226A"/>
    <w:rsid w:val="4AAA28D2"/>
    <w:rsid w:val="4AB321D7"/>
    <w:rsid w:val="4ABA6D48"/>
    <w:rsid w:val="4AC25FBF"/>
    <w:rsid w:val="4AC77C0A"/>
    <w:rsid w:val="4AD8290A"/>
    <w:rsid w:val="4ADE1D62"/>
    <w:rsid w:val="4AE73971"/>
    <w:rsid w:val="4AF24623"/>
    <w:rsid w:val="4AF272EA"/>
    <w:rsid w:val="4B0D79C2"/>
    <w:rsid w:val="4B562561"/>
    <w:rsid w:val="4B707B5B"/>
    <w:rsid w:val="4B755BA3"/>
    <w:rsid w:val="4B8078D6"/>
    <w:rsid w:val="4B82457B"/>
    <w:rsid w:val="4B957D14"/>
    <w:rsid w:val="4B9A0055"/>
    <w:rsid w:val="4B9E69A7"/>
    <w:rsid w:val="4BAE1441"/>
    <w:rsid w:val="4BDD6368"/>
    <w:rsid w:val="4BEE4095"/>
    <w:rsid w:val="4BEF5A8E"/>
    <w:rsid w:val="4BF609DF"/>
    <w:rsid w:val="4C1F543B"/>
    <w:rsid w:val="4C245667"/>
    <w:rsid w:val="4C3322B6"/>
    <w:rsid w:val="4C421A8A"/>
    <w:rsid w:val="4C576F06"/>
    <w:rsid w:val="4C585B7F"/>
    <w:rsid w:val="4C6C695F"/>
    <w:rsid w:val="4C9B7DC6"/>
    <w:rsid w:val="4CD20D18"/>
    <w:rsid w:val="4D247B5D"/>
    <w:rsid w:val="4D2B4061"/>
    <w:rsid w:val="4D5F7F2E"/>
    <w:rsid w:val="4D6A4931"/>
    <w:rsid w:val="4D6D76B7"/>
    <w:rsid w:val="4D76426C"/>
    <w:rsid w:val="4DA43BD6"/>
    <w:rsid w:val="4DB26FA3"/>
    <w:rsid w:val="4DB47654"/>
    <w:rsid w:val="4DC63991"/>
    <w:rsid w:val="4DC73B97"/>
    <w:rsid w:val="4DD5793A"/>
    <w:rsid w:val="4DE133B8"/>
    <w:rsid w:val="4DF34243"/>
    <w:rsid w:val="4DF64214"/>
    <w:rsid w:val="4E065892"/>
    <w:rsid w:val="4E1336D6"/>
    <w:rsid w:val="4E5827B1"/>
    <w:rsid w:val="4E5D6199"/>
    <w:rsid w:val="4E76155D"/>
    <w:rsid w:val="4E783B48"/>
    <w:rsid w:val="4E7A3786"/>
    <w:rsid w:val="4E833A0E"/>
    <w:rsid w:val="4EF43555"/>
    <w:rsid w:val="4F2C3E65"/>
    <w:rsid w:val="4F5C5A81"/>
    <w:rsid w:val="4F7877CC"/>
    <w:rsid w:val="4FD97D15"/>
    <w:rsid w:val="4FE24E60"/>
    <w:rsid w:val="501837B0"/>
    <w:rsid w:val="50207E94"/>
    <w:rsid w:val="502C47EB"/>
    <w:rsid w:val="505165ED"/>
    <w:rsid w:val="5095367D"/>
    <w:rsid w:val="50FC643B"/>
    <w:rsid w:val="51180D50"/>
    <w:rsid w:val="514D20B1"/>
    <w:rsid w:val="516A7666"/>
    <w:rsid w:val="519B7108"/>
    <w:rsid w:val="51A41BF4"/>
    <w:rsid w:val="51B040E5"/>
    <w:rsid w:val="51C43505"/>
    <w:rsid w:val="51C82BFD"/>
    <w:rsid w:val="51D84EF3"/>
    <w:rsid w:val="51DF4501"/>
    <w:rsid w:val="5233158F"/>
    <w:rsid w:val="52617B9A"/>
    <w:rsid w:val="527B3ECE"/>
    <w:rsid w:val="52A56F95"/>
    <w:rsid w:val="52C73564"/>
    <w:rsid w:val="52E30177"/>
    <w:rsid w:val="52F05286"/>
    <w:rsid w:val="5306714B"/>
    <w:rsid w:val="530E1B3F"/>
    <w:rsid w:val="531C52ED"/>
    <w:rsid w:val="533E5A53"/>
    <w:rsid w:val="53417F4F"/>
    <w:rsid w:val="535C1CA7"/>
    <w:rsid w:val="536E3862"/>
    <w:rsid w:val="538667A7"/>
    <w:rsid w:val="538D3D92"/>
    <w:rsid w:val="53A4550B"/>
    <w:rsid w:val="53E97734"/>
    <w:rsid w:val="53EF05FD"/>
    <w:rsid w:val="546B0C3E"/>
    <w:rsid w:val="549402BD"/>
    <w:rsid w:val="54984B35"/>
    <w:rsid w:val="549A2529"/>
    <w:rsid w:val="54DE034A"/>
    <w:rsid w:val="54E167E0"/>
    <w:rsid w:val="54EC2723"/>
    <w:rsid w:val="550C0DEA"/>
    <w:rsid w:val="5514217D"/>
    <w:rsid w:val="555B0AE3"/>
    <w:rsid w:val="555B464C"/>
    <w:rsid w:val="556044B1"/>
    <w:rsid w:val="55833F56"/>
    <w:rsid w:val="55B151A9"/>
    <w:rsid w:val="55BB0B38"/>
    <w:rsid w:val="55BF0E11"/>
    <w:rsid w:val="55EC2B74"/>
    <w:rsid w:val="55EF0B5B"/>
    <w:rsid w:val="55FB6C6E"/>
    <w:rsid w:val="56136CDA"/>
    <w:rsid w:val="56150ED4"/>
    <w:rsid w:val="56182B77"/>
    <w:rsid w:val="563E3517"/>
    <w:rsid w:val="565020BD"/>
    <w:rsid w:val="565E5B98"/>
    <w:rsid w:val="56D67B51"/>
    <w:rsid w:val="56D70299"/>
    <w:rsid w:val="56D92CCB"/>
    <w:rsid w:val="56E03E78"/>
    <w:rsid w:val="56F31AAD"/>
    <w:rsid w:val="57052512"/>
    <w:rsid w:val="575876A2"/>
    <w:rsid w:val="576870E2"/>
    <w:rsid w:val="576E7521"/>
    <w:rsid w:val="577A118B"/>
    <w:rsid w:val="578431C6"/>
    <w:rsid w:val="579F67E1"/>
    <w:rsid w:val="57FA0857"/>
    <w:rsid w:val="583C2693"/>
    <w:rsid w:val="58657096"/>
    <w:rsid w:val="586D4764"/>
    <w:rsid w:val="58761D2A"/>
    <w:rsid w:val="58822A51"/>
    <w:rsid w:val="588B113C"/>
    <w:rsid w:val="589255DC"/>
    <w:rsid w:val="58981098"/>
    <w:rsid w:val="58A8587B"/>
    <w:rsid w:val="5901277B"/>
    <w:rsid w:val="5902066E"/>
    <w:rsid w:val="590B1266"/>
    <w:rsid w:val="590C2E65"/>
    <w:rsid w:val="592525C4"/>
    <w:rsid w:val="59321CCB"/>
    <w:rsid w:val="595A729A"/>
    <w:rsid w:val="59635CB4"/>
    <w:rsid w:val="59753409"/>
    <w:rsid w:val="598B728E"/>
    <w:rsid w:val="59975605"/>
    <w:rsid w:val="59A16768"/>
    <w:rsid w:val="59AE28B0"/>
    <w:rsid w:val="59C04B6A"/>
    <w:rsid w:val="59D44FEC"/>
    <w:rsid w:val="59D455F2"/>
    <w:rsid w:val="59E24831"/>
    <w:rsid w:val="5AC45BA6"/>
    <w:rsid w:val="5AE57691"/>
    <w:rsid w:val="5B263A9C"/>
    <w:rsid w:val="5B397FB7"/>
    <w:rsid w:val="5B3B2E2F"/>
    <w:rsid w:val="5B490CC0"/>
    <w:rsid w:val="5B640683"/>
    <w:rsid w:val="5B7641FB"/>
    <w:rsid w:val="5B775FD2"/>
    <w:rsid w:val="5B7E3700"/>
    <w:rsid w:val="5B8F66C5"/>
    <w:rsid w:val="5BEC740B"/>
    <w:rsid w:val="5C0C6BEE"/>
    <w:rsid w:val="5C0E47B4"/>
    <w:rsid w:val="5C161418"/>
    <w:rsid w:val="5C2430E7"/>
    <w:rsid w:val="5C303836"/>
    <w:rsid w:val="5C3E421A"/>
    <w:rsid w:val="5C50541C"/>
    <w:rsid w:val="5C5618F5"/>
    <w:rsid w:val="5C61281B"/>
    <w:rsid w:val="5C62269E"/>
    <w:rsid w:val="5C86060B"/>
    <w:rsid w:val="5C993F97"/>
    <w:rsid w:val="5C9C57A1"/>
    <w:rsid w:val="5C9D39DA"/>
    <w:rsid w:val="5CB669E4"/>
    <w:rsid w:val="5CF74995"/>
    <w:rsid w:val="5D070EA5"/>
    <w:rsid w:val="5D090ACA"/>
    <w:rsid w:val="5D226AF7"/>
    <w:rsid w:val="5D3033C6"/>
    <w:rsid w:val="5D433826"/>
    <w:rsid w:val="5D520FE5"/>
    <w:rsid w:val="5D6B0AB1"/>
    <w:rsid w:val="5D6E7E02"/>
    <w:rsid w:val="5D832EEF"/>
    <w:rsid w:val="5D9F6069"/>
    <w:rsid w:val="5DB659A5"/>
    <w:rsid w:val="5DE6099B"/>
    <w:rsid w:val="5E114A5B"/>
    <w:rsid w:val="5E1A7F73"/>
    <w:rsid w:val="5E2C72EB"/>
    <w:rsid w:val="5E390E1F"/>
    <w:rsid w:val="5E3D71FB"/>
    <w:rsid w:val="5E4635CA"/>
    <w:rsid w:val="5E4E7A34"/>
    <w:rsid w:val="5E51557F"/>
    <w:rsid w:val="5E584923"/>
    <w:rsid w:val="5E5F7360"/>
    <w:rsid w:val="5E6621D5"/>
    <w:rsid w:val="5E8F6FF0"/>
    <w:rsid w:val="5EA12B1C"/>
    <w:rsid w:val="5EA35790"/>
    <w:rsid w:val="5EB25A23"/>
    <w:rsid w:val="5EBF1F9E"/>
    <w:rsid w:val="5ECA3277"/>
    <w:rsid w:val="5EDC5BD0"/>
    <w:rsid w:val="5EDE66F6"/>
    <w:rsid w:val="5EDF452C"/>
    <w:rsid w:val="5EEB60D3"/>
    <w:rsid w:val="5F0071B0"/>
    <w:rsid w:val="5F094519"/>
    <w:rsid w:val="5F310FE0"/>
    <w:rsid w:val="5F3B1BE0"/>
    <w:rsid w:val="5F3C47F7"/>
    <w:rsid w:val="5F4425AE"/>
    <w:rsid w:val="5F6246BA"/>
    <w:rsid w:val="5F7543A8"/>
    <w:rsid w:val="5F842392"/>
    <w:rsid w:val="5F991715"/>
    <w:rsid w:val="5FA75A48"/>
    <w:rsid w:val="5FAF4DAB"/>
    <w:rsid w:val="5FBF6B7E"/>
    <w:rsid w:val="5FC017FA"/>
    <w:rsid w:val="5FC265B3"/>
    <w:rsid w:val="5FE4315F"/>
    <w:rsid w:val="600227C8"/>
    <w:rsid w:val="60133AA9"/>
    <w:rsid w:val="601864F8"/>
    <w:rsid w:val="602B2D4A"/>
    <w:rsid w:val="60624BDB"/>
    <w:rsid w:val="60790CD5"/>
    <w:rsid w:val="608D4BFD"/>
    <w:rsid w:val="60E97765"/>
    <w:rsid w:val="60EA20AA"/>
    <w:rsid w:val="60F82C89"/>
    <w:rsid w:val="60FE2C3F"/>
    <w:rsid w:val="6133546F"/>
    <w:rsid w:val="61341408"/>
    <w:rsid w:val="614B7E70"/>
    <w:rsid w:val="615146FA"/>
    <w:rsid w:val="617A48DD"/>
    <w:rsid w:val="61974B16"/>
    <w:rsid w:val="619F5A05"/>
    <w:rsid w:val="61BB1E65"/>
    <w:rsid w:val="61E202A6"/>
    <w:rsid w:val="61E4277E"/>
    <w:rsid w:val="61E63E0C"/>
    <w:rsid w:val="62070FA1"/>
    <w:rsid w:val="62093885"/>
    <w:rsid w:val="621217BE"/>
    <w:rsid w:val="621A6F8F"/>
    <w:rsid w:val="623533CC"/>
    <w:rsid w:val="623B41C7"/>
    <w:rsid w:val="623C5970"/>
    <w:rsid w:val="62526D3D"/>
    <w:rsid w:val="62542D9B"/>
    <w:rsid w:val="62833086"/>
    <w:rsid w:val="628C458A"/>
    <w:rsid w:val="62B01BF9"/>
    <w:rsid w:val="62CD2B33"/>
    <w:rsid w:val="62D642CC"/>
    <w:rsid w:val="632E5C46"/>
    <w:rsid w:val="634416D5"/>
    <w:rsid w:val="636859C5"/>
    <w:rsid w:val="637B5628"/>
    <w:rsid w:val="63870B4C"/>
    <w:rsid w:val="63B44484"/>
    <w:rsid w:val="63BD39E6"/>
    <w:rsid w:val="63DB479D"/>
    <w:rsid w:val="63EF3EB1"/>
    <w:rsid w:val="6403436A"/>
    <w:rsid w:val="6414480C"/>
    <w:rsid w:val="64472CE4"/>
    <w:rsid w:val="64475BD1"/>
    <w:rsid w:val="64550289"/>
    <w:rsid w:val="64620820"/>
    <w:rsid w:val="64681E85"/>
    <w:rsid w:val="64693052"/>
    <w:rsid w:val="64841D20"/>
    <w:rsid w:val="64AA7A66"/>
    <w:rsid w:val="64B81533"/>
    <w:rsid w:val="6551008E"/>
    <w:rsid w:val="6558633E"/>
    <w:rsid w:val="655E1F36"/>
    <w:rsid w:val="65B8581B"/>
    <w:rsid w:val="65C276F5"/>
    <w:rsid w:val="65EB65E8"/>
    <w:rsid w:val="65EC7B94"/>
    <w:rsid w:val="6619624C"/>
    <w:rsid w:val="66342E08"/>
    <w:rsid w:val="663D6669"/>
    <w:rsid w:val="66497A6B"/>
    <w:rsid w:val="664E3F2C"/>
    <w:rsid w:val="66620DDC"/>
    <w:rsid w:val="666B0070"/>
    <w:rsid w:val="667C0F5D"/>
    <w:rsid w:val="66B30FDB"/>
    <w:rsid w:val="66F527FC"/>
    <w:rsid w:val="67176D44"/>
    <w:rsid w:val="67494173"/>
    <w:rsid w:val="676E0654"/>
    <w:rsid w:val="677F6D0E"/>
    <w:rsid w:val="678302BC"/>
    <w:rsid w:val="678C2619"/>
    <w:rsid w:val="67A207DF"/>
    <w:rsid w:val="67A32D76"/>
    <w:rsid w:val="67AA3BE1"/>
    <w:rsid w:val="67BF6715"/>
    <w:rsid w:val="67DE553F"/>
    <w:rsid w:val="67E56BF0"/>
    <w:rsid w:val="67F30E07"/>
    <w:rsid w:val="67FD18C9"/>
    <w:rsid w:val="68176C23"/>
    <w:rsid w:val="681E5F23"/>
    <w:rsid w:val="682574A3"/>
    <w:rsid w:val="6838262E"/>
    <w:rsid w:val="68593FE3"/>
    <w:rsid w:val="685E62B7"/>
    <w:rsid w:val="686E2120"/>
    <w:rsid w:val="68957C01"/>
    <w:rsid w:val="68A01520"/>
    <w:rsid w:val="68A04E37"/>
    <w:rsid w:val="68A32333"/>
    <w:rsid w:val="68A75123"/>
    <w:rsid w:val="68B135B1"/>
    <w:rsid w:val="68C6622F"/>
    <w:rsid w:val="68C878DB"/>
    <w:rsid w:val="68D91157"/>
    <w:rsid w:val="68DA5ABE"/>
    <w:rsid w:val="691555DA"/>
    <w:rsid w:val="691F655B"/>
    <w:rsid w:val="692958D2"/>
    <w:rsid w:val="69517B32"/>
    <w:rsid w:val="695437AF"/>
    <w:rsid w:val="696514E4"/>
    <w:rsid w:val="69673443"/>
    <w:rsid w:val="69753D29"/>
    <w:rsid w:val="69C04ABB"/>
    <w:rsid w:val="69CA5400"/>
    <w:rsid w:val="69EB7AC5"/>
    <w:rsid w:val="6A192F45"/>
    <w:rsid w:val="6A276579"/>
    <w:rsid w:val="6A6905CC"/>
    <w:rsid w:val="6A904242"/>
    <w:rsid w:val="6AA0434D"/>
    <w:rsid w:val="6AAE0252"/>
    <w:rsid w:val="6ABF7757"/>
    <w:rsid w:val="6AC65BC7"/>
    <w:rsid w:val="6ACE4D37"/>
    <w:rsid w:val="6AD94EA8"/>
    <w:rsid w:val="6B8A7D7E"/>
    <w:rsid w:val="6B9C1A1D"/>
    <w:rsid w:val="6BBA534E"/>
    <w:rsid w:val="6BED2021"/>
    <w:rsid w:val="6C080524"/>
    <w:rsid w:val="6C0B3676"/>
    <w:rsid w:val="6C1300A2"/>
    <w:rsid w:val="6C213165"/>
    <w:rsid w:val="6C2D651B"/>
    <w:rsid w:val="6C3D6662"/>
    <w:rsid w:val="6C43610C"/>
    <w:rsid w:val="6C485EB9"/>
    <w:rsid w:val="6C514CBD"/>
    <w:rsid w:val="6C6E3BCB"/>
    <w:rsid w:val="6C733C7B"/>
    <w:rsid w:val="6C80591C"/>
    <w:rsid w:val="6C9E165D"/>
    <w:rsid w:val="6CA640CB"/>
    <w:rsid w:val="6CDE057E"/>
    <w:rsid w:val="6CE267BC"/>
    <w:rsid w:val="6D0570E6"/>
    <w:rsid w:val="6D574EE1"/>
    <w:rsid w:val="6D5C20F1"/>
    <w:rsid w:val="6D7F6F34"/>
    <w:rsid w:val="6D913FAB"/>
    <w:rsid w:val="6DFB35C1"/>
    <w:rsid w:val="6E00025A"/>
    <w:rsid w:val="6E1B40DF"/>
    <w:rsid w:val="6E1B7EB7"/>
    <w:rsid w:val="6E2D6569"/>
    <w:rsid w:val="6E2E148A"/>
    <w:rsid w:val="6E40616E"/>
    <w:rsid w:val="6E765C44"/>
    <w:rsid w:val="6E7C4447"/>
    <w:rsid w:val="6E8F5CAC"/>
    <w:rsid w:val="6EBF1306"/>
    <w:rsid w:val="6EE10409"/>
    <w:rsid w:val="6EF9441A"/>
    <w:rsid w:val="6F03408E"/>
    <w:rsid w:val="6F0D763F"/>
    <w:rsid w:val="6F227649"/>
    <w:rsid w:val="6F461335"/>
    <w:rsid w:val="6F5C6426"/>
    <w:rsid w:val="6F9A78BF"/>
    <w:rsid w:val="6FAE03A4"/>
    <w:rsid w:val="6FBF528E"/>
    <w:rsid w:val="6FC21988"/>
    <w:rsid w:val="6FCC0769"/>
    <w:rsid w:val="6FD71E11"/>
    <w:rsid w:val="6FD83353"/>
    <w:rsid w:val="6FED7775"/>
    <w:rsid w:val="700F24F4"/>
    <w:rsid w:val="702B7182"/>
    <w:rsid w:val="70347B1B"/>
    <w:rsid w:val="704E2DDE"/>
    <w:rsid w:val="70676AFF"/>
    <w:rsid w:val="706C0A55"/>
    <w:rsid w:val="706E0DB9"/>
    <w:rsid w:val="70C7777F"/>
    <w:rsid w:val="70DC0F3A"/>
    <w:rsid w:val="71426FE0"/>
    <w:rsid w:val="715C6E4A"/>
    <w:rsid w:val="715F7D1F"/>
    <w:rsid w:val="716952A0"/>
    <w:rsid w:val="717173D0"/>
    <w:rsid w:val="71A37405"/>
    <w:rsid w:val="71A71FB4"/>
    <w:rsid w:val="71ED7A78"/>
    <w:rsid w:val="720B3307"/>
    <w:rsid w:val="72146FE5"/>
    <w:rsid w:val="721A7D64"/>
    <w:rsid w:val="72282507"/>
    <w:rsid w:val="722F10FA"/>
    <w:rsid w:val="723A2E7F"/>
    <w:rsid w:val="72476A02"/>
    <w:rsid w:val="725E37C6"/>
    <w:rsid w:val="72620D8B"/>
    <w:rsid w:val="72646602"/>
    <w:rsid w:val="72701692"/>
    <w:rsid w:val="72717CD1"/>
    <w:rsid w:val="7274774E"/>
    <w:rsid w:val="72A04F2A"/>
    <w:rsid w:val="72AA2887"/>
    <w:rsid w:val="72B06308"/>
    <w:rsid w:val="72DD7B69"/>
    <w:rsid w:val="730D391B"/>
    <w:rsid w:val="73525B60"/>
    <w:rsid w:val="7364007C"/>
    <w:rsid w:val="7396760B"/>
    <w:rsid w:val="73A919D8"/>
    <w:rsid w:val="73B870F9"/>
    <w:rsid w:val="73BC0182"/>
    <w:rsid w:val="73DC2F75"/>
    <w:rsid w:val="73F04F19"/>
    <w:rsid w:val="74221C16"/>
    <w:rsid w:val="74507626"/>
    <w:rsid w:val="74687C4F"/>
    <w:rsid w:val="74966354"/>
    <w:rsid w:val="74B62F38"/>
    <w:rsid w:val="750263A5"/>
    <w:rsid w:val="752F546D"/>
    <w:rsid w:val="75361AFD"/>
    <w:rsid w:val="756015F8"/>
    <w:rsid w:val="75753023"/>
    <w:rsid w:val="75983859"/>
    <w:rsid w:val="759D747D"/>
    <w:rsid w:val="75A67A21"/>
    <w:rsid w:val="75B74AA0"/>
    <w:rsid w:val="75DF522D"/>
    <w:rsid w:val="75E848BC"/>
    <w:rsid w:val="761F029E"/>
    <w:rsid w:val="762D47F8"/>
    <w:rsid w:val="762F4253"/>
    <w:rsid w:val="76355280"/>
    <w:rsid w:val="76361917"/>
    <w:rsid w:val="7655794F"/>
    <w:rsid w:val="768367B2"/>
    <w:rsid w:val="76C57D8A"/>
    <w:rsid w:val="76E15DFB"/>
    <w:rsid w:val="76F37E1B"/>
    <w:rsid w:val="77372559"/>
    <w:rsid w:val="774027A2"/>
    <w:rsid w:val="774B264D"/>
    <w:rsid w:val="7753681B"/>
    <w:rsid w:val="775F5B45"/>
    <w:rsid w:val="77667C2A"/>
    <w:rsid w:val="7768486C"/>
    <w:rsid w:val="777D0E86"/>
    <w:rsid w:val="7782054C"/>
    <w:rsid w:val="77820D78"/>
    <w:rsid w:val="778744A6"/>
    <w:rsid w:val="779C4B53"/>
    <w:rsid w:val="77B15C8C"/>
    <w:rsid w:val="77B450C5"/>
    <w:rsid w:val="77B91A0C"/>
    <w:rsid w:val="77F160D3"/>
    <w:rsid w:val="782A7A0B"/>
    <w:rsid w:val="78431FAF"/>
    <w:rsid w:val="785D3552"/>
    <w:rsid w:val="78724A45"/>
    <w:rsid w:val="78823025"/>
    <w:rsid w:val="79153558"/>
    <w:rsid w:val="79421110"/>
    <w:rsid w:val="79611471"/>
    <w:rsid w:val="79741AD3"/>
    <w:rsid w:val="797F6542"/>
    <w:rsid w:val="799228EE"/>
    <w:rsid w:val="79AD76AE"/>
    <w:rsid w:val="79CD2757"/>
    <w:rsid w:val="79D07C69"/>
    <w:rsid w:val="7A481C15"/>
    <w:rsid w:val="7A5A4040"/>
    <w:rsid w:val="7A6E4950"/>
    <w:rsid w:val="7A817929"/>
    <w:rsid w:val="7AB46F95"/>
    <w:rsid w:val="7B12208E"/>
    <w:rsid w:val="7B2456A1"/>
    <w:rsid w:val="7B2C1F5B"/>
    <w:rsid w:val="7B550B7A"/>
    <w:rsid w:val="7B5A7743"/>
    <w:rsid w:val="7B5C60F0"/>
    <w:rsid w:val="7B723B17"/>
    <w:rsid w:val="7BBB4EFE"/>
    <w:rsid w:val="7BC637A1"/>
    <w:rsid w:val="7BCC1A1B"/>
    <w:rsid w:val="7BF406B5"/>
    <w:rsid w:val="7BF66B1F"/>
    <w:rsid w:val="7C00467F"/>
    <w:rsid w:val="7C27553B"/>
    <w:rsid w:val="7C391D27"/>
    <w:rsid w:val="7C446581"/>
    <w:rsid w:val="7CAE238F"/>
    <w:rsid w:val="7CEC4DD7"/>
    <w:rsid w:val="7D011CA4"/>
    <w:rsid w:val="7D261A42"/>
    <w:rsid w:val="7D312820"/>
    <w:rsid w:val="7D43276A"/>
    <w:rsid w:val="7D4463EE"/>
    <w:rsid w:val="7D7341DE"/>
    <w:rsid w:val="7D896A93"/>
    <w:rsid w:val="7D9A7C4B"/>
    <w:rsid w:val="7D9C542E"/>
    <w:rsid w:val="7DA17EF3"/>
    <w:rsid w:val="7DA85D23"/>
    <w:rsid w:val="7DCA0A20"/>
    <w:rsid w:val="7DDF5D95"/>
    <w:rsid w:val="7DE61A73"/>
    <w:rsid w:val="7DEE16C5"/>
    <w:rsid w:val="7E007B76"/>
    <w:rsid w:val="7E397AD8"/>
    <w:rsid w:val="7E597C40"/>
    <w:rsid w:val="7E6B7FD9"/>
    <w:rsid w:val="7EAA2389"/>
    <w:rsid w:val="7EB40B89"/>
    <w:rsid w:val="7EC97091"/>
    <w:rsid w:val="7ECB164E"/>
    <w:rsid w:val="7EDF3A33"/>
    <w:rsid w:val="7EF361F7"/>
    <w:rsid w:val="7EF40E65"/>
    <w:rsid w:val="7EF839E7"/>
    <w:rsid w:val="7F0E4302"/>
    <w:rsid w:val="7F577381"/>
    <w:rsid w:val="7FBE7380"/>
    <w:rsid w:val="7FCC438E"/>
    <w:rsid w:val="7FCE147D"/>
    <w:rsid w:val="7FEB723C"/>
    <w:rsid w:val="7FEF3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2"/>
    <w:qFormat/>
    <w:uiPriority w:val="1"/>
    <w:pPr>
      <w:autoSpaceDE w:val="0"/>
      <w:autoSpaceDN w:val="0"/>
      <w:adjustRightInd w:val="0"/>
      <w:spacing w:before="17"/>
      <w:ind w:left="1144"/>
      <w:jc w:val="left"/>
      <w:outlineLvl w:val="0"/>
    </w:pPr>
    <w:rPr>
      <w:rFonts w:ascii="黑体" w:eastAsia="黑体"/>
      <w:b/>
      <w:bCs/>
      <w:kern w:val="0"/>
      <w:sz w:val="36"/>
      <w:szCs w:val="36"/>
    </w:rPr>
  </w:style>
  <w:style w:type="paragraph" w:styleId="4">
    <w:name w:val="heading 2"/>
    <w:basedOn w:val="1"/>
    <w:next w:val="1"/>
    <w:link w:val="23"/>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24"/>
    <w:qFormat/>
    <w:uiPriority w:val="9"/>
    <w:pPr>
      <w:autoSpaceDE w:val="0"/>
      <w:autoSpaceDN w:val="0"/>
      <w:adjustRightInd w:val="0"/>
      <w:spacing w:before="34"/>
      <w:ind w:left="120"/>
      <w:jc w:val="left"/>
      <w:outlineLvl w:val="2"/>
    </w:pPr>
    <w:rPr>
      <w:rFonts w:ascii="宋体"/>
      <w:b/>
      <w:bCs/>
      <w:kern w:val="0"/>
      <w:sz w:val="20"/>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6"/>
    <w:qFormat/>
    <w:uiPriority w:val="1"/>
    <w:pPr>
      <w:autoSpaceDE w:val="0"/>
      <w:autoSpaceDN w:val="0"/>
      <w:adjustRightInd w:val="0"/>
      <w:spacing w:before="162"/>
      <w:ind w:left="120"/>
      <w:jc w:val="left"/>
    </w:pPr>
    <w:rPr>
      <w:rFonts w:ascii="宋体"/>
      <w:kern w:val="0"/>
      <w:sz w:val="20"/>
      <w:szCs w:val="21"/>
    </w:rPr>
  </w:style>
  <w:style w:type="paragraph" w:styleId="6">
    <w:name w:val="annotation text"/>
    <w:basedOn w:val="1"/>
    <w:link w:val="25"/>
    <w:unhideWhenUsed/>
    <w:qFormat/>
    <w:uiPriority w:val="99"/>
    <w:pPr>
      <w:jc w:val="left"/>
    </w:pPr>
  </w:style>
  <w:style w:type="paragraph" w:styleId="7">
    <w:name w:val="Date"/>
    <w:basedOn w:val="1"/>
    <w:next w:val="1"/>
    <w:link w:val="27"/>
    <w:unhideWhenUsed/>
    <w:qFormat/>
    <w:uiPriority w:val="99"/>
    <w:pPr>
      <w:ind w:left="100" w:leftChars="2500"/>
    </w:pPr>
  </w:style>
  <w:style w:type="paragraph" w:styleId="8">
    <w:name w:val="Balloon Text"/>
    <w:basedOn w:val="1"/>
    <w:link w:val="28"/>
    <w:unhideWhenUsed/>
    <w:qFormat/>
    <w:uiPriority w:val="99"/>
    <w:rPr>
      <w:kern w:val="0"/>
      <w:sz w:val="18"/>
      <w:szCs w:val="18"/>
    </w:rPr>
  </w:style>
  <w:style w:type="paragraph" w:styleId="9">
    <w:name w:val="footer"/>
    <w:basedOn w:val="1"/>
    <w:link w:val="29"/>
    <w:unhideWhenUsed/>
    <w:qFormat/>
    <w:uiPriority w:val="99"/>
    <w:pPr>
      <w:tabs>
        <w:tab w:val="center" w:pos="4153"/>
        <w:tab w:val="right" w:pos="8306"/>
      </w:tabs>
      <w:snapToGrid w:val="0"/>
      <w:jc w:val="left"/>
    </w:pPr>
    <w:rPr>
      <w:kern w:val="0"/>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31"/>
    <w:unhideWhenUsed/>
    <w:qFormat/>
    <w:uiPriority w:val="99"/>
    <w:pPr>
      <w:snapToGrid w:val="0"/>
      <w:jc w:val="left"/>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6"/>
    <w:next w:val="6"/>
    <w:link w:val="32"/>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bCs/>
    </w:rPr>
  </w:style>
  <w:style w:type="character" w:styleId="19">
    <w:name w:val="Hyperlink"/>
    <w:unhideWhenUsed/>
    <w:qFormat/>
    <w:uiPriority w:val="99"/>
    <w:rPr>
      <w:color w:val="0000FF"/>
      <w:u w:val="single"/>
    </w:rPr>
  </w:style>
  <w:style w:type="character" w:styleId="20">
    <w:name w:val="annotation reference"/>
    <w:unhideWhenUsed/>
    <w:qFormat/>
    <w:uiPriority w:val="99"/>
    <w:rPr>
      <w:sz w:val="21"/>
      <w:szCs w:val="21"/>
    </w:rPr>
  </w:style>
  <w:style w:type="character" w:styleId="21">
    <w:name w:val="footnote reference"/>
    <w:unhideWhenUsed/>
    <w:qFormat/>
    <w:uiPriority w:val="99"/>
    <w:rPr>
      <w:vertAlign w:val="superscript"/>
    </w:rPr>
  </w:style>
  <w:style w:type="character" w:customStyle="1" w:styleId="22">
    <w:name w:val="标题 1 字符"/>
    <w:link w:val="3"/>
    <w:qFormat/>
    <w:uiPriority w:val="1"/>
    <w:rPr>
      <w:rFonts w:ascii="黑体" w:hAnsi="Times New Roman" w:eastAsia="黑体" w:cs="黑体"/>
      <w:b/>
      <w:bCs/>
      <w:kern w:val="0"/>
      <w:sz w:val="36"/>
      <w:szCs w:val="36"/>
    </w:rPr>
  </w:style>
  <w:style w:type="character" w:customStyle="1" w:styleId="23">
    <w:name w:val="标题 2 字符"/>
    <w:link w:val="4"/>
    <w:qFormat/>
    <w:uiPriority w:val="9"/>
    <w:rPr>
      <w:rFonts w:ascii="Cambria" w:hAnsi="Cambria" w:eastAsia="宋体" w:cs="Times New Roman"/>
      <w:b/>
      <w:bCs/>
      <w:sz w:val="32"/>
      <w:szCs w:val="32"/>
    </w:rPr>
  </w:style>
  <w:style w:type="character" w:customStyle="1" w:styleId="24">
    <w:name w:val="标题 3 字符"/>
    <w:link w:val="5"/>
    <w:qFormat/>
    <w:uiPriority w:val="9"/>
    <w:rPr>
      <w:rFonts w:ascii="宋体" w:hAnsi="Times New Roman" w:eastAsia="宋体" w:cs="宋体"/>
      <w:b/>
      <w:bCs/>
      <w:kern w:val="0"/>
      <w:szCs w:val="21"/>
    </w:rPr>
  </w:style>
  <w:style w:type="character" w:customStyle="1" w:styleId="25">
    <w:name w:val="批注文字 字符"/>
    <w:link w:val="6"/>
    <w:qFormat/>
    <w:uiPriority w:val="99"/>
    <w:rPr>
      <w:kern w:val="2"/>
      <w:sz w:val="21"/>
      <w:szCs w:val="22"/>
    </w:rPr>
  </w:style>
  <w:style w:type="character" w:customStyle="1" w:styleId="26">
    <w:name w:val="正文文本 字符"/>
    <w:link w:val="2"/>
    <w:qFormat/>
    <w:uiPriority w:val="1"/>
    <w:rPr>
      <w:rFonts w:ascii="宋体" w:hAnsi="Times New Roman" w:eastAsia="宋体" w:cs="宋体"/>
      <w:kern w:val="0"/>
      <w:szCs w:val="21"/>
    </w:rPr>
  </w:style>
  <w:style w:type="character" w:customStyle="1" w:styleId="27">
    <w:name w:val="日期 字符"/>
    <w:link w:val="7"/>
    <w:semiHidden/>
    <w:qFormat/>
    <w:uiPriority w:val="99"/>
  </w:style>
  <w:style w:type="character" w:customStyle="1" w:styleId="28">
    <w:name w:val="批注框文本 字符"/>
    <w:link w:val="8"/>
    <w:semiHidden/>
    <w:qFormat/>
    <w:uiPriority w:val="99"/>
    <w:rPr>
      <w:sz w:val="18"/>
      <w:szCs w:val="18"/>
    </w:rPr>
  </w:style>
  <w:style w:type="character" w:customStyle="1" w:styleId="29">
    <w:name w:val="页脚 字符"/>
    <w:link w:val="9"/>
    <w:qFormat/>
    <w:uiPriority w:val="99"/>
    <w:rPr>
      <w:sz w:val="18"/>
      <w:szCs w:val="18"/>
    </w:rPr>
  </w:style>
  <w:style w:type="character" w:customStyle="1" w:styleId="30">
    <w:name w:val="页眉 字符"/>
    <w:link w:val="10"/>
    <w:qFormat/>
    <w:uiPriority w:val="99"/>
    <w:rPr>
      <w:sz w:val="18"/>
      <w:szCs w:val="18"/>
    </w:rPr>
  </w:style>
  <w:style w:type="character" w:customStyle="1" w:styleId="31">
    <w:name w:val="脚注文本 字符"/>
    <w:link w:val="11"/>
    <w:semiHidden/>
    <w:qFormat/>
    <w:uiPriority w:val="99"/>
    <w:rPr>
      <w:kern w:val="2"/>
      <w:sz w:val="18"/>
      <w:szCs w:val="18"/>
    </w:rPr>
  </w:style>
  <w:style w:type="character" w:customStyle="1" w:styleId="32">
    <w:name w:val="批注主题 字符"/>
    <w:link w:val="14"/>
    <w:semiHidden/>
    <w:qFormat/>
    <w:uiPriority w:val="99"/>
    <w:rPr>
      <w:b/>
      <w:bCs/>
      <w:kern w:val="2"/>
      <w:sz w:val="21"/>
      <w:szCs w:val="22"/>
    </w:rPr>
  </w:style>
  <w:style w:type="character" w:customStyle="1" w:styleId="33">
    <w:name w:val="未处理的提及1"/>
    <w:unhideWhenUsed/>
    <w:qFormat/>
    <w:uiPriority w:val="99"/>
    <w:rPr>
      <w:color w:val="605E5C"/>
      <w:shd w:val="clear" w:color="auto" w:fill="E1DFDD"/>
    </w:rPr>
  </w:style>
  <w:style w:type="paragraph" w:customStyle="1" w:styleId="34">
    <w:name w:val="Char Char Char Char Char Char Char Char Char Char Char Char"/>
    <w:basedOn w:val="1"/>
    <w:qFormat/>
    <w:uiPriority w:val="0"/>
    <w:pPr>
      <w:widowControl/>
      <w:spacing w:after="160" w:line="240" w:lineRule="exact"/>
      <w:jc w:val="left"/>
    </w:pPr>
    <w:rPr>
      <w:rFonts w:ascii="Tahoma" w:hAnsi="Tahoma" w:cs="Tahoma"/>
      <w:szCs w:val="21"/>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6">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37">
    <w:name w:val="Table Paragraph"/>
    <w:basedOn w:val="1"/>
    <w:qFormat/>
    <w:uiPriority w:val="1"/>
    <w:pPr>
      <w:autoSpaceDE w:val="0"/>
      <w:autoSpaceDN w:val="0"/>
      <w:adjustRightInd w:val="0"/>
      <w:jc w:val="left"/>
    </w:pPr>
    <w:rPr>
      <w:kern w:val="0"/>
      <w:sz w:val="24"/>
      <w:szCs w:val="24"/>
    </w:rPr>
  </w:style>
  <w:style w:type="paragraph" w:styleId="38">
    <w:name w:val="List Paragraph"/>
    <w:basedOn w:val="1"/>
    <w:qFormat/>
    <w:uiPriority w:val="72"/>
    <w:pPr>
      <w:ind w:firstLine="420" w:firstLineChars="200"/>
    </w:pPr>
  </w:style>
  <w:style w:type="character" w:customStyle="1" w:styleId="39">
    <w:name w:val="脚注文本 Char"/>
    <w:semiHidden/>
    <w:qFormat/>
    <w:uiPriority w:val="99"/>
    <w:rPr>
      <w:kern w:val="2"/>
      <w:sz w:val="18"/>
      <w:szCs w:val="18"/>
    </w:rPr>
  </w:style>
  <w:style w:type="character" w:customStyle="1" w:styleId="40">
    <w:name w:val="markedcontent"/>
    <w:qFormat/>
    <w:uiPriority w:val="0"/>
  </w:style>
  <w:style w:type="character" w:customStyle="1" w:styleId="41">
    <w:name w:val="fontstyle01"/>
    <w:qFormat/>
    <w:uiPriority w:val="0"/>
    <w:rPr>
      <w:rFonts w:hint="eastAsia" w:ascii="宋体" w:hAnsi="宋体" w:eastAsia="宋体"/>
      <w:color w:val="000000"/>
      <w:sz w:val="22"/>
      <w:szCs w:val="22"/>
    </w:rPr>
  </w:style>
  <w:style w:type="character" w:styleId="42">
    <w:name w:val="Placeholder Text"/>
    <w:basedOn w:val="17"/>
    <w:unhideWhenUsed/>
    <w:qFormat/>
    <w:uiPriority w:val="99"/>
    <w:rPr>
      <w:color w:val="808080"/>
    </w:rPr>
  </w:style>
  <w:style w:type="paragraph" w:customStyle="1" w:styleId="43">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44">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45">
    <w:name w:val="修订4"/>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6"/>
    <customShpInfo spid="_x0000_s1048"/>
    <customShpInfo spid="_x0000_s1045"/>
    <customShpInfo spid="_x0000_s1036"/>
    <customShpInfo spid="_x0000_s1035"/>
    <customShpInfo spid="_x0000_s1034"/>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70D1EF-01AF-4534-9965-67245C61A3C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41034</Words>
  <Characters>42223</Characters>
  <Lines>292</Lines>
  <Paragraphs>82</Paragraphs>
  <TotalTime>12</TotalTime>
  <ScaleCrop>false</ScaleCrop>
  <LinksUpToDate>false</LinksUpToDate>
  <CharactersWithSpaces>42835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2022-11-13T05:12:00Z</dcterms:created>
  <dc:creator>JSYH</dc:creator>
  <cp:lastModifiedBy>jsyh</cp:lastModifiedBy>
  <cp:lastPrinted>2022-03-04T08:58:00Z</cp:lastPrinted>
  <dcterms:modified xsi:type="dcterms:W3CDTF">2025-03-21T06:23:41Z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A30B4F8233A641D28C6BDF6F2DC6A43F</vt:lpwstr>
  </property>
  <property fmtid="{D5CDD505-2E9C-101B-9397-08002B2CF9AE}" pid="4" name="5B77E7CEEC58BC6AFAE8886BEB80DBEB">
    <vt:lpwstr>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</vt:lpwstr>
  </property>
</Properties>
</file>