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jc w:val="both"/>
        <w:rPr>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Z7002624000546】</w:t>
      </w:r>
    </w:p>
    <w:p>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pPr>
        <w:spacing w:line="300" w:lineRule="exact"/>
        <w:jc w:val="both"/>
        <w:rPr>
          <w:rFonts w:ascii="黑体" w:hAnsi="黑体" w:eastAsia="黑体"/>
          <w:color w:val="000000" w:themeColor="text1"/>
          <w:sz w:val="21"/>
          <w:szCs w:val="21"/>
          <w14:textFill>
            <w14:solidFill>
              <w14:schemeClr w14:val="tx1"/>
            </w14:solidFill>
          </w14:textFill>
        </w:rPr>
      </w:pPr>
    </w:p>
    <w:p>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bookmarkStart w:id="1" w:name="_GoBack"/>
      <w:r>
        <w:rPr>
          <w:rFonts w:hint="eastAsia" w:ascii="黑体" w:eastAsia="黑体" w:cs="黑体"/>
          <w:b/>
          <w:bCs/>
          <w:color w:val="000000" w:themeColor="text1"/>
          <w14:textFill>
            <w14:solidFill>
              <w14:schemeClr w14:val="tx1"/>
            </w14:solidFill>
          </w14:textFill>
        </w:rPr>
        <w:t>信银理财理财产品说明书</w:t>
      </w:r>
      <w:bookmarkEnd w:id="1"/>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信银理财安盈象固收稳健一个月持有期22号理财产品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：【AF245408】</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30</w:t>
      </w:r>
      <w:r>
        <w:rPr>
          <w:rFonts w:hint="eastAsia" w:ascii="黑体" w:hAnsi="Times New Roman" w:eastAsia="黑体" w:cs="黑体"/>
          <w:b/>
          <w:color w:val="000000" w:themeColor="text1"/>
          <w:sz w:val="20"/>
          <w:szCs w:val="20"/>
          <w14:textFill>
            <w14:solidFill>
              <w14:schemeClr w14:val="tx1"/>
            </w14:solidFill>
          </w14:textFill>
        </w:rPr>
        <w:t>】自然日。</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1"/>
          <w:rFonts w:ascii="黑体" w:hAnsi="黑体" w:eastAsia="黑体"/>
          <w:sz w:val="20"/>
          <w:szCs w:val="20"/>
        </w:rPr>
        <w:t>http://www.citic-wealth.com</w:t>
      </w:r>
      <w:r>
        <w:rPr>
          <w:rStyle w:val="11"/>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255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 xml:space="preserve">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 </w:t>
      </w:r>
      <w:r>
        <w:br w:type="textWrapping"/>
      </w:r>
      <w:r>
        <w:rPr>
          <w:rFonts w:hint="eastAsia" w:ascii="楷体_GB2312" w:eastAsia="楷体_GB2312"/>
          <w:color w:val="000000" w:themeColor="text1"/>
          <w:sz w:val="20"/>
          <w:szCs w:val="20"/>
          <w14:textFill>
            <w14:solidFill>
              <w14:schemeClr w14:val="tx1"/>
            </w14:solidFill>
          </w14:textFill>
        </w:rPr>
        <w:t xml:space="preserve"> </w:t>
      </w:r>
      <w:r>
        <w:rPr>
          <w:rFonts w:ascii="楷体_GB2312" w:eastAsia="楷体_GB2312"/>
          <w:color w:val="000000" w:themeColor="text1"/>
          <w:sz w:val="20"/>
          <w:szCs w:val="20"/>
          <w14:textFill>
            <w14:solidFill>
              <w14:schemeClr w14:val="tx1"/>
            </w14:solidFill>
          </w14:textFill>
        </w:rPr>
        <w:t xml:space="preserve">   产品主要通过债券、存款等固收类资产进行配置，以票息收入作为实现产品相对稳定收益的基础。</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Times New Roman" w:hAnsi="Times New Roman" w:eastAsia="楷体_GB2312" w:cs="楷体_GB2312"/>
          <w:color w:val="000000" w:themeColor="text1"/>
          <w:sz w:val="20"/>
          <w:szCs w:val="20"/>
          <w14:textFill>
            <w14:solidFill>
              <w14:schemeClr w14:val="tx1"/>
            </w14:solidFill>
          </w14:textFill>
        </w:rPr>
        <w:t>投资</w:t>
      </w:r>
      <w:r>
        <w:rPr>
          <w:rFonts w:ascii="Times New Roman" w:hAnsi="Times New Roman" w:eastAsia="楷体_GB2312" w:cs="楷体_GB2312"/>
          <w:color w:val="000000" w:themeColor="text1"/>
          <w:sz w:val="20"/>
          <w:szCs w:val="20"/>
          <w14:textFill>
            <w14:solidFill>
              <w14:schemeClr w14:val="tx1"/>
            </w14:solidFill>
          </w14:textFill>
        </w:rPr>
        <w:t>限制：</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（1）本产品总资产不得超过净资产的</w:t>
      </w:r>
      <w:r>
        <w:rPr>
          <w:rFonts w:ascii="Times New Roman" w:hAnsi="Times New Roman" w:eastAsia="楷体_GB2312" w:cs="楷体_GB2312"/>
          <w:color w:val="000000" w:themeColor="text1"/>
          <w:sz w:val="20"/>
          <w:szCs w:val="20"/>
          <w14:textFill>
            <w14:solidFill>
              <w14:schemeClr w14:val="tx1"/>
            </w14:solidFill>
          </w14:textFill>
        </w:rPr>
        <w:t>140%；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产品定期开放周期不低于</w:t>
      </w:r>
      <w:r>
        <w:rPr>
          <w:rFonts w:ascii="Times New Roman" w:hAnsi="Times New Roman" w:eastAsia="楷体_GB2312" w:cs="楷体_GB2312"/>
          <w:color w:val="000000" w:themeColor="text1"/>
          <w:sz w:val="20"/>
          <w:szCs w:val="20"/>
          <w14:textFill>
            <w14:solidFill>
              <w14:schemeClr w14:val="tx1"/>
            </w14:solidFill>
          </w14:textFill>
        </w:rPr>
        <w:t>90天</w:t>
      </w:r>
      <w:r>
        <w:rPr>
          <w:rFonts w:hint="eastAsia" w:ascii="Times New Roman" w:hAnsi="Times New Roman" w:eastAsia="楷体_GB2312" w:cs="楷体_GB2312"/>
          <w:color w:val="000000" w:themeColor="text1"/>
          <w:sz w:val="20"/>
          <w:szCs w:val="20"/>
          <w14:textFill>
            <w14:solidFill>
              <w14:schemeClr w14:val="tx1"/>
            </w14:solidFill>
          </w14:textFill>
        </w:rPr>
        <w:t>的</w:t>
      </w:r>
      <w:r>
        <w:rPr>
          <w:rFonts w:ascii="Times New Roman" w:hAnsi="Times New Roman" w:eastAsia="楷体_GB2312" w:cs="楷体_GB2312"/>
          <w:color w:val="000000" w:themeColor="text1"/>
          <w:sz w:val="20"/>
          <w:szCs w:val="20"/>
          <w14:textFill>
            <w14:solidFill>
              <w14:schemeClr w14:val="tx1"/>
            </w14:solidFill>
          </w14:textFill>
        </w:rPr>
        <w:t>，在开放日及开放日前7个工作日内持有现金或者到期日在一年以内的国债、中央银行票据和政策性金融债券</w:t>
      </w:r>
      <w:r>
        <w:rPr>
          <w:rFonts w:hint="eastAsia" w:ascii="Times New Roman" w:hAnsi="Times New Roman" w:eastAsia="楷体_GB2312" w:cs="楷体_GB2312"/>
          <w:color w:val="000000" w:themeColor="text1"/>
          <w:sz w:val="20"/>
          <w:szCs w:val="20"/>
          <w14:textFill>
            <w14:solidFill>
              <w14:schemeClr w14:val="tx1"/>
            </w14:solidFill>
          </w14:textFill>
        </w:rPr>
        <w:t>比例应不低于产品净资产的</w:t>
      </w:r>
      <w:r>
        <w:rPr>
          <w:rFonts w:ascii="Times New Roman" w:hAnsi="Times New Roman" w:eastAsia="楷体_GB2312" w:cs="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产品定期</w:t>
      </w:r>
      <w:r>
        <w:rPr>
          <w:rFonts w:ascii="Times New Roman" w:hAnsi="Times New Roman" w:eastAsia="楷体_GB2312" w:cs="楷体_GB2312"/>
          <w:color w:val="000000" w:themeColor="text1"/>
          <w:sz w:val="20"/>
          <w:szCs w:val="20"/>
          <w14:textFill>
            <w14:solidFill>
              <w14:schemeClr w14:val="tx1"/>
            </w14:solidFill>
          </w14:textFill>
        </w:rPr>
        <w:t>开放周期低于</w:t>
      </w:r>
      <w:r>
        <w:rPr>
          <w:rFonts w:hint="eastAsia" w:ascii="Times New Roman" w:hAnsi="Times New Roman" w:eastAsia="楷体_GB2312" w:cs="楷体_GB2312"/>
          <w:color w:val="000000" w:themeColor="text1"/>
          <w:sz w:val="20"/>
          <w:szCs w:val="20"/>
          <w14:textFill>
            <w14:solidFill>
              <w14:schemeClr w14:val="tx1"/>
            </w14:solidFill>
          </w14:textFill>
        </w:rPr>
        <w:t>90天</w:t>
      </w:r>
      <w:r>
        <w:rPr>
          <w:rFonts w:ascii="Times New Roman" w:hAnsi="Times New Roman" w:eastAsia="楷体_GB2312" w:cs="楷体_GB2312"/>
          <w:color w:val="000000" w:themeColor="text1"/>
          <w:sz w:val="20"/>
          <w:szCs w:val="20"/>
          <w14:textFill>
            <w14:solidFill>
              <w14:schemeClr w14:val="tx1"/>
            </w14:solidFill>
          </w14:textFill>
        </w:rPr>
        <w:t>的，</w:t>
      </w:r>
      <w:r>
        <w:rPr>
          <w:rFonts w:hint="eastAsia" w:ascii="Times New Roman" w:hAnsi="Times New Roman" w:eastAsia="楷体_GB2312" w:cs="楷体_GB2312"/>
          <w:color w:val="000000" w:themeColor="text1"/>
          <w:sz w:val="20"/>
          <w:szCs w:val="20"/>
          <w14:textFill>
            <w14:solidFill>
              <w14:schemeClr w14:val="tx1"/>
            </w14:solidFill>
          </w14:textFill>
        </w:rPr>
        <w:t>应</w:t>
      </w:r>
      <w:r>
        <w:rPr>
          <w:rFonts w:ascii="Times New Roman" w:hAnsi="Times New Roman" w:eastAsia="楷体_GB2312" w:cs="楷体_GB2312"/>
          <w:color w:val="000000" w:themeColor="text1"/>
          <w:sz w:val="20"/>
          <w:szCs w:val="20"/>
          <w14:textFill>
            <w14:solidFill>
              <w14:schemeClr w14:val="tx1"/>
            </w14:solidFill>
          </w14:textFill>
        </w:rPr>
        <w:t>保证</w:t>
      </w:r>
      <w:r>
        <w:rPr>
          <w:rFonts w:hint="eastAsia" w:ascii="Times New Roman" w:hAnsi="Times New Roman" w:eastAsia="楷体_GB2312" w:cs="楷体_GB2312"/>
          <w:color w:val="000000" w:themeColor="text1"/>
          <w:sz w:val="20"/>
          <w:szCs w:val="20"/>
          <w14:textFill>
            <w14:solidFill>
              <w14:schemeClr w14:val="tx1"/>
            </w14:solidFill>
          </w14:textFill>
        </w:rPr>
        <w:t>每日日终现金或者到期日在一年以内的国债、中央银行票据和政策性金融债券比例不低于产品净资产的</w:t>
      </w:r>
      <w:r>
        <w:rPr>
          <w:rFonts w:ascii="Times New Roman" w:hAnsi="Times New Roman" w:eastAsia="楷体_GB2312" w:cs="楷体_GB2312"/>
          <w:color w:val="000000" w:themeColor="text1"/>
          <w:sz w:val="20"/>
          <w:szCs w:val="20"/>
          <w14:textFill>
            <w14:solidFill>
              <w14:schemeClr w14:val="tx1"/>
            </w14:solidFill>
          </w14:textFill>
        </w:rPr>
        <w:t xml:space="preserve">5%; </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（3）</w:t>
      </w:r>
      <w:r>
        <w:rPr>
          <w:rFonts w:hint="eastAsia" w:ascii="Times New Roman" w:hAnsi="Times New Roman" w:eastAsia="楷体_GB2312" w:cs="楷体_GB2312"/>
          <w:color w:val="000000" w:themeColor="text1"/>
          <w:sz w:val="20"/>
          <w:szCs w:val="20"/>
          <w14:textFill>
            <w14:solidFill>
              <w14:schemeClr w14:val="tx1"/>
            </w14:solidFill>
          </w14:textFill>
        </w:rPr>
        <w:t>本产品投资单只证券或者单只证券投资基金的市值不得超过产品净资产的</w:t>
      </w:r>
      <w:r>
        <w:rPr>
          <w:rFonts w:ascii="Times New Roman" w:hAnsi="Times New Roman" w:eastAsia="楷体_GB2312" w:cs="楷体_GB2312"/>
          <w:color w:val="000000" w:themeColor="text1"/>
          <w:sz w:val="20"/>
          <w:szCs w:val="20"/>
          <w14:textFill>
            <w14:solidFill>
              <w14:schemeClr w14:val="tx1"/>
            </w14:solidFill>
          </w14:textFill>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（4</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b/>
          <w:color w:val="000000" w:themeColor="text1"/>
          <w:sz w:val="20"/>
          <w:szCs w:val="20"/>
          <w14:textFill>
            <w14:solidFill>
              <w14:schemeClr w14:val="tx1"/>
            </w14:solidFill>
          </w14:textFill>
        </w:rPr>
        <w:t>不得同时</w:t>
      </w:r>
      <w:r>
        <w:rPr>
          <w:rFonts w:ascii="Times New Roman" w:hAnsi="Times New Roman" w:eastAsia="楷体_GB2312" w:cs="楷体_GB2312"/>
          <w:b/>
          <w:color w:val="000000" w:themeColor="text1"/>
          <w:sz w:val="20"/>
          <w:szCs w:val="20"/>
          <w14:textFill>
            <w14:solidFill>
              <w14:schemeClr w14:val="tx1"/>
            </w14:solidFill>
          </w14:textFill>
        </w:rPr>
        <w:t>出现下述</w:t>
      </w:r>
      <w:r>
        <w:rPr>
          <w:rFonts w:hint="eastAsia" w:ascii="Times New Roman" w:hAnsi="Times New Roman" w:eastAsia="楷体_GB2312" w:cs="楷体_GB2312"/>
          <w:b/>
          <w:color w:val="000000" w:themeColor="text1"/>
          <w:sz w:val="20"/>
          <w:szCs w:val="20"/>
          <w14:textFill>
            <w14:solidFill>
              <w14:schemeClr w14:val="tx1"/>
            </w14:solidFill>
          </w14:textFill>
        </w:rPr>
        <w:t>情形</w:t>
      </w:r>
      <w:r>
        <w:rPr>
          <w:rFonts w:ascii="Times New Roman" w:hAnsi="Times New Roman" w:eastAsia="楷体_GB2312" w:cs="楷体_GB2312"/>
          <w:b/>
          <w:color w:val="000000" w:themeColor="text1"/>
          <w:sz w:val="20"/>
          <w:szCs w:val="20"/>
          <w14:textFill>
            <w14:solidFill>
              <w14:schemeClr w14:val="tx1"/>
            </w14:solidFill>
          </w14:textFill>
        </w:rPr>
        <w:t>:</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（5</w:t>
      </w:r>
      <w:r>
        <w:rPr>
          <w:rFonts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本产品</w:t>
      </w:r>
      <w:r>
        <w:rPr>
          <w:rFonts w:hint="eastAsia" w:ascii="Times New Roman" w:hAnsi="Times New Roman" w:eastAsia="楷体_GB2312" w:cs="楷体_GB2312"/>
          <w:b/>
          <w:color w:val="000000" w:themeColor="text1"/>
          <w:sz w:val="20"/>
          <w:szCs w:val="20"/>
          <w14:textFill>
            <w14:solidFill>
              <w14:schemeClr w14:val="tx1"/>
            </w14:solidFill>
          </w14:textFill>
        </w:rPr>
        <w:t>单一投资者持有份额不得超过产品总份额的</w:t>
      </w:r>
      <w:r>
        <w:rPr>
          <w:rFonts w:ascii="Times New Roman" w:hAnsi="Times New Roman" w:eastAsia="楷体_GB2312" w:cs="楷体_GB2312"/>
          <w:b/>
          <w:color w:val="000000" w:themeColor="text1"/>
          <w:sz w:val="20"/>
          <w:szCs w:val="20"/>
          <w14:textFill>
            <w14:solidFill>
              <w14:schemeClr w14:val="tx1"/>
            </w14:solidFill>
          </w14:textFill>
        </w:rPr>
        <w:t>50%</w:t>
      </w:r>
      <w:r>
        <w:rPr>
          <w:rFonts w:hint="eastAsia" w:ascii="Times New Roman" w:hAnsi="Times New Roman" w:eastAsia="楷体_GB2312" w:cs="楷体_GB2312"/>
          <w:b/>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w:t>
      </w:r>
      <w:r>
        <w:rPr>
          <w:rFonts w:ascii="Times New Roman" w:hAnsi="Times New Roman" w:eastAsia="楷体_GB2312" w:cs="楷体_GB2312"/>
          <w:color w:val="000000" w:themeColor="text1"/>
          <w:sz w:val="20"/>
          <w:szCs w:val="20"/>
          <w14:textFill>
            <w14:solidFill>
              <w14:schemeClr w14:val="tx1"/>
            </w14:solidFill>
          </w14:textFill>
        </w:rPr>
        <w:t>该种情形下，</w:t>
      </w:r>
      <w:r>
        <w:rPr>
          <w:rFonts w:hint="eastAsia" w:ascii="Times New Roman" w:hAnsi="Times New Roman" w:eastAsia="楷体_GB2312" w:cs="楷体_GB2312"/>
          <w:color w:val="000000" w:themeColor="text1"/>
          <w:sz w:val="20"/>
          <w:szCs w:val="20"/>
          <w14:textFill>
            <w14:solidFill>
              <w14:schemeClr w14:val="tx1"/>
            </w14:solidFill>
          </w14:textFill>
        </w:rPr>
        <w:t>非因管理人主观因素导致突破前款规定比例限制的，在单一投资者持有比例降至</w:t>
      </w:r>
      <w:r>
        <w:rPr>
          <w:rFonts w:ascii="Times New Roman" w:hAnsi="Times New Roman" w:eastAsia="楷体_GB2312" w:cs="楷体_GB2312"/>
          <w:color w:val="000000" w:themeColor="text1"/>
          <w:sz w:val="20"/>
          <w:szCs w:val="20"/>
          <w14:textFill>
            <w14:solidFill>
              <w14:schemeClr w14:val="tx1"/>
            </w14:solidFill>
          </w14:textFill>
        </w:rPr>
        <w:t>50%以下之前，</w:t>
      </w:r>
      <w:r>
        <w:rPr>
          <w:rFonts w:hint="eastAsia" w:ascii="Times New Roman" w:hAnsi="Times New Roman" w:eastAsia="楷体_GB2312" w:cs="楷体_GB2312"/>
          <w:color w:val="000000" w:themeColor="text1"/>
          <w:sz w:val="20"/>
          <w:szCs w:val="20"/>
          <w14:textFill>
            <w14:solidFill>
              <w14:schemeClr w14:val="tx1"/>
            </w14:solidFill>
          </w14:textFill>
        </w:rPr>
        <w:t>管理人不得再接受该投资者对该理财产品的认购/申购申请。</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（6</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直接投资于流动性受限资产的市值在开放日不得超过产品资产净值的</w:t>
      </w:r>
      <w:r>
        <w:rPr>
          <w:rFonts w:ascii="Times New Roman" w:hAnsi="Times New Roman" w:eastAsia="楷体_GB2312" w:cs="楷体_GB2312"/>
          <w:color w:val="000000" w:themeColor="text1"/>
          <w:sz w:val="20"/>
          <w:szCs w:val="20"/>
          <w14:textFill>
            <w14:solidFill>
              <w14:schemeClr w14:val="tx1"/>
            </w14:solidFill>
          </w14:textFill>
        </w:rPr>
        <w:t>15%。</w:t>
      </w:r>
      <w:r>
        <w:rPr>
          <w:rFonts w:hint="eastAsia" w:ascii="Times New Roman" w:hAnsi="Times New Roman" w:eastAsia="楷体_GB2312" w:cs="楷体_GB2312"/>
          <w:color w:val="000000" w:themeColor="text1"/>
          <w:sz w:val="20"/>
          <w:szCs w:val="20"/>
          <w14:textFill>
            <w14:solidFill>
              <w14:schemeClr w14:val="tx1"/>
            </w14:solidFill>
          </w14:textFill>
        </w:rPr>
        <w:t>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（7</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在开放日前一工作日内，</w:t>
      </w:r>
      <w:r>
        <w:rPr>
          <w:rFonts w:ascii="Times New Roman" w:hAnsi="Times New Roman" w:eastAsia="楷体_GB2312" w:cs="楷体_GB2312"/>
          <w:color w:val="000000" w:themeColor="text1"/>
          <w:sz w:val="20"/>
          <w:szCs w:val="20"/>
          <w14:textFill>
            <w14:solidFill>
              <w14:schemeClr w14:val="tx1"/>
            </w14:solidFill>
          </w14:textFill>
        </w:rPr>
        <w:t>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8"/>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774"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【信银理财安盈象固收稳健一个月持有期22号理财产品】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774"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Z7002624000546】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【AF245408</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774"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B类份额：份额代码【AF245408B】</w:t>
            </w:r>
            <w:r>
              <w:br w:type="textWrapping"/>
            </w:r>
            <w:r>
              <w:rPr>
                <w:rFonts w:hint="eastAsia" w:ascii="楷体_GB2312" w:eastAsia="楷体_GB2312" w:cs="楷体_GB2312"/>
                <w:color w:val="000000" w:themeColor="text1"/>
                <w:sz w:val="20"/>
                <w:szCs w:val="20"/>
                <w14:textFill>
                  <w14:solidFill>
                    <w14:schemeClr w14:val="tx1"/>
                  </w14:solidFill>
                </w14:textFill>
              </w:rPr>
              <w:t>G类份额：份额代码【AF245408G】</w:t>
            </w:r>
            <w:r>
              <w:br w:type="textWrapping"/>
            </w:r>
            <w:r>
              <w:rPr>
                <w:rFonts w:hint="eastAsia" w:ascii="楷体_GB2312" w:eastAsia="楷体_GB2312" w:cs="楷体_GB2312"/>
                <w:color w:val="000000" w:themeColor="text1"/>
                <w:sz w:val="20"/>
                <w:szCs w:val="20"/>
                <w14:textFill>
                  <w14:solidFill>
                    <w14:schemeClr w14:val="tx1"/>
                  </w14:solidFill>
                </w14:textFill>
              </w:rPr>
              <w:t>M类份额：份额代码【AF245408M】</w:t>
            </w:r>
            <w:r>
              <w:br w:type="textWrapping"/>
            </w:r>
            <w:r>
              <w:rPr>
                <w:rFonts w:hint="eastAsia" w:ascii="楷体_GB2312" w:eastAsia="楷体_GB2312" w:cs="楷体_GB2312"/>
                <w:color w:val="000000" w:themeColor="text1"/>
                <w:sz w:val="20"/>
                <w:szCs w:val="20"/>
                <w14:textFill>
                  <w14:solidFill>
                    <w14:schemeClr w14:val="tx1"/>
                  </w14:solidFill>
                </w14:textFill>
              </w:rPr>
              <w:t>L类份额：份额代码【AF245408L】</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6"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774" w:type="pct"/>
            <w:vAlign w:val="center"/>
          </w:tcPr>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【2024】年【9】月【6】日至【2024】年【9】月【10】日，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774" w:type="pct"/>
            <w:vAlign w:val="center"/>
          </w:tcPr>
          <w:p>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2024】年【9】月【11】日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【2024】年【9】月【11】日至【2024】年【10】月【10】日。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774"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774" w:type="pct"/>
            <w:vAlign w:val="center"/>
          </w:tcPr>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774" w:type="pct"/>
            <w:vAlign w:val="center"/>
          </w:tcPr>
          <w:p>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本产品首个申购开放日为【2024】年【9】月【12】日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774" w:type="pct"/>
            <w:vAlign w:val="center"/>
          </w:tcPr>
          <w:p>
            <w:pPr>
              <w:spacing w:line="300" w:lineRule="exact"/>
              <w:ind w:right="36" w:rightChars="15"/>
              <w:jc w:val="both"/>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B类份额：【2.05%-3.05%】</w:t>
            </w:r>
            <w:r>
              <w:br w:type="textWrapping"/>
            </w:r>
            <w:r>
              <w:rPr>
                <w:rFonts w:hint="eastAsia" w:ascii="楷体_GB2312" w:eastAsia="楷体_GB2312" w:cs="楷体_GB2312"/>
                <w:color w:val="000000" w:themeColor="text1"/>
                <w:sz w:val="20"/>
                <w:szCs w:val="20"/>
                <w14:textFill>
                  <w14:solidFill>
                    <w14:schemeClr w14:val="tx1"/>
                  </w14:solidFill>
                </w14:textFill>
              </w:rPr>
              <w:t>G类份额：【2.10%-3.10%】</w:t>
            </w:r>
            <w:r>
              <w:br w:type="textWrapping"/>
            </w:r>
            <w:r>
              <w:rPr>
                <w:rFonts w:hint="eastAsia" w:ascii="楷体_GB2312" w:eastAsia="楷体_GB2312" w:cs="楷体_GB2312"/>
                <w:color w:val="000000" w:themeColor="text1"/>
                <w:sz w:val="20"/>
                <w:szCs w:val="20"/>
                <w14:textFill>
                  <w14:solidFill>
                    <w14:schemeClr w14:val="tx1"/>
                  </w14:solidFill>
                </w14:textFill>
              </w:rPr>
              <w:t>M类份额：【2.00%-3.00%】</w:t>
            </w:r>
            <w:r>
              <w:br w:type="textWrapping"/>
            </w:r>
            <w:r>
              <w:rPr>
                <w:rFonts w:hint="eastAsia" w:ascii="楷体_GB2312" w:eastAsia="楷体_GB2312" w:cs="楷体_GB2312"/>
                <w:color w:val="000000" w:themeColor="text1"/>
                <w:sz w:val="20"/>
                <w:szCs w:val="20"/>
                <w14:textFill>
                  <w14:solidFill>
                    <w14:schemeClr w14:val="tx1"/>
                  </w14:solidFill>
                </w14:textFill>
              </w:rPr>
              <w:t>L类份额：【1.90%-2.90%】</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债权类资产。根据当前市场利率水平、组合目标久期、可投资债券的静态收益率、债券杠杆操作等因素作为测算依据，扣除相关税费成本之后，综合得出产品的业绩比较基准。】</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M类份额：初始认购/首次申购金额不低于【人民币】【1】元，以【人民币】【0.01】元的整数倍增加。追加认购/申购金额不低于【人民币】【0.01】元，以【人民币】【0.01】元的整数倍增加。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774" w:type="pct"/>
            <w:vAlign w:val="center"/>
          </w:tcPr>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774" w:type="pct"/>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M类份额：单个投资者持仓份额下限为【0.01】份，投资者提出部分赎回时，如赎回后投资者持有份额不足【0.01】份，则管理人将对投资者剩余份额发起强制赎回。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774"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774" w:type="pct"/>
            <w:vAlign w:val="center"/>
          </w:tcPr>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pStyle w:val="19"/>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pPr>
              <w:spacing w:line="300" w:lineRule="exact"/>
              <w:ind w:right="36" w:rightChars="15"/>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774"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774"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B类份额费率【0.30%】/年，G类份额费率【0.30%】/年，M类份额费率【0.30%】/年，L类份额费率【0.30%】/年</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B类份额不收取浮动管理费；G类份额不收取浮动管理费；M类份额不收取浮动管理费；L类份额不收取浮动管理费。</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774"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774" w:type="pct"/>
            <w:vAlign w:val="center"/>
          </w:tcPr>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B类份额（份额代码【AF245408B】）合作销售机构信息：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企业名称：【宁波银行股份有限公司】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br w:type="textWrapping"/>
            </w:r>
            <w:r>
              <w:rPr>
                <w:rFonts w:ascii="楷体_GB2312" w:eastAsia="楷体_GB2312" w:cs="楷体_GB2312"/>
                <w:color w:val="000000" w:themeColor="text1"/>
                <w:sz w:val="20"/>
                <w:szCs w:val="20"/>
                <w14:textFill>
                  <w14:solidFill>
                    <w14:schemeClr w14:val="tx1"/>
                  </w14:solidFill>
                </w14:textFill>
              </w:rPr>
              <w:t>G类份额（份额代码【AF245408G】）合作销售机构信息：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2.企业名称：【宁波鄞州农村商业银行股份有限公司】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91330212144417235R】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住所：【浙江省宁波市鄞州区民惠西路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956058】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3.企业名称：【张家口银行股份有限公司】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91130000106181065L】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住所：【河北省张家口市桥东区胜利北路</w:t>
            </w:r>
            <w:r>
              <w:rPr>
                <w:rFonts w:ascii="楷体_GB2312" w:eastAsia="楷体_GB2312" w:cs="楷体_GB2312"/>
                <w:color w:val="000000" w:themeColor="text1"/>
                <w:sz w:val="20"/>
                <w:szCs w:val="20"/>
                <w14:textFill>
                  <w14:solidFill>
                    <w14:schemeClr w14:val="tx1"/>
                  </w14:solidFill>
                </w14:textFill>
              </w:rPr>
              <w:t xml:space="preserve"> 51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400-6896368】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M类份额（份额代码【AF245408M】）合作销售机构信息：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72.企业名称：【齐鲁银行股份有限公司】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73.企业名称：【北京银行股份有限公司】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91110000101174712L】</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住所：【北京市西城区金融大街甲</w:t>
            </w:r>
            <w:r>
              <w:rPr>
                <w:rFonts w:ascii="楷体_GB2312" w:eastAsia="楷体_GB2312" w:cs="楷体_GB2312"/>
                <w:color w:val="000000" w:themeColor="text1"/>
                <w:sz w:val="20"/>
                <w:szCs w:val="20"/>
                <w14:textFill>
                  <w14:solidFill>
                    <w14:schemeClr w14:val="tx1"/>
                  </w14:solidFill>
                </w14:textFill>
              </w:rPr>
              <w:t>17号首层】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95526】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74.企业名称：【江苏银行股份有限公司】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91320000796544598E】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住所：【江苏省南京市中华路</w:t>
            </w:r>
            <w:r>
              <w:rPr>
                <w:rFonts w:ascii="楷体_GB2312" w:eastAsia="楷体_GB2312" w:cs="楷体_GB2312"/>
                <w:color w:val="000000" w:themeColor="text1"/>
                <w:sz w:val="20"/>
                <w:szCs w:val="20"/>
                <w14:textFill>
                  <w14:solidFill>
                    <w14:schemeClr w14:val="tx1"/>
                  </w14:solidFill>
                </w14:textFill>
              </w:rPr>
              <w:t>26号】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95319】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75.企业名称：【渤海银行股份有限公司】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911200007109339563】</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住所：【天津市河东区海河东路</w:t>
            </w:r>
            <w:r>
              <w:rPr>
                <w:rFonts w:ascii="楷体_GB2312" w:eastAsia="楷体_GB2312" w:cs="楷体_GB2312"/>
                <w:color w:val="000000" w:themeColor="text1"/>
                <w:sz w:val="20"/>
                <w:szCs w:val="20"/>
                <w14:textFill>
                  <w14:solidFill>
                    <w14:schemeClr w14:val="tx1"/>
                  </w14:solidFill>
                </w14:textFill>
              </w:rPr>
              <w:t>218号】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95541】</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76.企业名称：【河北银行股份有限公司】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91130000236047921J】</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住所：【石家庄市平安北大街</w:t>
            </w:r>
            <w:r>
              <w:rPr>
                <w:rFonts w:ascii="楷体_GB2312" w:eastAsia="楷体_GB2312" w:cs="楷体_GB2312"/>
                <w:color w:val="000000" w:themeColor="text1"/>
                <w:sz w:val="20"/>
                <w:szCs w:val="20"/>
                <w14:textFill>
                  <w14:solidFill>
                    <w14:schemeClr w14:val="tx1"/>
                  </w14:solidFill>
                </w14:textFill>
              </w:rPr>
              <w:t>28号】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4006129999】</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77.企业名称：【信银理财有限责任公司】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78.</w:t>
            </w:r>
            <w:r>
              <w:rPr>
                <w:rFonts w:hint="eastAsia" w:ascii="楷体_GB2312" w:eastAsia="楷体_GB2312" w:cs="楷体_GB2312"/>
                <w:color w:val="000000" w:themeColor="text1"/>
                <w:sz w:val="20"/>
                <w:szCs w:val="20"/>
                <w14:textFill>
                  <w14:solidFill>
                    <w14:schemeClr w14:val="tx1"/>
                  </w14:solidFill>
                </w14:textFill>
              </w:rPr>
              <w:t>企业名称：【上海银行股份有限公司】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91310000132257510M】</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住所：【中国（上海）自由贸易试验区银城中路</w:t>
            </w:r>
            <w:r>
              <w:rPr>
                <w:rFonts w:ascii="楷体_GB2312" w:eastAsia="楷体_GB2312" w:cs="楷体_GB2312"/>
                <w:color w:val="000000" w:themeColor="text1"/>
                <w:sz w:val="20"/>
                <w:szCs w:val="20"/>
                <w14:textFill>
                  <w14:solidFill>
                    <w14:schemeClr w14:val="tx1"/>
                  </w14:solidFill>
                </w14:textFill>
              </w:rPr>
              <w:t>168号】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95594】</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企业名称：【浙江云和农村商业银行股份有限公司】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80.企业名称：【中邮邮惠万家银行有限责任公司】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91310000MA7G6N2375】</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住所：【上海市虹口区东大名路</w:t>
            </w:r>
            <w:r>
              <w:rPr>
                <w:rFonts w:ascii="楷体_GB2312" w:eastAsia="楷体_GB2312" w:cs="楷体_GB2312"/>
                <w:color w:val="000000" w:themeColor="text1"/>
                <w:sz w:val="20"/>
                <w:szCs w:val="20"/>
                <w14:textFill>
                  <w14:solidFill>
                    <w14:schemeClr w14:val="tx1"/>
                  </w14:solidFill>
                </w14:textFill>
              </w:rPr>
              <w:t>1080号25层、26层】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400-118-8888】</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81.企业名称：【中信百信银行股份有限公司】</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91110105MA017C8U57】</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住所：【北京市朝阳区安定路</w:t>
            </w:r>
            <w:r>
              <w:rPr>
                <w:rFonts w:ascii="楷体_GB2312" w:eastAsia="楷体_GB2312" w:cs="楷体_GB2312"/>
                <w:color w:val="000000" w:themeColor="text1"/>
                <w:sz w:val="20"/>
                <w:szCs w:val="20"/>
                <w14:textFill>
                  <w14:solidFill>
                    <w14:schemeClr w14:val="tx1"/>
                  </w14:solidFill>
                </w14:textFill>
              </w:rPr>
              <w:t>5号院3号楼8层】</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956186】</w:t>
            </w:r>
          </w:p>
          <w:p>
            <w:pPr>
              <w:spacing w:line="300" w:lineRule="atLeast"/>
              <w:ind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L类份额（份额代码【AF245408L】）合作销售机构信息：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r>
              <w:br w:type="textWrapping"/>
            </w:r>
            <w:r>
              <w:br w:type="textWrapping"/>
            </w: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774" w:type="pct"/>
            <w:vAlign w:val="center"/>
          </w:tcPr>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774" w:type="pct"/>
            <w:vAlign w:val="center"/>
          </w:tcPr>
          <w:p>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774" w:type="pct"/>
            <w:vAlign w:val="center"/>
          </w:tcPr>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774"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774" w:type="pct"/>
            <w:vAlign w:val="center"/>
          </w:tcPr>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11"/>
                <w:rFonts w:ascii="楷体_GB2312" w:eastAsia="楷体_GB2312" w:cs="楷体_GB2312"/>
                <w:sz w:val="20"/>
                <w:szCs w:val="20"/>
              </w:rPr>
              <w:t>http://www.citic-wealth.com</w:t>
            </w:r>
            <w:r>
              <w:rPr>
                <w:rStyle w:val="11"/>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19"/>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B类份额单次最低赎回份额为【0.01】份，G类份额单次最低赎回份额为【0.01】份，M类份额单次最低赎回份额为【0.01】份，L类份额单次最低赎回份额为【0.01】份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+31（含）之后的每个工作日对T日申购的500万份产品发起赎回，T+34日（含）之后的每个工作日对T+3日申购的200万份产品发起赎回。某开放日投资者成功赎回所持有500万份本产品份额，该开放日本产品单位净值为1.1000，赎回费率为0%，则投资者获得的赎回金额=5,000,000.00×1.1000=5,500,000.00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pPr>
        <w:pStyle w:val="19"/>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left="-2" w:leftChars="-1" w:right="36" w:rightChars="15"/>
        <w:rPr>
          <w:color w:val="000000" w:themeColor="text1"/>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B类份额不收取申购费，G类份额不收取申购费，M类份额不收取申购费，L类份额不收取申购费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B类份额费率【0.30%】/年，G类份额费率【0.30%】/年，M类份额费率【0.30%】/年，L类份额费率【0.30%】/年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G类份额不收取浮动管理费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M类份额不收取浮动管理费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L类份额不收取浮动管理费。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pPr>
        <w:pStyle w:val="19"/>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color w:val="000000" w:themeColor="text1"/>
        <w14:textFill>
          <w14:solidFill>
            <w14:schemeClr w14:val="tx1"/>
          </w14:solidFill>
        </w14:textFill>
      </w:rPr>
    </w:pP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gzNTQ3YjE0ZWMyZmZiODIyZWQ2YTc3NzhhNGIifQ=="/>
  </w:docVars>
  <w:rsids>
    <w:rsidRoot w:val="00172A27"/>
    <w:rsid w:val="000006C6"/>
    <w:rsid w:val="000017A7"/>
    <w:rsid w:val="00001DC5"/>
    <w:rsid w:val="00003EA4"/>
    <w:rsid w:val="00010618"/>
    <w:rsid w:val="000126B2"/>
    <w:rsid w:val="00013F5B"/>
    <w:rsid w:val="000147D6"/>
    <w:rsid w:val="00014B73"/>
    <w:rsid w:val="00015D27"/>
    <w:rsid w:val="000160B3"/>
    <w:rsid w:val="00016ECA"/>
    <w:rsid w:val="000205B3"/>
    <w:rsid w:val="00021FBC"/>
    <w:rsid w:val="0002493B"/>
    <w:rsid w:val="0002679A"/>
    <w:rsid w:val="00035D4E"/>
    <w:rsid w:val="000363A0"/>
    <w:rsid w:val="00036A9C"/>
    <w:rsid w:val="00041092"/>
    <w:rsid w:val="000426F9"/>
    <w:rsid w:val="00043AA8"/>
    <w:rsid w:val="0004443C"/>
    <w:rsid w:val="00044D26"/>
    <w:rsid w:val="00046069"/>
    <w:rsid w:val="00047F09"/>
    <w:rsid w:val="000539DD"/>
    <w:rsid w:val="000548A7"/>
    <w:rsid w:val="00057AF1"/>
    <w:rsid w:val="00060380"/>
    <w:rsid w:val="0006039E"/>
    <w:rsid w:val="00060CF8"/>
    <w:rsid w:val="00062C0F"/>
    <w:rsid w:val="00063F74"/>
    <w:rsid w:val="000642FF"/>
    <w:rsid w:val="00064EC6"/>
    <w:rsid w:val="0006540A"/>
    <w:rsid w:val="00066399"/>
    <w:rsid w:val="000728B5"/>
    <w:rsid w:val="00073BD2"/>
    <w:rsid w:val="00074951"/>
    <w:rsid w:val="000757CB"/>
    <w:rsid w:val="000769ED"/>
    <w:rsid w:val="000810BD"/>
    <w:rsid w:val="00081E7F"/>
    <w:rsid w:val="00084A58"/>
    <w:rsid w:val="00084DE7"/>
    <w:rsid w:val="00085A4A"/>
    <w:rsid w:val="0008615C"/>
    <w:rsid w:val="0008737E"/>
    <w:rsid w:val="0009069C"/>
    <w:rsid w:val="00090A7C"/>
    <w:rsid w:val="00090C78"/>
    <w:rsid w:val="000912BC"/>
    <w:rsid w:val="0009250D"/>
    <w:rsid w:val="00093A85"/>
    <w:rsid w:val="0009479A"/>
    <w:rsid w:val="00096806"/>
    <w:rsid w:val="000A044F"/>
    <w:rsid w:val="000A0C47"/>
    <w:rsid w:val="000A5B13"/>
    <w:rsid w:val="000B0124"/>
    <w:rsid w:val="000B0A2B"/>
    <w:rsid w:val="000B449C"/>
    <w:rsid w:val="000B5CA2"/>
    <w:rsid w:val="000C04B7"/>
    <w:rsid w:val="000C0E92"/>
    <w:rsid w:val="000C19F3"/>
    <w:rsid w:val="000C2431"/>
    <w:rsid w:val="000C2603"/>
    <w:rsid w:val="000C283C"/>
    <w:rsid w:val="000C33FA"/>
    <w:rsid w:val="000C37FC"/>
    <w:rsid w:val="000C3AF8"/>
    <w:rsid w:val="000C3C7D"/>
    <w:rsid w:val="000C46EC"/>
    <w:rsid w:val="000C4C04"/>
    <w:rsid w:val="000D0148"/>
    <w:rsid w:val="000D0828"/>
    <w:rsid w:val="000D114C"/>
    <w:rsid w:val="000D2080"/>
    <w:rsid w:val="000D4C7B"/>
    <w:rsid w:val="000D56E3"/>
    <w:rsid w:val="000E10B6"/>
    <w:rsid w:val="000E3008"/>
    <w:rsid w:val="000E3444"/>
    <w:rsid w:val="000E51AE"/>
    <w:rsid w:val="000E60E0"/>
    <w:rsid w:val="000E6792"/>
    <w:rsid w:val="000E7923"/>
    <w:rsid w:val="000F1F2E"/>
    <w:rsid w:val="000F26F4"/>
    <w:rsid w:val="000F2A49"/>
    <w:rsid w:val="000F3ADF"/>
    <w:rsid w:val="000F599D"/>
    <w:rsid w:val="000F687B"/>
    <w:rsid w:val="000F798A"/>
    <w:rsid w:val="0010147F"/>
    <w:rsid w:val="00103F63"/>
    <w:rsid w:val="00105A87"/>
    <w:rsid w:val="001077F3"/>
    <w:rsid w:val="00110BCF"/>
    <w:rsid w:val="0011109A"/>
    <w:rsid w:val="00111E93"/>
    <w:rsid w:val="00115683"/>
    <w:rsid w:val="00115D73"/>
    <w:rsid w:val="0011687B"/>
    <w:rsid w:val="00116B6A"/>
    <w:rsid w:val="00123C90"/>
    <w:rsid w:val="00124FBD"/>
    <w:rsid w:val="001260B9"/>
    <w:rsid w:val="001266EA"/>
    <w:rsid w:val="00126DB3"/>
    <w:rsid w:val="00130901"/>
    <w:rsid w:val="00130D9C"/>
    <w:rsid w:val="00132E82"/>
    <w:rsid w:val="0013467D"/>
    <w:rsid w:val="001353DA"/>
    <w:rsid w:val="00135B6F"/>
    <w:rsid w:val="00136105"/>
    <w:rsid w:val="001370DF"/>
    <w:rsid w:val="0013786C"/>
    <w:rsid w:val="0014090C"/>
    <w:rsid w:val="00144519"/>
    <w:rsid w:val="001452EC"/>
    <w:rsid w:val="00146526"/>
    <w:rsid w:val="0015067A"/>
    <w:rsid w:val="001512BE"/>
    <w:rsid w:val="00151D12"/>
    <w:rsid w:val="001521EB"/>
    <w:rsid w:val="001549C8"/>
    <w:rsid w:val="001568FE"/>
    <w:rsid w:val="00156DA1"/>
    <w:rsid w:val="0016013C"/>
    <w:rsid w:val="001615E1"/>
    <w:rsid w:val="00163B22"/>
    <w:rsid w:val="001641D5"/>
    <w:rsid w:val="00164277"/>
    <w:rsid w:val="001649F3"/>
    <w:rsid w:val="00172A27"/>
    <w:rsid w:val="00176C79"/>
    <w:rsid w:val="00182FBF"/>
    <w:rsid w:val="00184D24"/>
    <w:rsid w:val="001856BC"/>
    <w:rsid w:val="001872EE"/>
    <w:rsid w:val="00190A62"/>
    <w:rsid w:val="00191496"/>
    <w:rsid w:val="001915B8"/>
    <w:rsid w:val="0019257E"/>
    <w:rsid w:val="00192A4D"/>
    <w:rsid w:val="001930F7"/>
    <w:rsid w:val="00193302"/>
    <w:rsid w:val="00194DE7"/>
    <w:rsid w:val="00197081"/>
    <w:rsid w:val="001A089C"/>
    <w:rsid w:val="001A0FD7"/>
    <w:rsid w:val="001A218A"/>
    <w:rsid w:val="001A21E1"/>
    <w:rsid w:val="001A2FFC"/>
    <w:rsid w:val="001A30BE"/>
    <w:rsid w:val="001A36DF"/>
    <w:rsid w:val="001A5423"/>
    <w:rsid w:val="001A720A"/>
    <w:rsid w:val="001A7BE3"/>
    <w:rsid w:val="001B01FF"/>
    <w:rsid w:val="001B1495"/>
    <w:rsid w:val="001B1E52"/>
    <w:rsid w:val="001B35C0"/>
    <w:rsid w:val="001B4B1E"/>
    <w:rsid w:val="001B50D8"/>
    <w:rsid w:val="001B5D0C"/>
    <w:rsid w:val="001B6C94"/>
    <w:rsid w:val="001C0F22"/>
    <w:rsid w:val="001C16A4"/>
    <w:rsid w:val="001C19C0"/>
    <w:rsid w:val="001C2A78"/>
    <w:rsid w:val="001C3D71"/>
    <w:rsid w:val="001C436F"/>
    <w:rsid w:val="001C4FAF"/>
    <w:rsid w:val="001C5D78"/>
    <w:rsid w:val="001C72BC"/>
    <w:rsid w:val="001C7B49"/>
    <w:rsid w:val="001D03C4"/>
    <w:rsid w:val="001D6A97"/>
    <w:rsid w:val="001D732D"/>
    <w:rsid w:val="001E1C60"/>
    <w:rsid w:val="001E24D6"/>
    <w:rsid w:val="001E6503"/>
    <w:rsid w:val="001F6640"/>
    <w:rsid w:val="001F6AE8"/>
    <w:rsid w:val="001F6DA5"/>
    <w:rsid w:val="001F7597"/>
    <w:rsid w:val="0020078B"/>
    <w:rsid w:val="00202368"/>
    <w:rsid w:val="00202515"/>
    <w:rsid w:val="0020290B"/>
    <w:rsid w:val="00203755"/>
    <w:rsid w:val="00203EAD"/>
    <w:rsid w:val="0020493D"/>
    <w:rsid w:val="002050A9"/>
    <w:rsid w:val="00205FFC"/>
    <w:rsid w:val="002068C1"/>
    <w:rsid w:val="002156E9"/>
    <w:rsid w:val="00215D7E"/>
    <w:rsid w:val="00216B6D"/>
    <w:rsid w:val="00217805"/>
    <w:rsid w:val="0022225E"/>
    <w:rsid w:val="002255EE"/>
    <w:rsid w:val="00225B66"/>
    <w:rsid w:val="00225C4A"/>
    <w:rsid w:val="002263A2"/>
    <w:rsid w:val="00226CD2"/>
    <w:rsid w:val="00226ED1"/>
    <w:rsid w:val="002270F3"/>
    <w:rsid w:val="00227275"/>
    <w:rsid w:val="00231806"/>
    <w:rsid w:val="00233296"/>
    <w:rsid w:val="00233A76"/>
    <w:rsid w:val="00233AC8"/>
    <w:rsid w:val="00236C74"/>
    <w:rsid w:val="002370EE"/>
    <w:rsid w:val="00237EA1"/>
    <w:rsid w:val="00241C9E"/>
    <w:rsid w:val="00243A55"/>
    <w:rsid w:val="00245336"/>
    <w:rsid w:val="00246292"/>
    <w:rsid w:val="002465F7"/>
    <w:rsid w:val="00246BAF"/>
    <w:rsid w:val="00251071"/>
    <w:rsid w:val="00253360"/>
    <w:rsid w:val="0025354B"/>
    <w:rsid w:val="002551F1"/>
    <w:rsid w:val="00255F6F"/>
    <w:rsid w:val="00263626"/>
    <w:rsid w:val="00266F6D"/>
    <w:rsid w:val="002729A9"/>
    <w:rsid w:val="00274D10"/>
    <w:rsid w:val="00274DDE"/>
    <w:rsid w:val="002754B9"/>
    <w:rsid w:val="002761EB"/>
    <w:rsid w:val="002808D0"/>
    <w:rsid w:val="00283FB0"/>
    <w:rsid w:val="00287256"/>
    <w:rsid w:val="00291517"/>
    <w:rsid w:val="00292667"/>
    <w:rsid w:val="00294941"/>
    <w:rsid w:val="00295A54"/>
    <w:rsid w:val="0029600B"/>
    <w:rsid w:val="00296760"/>
    <w:rsid w:val="002A0B7C"/>
    <w:rsid w:val="002A0DE8"/>
    <w:rsid w:val="002A101B"/>
    <w:rsid w:val="002A118E"/>
    <w:rsid w:val="002A1446"/>
    <w:rsid w:val="002A19D9"/>
    <w:rsid w:val="002A279A"/>
    <w:rsid w:val="002A284E"/>
    <w:rsid w:val="002A37AD"/>
    <w:rsid w:val="002A38E0"/>
    <w:rsid w:val="002A448B"/>
    <w:rsid w:val="002A5E24"/>
    <w:rsid w:val="002A6FFD"/>
    <w:rsid w:val="002B0D61"/>
    <w:rsid w:val="002B195C"/>
    <w:rsid w:val="002B53E3"/>
    <w:rsid w:val="002B68A0"/>
    <w:rsid w:val="002B7706"/>
    <w:rsid w:val="002B7859"/>
    <w:rsid w:val="002B7874"/>
    <w:rsid w:val="002C07C8"/>
    <w:rsid w:val="002C6CED"/>
    <w:rsid w:val="002D07E9"/>
    <w:rsid w:val="002D1482"/>
    <w:rsid w:val="002D3636"/>
    <w:rsid w:val="002D38B7"/>
    <w:rsid w:val="002D4E93"/>
    <w:rsid w:val="002D68A1"/>
    <w:rsid w:val="002D6DF8"/>
    <w:rsid w:val="002D6E0E"/>
    <w:rsid w:val="002D7249"/>
    <w:rsid w:val="002E4E91"/>
    <w:rsid w:val="002E5746"/>
    <w:rsid w:val="002E5CC4"/>
    <w:rsid w:val="002E64C4"/>
    <w:rsid w:val="002F05EE"/>
    <w:rsid w:val="002F0E3A"/>
    <w:rsid w:val="002F0F28"/>
    <w:rsid w:val="002F14A9"/>
    <w:rsid w:val="002F1E03"/>
    <w:rsid w:val="002F265B"/>
    <w:rsid w:val="002F3453"/>
    <w:rsid w:val="002F388D"/>
    <w:rsid w:val="002F7BFE"/>
    <w:rsid w:val="00305E0A"/>
    <w:rsid w:val="003079C2"/>
    <w:rsid w:val="00310EC2"/>
    <w:rsid w:val="0031174F"/>
    <w:rsid w:val="00311784"/>
    <w:rsid w:val="0031212B"/>
    <w:rsid w:val="00312710"/>
    <w:rsid w:val="00312A2B"/>
    <w:rsid w:val="003133C9"/>
    <w:rsid w:val="0031689B"/>
    <w:rsid w:val="00316DEC"/>
    <w:rsid w:val="003175C8"/>
    <w:rsid w:val="00321CAD"/>
    <w:rsid w:val="00322939"/>
    <w:rsid w:val="00326CE4"/>
    <w:rsid w:val="003313E2"/>
    <w:rsid w:val="003322C2"/>
    <w:rsid w:val="00332EB9"/>
    <w:rsid w:val="00335B05"/>
    <w:rsid w:val="00335B1F"/>
    <w:rsid w:val="00336876"/>
    <w:rsid w:val="00337017"/>
    <w:rsid w:val="003413CC"/>
    <w:rsid w:val="003421C1"/>
    <w:rsid w:val="003452C4"/>
    <w:rsid w:val="00345368"/>
    <w:rsid w:val="00345530"/>
    <w:rsid w:val="003460A3"/>
    <w:rsid w:val="00346433"/>
    <w:rsid w:val="00351AC4"/>
    <w:rsid w:val="0035590C"/>
    <w:rsid w:val="00356D2C"/>
    <w:rsid w:val="003576A4"/>
    <w:rsid w:val="003600CB"/>
    <w:rsid w:val="00360654"/>
    <w:rsid w:val="0036094B"/>
    <w:rsid w:val="0036181F"/>
    <w:rsid w:val="00362735"/>
    <w:rsid w:val="0036557C"/>
    <w:rsid w:val="0036563E"/>
    <w:rsid w:val="0036565F"/>
    <w:rsid w:val="00365828"/>
    <w:rsid w:val="00366351"/>
    <w:rsid w:val="00366D41"/>
    <w:rsid w:val="00370AD9"/>
    <w:rsid w:val="00370BE5"/>
    <w:rsid w:val="003722EF"/>
    <w:rsid w:val="00377004"/>
    <w:rsid w:val="0037708C"/>
    <w:rsid w:val="003773FD"/>
    <w:rsid w:val="00380548"/>
    <w:rsid w:val="00381BBC"/>
    <w:rsid w:val="003826E3"/>
    <w:rsid w:val="00382F22"/>
    <w:rsid w:val="0038563B"/>
    <w:rsid w:val="00387778"/>
    <w:rsid w:val="003903BF"/>
    <w:rsid w:val="0039091A"/>
    <w:rsid w:val="00390CFD"/>
    <w:rsid w:val="003911C8"/>
    <w:rsid w:val="00391378"/>
    <w:rsid w:val="00392188"/>
    <w:rsid w:val="0039559D"/>
    <w:rsid w:val="003971DB"/>
    <w:rsid w:val="00397E61"/>
    <w:rsid w:val="003A0843"/>
    <w:rsid w:val="003A097D"/>
    <w:rsid w:val="003A1BD8"/>
    <w:rsid w:val="003A4B48"/>
    <w:rsid w:val="003A5529"/>
    <w:rsid w:val="003B256C"/>
    <w:rsid w:val="003B3842"/>
    <w:rsid w:val="003B4081"/>
    <w:rsid w:val="003B4DB7"/>
    <w:rsid w:val="003B756C"/>
    <w:rsid w:val="003B7CAE"/>
    <w:rsid w:val="003C1F61"/>
    <w:rsid w:val="003C2EEB"/>
    <w:rsid w:val="003C61BE"/>
    <w:rsid w:val="003C727B"/>
    <w:rsid w:val="003C77EF"/>
    <w:rsid w:val="003C7AEF"/>
    <w:rsid w:val="003D1B3B"/>
    <w:rsid w:val="003D1E1D"/>
    <w:rsid w:val="003D4615"/>
    <w:rsid w:val="003D5980"/>
    <w:rsid w:val="003D6E7F"/>
    <w:rsid w:val="003E231B"/>
    <w:rsid w:val="003E2E0B"/>
    <w:rsid w:val="003E5156"/>
    <w:rsid w:val="003E53B4"/>
    <w:rsid w:val="003E547A"/>
    <w:rsid w:val="003E6901"/>
    <w:rsid w:val="003F2084"/>
    <w:rsid w:val="003F3C37"/>
    <w:rsid w:val="003F58E1"/>
    <w:rsid w:val="003F5982"/>
    <w:rsid w:val="003F5CC9"/>
    <w:rsid w:val="003F7F7C"/>
    <w:rsid w:val="0040426A"/>
    <w:rsid w:val="00404732"/>
    <w:rsid w:val="00405449"/>
    <w:rsid w:val="004056EF"/>
    <w:rsid w:val="004057B9"/>
    <w:rsid w:val="0040600E"/>
    <w:rsid w:val="00407081"/>
    <w:rsid w:val="00410409"/>
    <w:rsid w:val="0041223C"/>
    <w:rsid w:val="00413B11"/>
    <w:rsid w:val="0041446D"/>
    <w:rsid w:val="00414D0A"/>
    <w:rsid w:val="0041523E"/>
    <w:rsid w:val="00415393"/>
    <w:rsid w:val="00415D0E"/>
    <w:rsid w:val="00420285"/>
    <w:rsid w:val="004202B4"/>
    <w:rsid w:val="004205C0"/>
    <w:rsid w:val="004210C6"/>
    <w:rsid w:val="004243EB"/>
    <w:rsid w:val="00426C15"/>
    <w:rsid w:val="00426ED5"/>
    <w:rsid w:val="00433028"/>
    <w:rsid w:val="00436006"/>
    <w:rsid w:val="00436EE0"/>
    <w:rsid w:val="00441E3A"/>
    <w:rsid w:val="004468BE"/>
    <w:rsid w:val="004471DB"/>
    <w:rsid w:val="00447345"/>
    <w:rsid w:val="00450A36"/>
    <w:rsid w:val="00451A81"/>
    <w:rsid w:val="0045355D"/>
    <w:rsid w:val="0045444C"/>
    <w:rsid w:val="00455F92"/>
    <w:rsid w:val="004567FE"/>
    <w:rsid w:val="0045695C"/>
    <w:rsid w:val="004600AE"/>
    <w:rsid w:val="00461029"/>
    <w:rsid w:val="00463F1F"/>
    <w:rsid w:val="00464C78"/>
    <w:rsid w:val="00465DE6"/>
    <w:rsid w:val="00466412"/>
    <w:rsid w:val="0047057B"/>
    <w:rsid w:val="00470FB6"/>
    <w:rsid w:val="00470FDE"/>
    <w:rsid w:val="0047199F"/>
    <w:rsid w:val="0047482C"/>
    <w:rsid w:val="004755EA"/>
    <w:rsid w:val="00475653"/>
    <w:rsid w:val="00475662"/>
    <w:rsid w:val="00475C7B"/>
    <w:rsid w:val="004801D7"/>
    <w:rsid w:val="00480C2E"/>
    <w:rsid w:val="00481F39"/>
    <w:rsid w:val="0048246F"/>
    <w:rsid w:val="00485EB2"/>
    <w:rsid w:val="00486AE0"/>
    <w:rsid w:val="004919C6"/>
    <w:rsid w:val="00491CAE"/>
    <w:rsid w:val="004933E0"/>
    <w:rsid w:val="00493FBA"/>
    <w:rsid w:val="00494AB2"/>
    <w:rsid w:val="0049560E"/>
    <w:rsid w:val="00495FB0"/>
    <w:rsid w:val="00497A0F"/>
    <w:rsid w:val="004A0105"/>
    <w:rsid w:val="004A0C4B"/>
    <w:rsid w:val="004A1705"/>
    <w:rsid w:val="004A7220"/>
    <w:rsid w:val="004A73A9"/>
    <w:rsid w:val="004B0F38"/>
    <w:rsid w:val="004B3E7F"/>
    <w:rsid w:val="004B4881"/>
    <w:rsid w:val="004B4E0C"/>
    <w:rsid w:val="004B60CF"/>
    <w:rsid w:val="004B7645"/>
    <w:rsid w:val="004C0143"/>
    <w:rsid w:val="004C1CEF"/>
    <w:rsid w:val="004C27BA"/>
    <w:rsid w:val="004C3474"/>
    <w:rsid w:val="004C3861"/>
    <w:rsid w:val="004C46A4"/>
    <w:rsid w:val="004C49DC"/>
    <w:rsid w:val="004C7FE9"/>
    <w:rsid w:val="004D1573"/>
    <w:rsid w:val="004D1578"/>
    <w:rsid w:val="004D1B31"/>
    <w:rsid w:val="004D3168"/>
    <w:rsid w:val="004D3982"/>
    <w:rsid w:val="004D440D"/>
    <w:rsid w:val="004D49E8"/>
    <w:rsid w:val="004D4C24"/>
    <w:rsid w:val="004E1E20"/>
    <w:rsid w:val="004E2B94"/>
    <w:rsid w:val="004E3690"/>
    <w:rsid w:val="004E3FA9"/>
    <w:rsid w:val="004E402F"/>
    <w:rsid w:val="004E4EAA"/>
    <w:rsid w:val="004E7622"/>
    <w:rsid w:val="004E7E59"/>
    <w:rsid w:val="004F1681"/>
    <w:rsid w:val="004F25B4"/>
    <w:rsid w:val="004F3BB9"/>
    <w:rsid w:val="004F47CE"/>
    <w:rsid w:val="004F6A80"/>
    <w:rsid w:val="00504CE9"/>
    <w:rsid w:val="0050603A"/>
    <w:rsid w:val="0050607E"/>
    <w:rsid w:val="00506276"/>
    <w:rsid w:val="005069E4"/>
    <w:rsid w:val="00510B6F"/>
    <w:rsid w:val="005127D4"/>
    <w:rsid w:val="0051502E"/>
    <w:rsid w:val="00517930"/>
    <w:rsid w:val="005204CE"/>
    <w:rsid w:val="005218CD"/>
    <w:rsid w:val="00521D47"/>
    <w:rsid w:val="005221AA"/>
    <w:rsid w:val="005237D3"/>
    <w:rsid w:val="005251A7"/>
    <w:rsid w:val="00525CB4"/>
    <w:rsid w:val="00527BAE"/>
    <w:rsid w:val="0053426C"/>
    <w:rsid w:val="00536422"/>
    <w:rsid w:val="00542AFB"/>
    <w:rsid w:val="00542BD1"/>
    <w:rsid w:val="0054435B"/>
    <w:rsid w:val="0054504E"/>
    <w:rsid w:val="00545208"/>
    <w:rsid w:val="00546327"/>
    <w:rsid w:val="00546441"/>
    <w:rsid w:val="0055031F"/>
    <w:rsid w:val="00552C0F"/>
    <w:rsid w:val="00557038"/>
    <w:rsid w:val="00563EE8"/>
    <w:rsid w:val="00563F6E"/>
    <w:rsid w:val="005645C5"/>
    <w:rsid w:val="00566105"/>
    <w:rsid w:val="00567836"/>
    <w:rsid w:val="005738EF"/>
    <w:rsid w:val="005738FF"/>
    <w:rsid w:val="005744F2"/>
    <w:rsid w:val="005755E0"/>
    <w:rsid w:val="005769C1"/>
    <w:rsid w:val="00580CAC"/>
    <w:rsid w:val="00582D53"/>
    <w:rsid w:val="005865C3"/>
    <w:rsid w:val="00587E1F"/>
    <w:rsid w:val="00592959"/>
    <w:rsid w:val="00592F42"/>
    <w:rsid w:val="00595F7E"/>
    <w:rsid w:val="0059646B"/>
    <w:rsid w:val="0059707D"/>
    <w:rsid w:val="0059788F"/>
    <w:rsid w:val="00597DBA"/>
    <w:rsid w:val="005A0326"/>
    <w:rsid w:val="005A099D"/>
    <w:rsid w:val="005A199B"/>
    <w:rsid w:val="005A20DA"/>
    <w:rsid w:val="005A33F7"/>
    <w:rsid w:val="005A3C8F"/>
    <w:rsid w:val="005A5733"/>
    <w:rsid w:val="005A5EC0"/>
    <w:rsid w:val="005B0BE3"/>
    <w:rsid w:val="005B264B"/>
    <w:rsid w:val="005B26C0"/>
    <w:rsid w:val="005B2BD9"/>
    <w:rsid w:val="005B2FCA"/>
    <w:rsid w:val="005B4B89"/>
    <w:rsid w:val="005B4D6F"/>
    <w:rsid w:val="005B5CB3"/>
    <w:rsid w:val="005B674F"/>
    <w:rsid w:val="005B69F9"/>
    <w:rsid w:val="005C1012"/>
    <w:rsid w:val="005C26A1"/>
    <w:rsid w:val="005C2BE9"/>
    <w:rsid w:val="005C6B87"/>
    <w:rsid w:val="005C739D"/>
    <w:rsid w:val="005D0386"/>
    <w:rsid w:val="005D1EA0"/>
    <w:rsid w:val="005D2357"/>
    <w:rsid w:val="005D25FF"/>
    <w:rsid w:val="005D3505"/>
    <w:rsid w:val="005D3D54"/>
    <w:rsid w:val="005D45A1"/>
    <w:rsid w:val="005D58BE"/>
    <w:rsid w:val="005E0A11"/>
    <w:rsid w:val="005E1B40"/>
    <w:rsid w:val="005E4210"/>
    <w:rsid w:val="005F076E"/>
    <w:rsid w:val="005F0D0A"/>
    <w:rsid w:val="005F16A2"/>
    <w:rsid w:val="005F24E9"/>
    <w:rsid w:val="005F369A"/>
    <w:rsid w:val="005F3EE1"/>
    <w:rsid w:val="005F4C00"/>
    <w:rsid w:val="005F5F1C"/>
    <w:rsid w:val="005F7182"/>
    <w:rsid w:val="006026F6"/>
    <w:rsid w:val="00604548"/>
    <w:rsid w:val="006065AF"/>
    <w:rsid w:val="00606F08"/>
    <w:rsid w:val="00607679"/>
    <w:rsid w:val="00611B92"/>
    <w:rsid w:val="00614825"/>
    <w:rsid w:val="00614999"/>
    <w:rsid w:val="006218A6"/>
    <w:rsid w:val="006223DC"/>
    <w:rsid w:val="006229A2"/>
    <w:rsid w:val="00623324"/>
    <w:rsid w:val="0062630B"/>
    <w:rsid w:val="00626BED"/>
    <w:rsid w:val="006320C1"/>
    <w:rsid w:val="0063231F"/>
    <w:rsid w:val="006368D3"/>
    <w:rsid w:val="00637451"/>
    <w:rsid w:val="00637A0A"/>
    <w:rsid w:val="00640235"/>
    <w:rsid w:val="00641240"/>
    <w:rsid w:val="00645222"/>
    <w:rsid w:val="006509E5"/>
    <w:rsid w:val="00651DB2"/>
    <w:rsid w:val="0065398F"/>
    <w:rsid w:val="0065475E"/>
    <w:rsid w:val="0065724F"/>
    <w:rsid w:val="0066017F"/>
    <w:rsid w:val="00661CF7"/>
    <w:rsid w:val="00661E0A"/>
    <w:rsid w:val="006627C0"/>
    <w:rsid w:val="0066536D"/>
    <w:rsid w:val="00665606"/>
    <w:rsid w:val="00666C5E"/>
    <w:rsid w:val="006745BC"/>
    <w:rsid w:val="006804CB"/>
    <w:rsid w:val="00680BF4"/>
    <w:rsid w:val="00682617"/>
    <w:rsid w:val="00683ADB"/>
    <w:rsid w:val="00691194"/>
    <w:rsid w:val="0069257C"/>
    <w:rsid w:val="006929DF"/>
    <w:rsid w:val="00692C48"/>
    <w:rsid w:val="0069708B"/>
    <w:rsid w:val="006975BC"/>
    <w:rsid w:val="006976C9"/>
    <w:rsid w:val="006A0C97"/>
    <w:rsid w:val="006A19F9"/>
    <w:rsid w:val="006A3FF4"/>
    <w:rsid w:val="006A5C01"/>
    <w:rsid w:val="006B41B5"/>
    <w:rsid w:val="006B6EEE"/>
    <w:rsid w:val="006C0090"/>
    <w:rsid w:val="006C0806"/>
    <w:rsid w:val="006C284C"/>
    <w:rsid w:val="006C4FBC"/>
    <w:rsid w:val="006C5D6D"/>
    <w:rsid w:val="006D0DEA"/>
    <w:rsid w:val="006D380D"/>
    <w:rsid w:val="006D4480"/>
    <w:rsid w:val="006D621E"/>
    <w:rsid w:val="006D7D92"/>
    <w:rsid w:val="006D7DF5"/>
    <w:rsid w:val="006E0C09"/>
    <w:rsid w:val="006E0F1E"/>
    <w:rsid w:val="006E10CF"/>
    <w:rsid w:val="006E2EF4"/>
    <w:rsid w:val="006E308C"/>
    <w:rsid w:val="006E30F2"/>
    <w:rsid w:val="006E3116"/>
    <w:rsid w:val="006E3CDA"/>
    <w:rsid w:val="006E43E5"/>
    <w:rsid w:val="006E4D8B"/>
    <w:rsid w:val="006E5D81"/>
    <w:rsid w:val="006E670C"/>
    <w:rsid w:val="006F04C3"/>
    <w:rsid w:val="006F166D"/>
    <w:rsid w:val="006F7210"/>
    <w:rsid w:val="00700F6D"/>
    <w:rsid w:val="00701C15"/>
    <w:rsid w:val="007025CE"/>
    <w:rsid w:val="00703A19"/>
    <w:rsid w:val="0070415D"/>
    <w:rsid w:val="0070491B"/>
    <w:rsid w:val="00705487"/>
    <w:rsid w:val="00714057"/>
    <w:rsid w:val="007146CC"/>
    <w:rsid w:val="007160F3"/>
    <w:rsid w:val="00716F0D"/>
    <w:rsid w:val="00720264"/>
    <w:rsid w:val="0072328E"/>
    <w:rsid w:val="00724409"/>
    <w:rsid w:val="00725E51"/>
    <w:rsid w:val="00726156"/>
    <w:rsid w:val="007277A7"/>
    <w:rsid w:val="007279E5"/>
    <w:rsid w:val="0073059C"/>
    <w:rsid w:val="00732939"/>
    <w:rsid w:val="00733CAE"/>
    <w:rsid w:val="007341D7"/>
    <w:rsid w:val="00742D4B"/>
    <w:rsid w:val="007439E8"/>
    <w:rsid w:val="00744316"/>
    <w:rsid w:val="00745A82"/>
    <w:rsid w:val="00747A12"/>
    <w:rsid w:val="007500A6"/>
    <w:rsid w:val="00753114"/>
    <w:rsid w:val="007535A2"/>
    <w:rsid w:val="00755E0B"/>
    <w:rsid w:val="007567CA"/>
    <w:rsid w:val="007578A5"/>
    <w:rsid w:val="00762150"/>
    <w:rsid w:val="007621EB"/>
    <w:rsid w:val="00762A1A"/>
    <w:rsid w:val="00762E9A"/>
    <w:rsid w:val="0077104A"/>
    <w:rsid w:val="0077131D"/>
    <w:rsid w:val="0077204B"/>
    <w:rsid w:val="00772F06"/>
    <w:rsid w:val="007737E0"/>
    <w:rsid w:val="00773EF6"/>
    <w:rsid w:val="00774627"/>
    <w:rsid w:val="007767C3"/>
    <w:rsid w:val="007808F5"/>
    <w:rsid w:val="00781310"/>
    <w:rsid w:val="00782961"/>
    <w:rsid w:val="00783654"/>
    <w:rsid w:val="0078380F"/>
    <w:rsid w:val="0079138E"/>
    <w:rsid w:val="007929F7"/>
    <w:rsid w:val="007930A4"/>
    <w:rsid w:val="00794E71"/>
    <w:rsid w:val="007966BE"/>
    <w:rsid w:val="007A1863"/>
    <w:rsid w:val="007A24F4"/>
    <w:rsid w:val="007A4008"/>
    <w:rsid w:val="007A49A9"/>
    <w:rsid w:val="007A5E9D"/>
    <w:rsid w:val="007A69A9"/>
    <w:rsid w:val="007B0FB2"/>
    <w:rsid w:val="007B16F7"/>
    <w:rsid w:val="007B3F5E"/>
    <w:rsid w:val="007B65A1"/>
    <w:rsid w:val="007B7D9D"/>
    <w:rsid w:val="007C1FD4"/>
    <w:rsid w:val="007C2C0B"/>
    <w:rsid w:val="007C2FC3"/>
    <w:rsid w:val="007C3B98"/>
    <w:rsid w:val="007C4338"/>
    <w:rsid w:val="007C638C"/>
    <w:rsid w:val="007C7112"/>
    <w:rsid w:val="007D2424"/>
    <w:rsid w:val="007D2AF2"/>
    <w:rsid w:val="007D3041"/>
    <w:rsid w:val="007D40F8"/>
    <w:rsid w:val="007D7593"/>
    <w:rsid w:val="007E043B"/>
    <w:rsid w:val="007E07E0"/>
    <w:rsid w:val="007E0CA6"/>
    <w:rsid w:val="007E1C65"/>
    <w:rsid w:val="007E250D"/>
    <w:rsid w:val="007E5ED0"/>
    <w:rsid w:val="007E6F1E"/>
    <w:rsid w:val="007E70AD"/>
    <w:rsid w:val="007E7B54"/>
    <w:rsid w:val="007F08EA"/>
    <w:rsid w:val="007F52AA"/>
    <w:rsid w:val="007F779B"/>
    <w:rsid w:val="008001C4"/>
    <w:rsid w:val="00801AA5"/>
    <w:rsid w:val="00803588"/>
    <w:rsid w:val="00803B53"/>
    <w:rsid w:val="0080455A"/>
    <w:rsid w:val="008069CD"/>
    <w:rsid w:val="00807588"/>
    <w:rsid w:val="00810BD4"/>
    <w:rsid w:val="00810CF1"/>
    <w:rsid w:val="008118F6"/>
    <w:rsid w:val="00812070"/>
    <w:rsid w:val="00815CD7"/>
    <w:rsid w:val="00815CE5"/>
    <w:rsid w:val="00816DF3"/>
    <w:rsid w:val="0082090A"/>
    <w:rsid w:val="00821110"/>
    <w:rsid w:val="00822EB0"/>
    <w:rsid w:val="00823631"/>
    <w:rsid w:val="0082485C"/>
    <w:rsid w:val="008276D5"/>
    <w:rsid w:val="00827EBC"/>
    <w:rsid w:val="0083053C"/>
    <w:rsid w:val="00831D18"/>
    <w:rsid w:val="008328C6"/>
    <w:rsid w:val="008342FE"/>
    <w:rsid w:val="0083530F"/>
    <w:rsid w:val="008357D1"/>
    <w:rsid w:val="00836406"/>
    <w:rsid w:val="00836417"/>
    <w:rsid w:val="00836C6F"/>
    <w:rsid w:val="00837AA0"/>
    <w:rsid w:val="00842495"/>
    <w:rsid w:val="00845089"/>
    <w:rsid w:val="00850703"/>
    <w:rsid w:val="00851D70"/>
    <w:rsid w:val="0085303E"/>
    <w:rsid w:val="00854172"/>
    <w:rsid w:val="008548FE"/>
    <w:rsid w:val="00855DD2"/>
    <w:rsid w:val="00855E90"/>
    <w:rsid w:val="0085695F"/>
    <w:rsid w:val="008576C5"/>
    <w:rsid w:val="00857D29"/>
    <w:rsid w:val="008602CF"/>
    <w:rsid w:val="00860EDD"/>
    <w:rsid w:val="008619AD"/>
    <w:rsid w:val="00861DB4"/>
    <w:rsid w:val="00863ADD"/>
    <w:rsid w:val="00864467"/>
    <w:rsid w:val="008651E5"/>
    <w:rsid w:val="0086720D"/>
    <w:rsid w:val="008703D2"/>
    <w:rsid w:val="008714A8"/>
    <w:rsid w:val="008734E7"/>
    <w:rsid w:val="0087754F"/>
    <w:rsid w:val="00880F64"/>
    <w:rsid w:val="00882FCC"/>
    <w:rsid w:val="008831B8"/>
    <w:rsid w:val="00883AE2"/>
    <w:rsid w:val="00885404"/>
    <w:rsid w:val="0088574C"/>
    <w:rsid w:val="008859E1"/>
    <w:rsid w:val="00890816"/>
    <w:rsid w:val="0089154C"/>
    <w:rsid w:val="0089445F"/>
    <w:rsid w:val="00895EED"/>
    <w:rsid w:val="008A411C"/>
    <w:rsid w:val="008A69A3"/>
    <w:rsid w:val="008B0822"/>
    <w:rsid w:val="008B1E5A"/>
    <w:rsid w:val="008B2747"/>
    <w:rsid w:val="008B4408"/>
    <w:rsid w:val="008B48FE"/>
    <w:rsid w:val="008B52FB"/>
    <w:rsid w:val="008B7343"/>
    <w:rsid w:val="008C6EB3"/>
    <w:rsid w:val="008C7329"/>
    <w:rsid w:val="008E2351"/>
    <w:rsid w:val="008E472F"/>
    <w:rsid w:val="008E5E61"/>
    <w:rsid w:val="008F1E60"/>
    <w:rsid w:val="008F20AB"/>
    <w:rsid w:val="008F5554"/>
    <w:rsid w:val="008F6227"/>
    <w:rsid w:val="00902206"/>
    <w:rsid w:val="00903D64"/>
    <w:rsid w:val="0090431C"/>
    <w:rsid w:val="00904891"/>
    <w:rsid w:val="009105DF"/>
    <w:rsid w:val="009109D7"/>
    <w:rsid w:val="00910D88"/>
    <w:rsid w:val="00913087"/>
    <w:rsid w:val="0091382D"/>
    <w:rsid w:val="00916769"/>
    <w:rsid w:val="00917776"/>
    <w:rsid w:val="009238E1"/>
    <w:rsid w:val="00925A45"/>
    <w:rsid w:val="00925ABF"/>
    <w:rsid w:val="00934481"/>
    <w:rsid w:val="00934714"/>
    <w:rsid w:val="009347AF"/>
    <w:rsid w:val="0093538C"/>
    <w:rsid w:val="009404AF"/>
    <w:rsid w:val="00940B4D"/>
    <w:rsid w:val="009421CA"/>
    <w:rsid w:val="00943306"/>
    <w:rsid w:val="009437CB"/>
    <w:rsid w:val="0094593C"/>
    <w:rsid w:val="00947727"/>
    <w:rsid w:val="0094794A"/>
    <w:rsid w:val="0095171C"/>
    <w:rsid w:val="00951827"/>
    <w:rsid w:val="009543C4"/>
    <w:rsid w:val="00954DC5"/>
    <w:rsid w:val="00955AAD"/>
    <w:rsid w:val="009561B3"/>
    <w:rsid w:val="0096016D"/>
    <w:rsid w:val="0096022C"/>
    <w:rsid w:val="009647FC"/>
    <w:rsid w:val="0096558D"/>
    <w:rsid w:val="0096682F"/>
    <w:rsid w:val="00966A09"/>
    <w:rsid w:val="0097118F"/>
    <w:rsid w:val="00974963"/>
    <w:rsid w:val="00976AFC"/>
    <w:rsid w:val="009836AD"/>
    <w:rsid w:val="00985402"/>
    <w:rsid w:val="00986603"/>
    <w:rsid w:val="00986EBC"/>
    <w:rsid w:val="00990F75"/>
    <w:rsid w:val="00991685"/>
    <w:rsid w:val="00994FCB"/>
    <w:rsid w:val="00996506"/>
    <w:rsid w:val="009968EC"/>
    <w:rsid w:val="009A0ACD"/>
    <w:rsid w:val="009A18DB"/>
    <w:rsid w:val="009A2BA6"/>
    <w:rsid w:val="009A303C"/>
    <w:rsid w:val="009A675F"/>
    <w:rsid w:val="009B05E6"/>
    <w:rsid w:val="009B14F2"/>
    <w:rsid w:val="009B24F9"/>
    <w:rsid w:val="009B32DD"/>
    <w:rsid w:val="009B4E98"/>
    <w:rsid w:val="009B5271"/>
    <w:rsid w:val="009B56EF"/>
    <w:rsid w:val="009B58EC"/>
    <w:rsid w:val="009B593B"/>
    <w:rsid w:val="009B6D89"/>
    <w:rsid w:val="009B7656"/>
    <w:rsid w:val="009C004A"/>
    <w:rsid w:val="009C0C53"/>
    <w:rsid w:val="009C126B"/>
    <w:rsid w:val="009C1DC1"/>
    <w:rsid w:val="009C5418"/>
    <w:rsid w:val="009C61F2"/>
    <w:rsid w:val="009C68B2"/>
    <w:rsid w:val="009C699A"/>
    <w:rsid w:val="009C6E8C"/>
    <w:rsid w:val="009D153E"/>
    <w:rsid w:val="009D3197"/>
    <w:rsid w:val="009D3403"/>
    <w:rsid w:val="009E1335"/>
    <w:rsid w:val="009E2761"/>
    <w:rsid w:val="009E6C2C"/>
    <w:rsid w:val="009E778C"/>
    <w:rsid w:val="009F0A38"/>
    <w:rsid w:val="009F6594"/>
    <w:rsid w:val="009F7E21"/>
    <w:rsid w:val="00A02056"/>
    <w:rsid w:val="00A04383"/>
    <w:rsid w:val="00A05548"/>
    <w:rsid w:val="00A06DA3"/>
    <w:rsid w:val="00A11464"/>
    <w:rsid w:val="00A123E3"/>
    <w:rsid w:val="00A13F92"/>
    <w:rsid w:val="00A14C36"/>
    <w:rsid w:val="00A15751"/>
    <w:rsid w:val="00A15FD3"/>
    <w:rsid w:val="00A1651C"/>
    <w:rsid w:val="00A208BD"/>
    <w:rsid w:val="00A20E42"/>
    <w:rsid w:val="00A21691"/>
    <w:rsid w:val="00A22514"/>
    <w:rsid w:val="00A25672"/>
    <w:rsid w:val="00A2672F"/>
    <w:rsid w:val="00A32E0A"/>
    <w:rsid w:val="00A3332D"/>
    <w:rsid w:val="00A33A98"/>
    <w:rsid w:val="00A350B9"/>
    <w:rsid w:val="00A3557B"/>
    <w:rsid w:val="00A35C36"/>
    <w:rsid w:val="00A407CC"/>
    <w:rsid w:val="00A408EB"/>
    <w:rsid w:val="00A40CC2"/>
    <w:rsid w:val="00A40F80"/>
    <w:rsid w:val="00A4272A"/>
    <w:rsid w:val="00A45B60"/>
    <w:rsid w:val="00A46540"/>
    <w:rsid w:val="00A46ABD"/>
    <w:rsid w:val="00A47D06"/>
    <w:rsid w:val="00A52506"/>
    <w:rsid w:val="00A53B68"/>
    <w:rsid w:val="00A56C74"/>
    <w:rsid w:val="00A61C27"/>
    <w:rsid w:val="00A6275A"/>
    <w:rsid w:val="00A62F85"/>
    <w:rsid w:val="00A632C2"/>
    <w:rsid w:val="00A63964"/>
    <w:rsid w:val="00A67D8B"/>
    <w:rsid w:val="00A7040A"/>
    <w:rsid w:val="00A7281D"/>
    <w:rsid w:val="00A72C17"/>
    <w:rsid w:val="00A7596B"/>
    <w:rsid w:val="00A7690D"/>
    <w:rsid w:val="00A80C01"/>
    <w:rsid w:val="00A84324"/>
    <w:rsid w:val="00A84AFC"/>
    <w:rsid w:val="00A865CE"/>
    <w:rsid w:val="00A90F6A"/>
    <w:rsid w:val="00A92459"/>
    <w:rsid w:val="00A9276D"/>
    <w:rsid w:val="00A92A32"/>
    <w:rsid w:val="00A92B67"/>
    <w:rsid w:val="00A939E8"/>
    <w:rsid w:val="00A93BF6"/>
    <w:rsid w:val="00A95125"/>
    <w:rsid w:val="00AA161C"/>
    <w:rsid w:val="00AA19B1"/>
    <w:rsid w:val="00AA2232"/>
    <w:rsid w:val="00AA2414"/>
    <w:rsid w:val="00AA2ED5"/>
    <w:rsid w:val="00AA37CD"/>
    <w:rsid w:val="00AA3BFD"/>
    <w:rsid w:val="00AA5253"/>
    <w:rsid w:val="00AA5CB2"/>
    <w:rsid w:val="00AA5E06"/>
    <w:rsid w:val="00AB2B1A"/>
    <w:rsid w:val="00AB2E83"/>
    <w:rsid w:val="00AB4C0B"/>
    <w:rsid w:val="00AB527D"/>
    <w:rsid w:val="00AC139B"/>
    <w:rsid w:val="00AC1B2C"/>
    <w:rsid w:val="00AC2BE4"/>
    <w:rsid w:val="00AC30CA"/>
    <w:rsid w:val="00AC6333"/>
    <w:rsid w:val="00AC6572"/>
    <w:rsid w:val="00AD111F"/>
    <w:rsid w:val="00AD4929"/>
    <w:rsid w:val="00AD5938"/>
    <w:rsid w:val="00AE00FB"/>
    <w:rsid w:val="00AE158D"/>
    <w:rsid w:val="00AE1A21"/>
    <w:rsid w:val="00AE22BA"/>
    <w:rsid w:val="00AE3747"/>
    <w:rsid w:val="00AE47AD"/>
    <w:rsid w:val="00AE4D55"/>
    <w:rsid w:val="00AE533E"/>
    <w:rsid w:val="00AE64B6"/>
    <w:rsid w:val="00AE6808"/>
    <w:rsid w:val="00AF0C5C"/>
    <w:rsid w:val="00AF2396"/>
    <w:rsid w:val="00AF2C00"/>
    <w:rsid w:val="00AF3F36"/>
    <w:rsid w:val="00AF77F1"/>
    <w:rsid w:val="00AF7872"/>
    <w:rsid w:val="00AF7E4B"/>
    <w:rsid w:val="00B0144C"/>
    <w:rsid w:val="00B020D7"/>
    <w:rsid w:val="00B02707"/>
    <w:rsid w:val="00B04D83"/>
    <w:rsid w:val="00B068D6"/>
    <w:rsid w:val="00B07607"/>
    <w:rsid w:val="00B105F7"/>
    <w:rsid w:val="00B12CC7"/>
    <w:rsid w:val="00B13EE8"/>
    <w:rsid w:val="00B16E54"/>
    <w:rsid w:val="00B177A2"/>
    <w:rsid w:val="00B17FC5"/>
    <w:rsid w:val="00B20DA7"/>
    <w:rsid w:val="00B230BA"/>
    <w:rsid w:val="00B23D37"/>
    <w:rsid w:val="00B23F4C"/>
    <w:rsid w:val="00B2420E"/>
    <w:rsid w:val="00B2555E"/>
    <w:rsid w:val="00B260D1"/>
    <w:rsid w:val="00B27A3E"/>
    <w:rsid w:val="00B30F64"/>
    <w:rsid w:val="00B3313B"/>
    <w:rsid w:val="00B331C0"/>
    <w:rsid w:val="00B334BA"/>
    <w:rsid w:val="00B3407C"/>
    <w:rsid w:val="00B35851"/>
    <w:rsid w:val="00B36C49"/>
    <w:rsid w:val="00B36C7F"/>
    <w:rsid w:val="00B41274"/>
    <w:rsid w:val="00B41994"/>
    <w:rsid w:val="00B445DA"/>
    <w:rsid w:val="00B45671"/>
    <w:rsid w:val="00B50114"/>
    <w:rsid w:val="00B51166"/>
    <w:rsid w:val="00B51911"/>
    <w:rsid w:val="00B52A03"/>
    <w:rsid w:val="00B55E40"/>
    <w:rsid w:val="00B6170E"/>
    <w:rsid w:val="00B626A6"/>
    <w:rsid w:val="00B66DAD"/>
    <w:rsid w:val="00B7006C"/>
    <w:rsid w:val="00B7025F"/>
    <w:rsid w:val="00B72C4F"/>
    <w:rsid w:val="00B7602B"/>
    <w:rsid w:val="00B76A1B"/>
    <w:rsid w:val="00B76AEF"/>
    <w:rsid w:val="00B77E4F"/>
    <w:rsid w:val="00B80717"/>
    <w:rsid w:val="00B83072"/>
    <w:rsid w:val="00B83367"/>
    <w:rsid w:val="00B8483F"/>
    <w:rsid w:val="00B91EAF"/>
    <w:rsid w:val="00B95730"/>
    <w:rsid w:val="00B95A27"/>
    <w:rsid w:val="00B972AD"/>
    <w:rsid w:val="00B975E8"/>
    <w:rsid w:val="00BA0253"/>
    <w:rsid w:val="00BA03A6"/>
    <w:rsid w:val="00BA143B"/>
    <w:rsid w:val="00BA22FE"/>
    <w:rsid w:val="00BA445B"/>
    <w:rsid w:val="00BA4FDA"/>
    <w:rsid w:val="00BA707B"/>
    <w:rsid w:val="00BB0A13"/>
    <w:rsid w:val="00BB0C5E"/>
    <w:rsid w:val="00BB3AC1"/>
    <w:rsid w:val="00BB45D5"/>
    <w:rsid w:val="00BB7026"/>
    <w:rsid w:val="00BB7171"/>
    <w:rsid w:val="00BB78FE"/>
    <w:rsid w:val="00BC3524"/>
    <w:rsid w:val="00BC4F45"/>
    <w:rsid w:val="00BC641A"/>
    <w:rsid w:val="00BC7731"/>
    <w:rsid w:val="00BD1B90"/>
    <w:rsid w:val="00BD60FE"/>
    <w:rsid w:val="00BD79B7"/>
    <w:rsid w:val="00BE0C23"/>
    <w:rsid w:val="00BE24AB"/>
    <w:rsid w:val="00BE3245"/>
    <w:rsid w:val="00BE3AF0"/>
    <w:rsid w:val="00BE66C7"/>
    <w:rsid w:val="00BF1BF1"/>
    <w:rsid w:val="00BF23C0"/>
    <w:rsid w:val="00BF26BF"/>
    <w:rsid w:val="00BF2FC4"/>
    <w:rsid w:val="00BF412E"/>
    <w:rsid w:val="00BF42D8"/>
    <w:rsid w:val="00BF52BA"/>
    <w:rsid w:val="00BF5CE4"/>
    <w:rsid w:val="00BF75AF"/>
    <w:rsid w:val="00BF7E48"/>
    <w:rsid w:val="00C0010B"/>
    <w:rsid w:val="00C005A4"/>
    <w:rsid w:val="00C00C9F"/>
    <w:rsid w:val="00C02A0B"/>
    <w:rsid w:val="00C03B66"/>
    <w:rsid w:val="00C03CF5"/>
    <w:rsid w:val="00C04640"/>
    <w:rsid w:val="00C04919"/>
    <w:rsid w:val="00C05C2D"/>
    <w:rsid w:val="00C07F4E"/>
    <w:rsid w:val="00C10448"/>
    <w:rsid w:val="00C10AA1"/>
    <w:rsid w:val="00C14A77"/>
    <w:rsid w:val="00C15E9A"/>
    <w:rsid w:val="00C169CF"/>
    <w:rsid w:val="00C232B8"/>
    <w:rsid w:val="00C2349F"/>
    <w:rsid w:val="00C24BE4"/>
    <w:rsid w:val="00C24C46"/>
    <w:rsid w:val="00C250C7"/>
    <w:rsid w:val="00C25E4B"/>
    <w:rsid w:val="00C26F36"/>
    <w:rsid w:val="00C27CD0"/>
    <w:rsid w:val="00C27EB9"/>
    <w:rsid w:val="00C32E8A"/>
    <w:rsid w:val="00C35445"/>
    <w:rsid w:val="00C41B13"/>
    <w:rsid w:val="00C42069"/>
    <w:rsid w:val="00C43848"/>
    <w:rsid w:val="00C476AD"/>
    <w:rsid w:val="00C50318"/>
    <w:rsid w:val="00C50CFB"/>
    <w:rsid w:val="00C52BB3"/>
    <w:rsid w:val="00C54066"/>
    <w:rsid w:val="00C54629"/>
    <w:rsid w:val="00C55421"/>
    <w:rsid w:val="00C62FB0"/>
    <w:rsid w:val="00C65322"/>
    <w:rsid w:val="00C66210"/>
    <w:rsid w:val="00C678F2"/>
    <w:rsid w:val="00C67C43"/>
    <w:rsid w:val="00C710C7"/>
    <w:rsid w:val="00C71B36"/>
    <w:rsid w:val="00C73C9D"/>
    <w:rsid w:val="00C751EA"/>
    <w:rsid w:val="00C76FCE"/>
    <w:rsid w:val="00C81458"/>
    <w:rsid w:val="00C857F8"/>
    <w:rsid w:val="00C920C0"/>
    <w:rsid w:val="00C92B5D"/>
    <w:rsid w:val="00C92F79"/>
    <w:rsid w:val="00C94EA8"/>
    <w:rsid w:val="00C951D7"/>
    <w:rsid w:val="00C974FC"/>
    <w:rsid w:val="00CA189C"/>
    <w:rsid w:val="00CA2217"/>
    <w:rsid w:val="00CA57A1"/>
    <w:rsid w:val="00CA6FC9"/>
    <w:rsid w:val="00CB2D18"/>
    <w:rsid w:val="00CB3E45"/>
    <w:rsid w:val="00CB4E16"/>
    <w:rsid w:val="00CB71A8"/>
    <w:rsid w:val="00CC0210"/>
    <w:rsid w:val="00CC0614"/>
    <w:rsid w:val="00CC2D86"/>
    <w:rsid w:val="00CC3A96"/>
    <w:rsid w:val="00CC7DEA"/>
    <w:rsid w:val="00CD02BF"/>
    <w:rsid w:val="00CD2E7A"/>
    <w:rsid w:val="00CD3E47"/>
    <w:rsid w:val="00CE1412"/>
    <w:rsid w:val="00CE1F49"/>
    <w:rsid w:val="00CE3DC3"/>
    <w:rsid w:val="00CE4171"/>
    <w:rsid w:val="00CE4710"/>
    <w:rsid w:val="00CE4AAE"/>
    <w:rsid w:val="00CE52D2"/>
    <w:rsid w:val="00CE5CBC"/>
    <w:rsid w:val="00CE7DD2"/>
    <w:rsid w:val="00CE7E75"/>
    <w:rsid w:val="00CF151D"/>
    <w:rsid w:val="00CF3730"/>
    <w:rsid w:val="00CF3B5D"/>
    <w:rsid w:val="00CF473D"/>
    <w:rsid w:val="00CF496F"/>
    <w:rsid w:val="00CF5583"/>
    <w:rsid w:val="00CF55D2"/>
    <w:rsid w:val="00CF77C4"/>
    <w:rsid w:val="00D0034F"/>
    <w:rsid w:val="00D01C4E"/>
    <w:rsid w:val="00D02659"/>
    <w:rsid w:val="00D0285F"/>
    <w:rsid w:val="00D03ADC"/>
    <w:rsid w:val="00D050DE"/>
    <w:rsid w:val="00D05811"/>
    <w:rsid w:val="00D06466"/>
    <w:rsid w:val="00D072CD"/>
    <w:rsid w:val="00D07D52"/>
    <w:rsid w:val="00D10057"/>
    <w:rsid w:val="00D1239D"/>
    <w:rsid w:val="00D1577F"/>
    <w:rsid w:val="00D15815"/>
    <w:rsid w:val="00D15DF6"/>
    <w:rsid w:val="00D16BA4"/>
    <w:rsid w:val="00D17DC8"/>
    <w:rsid w:val="00D200C6"/>
    <w:rsid w:val="00D205CC"/>
    <w:rsid w:val="00D20828"/>
    <w:rsid w:val="00D20CEC"/>
    <w:rsid w:val="00D2219A"/>
    <w:rsid w:val="00D22770"/>
    <w:rsid w:val="00D239E3"/>
    <w:rsid w:val="00D23BBB"/>
    <w:rsid w:val="00D27FAD"/>
    <w:rsid w:val="00D30F42"/>
    <w:rsid w:val="00D32EB7"/>
    <w:rsid w:val="00D33ACB"/>
    <w:rsid w:val="00D33EC3"/>
    <w:rsid w:val="00D34157"/>
    <w:rsid w:val="00D35CA8"/>
    <w:rsid w:val="00D36096"/>
    <w:rsid w:val="00D3668B"/>
    <w:rsid w:val="00D371A7"/>
    <w:rsid w:val="00D41580"/>
    <w:rsid w:val="00D42DAB"/>
    <w:rsid w:val="00D4437D"/>
    <w:rsid w:val="00D45014"/>
    <w:rsid w:val="00D45050"/>
    <w:rsid w:val="00D465AF"/>
    <w:rsid w:val="00D466D1"/>
    <w:rsid w:val="00D4739D"/>
    <w:rsid w:val="00D505D6"/>
    <w:rsid w:val="00D50A1F"/>
    <w:rsid w:val="00D51402"/>
    <w:rsid w:val="00D516F5"/>
    <w:rsid w:val="00D52357"/>
    <w:rsid w:val="00D5357C"/>
    <w:rsid w:val="00D55B00"/>
    <w:rsid w:val="00D55D57"/>
    <w:rsid w:val="00D56ECD"/>
    <w:rsid w:val="00D604D3"/>
    <w:rsid w:val="00D63339"/>
    <w:rsid w:val="00D6374B"/>
    <w:rsid w:val="00D63F87"/>
    <w:rsid w:val="00D671C9"/>
    <w:rsid w:val="00D6722E"/>
    <w:rsid w:val="00D70920"/>
    <w:rsid w:val="00D71146"/>
    <w:rsid w:val="00D71335"/>
    <w:rsid w:val="00D73B6B"/>
    <w:rsid w:val="00D762AE"/>
    <w:rsid w:val="00D82AC3"/>
    <w:rsid w:val="00D83922"/>
    <w:rsid w:val="00D844A0"/>
    <w:rsid w:val="00D84AF0"/>
    <w:rsid w:val="00D854DF"/>
    <w:rsid w:val="00D85624"/>
    <w:rsid w:val="00D87391"/>
    <w:rsid w:val="00D904BD"/>
    <w:rsid w:val="00D91398"/>
    <w:rsid w:val="00D9260F"/>
    <w:rsid w:val="00D9391A"/>
    <w:rsid w:val="00D94E7D"/>
    <w:rsid w:val="00D95999"/>
    <w:rsid w:val="00D96382"/>
    <w:rsid w:val="00DA04DC"/>
    <w:rsid w:val="00DA1D20"/>
    <w:rsid w:val="00DA2A7E"/>
    <w:rsid w:val="00DA428A"/>
    <w:rsid w:val="00DA525D"/>
    <w:rsid w:val="00DA6080"/>
    <w:rsid w:val="00DA7BC2"/>
    <w:rsid w:val="00DA7EED"/>
    <w:rsid w:val="00DB16B7"/>
    <w:rsid w:val="00DB4736"/>
    <w:rsid w:val="00DB47F8"/>
    <w:rsid w:val="00DB685D"/>
    <w:rsid w:val="00DC0186"/>
    <w:rsid w:val="00DC0779"/>
    <w:rsid w:val="00DC1009"/>
    <w:rsid w:val="00DC1D1B"/>
    <w:rsid w:val="00DC2073"/>
    <w:rsid w:val="00DC3342"/>
    <w:rsid w:val="00DC4DA2"/>
    <w:rsid w:val="00DC61EB"/>
    <w:rsid w:val="00DC7217"/>
    <w:rsid w:val="00DD1912"/>
    <w:rsid w:val="00DD351D"/>
    <w:rsid w:val="00DD36EA"/>
    <w:rsid w:val="00DD4EFA"/>
    <w:rsid w:val="00DE0389"/>
    <w:rsid w:val="00DE0804"/>
    <w:rsid w:val="00DE1634"/>
    <w:rsid w:val="00DE16EF"/>
    <w:rsid w:val="00DE30E5"/>
    <w:rsid w:val="00DE6648"/>
    <w:rsid w:val="00DE6A2E"/>
    <w:rsid w:val="00DE72AB"/>
    <w:rsid w:val="00DE72C5"/>
    <w:rsid w:val="00DF617F"/>
    <w:rsid w:val="00DF6D87"/>
    <w:rsid w:val="00DF7764"/>
    <w:rsid w:val="00E02F20"/>
    <w:rsid w:val="00E0577C"/>
    <w:rsid w:val="00E068CF"/>
    <w:rsid w:val="00E07958"/>
    <w:rsid w:val="00E07F4D"/>
    <w:rsid w:val="00E10029"/>
    <w:rsid w:val="00E10099"/>
    <w:rsid w:val="00E104EA"/>
    <w:rsid w:val="00E10ED4"/>
    <w:rsid w:val="00E120DE"/>
    <w:rsid w:val="00E13896"/>
    <w:rsid w:val="00E20339"/>
    <w:rsid w:val="00E20C9C"/>
    <w:rsid w:val="00E21EC7"/>
    <w:rsid w:val="00E22102"/>
    <w:rsid w:val="00E227B8"/>
    <w:rsid w:val="00E22D5D"/>
    <w:rsid w:val="00E30099"/>
    <w:rsid w:val="00E32D16"/>
    <w:rsid w:val="00E33422"/>
    <w:rsid w:val="00E353D1"/>
    <w:rsid w:val="00E3595B"/>
    <w:rsid w:val="00E35975"/>
    <w:rsid w:val="00E35B94"/>
    <w:rsid w:val="00E3618F"/>
    <w:rsid w:val="00E412D5"/>
    <w:rsid w:val="00E43140"/>
    <w:rsid w:val="00E438A3"/>
    <w:rsid w:val="00E44C8B"/>
    <w:rsid w:val="00E44F25"/>
    <w:rsid w:val="00E46DCE"/>
    <w:rsid w:val="00E47DD0"/>
    <w:rsid w:val="00E526D8"/>
    <w:rsid w:val="00E5289E"/>
    <w:rsid w:val="00E54C68"/>
    <w:rsid w:val="00E56D68"/>
    <w:rsid w:val="00E56DDC"/>
    <w:rsid w:val="00E6557D"/>
    <w:rsid w:val="00E656F1"/>
    <w:rsid w:val="00E672F6"/>
    <w:rsid w:val="00E67FA1"/>
    <w:rsid w:val="00E7002C"/>
    <w:rsid w:val="00E72B0E"/>
    <w:rsid w:val="00E738C0"/>
    <w:rsid w:val="00E76EB6"/>
    <w:rsid w:val="00E7780E"/>
    <w:rsid w:val="00E8014D"/>
    <w:rsid w:val="00E81189"/>
    <w:rsid w:val="00E84389"/>
    <w:rsid w:val="00E84C7E"/>
    <w:rsid w:val="00E85C33"/>
    <w:rsid w:val="00E87647"/>
    <w:rsid w:val="00E903C1"/>
    <w:rsid w:val="00E92364"/>
    <w:rsid w:val="00E92830"/>
    <w:rsid w:val="00E9579F"/>
    <w:rsid w:val="00E97E88"/>
    <w:rsid w:val="00EA1DBD"/>
    <w:rsid w:val="00EA3989"/>
    <w:rsid w:val="00EA47D9"/>
    <w:rsid w:val="00EA63D7"/>
    <w:rsid w:val="00EB4201"/>
    <w:rsid w:val="00EB439C"/>
    <w:rsid w:val="00EB7989"/>
    <w:rsid w:val="00EC1664"/>
    <w:rsid w:val="00EC6B35"/>
    <w:rsid w:val="00EC7B83"/>
    <w:rsid w:val="00ED13CF"/>
    <w:rsid w:val="00ED14BF"/>
    <w:rsid w:val="00ED15AD"/>
    <w:rsid w:val="00ED1B86"/>
    <w:rsid w:val="00ED526A"/>
    <w:rsid w:val="00ED5A10"/>
    <w:rsid w:val="00ED6E9A"/>
    <w:rsid w:val="00EE0668"/>
    <w:rsid w:val="00EE22A3"/>
    <w:rsid w:val="00EE271B"/>
    <w:rsid w:val="00EE2D68"/>
    <w:rsid w:val="00EE3452"/>
    <w:rsid w:val="00EE4039"/>
    <w:rsid w:val="00EF0B75"/>
    <w:rsid w:val="00EF0EAD"/>
    <w:rsid w:val="00EF1E83"/>
    <w:rsid w:val="00EF2E96"/>
    <w:rsid w:val="00EF35B6"/>
    <w:rsid w:val="00EF3E36"/>
    <w:rsid w:val="00EF6729"/>
    <w:rsid w:val="00F013F9"/>
    <w:rsid w:val="00F05863"/>
    <w:rsid w:val="00F070D0"/>
    <w:rsid w:val="00F074B1"/>
    <w:rsid w:val="00F10898"/>
    <w:rsid w:val="00F1276E"/>
    <w:rsid w:val="00F13747"/>
    <w:rsid w:val="00F156B8"/>
    <w:rsid w:val="00F1632D"/>
    <w:rsid w:val="00F1756F"/>
    <w:rsid w:val="00F17933"/>
    <w:rsid w:val="00F25FB7"/>
    <w:rsid w:val="00F2695B"/>
    <w:rsid w:val="00F31BB4"/>
    <w:rsid w:val="00F31BC7"/>
    <w:rsid w:val="00F330D4"/>
    <w:rsid w:val="00F34E02"/>
    <w:rsid w:val="00F35499"/>
    <w:rsid w:val="00F358C0"/>
    <w:rsid w:val="00F41E02"/>
    <w:rsid w:val="00F4437C"/>
    <w:rsid w:val="00F451FD"/>
    <w:rsid w:val="00F50C08"/>
    <w:rsid w:val="00F53675"/>
    <w:rsid w:val="00F538E7"/>
    <w:rsid w:val="00F54E59"/>
    <w:rsid w:val="00F5568E"/>
    <w:rsid w:val="00F5753A"/>
    <w:rsid w:val="00F57DCD"/>
    <w:rsid w:val="00F60322"/>
    <w:rsid w:val="00F604CB"/>
    <w:rsid w:val="00F61944"/>
    <w:rsid w:val="00F62474"/>
    <w:rsid w:val="00F636DC"/>
    <w:rsid w:val="00F65DC9"/>
    <w:rsid w:val="00F70DB2"/>
    <w:rsid w:val="00F71D41"/>
    <w:rsid w:val="00F72E9B"/>
    <w:rsid w:val="00F746AF"/>
    <w:rsid w:val="00F7470F"/>
    <w:rsid w:val="00F771F4"/>
    <w:rsid w:val="00F776FE"/>
    <w:rsid w:val="00F8147B"/>
    <w:rsid w:val="00F81E91"/>
    <w:rsid w:val="00F87C2B"/>
    <w:rsid w:val="00F87E6E"/>
    <w:rsid w:val="00F87EE0"/>
    <w:rsid w:val="00F932A7"/>
    <w:rsid w:val="00F937E3"/>
    <w:rsid w:val="00F94060"/>
    <w:rsid w:val="00F9417B"/>
    <w:rsid w:val="00F95291"/>
    <w:rsid w:val="00FA2588"/>
    <w:rsid w:val="00FA3F70"/>
    <w:rsid w:val="00FA4047"/>
    <w:rsid w:val="00FA55C8"/>
    <w:rsid w:val="00FA753E"/>
    <w:rsid w:val="00FB1065"/>
    <w:rsid w:val="00FB261D"/>
    <w:rsid w:val="00FB4508"/>
    <w:rsid w:val="00FB5887"/>
    <w:rsid w:val="00FB7177"/>
    <w:rsid w:val="00FB73A8"/>
    <w:rsid w:val="00FC11EE"/>
    <w:rsid w:val="00FC44AA"/>
    <w:rsid w:val="00FC532E"/>
    <w:rsid w:val="00FC57C2"/>
    <w:rsid w:val="00FC5B4C"/>
    <w:rsid w:val="00FC5DE9"/>
    <w:rsid w:val="00FD04D0"/>
    <w:rsid w:val="00FD08BA"/>
    <w:rsid w:val="00FD0C3A"/>
    <w:rsid w:val="00FD1FC1"/>
    <w:rsid w:val="00FD26E4"/>
    <w:rsid w:val="00FD38AD"/>
    <w:rsid w:val="00FD44F7"/>
    <w:rsid w:val="00FD6F75"/>
    <w:rsid w:val="00FD72FC"/>
    <w:rsid w:val="00FD77AD"/>
    <w:rsid w:val="00FD7FD6"/>
    <w:rsid w:val="00FE1144"/>
    <w:rsid w:val="00FE260C"/>
    <w:rsid w:val="00FE26CF"/>
    <w:rsid w:val="00FE6EA8"/>
    <w:rsid w:val="00FE7414"/>
    <w:rsid w:val="00FE7AAB"/>
    <w:rsid w:val="00FF30C1"/>
    <w:rsid w:val="00FF44A3"/>
    <w:rsid w:val="00FF5072"/>
    <w:rsid w:val="00FF6E6F"/>
    <w:rsid w:val="00FF752F"/>
    <w:rsid w:val="00FF7808"/>
    <w:rsid w:val="00FF793C"/>
    <w:rsid w:val="00FF7A0E"/>
    <w:rsid w:val="03970A41"/>
    <w:rsid w:val="09F150BA"/>
    <w:rsid w:val="0B9068CF"/>
    <w:rsid w:val="16766474"/>
    <w:rsid w:val="28F9D759"/>
    <w:rsid w:val="3DFE503E"/>
    <w:rsid w:val="4B7CFC5D"/>
    <w:rsid w:val="4DED180A"/>
    <w:rsid w:val="4E7DC02B"/>
    <w:rsid w:val="54F974BE"/>
    <w:rsid w:val="56E7E9C0"/>
    <w:rsid w:val="598A78EB"/>
    <w:rsid w:val="5A380F0B"/>
    <w:rsid w:val="650B63FE"/>
    <w:rsid w:val="7B7B1753"/>
    <w:rsid w:val="7BD75C01"/>
    <w:rsid w:val="7BFA20EF"/>
    <w:rsid w:val="DBABCC2A"/>
    <w:rsid w:val="FBEAF35A"/>
    <w:rsid w:val="FFE36A89"/>
    <w:rsid w:val="FFEE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spacing w:beforeAutospacing="1" w:afterAutospacing="1"/>
    </w:pPr>
    <w:rPr>
      <w:rFonts w:cs="Times New Roman"/>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themeColor="hyperlink"/>
      <w:u w:val="single"/>
      <w14:textFill>
        <w14:solidFill>
          <w14:schemeClr w14:val="hlink"/>
        </w14:solidFill>
      </w14:textFill>
    </w:rPr>
  </w:style>
  <w:style w:type="character" w:styleId="12">
    <w:name w:val="annotation reference"/>
    <w:basedOn w:val="10"/>
    <w:semiHidden/>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修订2"/>
    <w:hidden/>
    <w:semiHidden/>
    <w:qFormat/>
    <w:uiPriority w:val="99"/>
    <w:rPr>
      <w:rFonts w:ascii="宋体" w:hAnsi="宋体" w:eastAsia="宋体" w:cs="宋体"/>
      <w:sz w:val="24"/>
      <w:szCs w:val="24"/>
      <w:lang w:val="en-US" w:eastAsia="zh-CN" w:bidi="ar-SA"/>
    </w:rPr>
  </w:style>
  <w:style w:type="paragraph" w:customStyle="1" w:styleId="22">
    <w:name w:val="Char Char"/>
    <w:basedOn w:val="1"/>
    <w:qFormat/>
    <w:uiPriority w:val="0"/>
    <w:pPr>
      <w:widowControl w:val="0"/>
      <w:jc w:val="both"/>
    </w:pPr>
    <w:rPr>
      <w:rFonts w:ascii="Times New Roman" w:hAnsi="Times New Roman" w:cs="Times New Roman"/>
      <w:kern w:val="2"/>
      <w:sz w:val="21"/>
      <w:szCs w:val="20"/>
    </w:rPr>
  </w:style>
  <w:style w:type="paragraph" w:customStyle="1" w:styleId="23">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 w:type="character" w:customStyle="1" w:styleId="25">
    <w:name w:val="未处理的提及1"/>
    <w:basedOn w:val="10"/>
    <w:semiHidden/>
    <w:unhideWhenUsed/>
    <w:qFormat/>
    <w:uiPriority w:val="99"/>
    <w:rPr>
      <w:color w:val="605E5C"/>
      <w:shd w:val="clear" w:color="auto" w:fill="E1DFDD"/>
    </w:rPr>
  </w:style>
  <w:style w:type="paragraph" w:customStyle="1" w:styleId="26">
    <w:name w:val="修订3"/>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citicbank</Company>
  <Pages>37</Pages>
  <Words>6509</Words>
  <Characters>37106</Characters>
  <Lines>309</Lines>
  <Paragraphs>87</Paragraphs>
  <TotalTime>45</TotalTime>
  <ScaleCrop>false</ScaleCrop>
  <LinksUpToDate>false</LinksUpToDate>
  <CharactersWithSpaces>43528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2024-06-29T07:08:00Z</dcterms:created>
  <dc:creator>王晓明</dc:creator>
  <cp:lastModifiedBy>刘跃鹏</cp:lastModifiedBy>
  <cp:lastPrinted>2024-05-14T13:38:00Z</cp:lastPrinted>
  <dcterms:modified xsi:type="dcterms:W3CDTF">2024-11-21T03:40:46Z</dcterms:modified>
  <dc:title>产品说明书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E5A79F7F44928C26FAB85E6639CA5D58</vt:lpwstr>
  </property>
</Properties>
</file>