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837" w:lineRule="atLeast"/>
        <w:jc w:val="center"/>
        <w:outlineLvl w:val="1"/>
        <w:rPr>
          <w:rFonts w:ascii="微软雅黑" w:hAnsi="微软雅黑" w:cs="宋体"/>
          <w:b/>
          <w:bCs/>
          <w:color w:val="004EA2"/>
          <w:kern w:val="0"/>
          <w:sz w:val="27"/>
          <w:szCs w:val="27"/>
        </w:rPr>
      </w:pPr>
      <w:r>
        <w:rPr>
          <w:rFonts w:hint="eastAsia" w:ascii="微软雅黑" w:hAnsi="微软雅黑" w:cs="宋体"/>
          <w:b/>
          <w:bCs/>
          <w:color w:val="004EA2"/>
          <w:kern w:val="0"/>
          <w:sz w:val="27"/>
          <w:szCs w:val="27"/>
          <w:lang w:val="en-US" w:eastAsia="zh-CN"/>
        </w:rPr>
        <w:t>杭银理财丰收周添益开放式1期理财</w:t>
      </w:r>
      <w:r>
        <w:rPr>
          <w:rFonts w:ascii="微软雅黑" w:hAnsi="微软雅黑" w:eastAsia="微软雅黑" w:cs="微软雅黑"/>
          <w:b/>
          <w:color w:val="004EA2"/>
          <w:sz w:val="27"/>
        </w:rPr>
        <w:t>（</w:t>
      </w:r>
      <w:r>
        <w:rPr>
          <w:rFonts w:hint="eastAsia" w:ascii="微软雅黑" w:hAnsi="微软雅黑" w:eastAsia="微软雅黑" w:cs="微软雅黑"/>
          <w:b/>
          <w:color w:val="004EA2"/>
          <w:sz w:val="27"/>
          <w:lang w:val="en-US" w:eastAsia="zh-CN"/>
        </w:rPr>
        <w:t>FSTY</w:t>
      </w:r>
      <w:r>
        <w:rPr>
          <w:rFonts w:ascii="微软雅黑" w:hAnsi="微软雅黑" w:eastAsia="微软雅黑" w:cs="微软雅黑"/>
          <w:b/>
          <w:color w:val="004EA2"/>
          <w:sz w:val="27"/>
        </w:rPr>
        <w:t>G</w:t>
      </w:r>
      <w:r>
        <w:rPr>
          <w:rFonts w:hint="eastAsia" w:ascii="微软雅黑" w:hAnsi="微软雅黑" w:eastAsia="微软雅黑" w:cs="微软雅黑"/>
          <w:b/>
          <w:color w:val="004EA2"/>
          <w:sz w:val="27"/>
          <w:lang w:val="en-US" w:eastAsia="zh-CN"/>
        </w:rPr>
        <w:t>7D</w:t>
      </w:r>
      <w:r>
        <w:rPr>
          <w:rFonts w:ascii="微软雅黑" w:hAnsi="微软雅黑" w:eastAsia="微软雅黑" w:cs="微软雅黑"/>
          <w:b/>
          <w:color w:val="004EA2"/>
          <w:sz w:val="27"/>
        </w:rPr>
        <w:t>01）</w:t>
      </w:r>
    </w:p>
    <w:p>
      <w:pPr>
        <w:widowControl/>
        <w:shd w:val="clear" w:color="auto" w:fill="FFFFFF"/>
        <w:spacing w:line="837" w:lineRule="atLeast"/>
        <w:jc w:val="center"/>
        <w:outlineLvl w:val="1"/>
        <w:rPr>
          <w:rFonts w:ascii="微软雅黑" w:hAnsi="微软雅黑" w:cs="宋体"/>
          <w:b/>
          <w:bCs/>
          <w:color w:val="004EA2"/>
          <w:kern w:val="0"/>
          <w:sz w:val="27"/>
          <w:szCs w:val="27"/>
        </w:rPr>
      </w:pPr>
      <w:r>
        <w:rPr>
          <w:rFonts w:hint="eastAsia" w:ascii="微软雅黑" w:hAnsi="微软雅黑" w:cs="宋体"/>
          <w:b/>
          <w:bCs/>
          <w:color w:val="004EA2"/>
          <w:kern w:val="0"/>
          <w:sz w:val="27"/>
          <w:szCs w:val="27"/>
        </w:rPr>
        <w:t>业绩比较基准</w:t>
      </w:r>
      <w:r>
        <w:rPr>
          <w:rFonts w:hint="eastAsia" w:ascii="微软雅黑" w:hAnsi="微软雅黑" w:cs="宋体"/>
          <w:b/>
          <w:bCs/>
          <w:color w:val="004EA2"/>
          <w:kern w:val="0"/>
          <w:sz w:val="27"/>
          <w:szCs w:val="27"/>
          <w:lang w:val="en-US" w:eastAsia="zh-CN"/>
        </w:rPr>
        <w:t>调整</w:t>
      </w:r>
      <w:r>
        <w:rPr>
          <w:rFonts w:hint="eastAsia" w:ascii="微软雅黑" w:hAnsi="微软雅黑" w:cs="宋体"/>
          <w:b/>
          <w:bCs/>
          <w:color w:val="004EA2"/>
          <w:kern w:val="0"/>
          <w:sz w:val="27"/>
          <w:szCs w:val="27"/>
        </w:rPr>
        <w:t>公告</w:t>
      </w:r>
    </w:p>
    <w:p>
      <w:pPr>
        <w:widowControl/>
        <w:tabs>
          <w:tab w:val="left" w:pos="2930"/>
        </w:tabs>
        <w:jc w:val="left"/>
        <w:rPr>
          <w:rFonts w:ascii="宋体" w:hAnsi="宋体" w:cs="宋体"/>
          <w:color w:val="333333"/>
          <w:kern w:val="0"/>
          <w:sz w:val="24"/>
        </w:rPr>
      </w:pPr>
    </w:p>
    <w:p>
      <w:pPr>
        <w:widowControl/>
        <w:tabs>
          <w:tab w:val="left" w:pos="2930"/>
        </w:tabs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color w:val="333333"/>
          <w:kern w:val="0"/>
          <w:sz w:val="24"/>
        </w:rPr>
        <w:t>尊敬的投资者：</w:t>
      </w:r>
    </w:p>
    <w:p>
      <w:pPr>
        <w:keepNext w:val="0"/>
        <w:keepLines w:val="0"/>
        <w:pageBreakBefore w:val="0"/>
        <w:widowControl/>
        <w:tabs>
          <w:tab w:val="left" w:pos="29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firstLine="480" w:firstLineChars="200"/>
        <w:jc w:val="left"/>
        <w:textAlignment w:val="auto"/>
        <w:rPr>
          <w:rFonts w:ascii="宋体" w:hAns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color w:val="333333"/>
          <w:kern w:val="0"/>
          <w:sz w:val="24"/>
        </w:rPr>
        <w:t>根据市场情况及产品投资的资产组合收益变动情况，</w:t>
      </w:r>
      <w:r>
        <w:rPr>
          <w:rFonts w:hint="eastAsia" w:ascii="宋体" w:hAnsi="宋体" w:cs="宋体"/>
          <w:color w:val="333333"/>
          <w:kern w:val="0"/>
          <w:sz w:val="24"/>
          <w:lang w:val="en-US" w:eastAsia="zh-CN"/>
        </w:rPr>
        <w:t>丰收</w:t>
      </w:r>
      <w:r>
        <w:rPr>
          <w:rFonts w:hint="eastAsia" w:ascii="宋体" w:hAnsi="宋体" w:eastAsia="宋体" w:cs="宋体"/>
          <w:color w:val="333333"/>
          <w:sz w:val="24"/>
          <w:lang w:val="en-US" w:eastAsia="zh-CN"/>
        </w:rPr>
        <w:t>周</w:t>
      </w:r>
      <w:r>
        <w:rPr>
          <w:rFonts w:ascii="宋体" w:hAnsi="宋体" w:eastAsia="宋体" w:cs="宋体"/>
          <w:color w:val="333333"/>
          <w:sz w:val="24"/>
        </w:rPr>
        <w:t>添益</w:t>
      </w:r>
      <w:r>
        <w:rPr>
          <w:rFonts w:hint="eastAsia" w:ascii="宋体" w:hAnsi="宋体" w:eastAsia="宋体" w:cs="宋体"/>
          <w:color w:val="333333"/>
          <w:sz w:val="24"/>
          <w:lang w:val="en-US" w:eastAsia="zh-CN"/>
        </w:rPr>
        <w:t>理财</w:t>
      </w:r>
      <w:r>
        <w:rPr>
          <w:rFonts w:ascii="宋体" w:hAnsi="宋体" w:eastAsia="宋体" w:cs="宋体"/>
          <w:color w:val="333333"/>
          <w:sz w:val="24"/>
        </w:rPr>
        <w:t>（产品</w:t>
      </w:r>
      <w:r>
        <w:rPr>
          <w:rFonts w:hint="eastAsia" w:ascii="宋体" w:hAnsi="宋体" w:eastAsia="宋体" w:cs="宋体"/>
          <w:color w:val="333333"/>
          <w:sz w:val="24"/>
          <w:lang w:val="en-US" w:eastAsia="zh-CN"/>
        </w:rPr>
        <w:t>代</w:t>
      </w:r>
      <w:r>
        <w:rPr>
          <w:rFonts w:ascii="宋体" w:hAnsi="宋体" w:eastAsia="宋体" w:cs="宋体"/>
          <w:color w:val="333333"/>
          <w:sz w:val="24"/>
        </w:rPr>
        <w:t>号：</w:t>
      </w:r>
      <w:r>
        <w:rPr>
          <w:rFonts w:hint="eastAsia" w:ascii="宋体" w:hAnsi="宋体" w:eastAsia="宋体" w:cs="宋体"/>
          <w:color w:val="333333"/>
          <w:sz w:val="24"/>
          <w:lang w:val="en-US" w:eastAsia="zh-CN"/>
        </w:rPr>
        <w:t>FSTY</w:t>
      </w:r>
      <w:r>
        <w:rPr>
          <w:rFonts w:ascii="宋体" w:hAnsi="宋体" w:eastAsia="宋体" w:cs="宋体"/>
          <w:color w:val="333333"/>
          <w:sz w:val="24"/>
        </w:rPr>
        <w:t>G</w:t>
      </w:r>
      <w:r>
        <w:rPr>
          <w:rFonts w:hint="eastAsia" w:ascii="宋体" w:hAnsi="宋体" w:eastAsia="宋体" w:cs="宋体"/>
          <w:color w:val="333333"/>
          <w:sz w:val="24"/>
          <w:lang w:val="en-US" w:eastAsia="zh-CN"/>
        </w:rPr>
        <w:t>7D</w:t>
      </w:r>
      <w:r>
        <w:rPr>
          <w:rFonts w:ascii="宋体" w:hAnsi="宋体" w:eastAsia="宋体" w:cs="宋体"/>
          <w:color w:val="333333"/>
          <w:sz w:val="24"/>
        </w:rPr>
        <w:t>01）的业绩比较基准</w:t>
      </w:r>
      <w:r>
        <w:rPr>
          <w:rFonts w:hint="eastAsia" w:ascii="宋体" w:hAnsi="宋体" w:eastAsia="宋体" w:cs="宋体"/>
          <w:color w:val="333333"/>
          <w:sz w:val="24"/>
          <w:lang w:val="en-US" w:eastAsia="zh-CN"/>
        </w:rPr>
        <w:t>自2025年3月5日开始将进行</w:t>
      </w:r>
      <w:r>
        <w:rPr>
          <w:rFonts w:ascii="宋体" w:hAnsi="宋体" w:eastAsia="宋体" w:cs="宋体"/>
          <w:color w:val="333333"/>
          <w:sz w:val="24"/>
        </w:rPr>
        <w:t>如下</w:t>
      </w:r>
      <w:r>
        <w:rPr>
          <w:rFonts w:hint="eastAsia" w:ascii="宋体" w:hAnsi="宋体" w:eastAsia="宋体" w:cs="宋体"/>
          <w:color w:val="333333"/>
          <w:sz w:val="24"/>
          <w:lang w:val="en-US" w:eastAsia="zh-CN"/>
        </w:rPr>
        <w:t>调整</w:t>
      </w:r>
      <w:r>
        <w:rPr>
          <w:rFonts w:ascii="宋体" w:hAnsi="宋体" w:eastAsia="宋体" w:cs="宋体"/>
          <w:color w:val="333333"/>
          <w:sz w:val="24"/>
        </w:rPr>
        <w:t>：</w:t>
      </w:r>
    </w:p>
    <w:tbl>
      <w:tblPr>
        <w:tblStyle w:val="8"/>
        <w:tblW w:w="85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3"/>
        <w:gridCol w:w="2843"/>
        <w:gridCol w:w="28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3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产品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代码</w:t>
            </w:r>
          </w:p>
        </w:tc>
        <w:tc>
          <w:tcPr>
            <w:tcW w:w="2843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调整前</w:t>
            </w:r>
          </w:p>
        </w:tc>
        <w:tc>
          <w:tcPr>
            <w:tcW w:w="2831" w:type="dxa"/>
            <w:vAlign w:val="top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调整后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3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FSTYG7D0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1</w:t>
            </w:r>
          </w:p>
        </w:tc>
        <w:tc>
          <w:tcPr>
            <w:tcW w:w="2843" w:type="dxa"/>
            <w:vAlign w:val="top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1.95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%-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2.95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%</w:t>
            </w:r>
          </w:p>
        </w:tc>
        <w:tc>
          <w:tcPr>
            <w:tcW w:w="2831" w:type="dxa"/>
            <w:vAlign w:val="top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1.85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%-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2.85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%</w:t>
            </w:r>
          </w:p>
        </w:tc>
      </w:tr>
    </w:tbl>
    <w:p>
      <w:pPr>
        <w:widowControl/>
        <w:spacing w:line="360" w:lineRule="auto"/>
        <w:ind w:firstLine="420" w:firstLineChars="200"/>
        <w:jc w:val="left"/>
        <w:rPr>
          <w:rFonts w:hint="eastAsia" w:ascii="宋体" w:hAnsi="宋体" w:cs="宋体"/>
          <w:b w:val="0"/>
          <w:bCs w:val="0"/>
          <w:color w:val="333333"/>
          <w:kern w:val="0"/>
          <w:sz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highlight w:val="none"/>
        </w:rPr>
        <w:t>业绩基准测算依据：</w:t>
      </w:r>
      <w:r>
        <w:rPr>
          <w:rFonts w:hint="eastAsia" w:ascii="宋体" w:hAnsi="宋体" w:cs="宋体"/>
          <w:b w:val="0"/>
          <w:bCs w:val="0"/>
          <w:sz w:val="21"/>
          <w:szCs w:val="21"/>
          <w:highlight w:val="none"/>
          <w:lang w:val="en-US" w:eastAsia="zh-CN"/>
        </w:rPr>
        <w:t>在不同的时点及宏观环境下，对标中债-综合全价（1年以下）指数（CBA00213.CS）的历史平均7日滚动年化收益率，通过不同的投资策略、资产组合，以及对资产波动率的控制，中性预期在该指数收益基础上收益增厚。经过对不同投资策略的历史表现模拟回测，综合各类资产收益、产品费用及税费后的收益在1.85%-2.85%左右</w:t>
      </w:r>
      <w:r>
        <w:rPr>
          <w:rFonts w:hint="eastAsia" w:ascii="宋体" w:hAnsi="宋体" w:cs="宋体"/>
          <w:b w:val="0"/>
          <w:bCs w:val="0"/>
          <w:sz w:val="21"/>
          <w:szCs w:val="21"/>
          <w:highlight w:val="none"/>
        </w:rPr>
        <w:t>。</w:t>
      </w:r>
    </w:p>
    <w:p>
      <w:pPr>
        <w:keepNext w:val="0"/>
        <w:keepLines w:val="0"/>
        <w:pageBreakBefore w:val="0"/>
        <w:widowControl/>
        <w:tabs>
          <w:tab w:val="left" w:pos="29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firstLine="480" w:firstLineChars="200"/>
        <w:jc w:val="left"/>
        <w:textAlignment w:val="auto"/>
        <w:rPr>
          <w:rFonts w:hint="default" w:ascii="宋体" w:hAnsi="宋体" w:cs="宋体" w:eastAsiaTheme="minorEastAsia"/>
          <w:color w:val="333333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333333"/>
          <w:kern w:val="0"/>
          <w:sz w:val="24"/>
          <w:lang w:val="en-US" w:eastAsia="zh-CN"/>
        </w:rPr>
        <w:t>若您不同意本次调整，请及时于开放期内申请赎回。感谢您一直以来对杭银理财的支持，敬请继续关注杭银理财的理财产品。</w:t>
      </w:r>
    </w:p>
    <w:p>
      <w:pPr>
        <w:widowControl/>
        <w:jc w:val="right"/>
        <w:rPr>
          <w:rFonts w:ascii="微软雅黑" w:hAnsi="微软雅黑" w:cs="宋体"/>
          <w:color w:val="333333"/>
          <w:kern w:val="0"/>
          <w:sz w:val="24"/>
        </w:rPr>
      </w:pPr>
      <w:r>
        <w:rPr>
          <w:rFonts w:hint="eastAsia" w:ascii="微软雅黑" w:hAnsi="微软雅黑" w:cs="宋体"/>
          <w:color w:val="333333"/>
          <w:kern w:val="0"/>
          <w:sz w:val="24"/>
        </w:rPr>
        <w:t>                         杭银理财有限责任公司</w:t>
      </w:r>
    </w:p>
    <w:p>
      <w:pPr>
        <w:widowControl/>
        <w:jc w:val="right"/>
      </w:pPr>
      <w:r>
        <w:rPr>
          <w:rFonts w:hint="eastAsia" w:ascii="宋体" w:hAnsi="宋体" w:cs="宋体"/>
          <w:color w:val="333333"/>
          <w:kern w:val="0"/>
          <w:sz w:val="24"/>
        </w:rPr>
        <w:t>                         </w:t>
      </w:r>
      <w:r>
        <w:rPr>
          <w:rFonts w:ascii="宋体" w:hAnsi="宋体" w:eastAsia="宋体" w:cs="宋体"/>
          <w:color w:val="333333"/>
          <w:sz w:val="24"/>
        </w:rPr>
        <w:t>202</w:t>
      </w:r>
      <w:r>
        <w:rPr>
          <w:rFonts w:hint="eastAsia" w:ascii="宋体" w:hAnsi="宋体" w:eastAsia="宋体" w:cs="宋体"/>
          <w:color w:val="333333"/>
          <w:sz w:val="24"/>
          <w:lang w:val="en-US" w:eastAsia="zh-CN"/>
        </w:rPr>
        <w:t>5</w:t>
      </w:r>
      <w:r>
        <w:rPr>
          <w:rFonts w:ascii="宋体" w:hAnsi="宋体" w:eastAsia="宋体" w:cs="宋体"/>
          <w:color w:val="333333"/>
          <w:sz w:val="24"/>
        </w:rPr>
        <w:t>年</w:t>
      </w:r>
      <w:r>
        <w:rPr>
          <w:rFonts w:hint="eastAsia" w:ascii="宋体" w:hAnsi="宋体" w:eastAsia="宋体" w:cs="宋体"/>
          <w:color w:val="333333"/>
          <w:sz w:val="24"/>
          <w:lang w:val="en-US" w:eastAsia="zh-CN"/>
        </w:rPr>
        <w:t>2</w:t>
      </w:r>
      <w:r>
        <w:rPr>
          <w:rFonts w:ascii="宋体" w:hAnsi="宋体" w:eastAsia="宋体" w:cs="宋体"/>
          <w:color w:val="333333"/>
          <w:sz w:val="24"/>
        </w:rPr>
        <w:t>月</w:t>
      </w:r>
      <w:r>
        <w:rPr>
          <w:rFonts w:hint="eastAsia" w:ascii="宋体" w:hAnsi="宋体" w:eastAsia="宋体" w:cs="宋体"/>
          <w:color w:val="333333"/>
          <w:sz w:val="24"/>
          <w:lang w:val="en-US" w:eastAsia="zh-CN"/>
        </w:rPr>
        <w:t>21</w:t>
      </w:r>
      <w:bookmarkStart w:id="0" w:name="_GoBack"/>
      <w:bookmarkEnd w:id="0"/>
      <w:r>
        <w:rPr>
          <w:rFonts w:ascii="宋体" w:hAnsi="宋体" w:eastAsia="宋体" w:cs="宋体"/>
          <w:color w:val="333333"/>
          <w:sz w:val="24"/>
        </w:rPr>
        <w:t>日</w:t>
      </w:r>
    </w:p>
    <w:sectPr>
      <w:headerReference r:id="rId3" w:type="default"/>
      <w:pgSz w:w="11906" w:h="16838"/>
      <w:pgMar w:top="2551" w:right="1803" w:bottom="2551" w:left="1803" w:header="851" w:footer="992" w:gutter="0"/>
      <w:cols w:space="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 w:val="1"/>
  <w:bordersDoNotSurroundFooter w:val="1"/>
  <w:hideSpellingErrors/>
  <w:hideGrammaticalErrors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w:rsids>
    <w:rsidRoot w:val="00000000"/>
    <w:rsid w:val="02C6354D"/>
    <w:rsid w:val="0AD33AB2"/>
    <w:rsid w:val="0BC64809"/>
    <w:rsid w:val="0FDA5787"/>
    <w:rsid w:val="1ADC1DF2"/>
    <w:rsid w:val="1EDD3771"/>
    <w:rsid w:val="2CE97F33"/>
    <w:rsid w:val="2DA347F1"/>
    <w:rsid w:val="374C2194"/>
    <w:rsid w:val="38D0010A"/>
    <w:rsid w:val="3B1F1E57"/>
    <w:rsid w:val="50651D3E"/>
    <w:rsid w:val="53E54DA0"/>
    <w:rsid w:val="556B4BBD"/>
    <w:rsid w:val="68546225"/>
    <w:rsid w:val="68E567DE"/>
    <w:rsid w:val="6E095A09"/>
    <w:rsid w:val="7D1B3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400" w:lineRule="exact"/>
      <w:jc w:val="center"/>
      <w:outlineLvl w:val="0"/>
    </w:pPr>
    <w:rPr>
      <w:rFonts w:ascii="Times New Roman" w:hAnsi="Times New Roman" w:eastAsia="宋体"/>
      <w:b/>
      <w:kern w:val="44"/>
      <w:sz w:val="2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1"/>
    </w:pPr>
    <w:rPr>
      <w:rFonts w:ascii="Arial" w:hAnsi="Arial" w:eastAsia="宋体"/>
      <w:b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2"/>
    </w:pPr>
    <w:rPr>
      <w:rFonts w:ascii="Times New Roman" w:hAnsi="Times New Roman" w:eastAsia="宋体"/>
      <w:b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90</Words>
  <Characters>516</Characters>
  <Lines>4</Lines>
  <Paragraphs>1</Paragraphs>
  <TotalTime>1</TotalTime>
  <ScaleCrop>false</ScaleCrop>
  <LinksUpToDate>false</LinksUpToDate>
  <CharactersWithSpaces>605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2022-08-17T14:47:00Z</dcterms:created>
  <dc:creator>Administrator</dc:creator>
  <cp:lastModifiedBy>高玉锦</cp:lastModifiedBy>
  <dcterms:modified xsi:type="dcterms:W3CDTF">2025-02-21T06:51:38Z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