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杭银理财幸福99添益（稳盈）35天周期型理财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35D23</w:t>
      </w:r>
      <w:r>
        <w:rPr>
          <w:rFonts w:ascii="微软雅黑" w:hAnsi="微软雅黑" w:eastAsia="微软雅黑" w:cs="微软雅黑"/>
          <w:b/>
          <w:color w:val="004EA2"/>
          <w:sz w:val="27"/>
        </w:rPr>
        <w:t>0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1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根据市场情况及产品投资的资产组合收益变动情况，杭银理财幸福99添益（稳盈）35天周期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型理财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35D2301</w:t>
      </w:r>
      <w:r>
        <w:rPr>
          <w:rFonts w:ascii="宋体" w:hAnsi="宋体" w:eastAsia="宋体" w:cs="宋体"/>
          <w:color w:val="333333"/>
          <w:sz w:val="24"/>
        </w:rPr>
        <w:t>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自2024年10月15日开始将进行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TYG35D2301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TYG35D2301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B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TYG35D2301C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1.90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i w:val="0"/>
          <w:i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highlight w:val="none"/>
        </w:rPr>
        <w:t>业绩基准测算依据：</w:t>
      </w: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highlight w:val="none"/>
          <w:lang w:val="en-US" w:eastAsia="zh-CN"/>
        </w:rPr>
        <w:t>本理财计划</w:t>
      </w: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highlight w:val="none"/>
        </w:rPr>
        <w:t>重点投资于</w:t>
      </w: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highlight w:val="none"/>
          <w:lang w:val="en-US" w:eastAsia="zh-CN"/>
        </w:rPr>
        <w:t>债券、存款</w:t>
      </w: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highlight w:val="none"/>
        </w:rPr>
        <w:t>等资产，</w:t>
      </w: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highlight w:val="none"/>
          <w:lang w:eastAsia="zh-CN"/>
        </w:rPr>
        <w:t>根据当前市场环境，预投资产收益率平均在</w:t>
      </w: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highlight w:val="none"/>
        </w:rPr>
        <w:t>〖</w:t>
      </w: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highlight w:val="none"/>
          <w:lang w:val="en-US" w:eastAsia="zh-CN"/>
        </w:rPr>
        <w:t>2.25%</w:t>
      </w: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highlight w:val="none"/>
        </w:rPr>
        <w:t>〗</w:t>
      </w: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highlight w:val="none"/>
          <w:lang w:eastAsia="zh-CN"/>
        </w:rPr>
        <w:t>左右，同时</w:t>
      </w: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highlight w:val="none"/>
        </w:rPr>
        <w:t>根据流动性管理需要和监管要求配置不低于5%的高流动性资产</w:t>
      </w: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highlight w:val="none"/>
          <w:lang w:eastAsia="zh-CN"/>
        </w:rPr>
        <w:t>。综合来看，</w:t>
      </w: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highlight w:val="none"/>
        </w:rPr>
        <w:t>扣除相关税费成本后</w:t>
      </w: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highlight w:val="none"/>
          <w:lang w:val="en-US" w:eastAsia="zh-CN"/>
        </w:rPr>
        <w:t>各份额</w:t>
      </w: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highlight w:val="none"/>
          <w:lang w:eastAsia="zh-CN"/>
        </w:rPr>
        <w:t>投资者可获得收益率的中枢预计在</w:t>
      </w: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highlight w:val="none"/>
          <w:lang w:val="en-US" w:eastAsia="zh-CN"/>
        </w:rPr>
        <w:t>业绩比较基准附近</w:t>
      </w:r>
      <w:r>
        <w:rPr>
          <w:rFonts w:hint="eastAsia" w:ascii="宋体" w:hAnsi="宋体" w:cs="宋体"/>
          <w:b w:val="0"/>
          <w:bCs w:val="0"/>
          <w:i w:val="0"/>
          <w:iCs w:val="0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10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10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BC64809"/>
    <w:rsid w:val="1D4568D6"/>
    <w:rsid w:val="20700143"/>
    <w:rsid w:val="22DA0951"/>
    <w:rsid w:val="3B2A42C8"/>
    <w:rsid w:val="441D67B3"/>
    <w:rsid w:val="45972AE6"/>
    <w:rsid w:val="50651D3E"/>
    <w:rsid w:val="556B4BBD"/>
    <w:rsid w:val="5B737324"/>
    <w:rsid w:val="5C305B2F"/>
    <w:rsid w:val="5E0A6696"/>
    <w:rsid w:val="619504EB"/>
    <w:rsid w:val="677B2596"/>
    <w:rsid w:val="6B676F46"/>
    <w:rsid w:val="779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2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2024-09-20T08:29:02Z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