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both"/>
        <w:rPr>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Z7002624001196】</w:t>
      </w:r>
    </w:p>
    <w:p>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pPr>
        <w:spacing w:line="300" w:lineRule="exact"/>
        <w:jc w:val="both"/>
        <w:rPr>
          <w:rFonts w:ascii="黑体" w:hAnsi="黑体" w:eastAsia="黑体"/>
          <w:color w:val="000000" w:themeColor="text1"/>
          <w:sz w:val="21"/>
          <w:szCs w:val="21"/>
          <w14:textFill>
            <w14:solidFill>
              <w14:schemeClr w14:val="tx1"/>
            </w14:solidFill>
          </w14:textFill>
        </w:rPr>
      </w:pPr>
    </w:p>
    <w:p>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信银理财安盈象固收稳健六个月持有期23号理财产品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：【AF246435】</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180</w:t>
      </w:r>
      <w:r>
        <w:rPr>
          <w:rFonts w:hint="eastAsia" w:ascii="黑体" w:hAnsi="Times New Roman" w:eastAsia="黑体" w:cs="黑体"/>
          <w:b/>
          <w:color w:val="000000" w:themeColor="text1"/>
          <w:sz w:val="20"/>
          <w:szCs w:val="20"/>
          <w14:textFill>
            <w14:solidFill>
              <w14:schemeClr w14:val="tx1"/>
            </w14:solidFill>
          </w14:textFill>
        </w:rPr>
        <w:t>】自然日。</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产品主要投资于固定收益类资产，投资范围包括债券、债券回购、货币市场工具等，上述资产均存在规范的交易场所交易，监管主体明确，市场透明度高，运作方式规范，因此对产品整体的流动性风险影响较小。管理人将着重分析个券的信用风险和流动性风险，在保障组合安全性和流动性的前提下追求组合收益率的提高。】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6"/>
          <w:rFonts w:ascii="黑体" w:hAnsi="黑体" w:eastAsia="黑体"/>
          <w:sz w:val="20"/>
          <w:szCs w:val="20"/>
        </w:rPr>
        <w:t>http://www.citic-wealth.com</w:t>
      </w:r>
      <w:r>
        <w:rPr>
          <w:rStyle w:val="6"/>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7"/>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255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jc w:val="both"/>
        <w:rPr>
          <w:rFonts w:ascii="楷体_GB2312" w:eastAsia="楷体_GB2312"/>
          <w:color w:val="000000" w:themeColor="text1"/>
          <w:sz w:val="20"/>
          <w:szCs w:val="20"/>
          <w14:textFill>
            <w14:solidFill>
              <w14:schemeClr w14:val="tx1"/>
            </w14:solidFill>
          </w14:textFill>
        </w:rPr>
      </w:pPr>
      <w:r>
        <w:rPr>
          <w:rFonts w:hint="eastAsia" w:ascii="楷体_GB2312" w:hAnsi="楷体_GB2312" w:eastAsia="楷体_GB2312"/>
          <w:color w:val="000000" w:themeColor="text1"/>
          <w:sz w:val="20"/>
          <w:szCs w:val="20"/>
          <w14:textFill>
            <w14:solidFill>
              <w14:schemeClr w14:val="tx1"/>
            </w14:solidFill>
          </w14:textFill>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Times New Roman" w:hAnsi="Times New Roman" w:eastAsia="楷体_GB2312" w:cs="楷体_GB2312"/>
          <w:color w:val="000000" w:themeColor="text1"/>
          <w:sz w:val="20"/>
          <w:szCs w:val="20"/>
          <w14:textFill>
            <w14:solidFill>
              <w14:schemeClr w14:val="tx1"/>
            </w14:solidFill>
          </w14:textFill>
        </w:rPr>
        <w:t>投资</w:t>
      </w:r>
      <w:r>
        <w:rPr>
          <w:rFonts w:ascii="Times New Roman" w:hAnsi="Times New Roman" w:eastAsia="楷体_GB2312" w:cs="楷体_GB2312"/>
          <w:color w:val="000000" w:themeColor="text1"/>
          <w:sz w:val="20"/>
          <w:szCs w:val="20"/>
          <w14:textFill>
            <w14:solidFill>
              <w14:schemeClr w14:val="tx1"/>
            </w14:solidFill>
          </w14:textFill>
        </w:rPr>
        <w:t>限制：</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（1）本产品总资产不得超过净资产的</w:t>
      </w:r>
      <w:r>
        <w:rPr>
          <w:rFonts w:ascii="Times New Roman" w:hAnsi="Times New Roman" w:eastAsia="楷体_GB2312" w:cs="楷体_GB2312"/>
          <w:color w:val="000000" w:themeColor="text1"/>
          <w:sz w:val="20"/>
          <w:szCs w:val="20"/>
          <w14:textFill>
            <w14:solidFill>
              <w14:schemeClr w14:val="tx1"/>
            </w14:solidFill>
          </w14:textFill>
        </w:rPr>
        <w:t>140%；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产品定期开放周期不低于</w:t>
      </w:r>
      <w:r>
        <w:rPr>
          <w:rFonts w:ascii="Times New Roman" w:hAnsi="Times New Roman" w:eastAsia="楷体_GB2312" w:cs="楷体_GB2312"/>
          <w:color w:val="000000" w:themeColor="text1"/>
          <w:sz w:val="20"/>
          <w:szCs w:val="20"/>
          <w14:textFill>
            <w14:solidFill>
              <w14:schemeClr w14:val="tx1"/>
            </w14:solidFill>
          </w14:textFill>
        </w:rPr>
        <w:t>90天</w:t>
      </w:r>
      <w:r>
        <w:rPr>
          <w:rFonts w:hint="eastAsia" w:ascii="Times New Roman" w:hAnsi="Times New Roman" w:eastAsia="楷体_GB2312" w:cs="楷体_GB2312"/>
          <w:color w:val="000000" w:themeColor="text1"/>
          <w:sz w:val="20"/>
          <w:szCs w:val="20"/>
          <w14:textFill>
            <w14:solidFill>
              <w14:schemeClr w14:val="tx1"/>
            </w14:solidFill>
          </w14:textFill>
        </w:rPr>
        <w:t>的</w:t>
      </w:r>
      <w:r>
        <w:rPr>
          <w:rFonts w:ascii="Times New Roman" w:hAnsi="Times New Roman" w:eastAsia="楷体_GB2312" w:cs="楷体_GB2312"/>
          <w:color w:val="000000" w:themeColor="text1"/>
          <w:sz w:val="20"/>
          <w:szCs w:val="20"/>
          <w14:textFill>
            <w14:solidFill>
              <w14:schemeClr w14:val="tx1"/>
            </w14:solidFill>
          </w14:textFill>
        </w:rPr>
        <w:t>，在开放日及开放日前7个工作日内持有现金或者到期日在一年以内的国债、中央银行票据和政策性金融债券</w:t>
      </w:r>
      <w:r>
        <w:rPr>
          <w:rFonts w:hint="eastAsia" w:ascii="Times New Roman" w:hAnsi="Times New Roman" w:eastAsia="楷体_GB2312" w:cs="楷体_GB2312"/>
          <w:color w:val="000000" w:themeColor="text1"/>
          <w:sz w:val="20"/>
          <w:szCs w:val="20"/>
          <w14:textFill>
            <w14:solidFill>
              <w14:schemeClr w14:val="tx1"/>
            </w14:solidFill>
          </w14:textFill>
        </w:rPr>
        <w:t>比例应不低于产品净资产的</w:t>
      </w:r>
      <w:r>
        <w:rPr>
          <w:rFonts w:ascii="Times New Roman" w:hAnsi="Times New Roman" w:eastAsia="楷体_GB2312" w:cs="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产品定期</w:t>
      </w:r>
      <w:r>
        <w:rPr>
          <w:rFonts w:ascii="Times New Roman" w:hAnsi="Times New Roman" w:eastAsia="楷体_GB2312" w:cs="楷体_GB2312"/>
          <w:color w:val="000000" w:themeColor="text1"/>
          <w:sz w:val="20"/>
          <w:szCs w:val="20"/>
          <w14:textFill>
            <w14:solidFill>
              <w14:schemeClr w14:val="tx1"/>
            </w14:solidFill>
          </w14:textFill>
        </w:rPr>
        <w:t>开放周期低于</w:t>
      </w:r>
      <w:r>
        <w:rPr>
          <w:rFonts w:hint="eastAsia" w:ascii="Times New Roman" w:hAnsi="Times New Roman" w:eastAsia="楷体_GB2312" w:cs="楷体_GB2312"/>
          <w:color w:val="000000" w:themeColor="text1"/>
          <w:sz w:val="20"/>
          <w:szCs w:val="20"/>
          <w14:textFill>
            <w14:solidFill>
              <w14:schemeClr w14:val="tx1"/>
            </w14:solidFill>
          </w14:textFill>
        </w:rPr>
        <w:t>90天</w:t>
      </w:r>
      <w:r>
        <w:rPr>
          <w:rFonts w:ascii="Times New Roman" w:hAnsi="Times New Roman" w:eastAsia="楷体_GB2312" w:cs="楷体_GB2312"/>
          <w:color w:val="000000" w:themeColor="text1"/>
          <w:sz w:val="20"/>
          <w:szCs w:val="20"/>
          <w14:textFill>
            <w14:solidFill>
              <w14:schemeClr w14:val="tx1"/>
            </w14:solidFill>
          </w14:textFill>
        </w:rPr>
        <w:t>的，</w:t>
      </w:r>
      <w:r>
        <w:rPr>
          <w:rFonts w:hint="eastAsia" w:ascii="Times New Roman" w:hAnsi="Times New Roman" w:eastAsia="楷体_GB2312" w:cs="楷体_GB2312"/>
          <w:color w:val="000000" w:themeColor="text1"/>
          <w:sz w:val="20"/>
          <w:szCs w:val="20"/>
          <w14:textFill>
            <w14:solidFill>
              <w14:schemeClr w14:val="tx1"/>
            </w14:solidFill>
          </w14:textFill>
        </w:rPr>
        <w:t>应</w:t>
      </w:r>
      <w:r>
        <w:rPr>
          <w:rFonts w:ascii="Times New Roman" w:hAnsi="Times New Roman" w:eastAsia="楷体_GB2312" w:cs="楷体_GB2312"/>
          <w:color w:val="000000" w:themeColor="text1"/>
          <w:sz w:val="20"/>
          <w:szCs w:val="20"/>
          <w14:textFill>
            <w14:solidFill>
              <w14:schemeClr w14:val="tx1"/>
            </w14:solidFill>
          </w14:textFill>
        </w:rPr>
        <w:t>保证</w:t>
      </w:r>
      <w:r>
        <w:rPr>
          <w:rFonts w:hint="eastAsia" w:ascii="Times New Roman" w:hAnsi="Times New Roman" w:eastAsia="楷体_GB2312" w:cs="楷体_GB2312"/>
          <w:color w:val="000000" w:themeColor="text1"/>
          <w:sz w:val="20"/>
          <w:szCs w:val="20"/>
          <w14:textFill>
            <w14:solidFill>
              <w14:schemeClr w14:val="tx1"/>
            </w14:solidFill>
          </w14:textFill>
        </w:rPr>
        <w:t>每日日终现金或者到期日在一年以内的国债、中央银行票据和政策性金融债券比例不低于产品净资产的</w:t>
      </w:r>
      <w:r>
        <w:rPr>
          <w:rFonts w:ascii="Times New Roman" w:hAnsi="Times New Roman" w:eastAsia="楷体_GB2312" w:cs="楷体_GB2312"/>
          <w:color w:val="000000" w:themeColor="text1"/>
          <w:sz w:val="20"/>
          <w:szCs w:val="20"/>
          <w14:textFill>
            <w14:solidFill>
              <w14:schemeClr w14:val="tx1"/>
            </w14:solidFill>
          </w14:textFill>
        </w:rPr>
        <w:t xml:space="preserve">5%; </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（3）</w:t>
      </w:r>
      <w:r>
        <w:rPr>
          <w:rFonts w:hint="eastAsia" w:ascii="Times New Roman" w:hAnsi="Times New Roman" w:eastAsia="楷体_GB2312" w:cs="楷体_GB2312"/>
          <w:color w:val="000000" w:themeColor="text1"/>
          <w:sz w:val="20"/>
          <w:szCs w:val="20"/>
          <w14:textFill>
            <w14:solidFill>
              <w14:schemeClr w14:val="tx1"/>
            </w14:solidFill>
          </w14:textFill>
        </w:rPr>
        <w:t>本产品投资单只证券或者单只证券投资基金的市值不得超过产品净资产的</w:t>
      </w:r>
      <w:r>
        <w:rPr>
          <w:rFonts w:ascii="Times New Roman" w:hAnsi="Times New Roman" w:eastAsia="楷体_GB2312" w:cs="楷体_GB2312"/>
          <w:color w:val="000000" w:themeColor="text1"/>
          <w:sz w:val="20"/>
          <w:szCs w:val="20"/>
          <w14:textFill>
            <w14:solidFill>
              <w14:schemeClr w14:val="tx1"/>
            </w14:solidFill>
          </w14:textFill>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（4</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b/>
          <w:color w:val="000000" w:themeColor="text1"/>
          <w:sz w:val="20"/>
          <w:szCs w:val="20"/>
          <w14:textFill>
            <w14:solidFill>
              <w14:schemeClr w14:val="tx1"/>
            </w14:solidFill>
          </w14:textFill>
        </w:rPr>
        <w:t>不得同时</w:t>
      </w:r>
      <w:r>
        <w:rPr>
          <w:rFonts w:ascii="Times New Roman" w:hAnsi="Times New Roman" w:eastAsia="楷体_GB2312" w:cs="楷体_GB2312"/>
          <w:b/>
          <w:color w:val="000000" w:themeColor="text1"/>
          <w:sz w:val="20"/>
          <w:szCs w:val="20"/>
          <w14:textFill>
            <w14:solidFill>
              <w14:schemeClr w14:val="tx1"/>
            </w14:solidFill>
          </w14:textFill>
        </w:rPr>
        <w:t>出现下述</w:t>
      </w:r>
      <w:r>
        <w:rPr>
          <w:rFonts w:hint="eastAsia" w:ascii="Times New Roman" w:hAnsi="Times New Roman" w:eastAsia="楷体_GB2312" w:cs="楷体_GB2312"/>
          <w:b/>
          <w:color w:val="000000" w:themeColor="text1"/>
          <w:sz w:val="20"/>
          <w:szCs w:val="20"/>
          <w14:textFill>
            <w14:solidFill>
              <w14:schemeClr w14:val="tx1"/>
            </w14:solidFill>
          </w14:textFill>
        </w:rPr>
        <w:t>情形</w:t>
      </w:r>
      <w:r>
        <w:rPr>
          <w:rFonts w:ascii="Times New Roman" w:hAnsi="Times New Roman" w:eastAsia="楷体_GB2312" w:cs="楷体_GB2312"/>
          <w:b/>
          <w:color w:val="000000" w:themeColor="text1"/>
          <w:sz w:val="20"/>
          <w:szCs w:val="20"/>
          <w14:textFill>
            <w14:solidFill>
              <w14:schemeClr w14:val="tx1"/>
            </w14:solidFill>
          </w14:textFill>
        </w:rPr>
        <w:t>:</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（5</w:t>
      </w:r>
      <w:r>
        <w:rPr>
          <w:rFonts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本产品</w:t>
      </w:r>
      <w:r>
        <w:rPr>
          <w:rFonts w:hint="eastAsia" w:ascii="Times New Roman" w:hAnsi="Times New Roman" w:eastAsia="楷体_GB2312" w:cs="楷体_GB2312"/>
          <w:b/>
          <w:color w:val="000000" w:themeColor="text1"/>
          <w:sz w:val="20"/>
          <w:szCs w:val="20"/>
          <w14:textFill>
            <w14:solidFill>
              <w14:schemeClr w14:val="tx1"/>
            </w14:solidFill>
          </w14:textFill>
        </w:rPr>
        <w:t>单一投资者持有份额不得超过产品总份额的</w:t>
      </w:r>
      <w:r>
        <w:rPr>
          <w:rFonts w:ascii="Times New Roman" w:hAnsi="Times New Roman" w:eastAsia="楷体_GB2312" w:cs="楷体_GB2312"/>
          <w:b/>
          <w:color w:val="000000" w:themeColor="text1"/>
          <w:sz w:val="20"/>
          <w:szCs w:val="20"/>
          <w14:textFill>
            <w14:solidFill>
              <w14:schemeClr w14:val="tx1"/>
            </w14:solidFill>
          </w14:textFill>
        </w:rPr>
        <w:t>50%</w:t>
      </w:r>
      <w:r>
        <w:rPr>
          <w:rFonts w:hint="eastAsia" w:ascii="Times New Roman" w:hAnsi="Times New Roman" w:eastAsia="楷体_GB2312" w:cs="楷体_GB2312"/>
          <w:b/>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w:t>
      </w:r>
      <w:r>
        <w:rPr>
          <w:rFonts w:ascii="Times New Roman" w:hAnsi="Times New Roman" w:eastAsia="楷体_GB2312" w:cs="楷体_GB2312"/>
          <w:color w:val="000000" w:themeColor="text1"/>
          <w:sz w:val="20"/>
          <w:szCs w:val="20"/>
          <w14:textFill>
            <w14:solidFill>
              <w14:schemeClr w14:val="tx1"/>
            </w14:solidFill>
          </w14:textFill>
        </w:rPr>
        <w:t>该种情形下，</w:t>
      </w:r>
      <w:r>
        <w:rPr>
          <w:rFonts w:hint="eastAsia" w:ascii="Times New Roman" w:hAnsi="Times New Roman" w:eastAsia="楷体_GB2312" w:cs="楷体_GB2312"/>
          <w:color w:val="000000" w:themeColor="text1"/>
          <w:sz w:val="20"/>
          <w:szCs w:val="20"/>
          <w14:textFill>
            <w14:solidFill>
              <w14:schemeClr w14:val="tx1"/>
            </w14:solidFill>
          </w14:textFill>
        </w:rPr>
        <w:t>非因管理人主观因素导致突破前款规定比例限制的，在单一投资者持有比例降至</w:t>
      </w:r>
      <w:r>
        <w:rPr>
          <w:rFonts w:ascii="Times New Roman" w:hAnsi="Times New Roman" w:eastAsia="楷体_GB2312" w:cs="楷体_GB2312"/>
          <w:color w:val="000000" w:themeColor="text1"/>
          <w:sz w:val="20"/>
          <w:szCs w:val="20"/>
          <w14:textFill>
            <w14:solidFill>
              <w14:schemeClr w14:val="tx1"/>
            </w14:solidFill>
          </w14:textFill>
        </w:rPr>
        <w:t>50%以下之前，</w:t>
      </w:r>
      <w:r>
        <w:rPr>
          <w:rFonts w:hint="eastAsia" w:ascii="Times New Roman" w:hAnsi="Times New Roman" w:eastAsia="楷体_GB2312" w:cs="楷体_GB2312"/>
          <w:color w:val="000000" w:themeColor="text1"/>
          <w:sz w:val="20"/>
          <w:szCs w:val="20"/>
          <w14:textFill>
            <w14:solidFill>
              <w14:schemeClr w14:val="tx1"/>
            </w14:solidFill>
          </w14:textFill>
        </w:rPr>
        <w:t>管理人不得再接受该投资者对该理财产品的认购/申购申请。</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（6</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直接投资于流动性受限资产的市值在开放日不得超过产品资产净值的</w:t>
      </w:r>
      <w:r>
        <w:rPr>
          <w:rFonts w:ascii="Times New Roman" w:hAnsi="Times New Roman" w:eastAsia="楷体_GB2312" w:cs="楷体_GB2312"/>
          <w:color w:val="000000" w:themeColor="text1"/>
          <w:sz w:val="20"/>
          <w:szCs w:val="20"/>
          <w14:textFill>
            <w14:solidFill>
              <w14:schemeClr w14:val="tx1"/>
            </w14:solidFill>
          </w14:textFill>
        </w:rPr>
        <w:t>15%。</w:t>
      </w:r>
      <w:r>
        <w:rPr>
          <w:rFonts w:hint="eastAsia" w:ascii="Times New Roman" w:hAnsi="Times New Roman" w:eastAsia="楷体_GB2312" w:cs="楷体_GB2312"/>
          <w:color w:val="000000" w:themeColor="text1"/>
          <w:sz w:val="20"/>
          <w:szCs w:val="20"/>
          <w14:textFill>
            <w14:solidFill>
              <w14:schemeClr w14:val="tx1"/>
            </w14:solidFill>
          </w14:textFill>
        </w:rPr>
        <w:t>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（7</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在开放日前一工作日内，</w:t>
      </w:r>
      <w:r>
        <w:rPr>
          <w:rFonts w:ascii="Times New Roman" w:hAnsi="Times New Roman" w:eastAsia="楷体_GB2312" w:cs="楷体_GB2312"/>
          <w:color w:val="000000" w:themeColor="text1"/>
          <w:sz w:val="20"/>
          <w:szCs w:val="20"/>
          <w14:textFill>
            <w14:solidFill>
              <w14:schemeClr w14:val="tx1"/>
            </w14:solidFill>
          </w14:textFill>
        </w:rPr>
        <w:t>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4"/>
        <w:tblW w:w="500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739"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【信银理财安盈象固收稳健六个月持有期23号理财产品】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739"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【AF246435</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739"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【B】类份额：份额代码【AF246435B】</w:t>
            </w:r>
            <w:r>
              <w:br w:type="textWrapping"/>
            </w:r>
            <w:r>
              <w:rPr>
                <w:rFonts w:hint="eastAsia" w:ascii="楷体_GB2312" w:eastAsia="楷体_GB2312" w:cs="楷体_GB2312"/>
                <w:color w:val="000000" w:themeColor="text1"/>
                <w:sz w:val="20"/>
                <w:szCs w:val="20"/>
                <w14:textFill>
                  <w14:solidFill>
                    <w14:schemeClr w14:val="tx1"/>
                  </w14:solidFill>
                </w14:textFill>
              </w:rPr>
              <w:t>【G】类份额：份额代码【AF246435G】</w:t>
            </w:r>
            <w:r>
              <w:br w:type="textWrapping"/>
            </w:r>
            <w:r>
              <w:rPr>
                <w:rFonts w:hint="eastAsia" w:ascii="楷体_GB2312" w:eastAsia="楷体_GB2312" w:cs="楷体_GB2312"/>
                <w:color w:val="000000" w:themeColor="text1"/>
                <w:sz w:val="20"/>
                <w:szCs w:val="20"/>
                <w14:textFill>
                  <w14:solidFill>
                    <w14:schemeClr w14:val="tx1"/>
                  </w14:solidFill>
                </w14:textFill>
              </w:rPr>
              <w:t>【M】类份额：份额代码【AF246435M】</w:t>
            </w:r>
            <w:r>
              <w:br w:type="textWrapping"/>
            </w:r>
            <w:r>
              <w:rPr>
                <w:rFonts w:hint="eastAsia" w:ascii="楷体_GB2312" w:eastAsia="楷体_GB2312" w:cs="楷体_GB2312"/>
                <w:color w:val="000000" w:themeColor="text1"/>
                <w:sz w:val="20"/>
                <w:szCs w:val="20"/>
                <w14:textFill>
                  <w14:solidFill>
                    <w14:schemeClr w14:val="tx1"/>
                  </w14:solidFill>
                </w14:textFill>
              </w:rPr>
              <w:t>【L】类份额：份额代码【AF246435L】</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1"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739" w:type="pct"/>
            <w:vAlign w:val="center"/>
          </w:tcPr>
          <w:p>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【2024】年【10】月【11】日至【2024】年【10】月【16】日，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pStyle w:val="7"/>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pStyle w:val="7"/>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pStyle w:val="7"/>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739"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Times New Roman"/>
                <w:color w:val="000000" w:themeColor="text1"/>
                <w:sz w:val="20"/>
                <w:szCs w:val="20"/>
                <w14:textFill>
                  <w14:solidFill>
                    <w14:schemeClr w14:val="tx1"/>
                  </w14:solidFill>
                </w14:textFill>
              </w:rPr>
              <w:t>【2024】年【10】月【17】日</w:t>
            </w:r>
            <w:r>
              <w:rPr>
                <w:rFonts w:hint="eastAsia" w:ascii="Times New Roman" w:hAnsi="Times New Roman" w:eastAsia="楷体_GB2312" w:cs="Times New Roman"/>
                <w:color w:val="000000" w:themeColor="text1"/>
                <w:sz w:val="20"/>
                <w:szCs w:val="20"/>
                <w14:textFill>
                  <w14:solidFill>
                    <w14:schemeClr w14:val="tx1"/>
                  </w14:solidFill>
                </w14:textFill>
              </w:rPr>
              <w:t>（如信银理财调整募集期，则运作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【2024】年【10】月【17】日至【2025】年【1】月【16】日。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739"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739" w:type="pct"/>
            <w:vAlign w:val="center"/>
          </w:tcPr>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180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180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739" w:type="pct"/>
            <w:vAlign w:val="center"/>
          </w:tcPr>
          <w:p>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本产品首个申购开放日为【2024】年【10】月【18】日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739" w:type="pct"/>
            <w:vAlign w:val="center"/>
          </w:tcPr>
          <w:p>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【B】类份额：【2.00%-3.60%】</w:t>
            </w:r>
            <w:r>
              <w:br w:type="textWrapping"/>
            </w:r>
            <w:r>
              <w:rPr>
                <w:rFonts w:hint="eastAsia" w:ascii="楷体_GB2312" w:eastAsia="楷体_GB2312" w:cs="楷体_GB2312"/>
                <w:color w:val="000000" w:themeColor="text1"/>
                <w:sz w:val="20"/>
                <w:szCs w:val="20"/>
                <w14:textFill>
                  <w14:solidFill>
                    <w14:schemeClr w14:val="tx1"/>
                  </w14:solidFill>
                </w14:textFill>
              </w:rPr>
              <w:t>【G】类份额：【2.05%-3.65%】</w:t>
            </w:r>
            <w:r>
              <w:br w:type="textWrapping"/>
            </w:r>
            <w:r>
              <w:rPr>
                <w:rFonts w:hint="eastAsia" w:ascii="楷体_GB2312" w:eastAsia="楷体_GB2312" w:cs="楷体_GB2312"/>
                <w:color w:val="000000" w:themeColor="text1"/>
                <w:sz w:val="20"/>
                <w:szCs w:val="20"/>
                <w14:textFill>
                  <w14:solidFill>
                    <w14:schemeClr w14:val="tx1"/>
                  </w14:solidFill>
                </w14:textFill>
              </w:rPr>
              <w:t>【M】类份额：【1.90%-3.50%】</w:t>
            </w:r>
            <w:r>
              <w:br w:type="textWrapping"/>
            </w:r>
            <w:r>
              <w:rPr>
                <w:rFonts w:hint="eastAsia" w:ascii="楷体_GB2312" w:eastAsia="楷体_GB2312" w:cs="楷体_GB2312"/>
                <w:color w:val="000000" w:themeColor="text1"/>
                <w:sz w:val="20"/>
                <w:szCs w:val="20"/>
                <w14:textFill>
                  <w14:solidFill>
                    <w14:schemeClr w14:val="tx1"/>
                  </w14:solidFill>
                </w14:textFill>
              </w:rPr>
              <w:t>【L】类份额：【2.05%-3.65%】</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同业存单、短融、中票、PPN、公司债、资产支持证券等标准化债券类资产。根据当前市场利率水平、组合目标久期、可投资债券的静态收益率、债券杠杆操作等因素作为测算依据，扣除相关税费成本之后，综合得出产品的业绩比较基准。】</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【M】类份额：初始认购/首次申购金额不低于【人民币】【1】元，以【人民币】【0.01】元的整数倍增加。追加认购/申购金额不低于【人民币】【0.01】元，以【人民币】【0.01】元的整数倍增加。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739" w:type="pct"/>
            <w:vAlign w:val="center"/>
          </w:tcPr>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739"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【M】类份额：单个投资者持仓份额下限为【0.01】份，投资者提出部分赎回时，如赎回后投资者持有份额不足【0.01】份，则管理人将对投资者剩余份额发起强制赎回。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739"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739" w:type="pct"/>
            <w:vAlign w:val="center"/>
          </w:tcPr>
          <w:p>
            <w:pPr>
              <w:pStyle w:val="7"/>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pPr>
              <w:pStyle w:val="7"/>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spacing w:line="300" w:lineRule="exact"/>
              <w:ind w:right="29" w:rightChars="12"/>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投资者可通过信银理财直销渠道申购及赎回本产品。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如本产品通过代销机构销售，投资者可通过代销机构规定的渠道申购和赎回本产品。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739"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739"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B类份额费率【0.30%】/年，G类份额费率【0.30%】/年，M类份额费率【0.30%】/年，L类份额费率【0.30%】/年</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B类、G类、M类、L类份额不收取浮动管理费。</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739"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739" w:type="pct"/>
            <w:vAlign w:val="center"/>
          </w:tcPr>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B类份额（份额代码【AF246435B】）合作销售机构信息：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1.企业名称：【上海银行股份有限公司】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统一社会信用代码：【91310000132257510M】</w:t>
            </w:r>
            <w:r>
              <w:br w:type="textWrapping"/>
            </w:r>
            <w:r>
              <w:rPr>
                <w:rFonts w:ascii="楷体_GB2312" w:eastAsia="楷体_GB2312" w:cs="楷体_GB2312"/>
                <w:color w:val="000000" w:themeColor="text1"/>
                <w:sz w:val="20"/>
                <w:szCs w:val="20"/>
                <w14:textFill>
                  <w14:solidFill>
                    <w14:schemeClr w14:val="tx1"/>
                  </w14:solidFill>
                </w14:textFill>
              </w:rPr>
              <w:t>住所：【中国（上海）自由贸易试验区银城中路168号】</w:t>
            </w:r>
            <w:r>
              <w:br w:type="textWrapping"/>
            </w:r>
            <w:r>
              <w:rPr>
                <w:rFonts w:ascii="楷体_GB2312" w:eastAsia="楷体_GB2312" w:cs="楷体_GB2312"/>
                <w:color w:val="000000" w:themeColor="text1"/>
                <w:sz w:val="20"/>
                <w:szCs w:val="20"/>
                <w14:textFill>
                  <w14:solidFill>
                    <w14:schemeClr w14:val="tx1"/>
                  </w14:solidFill>
                </w14:textFill>
              </w:rPr>
              <w:t>客户服务热线：【95594】</w:t>
            </w:r>
            <w:r>
              <w:br w:type="textWrapping"/>
            </w:r>
            <w:r>
              <w:rPr>
                <w:rFonts w:ascii="楷体_GB2312" w:eastAsia="楷体_GB2312" w:cs="楷体_GB2312"/>
                <w:color w:val="000000" w:themeColor="text1"/>
                <w:sz w:val="20"/>
                <w:szCs w:val="20"/>
                <w14:textFill>
                  <w14:solidFill>
                    <w14:schemeClr w14:val="tx1"/>
                  </w14:solidFill>
                </w14:textFill>
              </w:rPr>
              <w:t>2.企业名称：【信银理财有限责任公司】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G类份额（份额代码【AF246435G】）合作销售机构信息：</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1.企业名称：【浙江新昌农村商业银行股份有限公司】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统一社会信用代码：【913306007707448740】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统一社会信用代码：【9133010014387221XY】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3.企业名称：【浙江德清农村商业银行股份有限公司】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统一社会信用代码：【9133050076962455XQ】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住所：【浙江省德清县武康街道沈长圩街50号】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4.企业名称：【浙江瑞安农村商业银行股份有限公司】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统一社会信用代码：【91330300773121154L】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住所：【瑞安市安阳街道万松东路148号】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5.企业名称：【浙江富阳农村商业银行股份有限公司】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统一社会信用代码：【91330100YA3600224E】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住所：【浙江省杭州市富阳区鹿山街道依江路501号第1幢】</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统一社会信用代码：【91330700685598446M】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住所：【浙江省金华市八一南街123号】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7.企业名称：【浙江永康农村商业银行股份有限公司】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统一社会信用代码：【91330700563336405G】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住所：【浙江省金华市永康市九铃东路3259号】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8.企业名称：【浙江东阳农村商业银行股份有限公司】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统一社会信用代码：【91330700147546390Q】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9.企业名称：【浙江浦江农村商业银行股份有限公司】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统一社会信用代码：【913307261476928819】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住所：【浙江省浦江县人民东路90号】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统一社会信用代码：【913308001477477826】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住所：【浙江省上街92号】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统一社会信用代码：【91330800147752</w:t>
            </w:r>
            <w:r>
              <w:rPr>
                <w:rFonts w:ascii="楷体_GB2312" w:eastAsia="楷体_GB2312" w:cs="楷体_GB2312"/>
                <w:color w:val="000000" w:themeColor="text1"/>
                <w:sz w:val="20"/>
                <w:szCs w:val="20"/>
                <w14:textFill>
                  <w14:solidFill>
                    <w14:schemeClr w14:val="tx1"/>
                  </w14:solidFill>
                </w14:textFill>
              </w:rPr>
              <w:t>81</w:t>
            </w:r>
            <w:r>
              <w:rPr>
                <w:rFonts w:hint="eastAsia" w:ascii="楷体_GB2312" w:eastAsia="楷体_GB2312" w:cs="楷体_GB2312"/>
                <w:color w:val="000000" w:themeColor="text1"/>
                <w:sz w:val="20"/>
                <w:szCs w:val="20"/>
                <w14:textFill>
                  <w14:solidFill>
                    <w14:schemeClr w14:val="tx1"/>
                  </w14:solidFill>
                </w14:textFill>
              </w:rPr>
              <w:t>3B】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12.企业名称：【浙江龙游农村商业银行股份有限公司】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统一社会信用代码：【91330825769632509M】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住所：【浙江省衢州市龙游县龙洲街道荣昌大道683、685、687号】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13.企业名称：【浙江江山农村商业银行股份有限公司】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统一社会信用代码：【913308001478831865】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14.企业名称：【浙江常山农村商业银行股份有限公司】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统一社会信用代码：【91330822147845315H】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住所：【浙江省衢州市常山县天马街道人民路125号】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15.企业名称：【浙江开化农村商业银行股份有限公司】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统一社会信用代码：【913308241479259480】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统一社会信用代码：【91331100148440061D】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住所：【浙江丽水市解放街438号】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17.企业名称：【浙江青田农村商业银行股份有限公司】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统一社会信用代码：【913311007757320399】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住所：【浙江省青田县鹤城街道鹤城东路180号】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18.企业名称：【浙江龙泉农村商业银行股份有限公司】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统一社会信用代码：【91331181148543853J】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住所：【浙江省丽水市龙泉市中山东路101号】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19.企业名称：【浙江遂昌农村商业银行股份有限公司】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统一社会信用代码：【91331123148661817E】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20.企业名称：【浙江松阳农村商业银行股份有限公司】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统一社会信用代码：【91331124148632856X】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住所：【浙江省丽水市松阳县水南街道要津南路71号】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21.企业名称：【浙江景宁农村商业银行股份有限公司】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统一社会信用代码：【91331127704796094T】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住所：【浙江省丽水市景宁畲族自治县红星街道人民中路201号】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统一社会信用代码：【913310021482768636】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住所：【浙江省台州市椒江区工人东路322号】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统一社会信用代码：【91331003770736460B】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统一社会信用代码：【91331004771942717H】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住所：【浙江省台州市路桥区西路桥大道328号】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25.企业名称：【浙江温岭农村商业银行股份有限公司】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统一社会信用代码：【913310001489096329】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26.企业名称：【浙江天台农村商业银行股份有限公司】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统一社会信用代码：【91331000148073695C】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住所：【浙江省天台县赤城街道飞鹤路358号】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27.企业名称：【浙江三门农村商业银行股份有限公司】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统一社会信用代码：【91331022774367359X】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统一社会信用代码：【91330900148740320U】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统一社会信用代码：【913309006831072360】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住所：【浙江省舟山市普陀区东港街道麒麟街225号（自贸试验区内）】</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30.企业名称：【湖州吴兴农村商业银行股份有限公司】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统一社会信用代码：【913305007782713708】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31.企业名称：【浙江临安农村商业银行股份有限公司】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统一社会信用代码：【913301851437582064】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住所：【浙江省杭州市临安区锦城街道城中街442号】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32.企业名称：【浙江淳安农村商业银行股份有限公司】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统一社会信用代码：【9133012714400940XB】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住所：【浙江省杭州市淳安县千岛湖镇环湖北路369号】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33.企业名称：【宁波北仑农村商业银行股份有限公司】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统一社会信用代码：【91330206144292356K】</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eastAsia="楷体_GB2312" w:cs="楷体_GB2312"/>
                <w:color w:val="000000" w:themeColor="text1"/>
                <w:sz w:val="20"/>
                <w:szCs w:val="20"/>
                <w14:textFill>
                  <w14:solidFill>
                    <w14:schemeClr w14:val="tx1"/>
                  </w14:solidFill>
                </w14:textFill>
              </w:rPr>
              <w:t>宝山路69号（凤凰国际商务广场）1幢69号、63号（凤凰国际商务广场）1幢（2-26层）】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34.企业名称：【宁波奉化农村商业银行股份有限公司】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统一社会信用代码：【913302001448601066】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住所：【浙江省宁波市奉化区锦屏街道中山路27号】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35.企业名称：【宁波镇海农村商业银行股份有限公司】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统一社会信用代码：【91330200717212676J】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住所：【宁波市镇海区骆驼街道镇海大道中段788号】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36.企业名称：【宁波宁海农村商业银行股份有限公司】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统一社会信用代码：【91330200144938786M】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住所：【宁海县跃龙街道学勉路1号（金融中心）】</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37.企业名称：【宁波甬城农村商业银行股份有限公司】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统一社会信用代码：【91330205704848042N】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住所：【浙江省宁波市江北区育才路15、17号】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38.企业名称：【浙江永嘉农村商业银行股份有限公司】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统一社会信用代码：【91330300693852088P】</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住所：【浙江省温州市永嘉县瓯北街道阳光大道3918号101室、201室、301室、401室、501室、1101室、1801室、2201室】</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39.企业名称：【浙江平阳农村商业银行股份有限公司】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统一社会信用代码：【91330300778260532C】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40.企业名称：【浙江嘉善农村商业银行股份有限公司】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统一社会信用代码：【91330400146600914H】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41.企业名称：【浙江平湖农村商业银行股份有限公司】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统一社会信用代码：【913304821466775403】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住所：【浙江省平湖市当湖街道胜利路518号】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42.企业名称：【浙江海宁农村商业银行股份有限公司】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统一社会信用代码：【91330400146707324M】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43.企业名称：【浙江海盐农村商业银行股份有限公司】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统一社会信用代码：【91330424254846268L】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44.企业名称：【浙江桐乡农村商业银行股份有限公司】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统一社会信用代码：【91330483146852863F】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45.企业名称：【浙江安吉农村商业银行股份有限公司】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统一社会信用代码：【91330500680700499G】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46.企业名称：【浙江南浔农村商业银行股份有限公司】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统一社会信用代码：【913305001470196549】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住所：【浙江省湖州市南浔区南浔镇人瑞路1188号】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47.企业名称：【浙江上虞农村商业银行股份有限公司】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统一社会信用代码：【91330600146116161G】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48.企业名称：【浙江缙云农村商业银行股份有限公司】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统一社会信用代码：【913311227047843259】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49.企业名称：【浙江义乌农村商业银行股份有限公司】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统一社会信用代码：【91330782609786576E】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住所：【浙江省义乌市福田街道城北路677号】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50.企业名称：【浙江兰溪农村商业银行股份有限公司】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统一社会信用代码：【91330781147387545R】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51.企业名称：【浙江长兴农村商业银行股份有限公司】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统一社会信用代码：【91330522147148640A】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住所：【浙江省湖州市长兴县太湖街道明珠路1298号】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统一社会信用代码：【9133060271252980XJ】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住所：【浙江省绍兴市中兴中路159号】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53.企业名称：【浙江武义农村商业银行股份有限公司】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统一社会信用代码：【91330723552860156J】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54.企业名称：【浙江岱山农村商业银行股份有限公司】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统一社会信用代码：【91330921778250107N】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住所：【浙江省舟山市岱山县高亭镇衢山大道1009号】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55.企业名称：【浙江仙居农村商业银行股份有限公司】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统一社会信用代码：【91331024148032965W】</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住所：【浙江省仙居县南峰街道穿城中路21号】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56.企业名称：【浙江玉环农村商业银行股份有限公司】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统一社会信用代码：【91331021704702414T】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57.企业名称：【浙江诸暨农村商业银行股份有限公司】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统一社会信用代码：【91330600146217704F】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58.企业名称：【浙江临海农村商业银行股份有限公司】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统一社会信用代码：【91331000147999461D】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住所：【浙江省台州市临海市大洋街道河阳路299号】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59.企业名称：【浙江建德农村商业银行股份有限公司】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统一社会信用代码：【9133018270429246XA】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60.企业名称：【浙江文成农村商业银行股份有限公司】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统一社会信用代码：【91330328145827746X】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eastAsia="楷体_GB2312" w:cs="楷体_GB2312"/>
                <w:color w:val="000000" w:themeColor="text1"/>
                <w:sz w:val="20"/>
                <w:szCs w:val="20"/>
                <w14:textFill>
                  <w14:solidFill>
                    <w14:schemeClr w14:val="tx1"/>
                  </w14:solidFill>
                </w14:textFill>
              </w:rPr>
              <w:t>镇伯温路6号】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61.企业名称：【浙江萧山农村商业银行股份有限公司】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统一社会信用代码：【91330100143568234F】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住所：【浙江省杭州市萧山区人民路258号】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62.企业名称：【浙江乐清农村商业银行股份有限公司】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统一社会信用代码：【91330300712576278B】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63.企业名称：【宁波余姚农村商业银行股份有限公司】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统一社会信用代码：【91330281768530578N】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64.企业名称：【浙江桐庐农村商业银行股份有限公司】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统一社会信用代码：【913301228436000474】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65.企业名称：【杭州联合农村商业银行股份有限公司】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统一社会信用代码：【91330100773585469H】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统一社会信用代码：【91330300777212117L】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住所：【浙江省温州市鹿城区会展路1500号富银大厦】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统一社会信用代码：【91330600145965997H】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住所：【浙江省绍兴市柯桥区柯桥笛扬路1363号】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68.企业名称：【浙江禾城农村商业银行股份有限公司】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统一社会信用代码：【91330400146466356E】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 1229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企业名称：【浙江泰顺农村商业银行股份有限公司】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统一社会信用代码：【913303297043793629】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住所：【浙江省温州市泰顺县罗阳镇新城区文祥大道181号】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0.</w:t>
            </w:r>
            <w:r>
              <w:rPr>
                <w:rFonts w:hint="eastAsia" w:ascii="楷体_GB2312" w:eastAsia="楷体_GB2312" w:cs="楷体_GB2312"/>
                <w:color w:val="000000" w:themeColor="text1"/>
                <w:sz w:val="20"/>
                <w:szCs w:val="20"/>
                <w14:textFill>
                  <w14:solidFill>
                    <w14:schemeClr w14:val="tx1"/>
                  </w14:solidFill>
                </w14:textFill>
              </w:rPr>
              <w:t>企业名称：【浙江嵊州农村商业银行股份有限公司】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统一社会信用代码：【91330683146384641Y】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住所：【浙江省嵊州市剡湖街道官河路398号】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w:t>
            </w:r>
            <w:r>
              <w:rPr>
                <w:rFonts w:hint="eastAsia" w:ascii="楷体_GB2312" w:eastAsia="楷体_GB2312" w:cs="楷体_GB2312"/>
                <w:color w:val="000000" w:themeColor="text1"/>
                <w:sz w:val="20"/>
                <w:szCs w:val="20"/>
                <w14:textFill>
                  <w14:solidFill>
                    <w14:schemeClr w14:val="tx1"/>
                  </w14:solidFill>
                </w14:textFill>
              </w:rPr>
              <w:t>企业名称：【浙江庆元农村商业银行股份有限公司】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统一社会信用代码：【91331126609962015U】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eastAsia="楷体_GB2312" w:cs="楷体_GB2312"/>
                <w:color w:val="000000" w:themeColor="text1"/>
                <w:sz w:val="20"/>
                <w:szCs w:val="20"/>
                <w14:textFill>
                  <w14:solidFill>
                    <w14:schemeClr w14:val="tx1"/>
                  </w14:solidFill>
                </w14:textFill>
              </w:rPr>
              <w:t>洲街道云鹤路3号】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客户服务热线：【0571-96596】</w:t>
            </w:r>
            <w:r>
              <w:br w:type="textWrapping"/>
            </w:r>
            <w:r>
              <w:rPr>
                <w:rFonts w:ascii="楷体_GB2312" w:eastAsia="楷体_GB2312" w:cs="楷体_GB2312"/>
                <w:color w:val="000000" w:themeColor="text1"/>
                <w:sz w:val="20"/>
                <w:szCs w:val="20"/>
                <w14:textFill>
                  <w14:solidFill>
                    <w14:schemeClr w14:val="tx1"/>
                  </w14:solidFill>
                </w14:textFill>
              </w:rPr>
              <w:t>72.企业名称：【</w:t>
            </w:r>
            <w:r>
              <w:rPr>
                <w:rFonts w:hint="eastAsia" w:ascii="楷体_GB2312" w:eastAsia="楷体_GB2312" w:cs="楷体_GB2312"/>
                <w:color w:val="000000" w:themeColor="text1"/>
                <w:sz w:val="20"/>
                <w:szCs w:val="20"/>
                <w14:textFill>
                  <w14:solidFill>
                    <w14:schemeClr w14:val="tx1"/>
                  </w14:solidFill>
                </w14:textFill>
              </w:rPr>
              <w:t>渤海银行股份有限公司</w:t>
            </w:r>
            <w:r>
              <w:rPr>
                <w:rFonts w:ascii="楷体_GB2312" w:eastAsia="楷体_GB2312" w:cs="楷体_GB2312"/>
                <w:color w:val="000000" w:themeColor="text1"/>
                <w:sz w:val="20"/>
                <w:szCs w:val="20"/>
                <w14:textFill>
                  <w14:solidFill>
                    <w14:schemeClr w14:val="tx1"/>
                  </w14:solidFill>
                </w14:textFill>
              </w:rPr>
              <w:t>】</w:t>
            </w:r>
            <w:r>
              <w:br w:type="textWrapping"/>
            </w:r>
            <w:r>
              <w:rPr>
                <w:rFonts w:ascii="楷体_GB2312" w:eastAsia="楷体_GB2312" w:cs="楷体_GB2312"/>
                <w:color w:val="000000" w:themeColor="text1"/>
                <w:sz w:val="20"/>
                <w:szCs w:val="20"/>
                <w14:textFill>
                  <w14:solidFill>
                    <w14:schemeClr w14:val="tx1"/>
                  </w14:solidFill>
                </w14:textFill>
              </w:rPr>
              <w:t>统一社会信用代码：【911200007109339563】</w:t>
            </w:r>
            <w:r>
              <w:br w:type="textWrapping"/>
            </w:r>
            <w:r>
              <w:rPr>
                <w:rFonts w:ascii="楷体_GB2312" w:eastAsia="楷体_GB2312" w:cs="楷体_GB2312"/>
                <w:color w:val="000000" w:themeColor="text1"/>
                <w:sz w:val="20"/>
                <w:szCs w:val="20"/>
                <w14:textFill>
                  <w14:solidFill>
                    <w14:schemeClr w14:val="tx1"/>
                  </w14:solidFill>
                </w14:textFill>
              </w:rPr>
              <w:t>住所：【</w:t>
            </w:r>
            <w:r>
              <w:rPr>
                <w:rFonts w:hint="eastAsia" w:ascii="楷体_GB2312" w:eastAsia="楷体_GB2312" w:cs="楷体_GB2312"/>
                <w:color w:val="000000" w:themeColor="text1"/>
                <w:sz w:val="20"/>
                <w:szCs w:val="20"/>
                <w14:textFill>
                  <w14:solidFill>
                    <w14:schemeClr w14:val="tx1"/>
                  </w14:solidFill>
                </w14:textFill>
              </w:rPr>
              <w:t>天津市河东区海河东路</w:t>
            </w:r>
            <w:r>
              <w:rPr>
                <w:rFonts w:ascii="楷体_GB2312" w:eastAsia="楷体_GB2312" w:cs="楷体_GB2312"/>
                <w:color w:val="000000" w:themeColor="text1"/>
                <w:sz w:val="20"/>
                <w:szCs w:val="20"/>
                <w14:textFill>
                  <w14:solidFill>
                    <w14:schemeClr w14:val="tx1"/>
                  </w14:solidFill>
                </w14:textFill>
              </w:rPr>
              <w:t>218号】</w:t>
            </w:r>
            <w:r>
              <w:br w:type="textWrapping"/>
            </w:r>
            <w:r>
              <w:rPr>
                <w:rFonts w:ascii="楷体_GB2312" w:eastAsia="楷体_GB2312" w:cs="楷体_GB2312"/>
                <w:color w:val="000000" w:themeColor="text1"/>
                <w:sz w:val="20"/>
                <w:szCs w:val="20"/>
                <w14:textFill>
                  <w14:solidFill>
                    <w14:schemeClr w14:val="tx1"/>
                  </w14:solidFill>
                </w14:textFill>
              </w:rPr>
              <w:t>客户服务热线：【95541】</w:t>
            </w:r>
            <w:r>
              <w:br w:type="textWrapping"/>
            </w:r>
            <w:r>
              <w:rPr>
                <w:rFonts w:ascii="楷体_GB2312" w:eastAsia="楷体_GB2312" w:cs="楷体_GB2312"/>
                <w:color w:val="000000" w:themeColor="text1"/>
                <w:sz w:val="20"/>
                <w:szCs w:val="20"/>
                <w14:textFill>
                  <w14:solidFill>
                    <w14:schemeClr w14:val="tx1"/>
                  </w14:solidFill>
                </w14:textFill>
              </w:rPr>
              <w:t>73.企业名称：【信银理财有限责任公司】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M类份额（份额代码【AF246435M】）合作销售机构信息：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L类份额（份额代码【AF246435L】）合作销售机构信息：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739" w:type="pct"/>
            <w:vAlign w:val="center"/>
          </w:tcPr>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pPr>
              <w:pStyle w:val="7"/>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739" w:type="pct"/>
            <w:vAlign w:val="center"/>
          </w:tcPr>
          <w:p>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739" w:type="pct"/>
            <w:vAlign w:val="center"/>
          </w:tcPr>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pStyle w:val="7"/>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739"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1"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739" w:type="pct"/>
            <w:vAlign w:val="center"/>
          </w:tcPr>
          <w:p>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pStyle w:val="7"/>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pStyle w:val="7"/>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7"/>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pPr>
        <w:pStyle w:val="7"/>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B类份额单次最低赎回份额为【0.01】份，G类份额单次最低赎回份额为【0.01】份，M类份额单次最低赎回份额为【0.01】份，L类份额单次最低赎回份额为【0.01】份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+181（含）之后的每个工作日对T日申购的500万份产品发起赎回，T+184日（含）之后的每个工作日对T+3日申购的200万份产品发起赎回。某开放日投资者成功赎回所持有500万份本产品份额，该开放日本产品单位净值为1.1000，赎回费率为0%，则投资者获得的赎回金额=5,000,000.00×1.1000=5,500,000.00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b/>
          <w:color w:val="000000" w:themeColor="text1"/>
          <w:sz w:val="20"/>
          <w:szCs w:val="20"/>
          <w14:textFill>
            <w14:solidFill>
              <w14:schemeClr w14:val="tx1"/>
            </w14:solidFill>
          </w14:textFill>
        </w:rPr>
        <w:t>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pStyle w:val="7"/>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pPr>
        <w:pStyle w:val="7"/>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pPr>
        <w:pStyle w:val="7"/>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pStyle w:val="7"/>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pStyle w:val="7"/>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pStyle w:val="7"/>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left="-2" w:leftChars="-1" w:right="36" w:rightChars="15"/>
        <w:rPr>
          <w:color w:val="000000" w:themeColor="text1"/>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B类份额费率【0.30%】/年，G类份额费率【0.30%】/年，M类份额费率【0.30%】/年，L类份额费率【0.30%】/年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B类、G类、M类、L类份额不收取浮动管理费。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pStyle w:val="7"/>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pStyle w:val="7"/>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pPr>
        <w:pStyle w:val="7"/>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pPr>
        <w:pStyle w:val="7"/>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bookmarkStart w:id="1" w:name="_GoBack"/>
      <w:bookmarkEnd w:id="1"/>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000000" w:themeColor="text1"/>
        <w14:textFill>
          <w14:solidFill>
            <w14:schemeClr w14:val="tx1"/>
          </w14:solidFill>
        </w14:textFill>
      </w:rPr>
    </w:pPr>
    <w:r>
      <w:rPr>
        <w:rFonts w:hint="eastAsia"/>
      </w:rPr>
      <w:t>本产品风险评级为【P</w:t>
    </w:r>
    <w:r>
      <w:t>R</w:t>
    </w:r>
    <w:r>
      <w:rPr>
        <w:rFonts w:hint="eastAsia"/>
        <w:lang w:val="en-US" w:eastAsia="zh-CN"/>
      </w:rPr>
      <w:t>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22C85ACB"/>
    <w:rsid w:val="056B365A"/>
    <w:rsid w:val="0F8A2EA8"/>
    <w:rsid w:val="22C85ACB"/>
    <w:rsid w:val="2777713A"/>
    <w:rsid w:val="2B631D76"/>
    <w:rsid w:val="2F2E4BD5"/>
    <w:rsid w:val="3B496F43"/>
    <w:rsid w:val="4032355C"/>
    <w:rsid w:val="44597293"/>
    <w:rsid w:val="4BB77F9E"/>
    <w:rsid w:val="5B225FE6"/>
    <w:rsid w:val="5D0022DC"/>
    <w:rsid w:val="65CE5BA7"/>
    <w:rsid w:val="67A820DB"/>
    <w:rsid w:val="692E3A3A"/>
    <w:rsid w:val="6C805E71"/>
    <w:rsid w:val="6DE50340"/>
    <w:rsid w:val="73F442B6"/>
    <w:rsid w:val="7FD66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026E5"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2023-12-27T08:46:00Z</dcterms:created>
  <dc:creator>陈晨</dc:creator>
  <cp:lastModifiedBy>Jean</cp:lastModifiedBy>
  <dcterms:modified xsi:type="dcterms:W3CDTF">2024-10-10T12:42:41Z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F5345A4C23FC484E91E6AFECAE0A4E77_11</vt:lpwstr>
  </property>
</Properties>
</file>