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00" w:lineRule="exact"/>
        <w:jc w:val="center"/>
        <w:outlineLvl w:val="1"/>
        <w:rPr>
          <w:rFonts w:ascii="Times New Roman" w:hAnsi="Times New Roman" w:eastAsia="黑体" w:cs="Times New Roman"/>
          <w:sz w:val="22"/>
        </w:rPr>
      </w:pPr>
      <w:r>
        <w:rPr>
          <w:rFonts w:hint="eastAsia" w:ascii="Times New Roman" w:hAnsi="Times New Roman" w:eastAsia="黑体" w:cs="Times New Roman"/>
          <w:sz w:val="22"/>
        </w:rPr>
        <w:t>信银理财理财产品投资协议书</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甲方：投资者（投资者信息详见签署页）</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乙方：信银理财有限责任公司</w:t>
      </w:r>
    </w:p>
    <w:p>
      <w:pPr>
        <w:spacing w:line="300" w:lineRule="exact"/>
        <w:ind w:firstLine="480"/>
        <w:rPr>
          <w:rFonts w:ascii="Times New Roman" w:hAnsi="Times New Roman" w:eastAsia="楷体_GB2312" w:cs="Times New Roman"/>
          <w:sz w:val="20"/>
          <w:szCs w:val="20"/>
        </w:rPr>
      </w:pP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经甲方和乙方平等协商，就甲方认购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申购乙方发行的理财产品（以下简称</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理财产品</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），达成本协议如下：</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一、适用范围</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甲方在认购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申购乙方发行的理财产品之前应签署本协议。本协议生效后，甲方认购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申购乙方发行的理财产品的，均适用本协议。</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本协议为规范甲乙双方在理财业务中权利与义务的法律文件，与甲方认购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申购理财产品对应的《信银理财理财产品产品说明书》《信银理财理财产品风险揭示书》等相关文件与本协议共同构成理财产品合同的有效组成部分，与本协议具有同等法律效力。甲方认购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申购乙方多支理财产品时，不同理财产品对应的《信银理财理财产品产品说明书》《信银理财理财产品风险揭示书》组成的理财产品合同互相独立。</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本协议不作为甲方认购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申购或持有理财产品的凭证。</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二、风险提示</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本产品为</w:t>
      </w:r>
      <w:r>
        <w:rPr>
          <w:rFonts w:ascii="Times New Roman" w:hAnsi="Times New Roman" w:eastAsia="楷体_GB2312" w:cs="Times New Roman"/>
          <w:b/>
          <w:bCs/>
          <w:sz w:val="20"/>
          <w:szCs w:val="20"/>
        </w:rPr>
        <w:t>【固定收益类】</w:t>
      </w:r>
      <w:r>
        <w:rPr>
          <w:rFonts w:hint="eastAsia" w:ascii="Times New Roman" w:hAnsi="Times New Roman" w:eastAsia="楷体_GB2312" w:cs="Times New Roman"/>
          <w:b/>
          <w:bCs/>
          <w:sz w:val="20"/>
          <w:szCs w:val="20"/>
        </w:rPr>
        <w:t>产品</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具体投资对象</w:t>
      </w:r>
      <w:r>
        <w:rPr>
          <w:rFonts w:ascii="Times New Roman" w:hAnsi="Times New Roman" w:eastAsia="楷体_GB2312" w:cs="Times New Roman"/>
          <w:b/>
          <w:bCs/>
          <w:sz w:val="20"/>
          <w:szCs w:val="20"/>
        </w:rPr>
        <w:t>投资比例如下：</w:t>
      </w:r>
    </w:p>
    <w:tbl>
      <w:tblPr>
        <w:tblStyle w:val="4"/>
        <w:tblW w:w="3503" w:type="pct"/>
        <w:tblInd w:w="1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3"/>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资产种类</w:t>
            </w:r>
          </w:p>
        </w:tc>
        <w:tc>
          <w:tcPr>
            <w:tcW w:w="1463" w:type="pct"/>
            <w:vAlign w:val="center"/>
          </w:tcPr>
          <w:p>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pPr>
              <w:ind w:right="29" w:rightChars="12"/>
              <w:jc w:val="center"/>
              <w:rPr>
                <w:rFonts w:ascii="楷体" w:hAnsi="楷体" w:eastAsia="楷体"/>
                <w:color w:val="000000"/>
                <w:sz w:val="20"/>
                <w:szCs w:val="20"/>
              </w:rPr>
            </w:pPr>
            <w:r>
              <w:rPr>
                <w:rFonts w:hint="eastAsia" w:ascii="楷体" w:hAnsi="楷体" w:eastAsia="楷体"/>
                <w:color w:val="000000"/>
                <w:sz w:val="20"/>
                <w:szCs w:val="20"/>
              </w:rPr>
              <w:t>债权类资产</w:t>
            </w:r>
          </w:p>
        </w:tc>
        <w:tc>
          <w:tcPr>
            <w:tcW w:w="1463" w:type="pct"/>
            <w:vAlign w:val="center"/>
          </w:tcPr>
          <w:p>
            <w:pPr>
              <w:ind w:right="29" w:rightChars="12"/>
              <w:jc w:val="center"/>
              <w:rPr>
                <w:rFonts w:ascii="楷体" w:hAnsi="楷体" w:eastAsia="楷体"/>
                <w:color w:val="000000"/>
                <w:sz w:val="20"/>
                <w:szCs w:val="20"/>
              </w:rPr>
            </w:pPr>
            <w:r>
              <w:rPr>
                <w:rFonts w:hint="eastAsia" w:ascii="楷体" w:hAnsi="楷体" w:eastAsia="楷体"/>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pPr>
              <w:ind w:right="29" w:rightChars="12"/>
              <w:jc w:val="center"/>
              <w:rPr>
                <w:rFonts w:ascii="楷体" w:hAnsi="楷体" w:eastAsia="楷体"/>
                <w:color w:val="000000"/>
                <w:sz w:val="20"/>
                <w:szCs w:val="20"/>
              </w:rPr>
            </w:pPr>
            <w:r>
              <w:rPr>
                <w:rFonts w:hint="eastAsia" w:ascii="楷体" w:hAnsi="楷体" w:eastAsia="楷体"/>
                <w:color w:val="000000"/>
                <w:sz w:val="20"/>
                <w:szCs w:val="20"/>
              </w:rPr>
              <w:t>其中</w:t>
            </w:r>
            <w:r>
              <w:rPr>
                <w:rFonts w:ascii="楷体" w:hAnsi="楷体" w:eastAsia="楷体"/>
                <w:color w:val="000000"/>
                <w:sz w:val="20"/>
                <w:szCs w:val="20"/>
              </w:rPr>
              <w:t>，非标准化债权类资产</w:t>
            </w:r>
          </w:p>
        </w:tc>
        <w:tc>
          <w:tcPr>
            <w:tcW w:w="1463" w:type="pct"/>
            <w:vAlign w:val="center"/>
          </w:tcPr>
          <w:p>
            <w:pPr>
              <w:ind w:right="29" w:rightChars="12"/>
              <w:jc w:val="center"/>
              <w:rPr>
                <w:rFonts w:ascii="楷体" w:hAnsi="楷体" w:eastAsia="楷体"/>
                <w:color w:val="00000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pPr>
              <w:ind w:right="29" w:rightChars="12"/>
              <w:jc w:val="center"/>
              <w:rPr>
                <w:rFonts w:ascii="楷体" w:hAnsi="楷体" w:eastAsia="楷体"/>
                <w:color w:val="000000"/>
                <w:sz w:val="20"/>
                <w:szCs w:val="20"/>
              </w:rPr>
            </w:pPr>
            <w:r>
              <w:rPr>
                <w:rFonts w:hint="eastAsia" w:ascii="楷体" w:hAnsi="楷体" w:eastAsia="楷体"/>
                <w:color w:val="000000"/>
                <w:sz w:val="20"/>
                <w:szCs w:val="20"/>
              </w:rPr>
              <w:t>权益类资产</w:t>
            </w:r>
          </w:p>
        </w:tc>
        <w:tc>
          <w:tcPr>
            <w:tcW w:w="1463" w:type="pct"/>
            <w:vAlign w:val="center"/>
          </w:tcPr>
          <w:p>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资产：持仓合约价值</w:t>
            </w:r>
          </w:p>
        </w:tc>
        <w:tc>
          <w:tcPr>
            <w:tcW w:w="1463" w:type="pct"/>
            <w:vAlign w:val="center"/>
          </w:tcPr>
          <w:p>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3537" w:type="pct"/>
            <w:vAlign w:val="center"/>
          </w:tcPr>
          <w:p>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资产：衍生品账户权益</w:t>
            </w:r>
          </w:p>
        </w:tc>
        <w:tc>
          <w:tcPr>
            <w:tcW w:w="1463" w:type="pct"/>
            <w:vAlign w:val="center"/>
          </w:tcPr>
          <w:p>
            <w:pPr>
              <w:ind w:right="29" w:rightChars="12"/>
              <w:jc w:val="center"/>
              <w:rPr>
                <w:rFonts w:ascii="楷体" w:hAnsi="楷体" w:eastAsia="楷体"/>
                <w:color w:val="000000"/>
                <w:sz w:val="20"/>
                <w:szCs w:val="20"/>
              </w:rPr>
            </w:pPr>
            <w:r>
              <w:rPr>
                <w:rFonts w:hint="eastAsia" w:ascii="楷体" w:hAnsi="楷体" w:eastAsia="楷体"/>
                <w:sz w:val="20"/>
                <w:szCs w:val="20"/>
              </w:rPr>
              <w:t>【0%】</w:t>
            </w:r>
          </w:p>
        </w:tc>
      </w:tr>
    </w:tbl>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投资者投资本产品可能面临的特定风险主要包括（但不限于）</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（1）投资债权类资产的风险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1）投资标准化债权类资产的风险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）投资非标准化债权类资产的风险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）投资权益类资产的风险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1）投资普通股票可能面临的风险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 xml:space="preserve">本产品投资普通股票时可能面临以下风险：国家政策、经济周期、利率、汇率、股票发行人经营情况等因素可能发生变化导致的市场风险；因市场、技术、竞争、管理、财务等导致公司盈利发生变化，其股票价格可能下跌，影响投资者收益；股票定向增发等可能的流通和转让限制导致的流动性风险等。 </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2）投资优先股可能面临的风险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优先股时可能面临的以下风险：国家政策、经济周期、利率、汇率、股票发行人经营情况等因素可能发生变化导致的市场风险；因公司基本面改变导致影响优先股的股利支付、在触发事件发生时优先股可能被强制转换为普通股的信用风险；向特定对象发行的优先股只能挂牌转让等优先股可能的流通和转让限制导致的流动性风险等。</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3</w:t>
      </w:r>
      <w:r>
        <w:rPr>
          <w:rFonts w:hint="eastAsia" w:ascii="Times New Roman" w:hAnsi="Times New Roman" w:eastAsia="楷体_GB2312" w:cs="Times New Roman"/>
          <w:b/>
          <w:bCs/>
          <w:sz w:val="20"/>
          <w:szCs w:val="20"/>
        </w:rPr>
        <w:t>）投资商品及金融衍生品类资产的风险</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商品及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00" w:lineRule="exact"/>
        <w:ind w:firstLine="480"/>
        <w:rPr>
          <w:rFonts w:ascii="Times New Roman" w:hAnsi="Times New Roman" w:eastAsia="楷体_GB2312" w:cs="Times New Roman"/>
          <w:b/>
          <w:bCs/>
          <w:sz w:val="20"/>
          <w:szCs w:val="20"/>
        </w:rPr>
      </w:pPr>
    </w:p>
    <w:p>
      <w:pPr>
        <w:spacing w:line="300" w:lineRule="exact"/>
        <w:ind w:firstLine="480"/>
        <w:rPr>
          <w:rFonts w:ascii="Times New Roman" w:hAnsi="Times New Roman" w:eastAsia="楷体_GB2312" w:cs="Times New Roman"/>
          <w:b/>
          <w:bCs/>
          <w:i/>
          <w:szCs w:val="20"/>
          <w:u w:val="single"/>
        </w:rPr>
      </w:pPr>
      <w:r>
        <w:rPr>
          <w:rFonts w:hint="eastAsia" w:ascii="Times New Roman" w:hAnsi="Times New Roman" w:eastAsia="楷体_GB2312" w:cs="Times New Roman"/>
          <w:b/>
          <w:bCs/>
          <w:i/>
          <w:szCs w:val="20"/>
          <w:u w:val="single"/>
        </w:rPr>
        <w:t>注：以上特定风险仅为列举性质，未能详尽列明投资本产品可能面临的全部风险和可能导致投资者投资本金及收益损失的所有因素。</w:t>
      </w:r>
    </w:p>
    <w:p>
      <w:pPr>
        <w:spacing w:line="300" w:lineRule="exact"/>
        <w:ind w:firstLine="480"/>
        <w:rPr>
          <w:rFonts w:ascii="Times New Roman" w:hAnsi="Times New Roman" w:eastAsia="楷体_GB2312" w:cs="Times New Roman"/>
          <w:b/>
          <w:bCs/>
          <w:sz w:val="20"/>
          <w:szCs w:val="20"/>
        </w:rPr>
      </w:pP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理财非存款、产品有风险、投资须谨慎，理财产品过往业绩不代表其未来表现，不等于理财产品实际收益。投资者投资理财产品的，请关注产品各类</w:t>
      </w:r>
      <w:r>
        <w:rPr>
          <w:rFonts w:ascii="Times New Roman" w:hAnsi="Times New Roman" w:eastAsia="楷体_GB2312" w:cs="Times New Roman"/>
          <w:b/>
          <w:bCs/>
          <w:sz w:val="20"/>
          <w:szCs w:val="20"/>
        </w:rPr>
        <w:t>投资对象</w:t>
      </w:r>
      <w:r>
        <w:rPr>
          <w:rFonts w:hint="eastAsia" w:ascii="Times New Roman" w:hAnsi="Times New Roman" w:eastAsia="楷体_GB2312" w:cs="Times New Roman"/>
          <w:b/>
          <w:bCs/>
          <w:sz w:val="20"/>
          <w:szCs w:val="20"/>
        </w:rPr>
        <w:t>的</w:t>
      </w:r>
      <w:r>
        <w:rPr>
          <w:rFonts w:ascii="Times New Roman" w:hAnsi="Times New Roman" w:eastAsia="楷体_GB2312" w:cs="Times New Roman"/>
          <w:b/>
          <w:bCs/>
          <w:sz w:val="20"/>
          <w:szCs w:val="20"/>
        </w:rPr>
        <w:t>投资比例及相应</w:t>
      </w:r>
      <w:r>
        <w:rPr>
          <w:rFonts w:hint="eastAsia" w:ascii="Times New Roman" w:hAnsi="Times New Roman" w:eastAsia="楷体_GB2312" w:cs="Times New Roman"/>
          <w:b/>
          <w:bCs/>
          <w:sz w:val="20"/>
          <w:szCs w:val="20"/>
        </w:rPr>
        <w:t>投资</w:t>
      </w:r>
      <w:r>
        <w:rPr>
          <w:rFonts w:ascii="Times New Roman" w:hAnsi="Times New Roman" w:eastAsia="楷体_GB2312" w:cs="Times New Roman"/>
          <w:b/>
          <w:bCs/>
          <w:sz w:val="20"/>
          <w:szCs w:val="20"/>
        </w:rPr>
        <w:t>风险</w:t>
      </w:r>
      <w:r>
        <w:rPr>
          <w:rFonts w:hint="eastAsia" w:ascii="Times New Roman" w:hAnsi="Times New Roman" w:eastAsia="楷体_GB2312" w:cs="Times New Roman"/>
          <w:b/>
          <w:bCs/>
          <w:sz w:val="20"/>
          <w:szCs w:val="20"/>
        </w:rPr>
        <w:t>，基于所投资的不同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请甲方仔细阅读认购</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申购的理财产品的《信银理财理财产品产品说明书》和《信银理财理财产品风险揭示书》中的相应条款。</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三、投资条款</w:t>
      </w:r>
    </w:p>
    <w:p>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Cs/>
          <w:sz w:val="20"/>
          <w:szCs w:val="20"/>
        </w:rPr>
        <w:t>甲方认购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申购理财产品的具体认购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申购条件、流程、金额、份额、费用以及其他投资条款，由甲方实际认购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申购的理财产品的《信银理财理财产品产品说明书》具体约定。</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四、甲方的权利与义务</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（一）甲方具有完全民事行为能力，有完全适当的资格与能力订立并履行理财产品销售文件，不存在法律、行政法规有关规定禁止或限制投资理财产品的情形（适用于个人投资者）；</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销售文件所需的一切有关批准、许可、备案或者登记。（适用于机构投资者）；</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（二）甲方保证以真实身份投资本理财产品，保证提供给产品管理人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代销机构的信息和资料均真实、准确、完整、合法。如甲方的信息和</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或资料发生变更，应当及时书面告知产品管理人或代销机构；</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（三）甲方声明熟悉理财产品类型特征及不同销售渠道的法律法规规定；</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（四）甲方承诺：如委托他人购买本产品，代理人须出具具有法律效力的授权委托书；</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（五）甲方保证理财投资资金来源和用途合法，保证可向产品管理人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代销机构提供合法筹集的证明文件；</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（六）甲方不得利用理财业务及理财产品销售文件项下理财产品从事违法活动；</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代销机构开展投资者身份识别、交易记录保存、投资者身份及交易背景尽职调查、大额和可疑交易报告等各项反洗钱工作，并按要求提供相关证明材料；</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五、乙方的权利与义务</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（一）乙方具有开办理财业务的经营资质，保证以诚实守信、勤勉尽职的原则管理和运用理财资金；</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（二）乙方具有完全适当的资格和能力订立与履行理财产品合同。</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六、违约责任</w:t>
      </w:r>
    </w:p>
    <w:p>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七、免责内容</w:t>
      </w:r>
    </w:p>
    <w:p>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协议及《信银理财理财产品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r>
        <w:rPr>
          <w:rFonts w:ascii="Times New Roman" w:hAnsi="Times New Roman" w:eastAsia="楷体_GB2312" w:cs="Times New Roman"/>
          <w:b/>
          <w:bCs/>
          <w:sz w:val="20"/>
          <w:szCs w:val="20"/>
        </w:rPr>
        <w:t>。</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八、争议解决</w:t>
      </w:r>
    </w:p>
    <w:p>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sz w:val="20"/>
          <w:szCs w:val="20"/>
        </w:rPr>
        <w:t>（一）本协议及其他理财产品合同适用中华人民共和国法律（为履行理财产品合同之目的，不包括中国香港特别行政区、澳门特别行政区及台湾地区法律）。</w:t>
      </w:r>
    </w:p>
    <w:p>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w:t>
      </w:r>
      <w:r>
        <w:rPr>
          <w:rFonts w:hint="eastAsia" w:ascii="Times New Roman" w:hAnsi="Times New Roman" w:eastAsia="楷体_GB2312" w:cs="Times New Roman"/>
          <w:b/>
          <w:sz w:val="20"/>
          <w:szCs w:val="20"/>
        </w:rPr>
        <w:t>本协议/</w:t>
      </w:r>
      <w:r>
        <w:rPr>
          <w:rFonts w:hint="eastAsia" w:ascii="Times New Roman" w:hAnsi="Times New Roman" w:eastAsia="楷体_GB2312" w:cs="Times New Roman"/>
          <w:b/>
          <w:bCs/>
          <w:sz w:val="20"/>
          <w:szCs w:val="20"/>
        </w:rPr>
        <w:t>理财产品合同引起的或与本协议/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（三）在协商或仲裁期间，对于本协议/理财产品合同部涉及争议部分的条款，双方仍须履行。</w:t>
      </w:r>
    </w:p>
    <w:p>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九、附则</w:t>
      </w:r>
    </w:p>
    <w:p>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（三）如果由于任何原因使本协议下的任何条款或者内容成为无效或者依法被撤销，本协议其他条款或内容的合法性，有效性和可执行性不受影响。</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个人投资者（签字）</w:t>
      </w:r>
      <w:r>
        <w:rPr>
          <w:rFonts w:ascii="Times New Roman" w:hAnsi="Times New Roman" w:eastAsia="楷体_GB2312" w:cs="Times New Roman"/>
          <w:sz w:val="20"/>
          <w:szCs w:val="20"/>
        </w:rPr>
        <w:t xml:space="preserve">: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机构投资者（公章）</w:t>
      </w:r>
      <w:r>
        <w:rPr>
          <w:rFonts w:ascii="Times New Roman" w:hAnsi="Times New Roman" w:eastAsia="楷体_GB2312" w:cs="Times New Roman"/>
          <w:sz w:val="20"/>
          <w:szCs w:val="20"/>
        </w:rPr>
        <w:t xml:space="preserve">:               </w:t>
      </w:r>
    </w:p>
    <w:p>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法定代表人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负责人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授权代表（签字</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盖章）：</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证件类别（个人投资者）：</w:t>
      </w:r>
      <w:r>
        <w:rPr>
          <w:rFonts w:ascii="Times New Roman" w:hAnsi="Times New Roman" w:eastAsia="楷体_GB2312" w:cs="Times New Roman"/>
          <w:sz w:val="20"/>
          <w:szCs w:val="20"/>
        </w:rPr>
        <w:t xml:space="preserve">             </w:t>
      </w:r>
    </w:p>
    <w:p>
      <w:pPr>
        <w:spacing w:line="300" w:lineRule="exact"/>
        <w:ind w:firstLine="600" w:firstLineChars="300"/>
        <w:rPr>
          <w:rFonts w:ascii="Times New Roman" w:hAnsi="Times New Roman" w:eastAsia="楷体_GB2312" w:cs="Times New Roman"/>
          <w:sz w:val="20"/>
          <w:szCs w:val="20"/>
        </w:rPr>
      </w:pPr>
    </w:p>
    <w:p>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证件号（个人投资者）：</w:t>
      </w:r>
      <w:r>
        <w:rPr>
          <w:rFonts w:ascii="Times New Roman" w:hAnsi="Times New Roman" w:eastAsia="楷体_GB2312" w:cs="Times New Roman"/>
          <w:sz w:val="20"/>
          <w:szCs w:val="20"/>
        </w:rPr>
        <w:t xml:space="preserve">                </w:t>
      </w:r>
    </w:p>
    <w:p>
      <w:pPr>
        <w:spacing w:line="300" w:lineRule="exact"/>
        <w:ind w:firstLine="600" w:firstLineChars="300"/>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firstLine="5220" w:firstLineChars="2900"/>
    </w:pP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00000000"/>
    <w:rsid w:val="03320A10"/>
    <w:rsid w:val="06D04B4B"/>
    <w:rsid w:val="15091574"/>
    <w:rsid w:val="156043C8"/>
    <w:rsid w:val="2AE7504E"/>
    <w:rsid w:val="2E3D5A6C"/>
    <w:rsid w:val="31836411"/>
    <w:rsid w:val="44536ACD"/>
    <w:rsid w:val="4B121D1F"/>
    <w:rsid w:val="4BCD7609"/>
    <w:rsid w:val="4E6C16D8"/>
    <w:rsid w:val="51C65E5E"/>
    <w:rsid w:val="7083138B"/>
    <w:rsid w:val="79635189"/>
    <w:rsid w:val="7BCC014F"/>
    <w:rsid w:val="7C0E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2023-06-02T05:12:00Z</dcterms:created>
  <dc:creator>lenovo</dc:creator>
  <cp:lastModifiedBy>Jean</cp:lastModifiedBy>
  <dcterms:modified xsi:type="dcterms:W3CDTF">2024-10-10T12:40:49Z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1691D5FBC27642AD8F17842242A3899D_12</vt:lpwstr>
  </property>
</Properties>
</file>