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BEC0A7">
      <w:pPr>
        <w:adjustRightInd w:val="0"/>
        <w:spacing w:line="276" w:lineRule="auto"/>
        <w:jc w:val="center"/>
        <w:rPr>
          <w:rStyle w:val="11"/>
          <w:rFonts w:ascii="黑体" w:hAnsi="黑体" w:eastAsia="黑体"/>
          <w:sz w:val="28"/>
          <w:szCs w:val="28"/>
        </w:rPr>
      </w:pPr>
      <w:r>
        <w:rPr>
          <w:rStyle w:val="11"/>
          <w:rFonts w:hint="eastAsia" w:ascii="黑体" w:hAnsi="黑体" w:eastAsia="黑体"/>
          <w:sz w:val="28"/>
          <w:szCs w:val="28"/>
        </w:rPr>
        <w:t>兴银理财</w:t>
      </w:r>
      <w:permStart w:id="0" w:edGrp="everyone"/>
      <w:r>
        <w:rPr>
          <w:rStyle w:val="11"/>
          <w:rFonts w:hint="eastAsia" w:ascii="黑体" w:hAnsi="黑体" w:eastAsia="黑体"/>
          <w:sz w:val="28"/>
          <w:szCs w:val="28"/>
        </w:rPr>
        <w:t>【稳利恒盈封闭式固收类】</w:t>
      </w:r>
      <w:permEnd w:id="0"/>
      <w:r>
        <w:rPr>
          <w:rStyle w:val="11"/>
          <w:rFonts w:hint="eastAsia" w:ascii="黑体" w:hAnsi="黑体" w:eastAsia="黑体"/>
          <w:sz w:val="28"/>
          <w:szCs w:val="28"/>
        </w:rPr>
        <w:t>理财产品</w:t>
      </w:r>
    </w:p>
    <w:p w14:paraId="772633E0">
      <w:pPr>
        <w:adjustRightInd w:val="0"/>
        <w:spacing w:line="276" w:lineRule="auto"/>
        <w:jc w:val="center"/>
        <w:rPr>
          <w:rStyle w:val="11"/>
          <w:rFonts w:ascii="黑体" w:hAnsi="黑体" w:eastAsia="黑体"/>
          <w:sz w:val="28"/>
          <w:szCs w:val="28"/>
        </w:rPr>
      </w:pPr>
      <w:r>
        <w:rPr>
          <w:rStyle w:val="11"/>
          <w:rFonts w:hint="eastAsia" w:ascii="黑体" w:hAnsi="黑体" w:eastAsia="黑体"/>
          <w:sz w:val="28"/>
          <w:szCs w:val="28"/>
        </w:rPr>
        <w:t>投资者权益须知</w:t>
      </w:r>
    </w:p>
    <w:p w14:paraId="6571896A">
      <w:pPr>
        <w:pStyle w:val="15"/>
        <w:jc w:val="center"/>
        <w:rPr>
          <w:rFonts w:hAnsi="宋体"/>
          <w:b/>
          <w:color w:val="auto"/>
          <w:sz w:val="28"/>
          <w:szCs w:val="28"/>
        </w:rPr>
      </w:pPr>
      <w:r>
        <w:rPr>
          <w:rFonts w:hint="eastAsia" w:hAnsi="宋体"/>
          <w:b/>
          <w:color w:val="auto"/>
          <w:sz w:val="28"/>
          <w:szCs w:val="28"/>
        </w:rPr>
        <w:t>（适用于个人投资者）</w:t>
      </w:r>
    </w:p>
    <w:p w14:paraId="6499A1D4">
      <w:pPr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尊敬的投资者：</w:t>
      </w:r>
    </w:p>
    <w:p w14:paraId="4B964F95">
      <w:pPr>
        <w:spacing w:line="320" w:lineRule="exact"/>
        <w:ind w:firstLine="360" w:firstLineChars="200"/>
        <w:jc w:val="lef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感谢您通过销售机构</w:t>
      </w:r>
      <w:permStart w:id="1" w:edGrp="everyone"/>
      <w:r>
        <w:rPr>
          <w:rFonts w:hint="eastAsia" w:ascii="宋体" w:hAnsi="宋体"/>
          <w:sz w:val="18"/>
          <w:szCs w:val="18"/>
          <w:lang w:eastAsia="zh-CN"/>
        </w:rPr>
        <w:t>【】</w:t>
      </w:r>
      <w:permEnd w:id="1"/>
      <w:r>
        <w:rPr>
          <w:rFonts w:hint="eastAsia" w:ascii="宋体" w:hAnsi="宋体"/>
          <w:sz w:val="18"/>
          <w:szCs w:val="18"/>
        </w:rPr>
        <w:t>以(</w:t>
      </w:r>
      <w:permStart w:id="2" w:edGrp="everyone"/>
      <w:r>
        <w:rPr>
          <w:rFonts w:hint="eastAsia" w:ascii="宋体" w:hAnsi="宋体"/>
          <w:sz w:val="18"/>
          <w:szCs w:val="18"/>
        </w:rPr>
        <w:t>□ 直销：产品管理人销售/</w:t>
      </w:r>
      <w:r>
        <w:rPr>
          <w:rFonts w:hint="eastAsia" w:asciiTheme="majorEastAsia" w:hAnsiTheme="majorEastAsia" w:eastAsiaTheme="majorEastAsia"/>
          <w:bCs/>
          <w:sz w:val="18"/>
          <w:szCs w:val="18"/>
        </w:rPr>
        <w:t>■</w:t>
      </w:r>
      <w:r>
        <w:rPr>
          <w:rFonts w:hint="eastAsia" w:ascii="宋体" w:hAnsi="宋体"/>
          <w:sz w:val="18"/>
          <w:szCs w:val="18"/>
        </w:rPr>
        <w:t xml:space="preserve"> 代销：代理销售机构销售</w:t>
      </w:r>
      <w:permEnd w:id="2"/>
      <w:r>
        <w:rPr>
          <w:rFonts w:hint="eastAsia" w:ascii="宋体" w:hAnsi="宋体"/>
          <w:sz w:val="18"/>
          <w:szCs w:val="18"/>
        </w:rPr>
        <w:t>)的形式购买兴银理财有限责任公司（以下简称“兴银理财”）作为产品管理人管理的理财产品。</w:t>
      </w:r>
    </w:p>
    <w:p w14:paraId="3755FB28">
      <w:pPr>
        <w:spacing w:line="320" w:lineRule="exact"/>
        <w:ind w:firstLine="360" w:firstLineChars="200"/>
        <w:jc w:val="lef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请仔细阅读本《投资者权益须知》，行使您在本业务项下的权益。</w:t>
      </w:r>
      <w:r>
        <w:rPr>
          <w:rFonts w:ascii="宋体" w:hAnsi="宋体"/>
          <w:sz w:val="18"/>
          <w:szCs w:val="18"/>
        </w:rPr>
        <w:t xml:space="preserve"> </w:t>
      </w:r>
    </w:p>
    <w:p w14:paraId="1290AB9F">
      <w:pPr>
        <w:ind w:firstLine="360" w:firstLineChars="200"/>
        <w:rPr>
          <w:rFonts w:ascii="宋体" w:hAnsi="宋体"/>
          <w:sz w:val="18"/>
          <w:szCs w:val="18"/>
        </w:rPr>
      </w:pPr>
    </w:p>
    <w:p w14:paraId="5212075F">
      <w:pPr>
        <w:ind w:firstLine="360" w:firstLineChars="20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一、理财产品购买流程</w:t>
      </w:r>
    </w:p>
    <w:p w14:paraId="1D98C705"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（一）</w:t>
      </w:r>
      <w:r>
        <w:rPr>
          <w:rFonts w:ascii="宋体" w:hAnsi="宋体"/>
          <w:sz w:val="18"/>
          <w:szCs w:val="18"/>
        </w:rPr>
        <w:t>开立或持有</w:t>
      </w:r>
      <w:r>
        <w:rPr>
          <w:rFonts w:hint="eastAsia" w:ascii="宋体" w:hAnsi="宋体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账户，该账户用于本产品的理财资金划转及</w:t>
      </w:r>
      <w:r>
        <w:rPr>
          <w:rFonts w:hint="eastAsia" w:ascii="宋体" w:hAnsi="宋体"/>
          <w:sz w:val="18"/>
          <w:szCs w:val="18"/>
        </w:rPr>
        <w:t>分配</w:t>
      </w:r>
      <w:r>
        <w:rPr>
          <w:rFonts w:ascii="宋体" w:hAnsi="宋体"/>
          <w:sz w:val="18"/>
          <w:szCs w:val="18"/>
        </w:rPr>
        <w:t>，您应确保持有本产品期间所指定账户不做销户。</w:t>
      </w:r>
    </w:p>
    <w:p w14:paraId="09905AF9"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（二）</w:t>
      </w:r>
      <w:r>
        <w:rPr>
          <w:rFonts w:ascii="宋体" w:hAnsi="宋体"/>
          <w:sz w:val="18"/>
          <w:szCs w:val="18"/>
        </w:rPr>
        <w:t>接受并完成</w:t>
      </w:r>
      <w:r>
        <w:rPr>
          <w:rFonts w:hint="eastAsia" w:ascii="宋体" w:hAnsi="宋体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对您的风险承受能力评估，并根据风险评估结果选择适合的产品。</w:t>
      </w:r>
      <w:r>
        <w:rPr>
          <w:rFonts w:hint="eastAsia" w:ascii="宋体" w:hAnsi="宋体"/>
          <w:sz w:val="18"/>
          <w:szCs w:val="18"/>
        </w:rPr>
        <w:t>若销售机构对您风险承受能力评估事宜另有安排的，以销售机构政策为准。</w:t>
      </w:r>
    </w:p>
    <w:p w14:paraId="2977A836"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（三）</w:t>
      </w:r>
      <w:r>
        <w:rPr>
          <w:rFonts w:ascii="宋体" w:hAnsi="宋体"/>
          <w:sz w:val="18"/>
          <w:szCs w:val="18"/>
        </w:rPr>
        <w:t>请仔细阅读《</w:t>
      </w:r>
      <w:r>
        <w:rPr>
          <w:rFonts w:hint="eastAsia" w:ascii="宋体" w:hAnsi="宋体"/>
          <w:sz w:val="18"/>
          <w:szCs w:val="18"/>
        </w:rPr>
        <w:t>投资</w:t>
      </w:r>
      <w:r>
        <w:rPr>
          <w:rFonts w:ascii="宋体" w:hAnsi="宋体"/>
          <w:sz w:val="18"/>
          <w:szCs w:val="18"/>
        </w:rPr>
        <w:t>协议书》《产品说明书》《</w:t>
      </w:r>
      <w:r>
        <w:rPr>
          <w:rFonts w:hint="eastAsia" w:ascii="宋体" w:hAnsi="宋体"/>
          <w:sz w:val="18"/>
          <w:szCs w:val="18"/>
        </w:rPr>
        <w:t>（代理）销售</w:t>
      </w:r>
      <w:r>
        <w:rPr>
          <w:rFonts w:ascii="宋体" w:hAnsi="宋体"/>
          <w:sz w:val="18"/>
          <w:szCs w:val="18"/>
        </w:rPr>
        <w:t>协议书</w:t>
      </w:r>
      <w:r>
        <w:rPr>
          <w:rFonts w:hint="eastAsia" w:ascii="宋体" w:hAnsi="宋体"/>
          <w:sz w:val="18"/>
          <w:szCs w:val="18"/>
        </w:rPr>
        <w:t>》《</w:t>
      </w:r>
      <w:r>
        <w:rPr>
          <w:rFonts w:ascii="宋体" w:hAnsi="宋体"/>
          <w:sz w:val="18"/>
          <w:szCs w:val="18"/>
        </w:rPr>
        <w:t>风险揭示书》《投资者权益须知》以及其他有关文件（如有），确认已同意相关内容、充分了解相关风险并无疑问和异议后，签署相关销售文件，并办理购买手续。</w:t>
      </w:r>
    </w:p>
    <w:p w14:paraId="5D04FA09"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四）销售机构营业网点或电子银行（包括但不限于网上银行、电话银行和手机银行）均可办理理财产品的购买手续，具体以代销机构情况为准。若产品管理人根据产品风险等级和市场情况确定发售渠道的，代销机构将按产品管理人要求执行。</w:t>
      </w:r>
    </w:p>
    <w:p w14:paraId="2F435D85">
      <w:pPr>
        <w:ind w:firstLine="360" w:firstLineChars="20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二、投资者风险承受能力与产品风险评级</w:t>
      </w:r>
    </w:p>
    <w:p w14:paraId="212A25C5">
      <w:pPr>
        <w:ind w:firstLine="360" w:firstLineChars="20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（一）投资者风险承受能力评估说明</w:t>
      </w:r>
    </w:p>
    <w:p w14:paraId="64A8568A"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1</w:t>
      </w:r>
      <w:r>
        <w:rPr>
          <w:rFonts w:hint="eastAsia" w:ascii="宋体" w:hAnsi="宋体"/>
          <w:sz w:val="18"/>
          <w:szCs w:val="18"/>
        </w:rPr>
        <w:t>.</w:t>
      </w:r>
      <w:r>
        <w:rPr>
          <w:rFonts w:ascii="宋体" w:hAnsi="宋体"/>
          <w:sz w:val="18"/>
          <w:szCs w:val="18"/>
        </w:rPr>
        <w:t xml:space="preserve"> </w:t>
      </w:r>
      <w:r>
        <w:rPr>
          <w:rFonts w:hint="eastAsia" w:ascii="宋体" w:hAnsi="宋体"/>
          <w:sz w:val="18"/>
          <w:szCs w:val="18"/>
        </w:rPr>
        <w:t>您购买理财产品前，应确保已完成风险承受能力评估且风险评估结果在有效期内，理财销售管理系统会记录投资者身份信息及风险评估结果信息。该评估结果有效期一年，并将作为评价您是否适合购买理财产品的重要因素。您可以通过销售机构</w:t>
      </w:r>
      <w:r>
        <w:rPr>
          <w:rFonts w:ascii="宋体" w:hAnsi="宋体"/>
          <w:sz w:val="18"/>
          <w:szCs w:val="18"/>
        </w:rPr>
        <w:t>线下渠道</w:t>
      </w:r>
      <w:r>
        <w:rPr>
          <w:rFonts w:hint="eastAsia" w:ascii="宋体" w:hAnsi="宋体"/>
          <w:sz w:val="18"/>
          <w:szCs w:val="18"/>
        </w:rPr>
        <w:t>或</w:t>
      </w:r>
      <w:r>
        <w:rPr>
          <w:rFonts w:ascii="宋体" w:hAnsi="宋体"/>
          <w:sz w:val="18"/>
          <w:szCs w:val="18"/>
        </w:rPr>
        <w:t>线上渠道</w:t>
      </w:r>
      <w:r>
        <w:rPr>
          <w:rFonts w:hint="eastAsia" w:ascii="宋体" w:hAnsi="宋体"/>
          <w:sz w:val="18"/>
          <w:szCs w:val="18"/>
        </w:rPr>
        <w:t>进行风险承受能力持续评估。</w:t>
      </w:r>
      <w:r>
        <w:rPr>
          <w:rFonts w:hint="eastAsia" w:ascii="黑体" w:hAnsi="黑体" w:eastAsia="黑体"/>
          <w:sz w:val="18"/>
          <w:szCs w:val="18"/>
        </w:rPr>
        <w:t>如影响您风险承受能力的因素发生变化，请您及时重新完成风险承受能力评估。</w:t>
      </w:r>
    </w:p>
    <w:p w14:paraId="5F5317A6"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2</w:t>
      </w:r>
      <w:r>
        <w:rPr>
          <w:rFonts w:hint="eastAsia" w:ascii="宋体" w:hAnsi="宋体"/>
          <w:sz w:val="18"/>
          <w:szCs w:val="18"/>
        </w:rPr>
        <w:t xml:space="preserve">. </w:t>
      </w:r>
      <w:r>
        <w:rPr>
          <w:rFonts w:hint="eastAsia" w:ascii="宋体" w:hAnsi="宋体"/>
          <w:b/>
          <w:sz w:val="18"/>
          <w:szCs w:val="18"/>
        </w:rPr>
        <w:t>投资者风险承受能力评级与理财产品风险评级</w:t>
      </w:r>
    </w:p>
    <w:p w14:paraId="242D3E7D"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根据</w:t>
      </w:r>
      <w:r>
        <w:rPr>
          <w:rFonts w:hint="eastAsia" w:ascii="宋体" w:hAnsi="宋体"/>
          <w:sz w:val="18"/>
          <w:szCs w:val="18"/>
        </w:rPr>
        <w:t>投资者风险承受能力，个人投资者由低至高分为</w:t>
      </w:r>
      <w:permStart w:id="3" w:edGrp="everyone"/>
      <w:r>
        <w:rPr>
          <w:rFonts w:hint="eastAsia" w:ascii="宋体" w:hAnsi="宋体"/>
          <w:sz w:val="18"/>
          <w:szCs w:val="18"/>
        </w:rPr>
        <w:t>【</w:t>
      </w:r>
      <w:r>
        <w:rPr>
          <w:rFonts w:hint="eastAsia" w:asciiTheme="majorEastAsia" w:hAnsiTheme="majorEastAsia" w:eastAsiaTheme="majorEastAsia"/>
          <w:bCs/>
          <w:sz w:val="18"/>
          <w:szCs w:val="18"/>
        </w:rPr>
        <w:t>□</w:t>
      </w:r>
      <w:r>
        <w:rPr>
          <w:rFonts w:asciiTheme="majorEastAsia" w:hAnsiTheme="majorEastAsia" w:eastAsiaTheme="majorEastAsia"/>
          <w:bCs/>
          <w:sz w:val="18"/>
          <w:szCs w:val="18"/>
        </w:rPr>
        <w:t xml:space="preserve"> C1、</w:t>
      </w:r>
      <w:r>
        <w:rPr>
          <w:rFonts w:hint="eastAsia" w:asciiTheme="majorEastAsia" w:hAnsiTheme="majorEastAsia" w:eastAsiaTheme="majorEastAsia"/>
          <w:bCs/>
          <w:sz w:val="18"/>
          <w:szCs w:val="18"/>
        </w:rPr>
        <w:t>□</w:t>
      </w:r>
      <w:r>
        <w:rPr>
          <w:rFonts w:asciiTheme="majorEastAsia" w:hAnsiTheme="majorEastAsia" w:eastAsiaTheme="majorEastAsia"/>
          <w:bCs/>
          <w:sz w:val="18"/>
          <w:szCs w:val="18"/>
        </w:rPr>
        <w:t>C2、</w:t>
      </w:r>
      <w:r>
        <w:rPr>
          <w:rFonts w:hint="eastAsia" w:asciiTheme="majorEastAsia" w:hAnsiTheme="majorEastAsia" w:eastAsiaTheme="majorEastAsia"/>
          <w:bCs/>
          <w:sz w:val="18"/>
          <w:szCs w:val="18"/>
        </w:rPr>
        <w:t>□</w:t>
      </w:r>
      <w:r>
        <w:rPr>
          <w:rFonts w:asciiTheme="majorEastAsia" w:hAnsiTheme="majorEastAsia" w:eastAsiaTheme="majorEastAsia"/>
          <w:bCs/>
          <w:sz w:val="18"/>
          <w:szCs w:val="18"/>
        </w:rPr>
        <w:t xml:space="preserve"> C3、</w:t>
      </w:r>
      <w:r>
        <w:rPr>
          <w:rFonts w:hint="eastAsia" w:asciiTheme="majorEastAsia" w:hAnsiTheme="majorEastAsia" w:eastAsiaTheme="majorEastAsia"/>
          <w:bCs/>
          <w:sz w:val="18"/>
          <w:szCs w:val="18"/>
        </w:rPr>
        <w:t>□</w:t>
      </w:r>
      <w:r>
        <w:rPr>
          <w:rFonts w:asciiTheme="majorEastAsia" w:hAnsiTheme="majorEastAsia" w:eastAsiaTheme="majorEastAsia"/>
          <w:bCs/>
          <w:sz w:val="18"/>
          <w:szCs w:val="18"/>
        </w:rPr>
        <w:t xml:space="preserve"> C4、</w:t>
      </w:r>
      <w:r>
        <w:rPr>
          <w:rFonts w:hint="eastAsia" w:asciiTheme="majorEastAsia" w:hAnsiTheme="majorEastAsia" w:eastAsiaTheme="majorEastAsia"/>
          <w:bCs/>
          <w:sz w:val="18"/>
          <w:szCs w:val="18"/>
        </w:rPr>
        <w:t>□</w:t>
      </w:r>
      <w:r>
        <w:rPr>
          <w:rFonts w:asciiTheme="majorEastAsia" w:hAnsiTheme="majorEastAsia" w:eastAsiaTheme="majorEastAsia"/>
          <w:bCs/>
          <w:sz w:val="18"/>
          <w:szCs w:val="18"/>
        </w:rPr>
        <w:t xml:space="preserve"> C5</w:t>
      </w:r>
      <w:r>
        <w:rPr>
          <w:rFonts w:hint="eastAsia" w:asciiTheme="majorEastAsia" w:hAnsiTheme="majorEastAsia" w:eastAsiaTheme="majorEastAsia"/>
          <w:bCs/>
          <w:sz w:val="18"/>
          <w:szCs w:val="18"/>
        </w:rPr>
        <w:t>、□</w:t>
      </w:r>
      <w:r>
        <w:rPr>
          <w:rFonts w:asciiTheme="majorEastAsia" w:hAnsiTheme="majorEastAsia" w:eastAsiaTheme="majorEastAsia"/>
          <w:bCs/>
          <w:sz w:val="18"/>
          <w:szCs w:val="18"/>
        </w:rPr>
        <w:t xml:space="preserve"> C</w:t>
      </w:r>
      <w:r>
        <w:rPr>
          <w:rFonts w:hint="eastAsia" w:asciiTheme="majorEastAsia" w:hAnsiTheme="majorEastAsia" w:eastAsiaTheme="majorEastAsia"/>
          <w:bCs/>
          <w:sz w:val="18"/>
          <w:szCs w:val="18"/>
        </w:rPr>
        <w:t>6</w:t>
      </w:r>
      <w:r>
        <w:rPr>
          <w:rFonts w:hint="eastAsia" w:ascii="宋体" w:hAnsi="宋体"/>
          <w:sz w:val="18"/>
          <w:szCs w:val="18"/>
        </w:rPr>
        <w:t>】</w:t>
      </w:r>
      <w:permEnd w:id="3"/>
      <w:r>
        <w:rPr>
          <w:rFonts w:ascii="宋体" w:hAnsi="宋体"/>
          <w:sz w:val="18"/>
          <w:szCs w:val="18"/>
        </w:rPr>
        <w:t>。其中，</w:t>
      </w:r>
      <w:permStart w:id="4" w:edGrp="everyone"/>
      <w:r>
        <w:rPr>
          <w:rFonts w:hint="eastAsia" w:ascii="宋体" w:hAnsi="宋体"/>
          <w:sz w:val="18"/>
          <w:szCs w:val="18"/>
        </w:rPr>
        <w:t>【C</w:t>
      </w:r>
      <w:r>
        <w:rPr>
          <w:rFonts w:ascii="宋体" w:hAnsi="宋体"/>
          <w:sz w:val="18"/>
          <w:szCs w:val="18"/>
        </w:rPr>
        <w:t>1</w:t>
      </w:r>
      <w:r>
        <w:rPr>
          <w:rFonts w:hint="eastAsia" w:ascii="宋体" w:hAnsi="宋体"/>
          <w:sz w:val="18"/>
          <w:szCs w:val="18"/>
        </w:rPr>
        <w:t>】</w:t>
      </w:r>
      <w:permEnd w:id="4"/>
      <w:r>
        <w:rPr>
          <w:rFonts w:ascii="宋体" w:hAnsi="宋体"/>
          <w:sz w:val="18"/>
          <w:szCs w:val="18"/>
        </w:rPr>
        <w:t>为风险承受能力最低类别，</w:t>
      </w:r>
      <w:permStart w:id="5" w:edGrp="everyone"/>
      <w:r>
        <w:rPr>
          <w:rFonts w:hint="eastAsia" w:ascii="宋体" w:hAnsi="宋体"/>
          <w:sz w:val="18"/>
          <w:szCs w:val="18"/>
        </w:rPr>
        <w:t>【C</w:t>
      </w:r>
      <w:r>
        <w:rPr>
          <w:rFonts w:ascii="宋体" w:hAnsi="宋体"/>
          <w:sz w:val="18"/>
          <w:szCs w:val="18"/>
        </w:rPr>
        <w:t>6</w:t>
      </w:r>
      <w:r>
        <w:rPr>
          <w:rFonts w:hint="eastAsia" w:ascii="宋体" w:hAnsi="宋体"/>
          <w:sz w:val="18"/>
          <w:szCs w:val="18"/>
        </w:rPr>
        <w:t>】</w:t>
      </w:r>
      <w:permEnd w:id="5"/>
      <w:r>
        <w:rPr>
          <w:rFonts w:ascii="宋体" w:hAnsi="宋体"/>
          <w:sz w:val="18"/>
          <w:szCs w:val="18"/>
        </w:rPr>
        <w:t>为风险承受能力最高类别。</w:t>
      </w:r>
      <w:r>
        <w:rPr>
          <w:rFonts w:hint="eastAsia" w:ascii="宋体" w:hAnsi="宋体"/>
          <w:sz w:val="18"/>
          <w:szCs w:val="18"/>
        </w:rPr>
        <w:t>投资者根据其风险承受能力评级购买对应的理财产品。</w:t>
      </w:r>
      <w:r>
        <w:rPr>
          <w:rFonts w:ascii="宋体" w:hAnsi="宋体"/>
          <w:sz w:val="18"/>
          <w:szCs w:val="18"/>
        </w:rPr>
        <w:t>投资者风险承受能力评级类型与适合购买的理财产品的对应关系为：</w:t>
      </w:r>
    </w:p>
    <w:tbl>
      <w:tblPr>
        <w:tblStyle w:val="9"/>
        <w:tblW w:w="848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4821"/>
        <w:gridCol w:w="2845"/>
      </w:tblGrid>
      <w:tr w14:paraId="1BCE27D1">
        <w:trPr>
          <w:trHeight w:val="461" w:hRule="atLeast"/>
          <w:jc w:val="center"/>
        </w:trPr>
        <w:tc>
          <w:tcPr>
            <w:tcW w:w="5617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 w14:paraId="63B7F0B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理财产品风险评级及风险评级说明</w:t>
            </w:r>
          </w:p>
        </w:tc>
        <w:tc>
          <w:tcPr>
            <w:tcW w:w="2865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 w14:paraId="55729B5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对应的投资者风险承受能力评级</w:t>
            </w:r>
          </w:p>
        </w:tc>
      </w:tr>
      <w:tr w14:paraId="35DD1318">
        <w:trPr>
          <w:trHeight w:val="289" w:hRule="atLeast"/>
          <w:jc w:val="center"/>
        </w:trPr>
        <w:tc>
          <w:tcPr>
            <w:tcW w:w="75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092F9CE7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permStart w:id="6" w:edGrp="everyone"/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安逸型（R1）</w:t>
            </w:r>
          </w:p>
        </w:tc>
        <w:tc>
          <w:tcPr>
            <w:tcW w:w="486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29691EFA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本金风险低，产品投资目标不能实现的概率较低；或投资范围仅限于货币市场工具等风险极低的短期金融资产。</w:t>
            </w:r>
          </w:p>
        </w:tc>
        <w:tc>
          <w:tcPr>
            <w:tcW w:w="28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5B434A88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安逸型（C1）及以上</w:t>
            </w:r>
          </w:p>
        </w:tc>
      </w:tr>
      <w:tr w14:paraId="2DA8C1ED">
        <w:trPr>
          <w:trHeight w:val="289" w:hRule="atLeast"/>
          <w:jc w:val="center"/>
        </w:trPr>
        <w:tc>
          <w:tcPr>
            <w:tcW w:w="75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26F7880C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谨慎型（R2）</w:t>
            </w:r>
          </w:p>
        </w:tc>
        <w:tc>
          <w:tcPr>
            <w:tcW w:w="486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28808312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本金风险相对较小，收益浮动但相对较小。产品结构简单，过往业绩及净值的历史波动率低；投资标的流动性很好或为较高等级的信用主体；或者衍生品及杠杆交易对净值波动极小；估值政策清晰。</w:t>
            </w:r>
          </w:p>
        </w:tc>
        <w:tc>
          <w:tcPr>
            <w:tcW w:w="28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6A273700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谨慎型（C2）及以上</w:t>
            </w:r>
          </w:p>
        </w:tc>
      </w:tr>
      <w:tr w14:paraId="234590E8">
        <w:trPr>
          <w:trHeight w:val="289" w:hRule="atLeast"/>
          <w:jc w:val="center"/>
        </w:trPr>
        <w:tc>
          <w:tcPr>
            <w:tcW w:w="75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7BC27DB1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稳健型（R3）</w:t>
            </w:r>
          </w:p>
        </w:tc>
        <w:tc>
          <w:tcPr>
            <w:tcW w:w="486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0AB0A615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产品有一定的本金风险，收益浮动且有一定波动。产品结构简单，过往业绩及净值的历史波动率较低；投资标的流动性好或为中等及以上的信用主体；或者投资衍生品以套期保值为目的，衍生品及杠杆交易对净值波动较小；估值政策清晰。</w:t>
            </w:r>
          </w:p>
        </w:tc>
        <w:tc>
          <w:tcPr>
            <w:tcW w:w="28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45983E8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稳健型（C3）及以上</w:t>
            </w:r>
          </w:p>
        </w:tc>
      </w:tr>
      <w:tr w14:paraId="04A94BC6">
        <w:trPr>
          <w:trHeight w:val="289" w:hRule="atLeast"/>
          <w:jc w:val="center"/>
        </w:trPr>
        <w:tc>
          <w:tcPr>
            <w:tcW w:w="75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FDBAF6F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增长型（R4）</w:t>
            </w:r>
          </w:p>
        </w:tc>
        <w:tc>
          <w:tcPr>
            <w:tcW w:w="486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1D79130C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产品本金风险较大。产品主要投资于流动性较好的投资标的，产品结构简单，但收益浮动且波动很大，过往业绩及净值的历史波动率较高；或者投资标的流动性较差或为中等以下的信用主体，但产品结构简单，且不投资于衍生品及杠杆交易；估值政策简单；或者投资衍生品以套期保值为目的，衍生品及杠杆交易对净值波动较大，估值政策较清晰。</w:t>
            </w:r>
          </w:p>
        </w:tc>
        <w:tc>
          <w:tcPr>
            <w:tcW w:w="28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1C085284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增长型（C4）及以上</w:t>
            </w:r>
          </w:p>
        </w:tc>
      </w:tr>
      <w:tr w14:paraId="0F634F3D">
        <w:trPr>
          <w:trHeight w:val="289" w:hRule="atLeast"/>
          <w:jc w:val="center"/>
        </w:trPr>
        <w:tc>
          <w:tcPr>
            <w:tcW w:w="75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282C8219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进取型（R5）</w:t>
            </w:r>
          </w:p>
        </w:tc>
        <w:tc>
          <w:tcPr>
            <w:tcW w:w="486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106FF1F8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产品本金风险很大，收益浮动且波动很大。产品结构较复杂，过往业绩及净值的历史波动率高；或者投资标的流动性较差或为低等级的信用主体，期限较长；或者投资衍生品以追求收益为目的，衍生品及杠杆交易对净值波动很大；估值政策较复杂。投资者要作出谨慎的产品选择，积极的关注相关风险。</w:t>
            </w:r>
          </w:p>
        </w:tc>
        <w:tc>
          <w:tcPr>
            <w:tcW w:w="28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CF00CDE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进取型（C5）及以上</w:t>
            </w:r>
          </w:p>
        </w:tc>
      </w:tr>
      <w:tr w14:paraId="27A3887A">
        <w:trPr>
          <w:trHeight w:val="289" w:hRule="atLeast"/>
          <w:jc w:val="center"/>
        </w:trPr>
        <w:tc>
          <w:tcPr>
            <w:tcW w:w="75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01B67CFB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激进型（R6）</w:t>
            </w:r>
          </w:p>
        </w:tc>
        <w:tc>
          <w:tcPr>
            <w:tcW w:w="486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2A47F82D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产品本金风险极大，收益浮动且波动极大。产品结构复杂，过往业绩及净值的历史波动率很高；或者投资标的流动性很差或为极低等级的信用主体，期限很长；或者投资衍生品以追求收益为目的，衍生品及杠杆交易对净值波动极大；估值政策非常复杂。投资者需要非常谨慎的产品选择、十分积极的关注相关风险。</w:t>
            </w:r>
          </w:p>
        </w:tc>
        <w:tc>
          <w:tcPr>
            <w:tcW w:w="28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620F911D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激进型（C6） </w:t>
            </w:r>
          </w:p>
        </w:tc>
      </w:tr>
      <w:permEnd w:id="6"/>
    </w:tbl>
    <w:p w14:paraId="6C5E1D67">
      <w:pPr>
        <w:ind w:firstLine="360" w:firstLineChars="200"/>
        <w:rPr>
          <w:rFonts w:ascii="黑体" w:hAnsi="黑体" w:eastAsia="黑体"/>
          <w:sz w:val="18"/>
          <w:szCs w:val="18"/>
        </w:rPr>
      </w:pPr>
      <w:r>
        <w:rPr>
          <w:rFonts w:hint="eastAsia" w:ascii="黑体" w:hAnsi="黑体" w:eastAsia="黑体" w:cs="仿宋_GB2312"/>
          <w:bCs/>
          <w:kern w:val="0"/>
          <w:sz w:val="18"/>
          <w:szCs w:val="18"/>
        </w:rPr>
        <w:t>★</w:t>
      </w:r>
      <w:r>
        <w:rPr>
          <w:rFonts w:hint="eastAsia" w:ascii="黑体" w:hAnsi="黑体" w:eastAsia="黑体"/>
          <w:sz w:val="18"/>
          <w:szCs w:val="18"/>
        </w:rPr>
        <w:t>（二）针对“理财产品风险评级”、“投资者风险承受能力”、“适合投资者类型”的不同划分与表述的特别提示</w:t>
      </w:r>
    </w:p>
    <w:p w14:paraId="30D91B99">
      <w:pPr>
        <w:ind w:firstLine="360" w:firstLineChars="200"/>
        <w:rPr>
          <w:rFonts w:ascii="黑体" w:hAnsi="黑体" w:eastAsia="黑体"/>
          <w:sz w:val="18"/>
          <w:szCs w:val="18"/>
        </w:rPr>
      </w:pPr>
      <w:r>
        <w:rPr>
          <w:rFonts w:hint="eastAsia" w:ascii="黑体" w:hAnsi="黑体" w:eastAsia="黑体"/>
          <w:sz w:val="18"/>
          <w:szCs w:val="18"/>
        </w:rPr>
        <w:t>1</w:t>
      </w:r>
      <w:r>
        <w:rPr>
          <w:rFonts w:ascii="黑体" w:hAnsi="黑体" w:eastAsia="黑体"/>
          <w:sz w:val="18"/>
          <w:szCs w:val="18"/>
        </w:rPr>
        <w:t>.</w:t>
      </w:r>
      <w:r>
        <w:rPr>
          <w:rFonts w:hint="eastAsia" w:ascii="黑体" w:hAnsi="黑体" w:eastAsia="黑体"/>
          <w:sz w:val="18"/>
          <w:szCs w:val="18"/>
        </w:rPr>
        <w:t>销售机构在销售本产品时，其对“理财产品风险评级”、“投资者风险承受能力”、“适合投资者类型”等级的划分与表述可能与产品管理人存在差异，即采用销售机构设置的标准。</w:t>
      </w:r>
    </w:p>
    <w:p w14:paraId="4D8E8E0B">
      <w:pPr>
        <w:ind w:firstLine="360" w:firstLineChars="200"/>
        <w:rPr>
          <w:rFonts w:ascii="黑体" w:hAnsi="黑体" w:eastAsia="黑体"/>
          <w:sz w:val="18"/>
          <w:szCs w:val="18"/>
        </w:rPr>
      </w:pPr>
      <w:r>
        <w:rPr>
          <w:rFonts w:ascii="黑体" w:hAnsi="黑体" w:eastAsia="黑体"/>
          <w:sz w:val="18"/>
          <w:szCs w:val="18"/>
        </w:rPr>
        <w:t>2.</w:t>
      </w:r>
      <w:r>
        <w:rPr>
          <w:rFonts w:hint="eastAsia" w:ascii="黑体" w:hAnsi="黑体" w:eastAsia="黑体"/>
          <w:sz w:val="18"/>
          <w:szCs w:val="18"/>
        </w:rPr>
        <w:t>销售机构应以书面的方式向投资者明示其对“理财产品风险评级”、“投资者风险承受能力等级”的划分与“适合投资者类型”的表述。</w:t>
      </w:r>
    </w:p>
    <w:p w14:paraId="51C1DA45">
      <w:pPr>
        <w:ind w:firstLine="360" w:firstLineChars="20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三、关于理财产品的信息披露</w:t>
      </w:r>
    </w:p>
    <w:p w14:paraId="73EAAF99">
      <w:pPr>
        <w:ind w:firstLine="360" w:firstLineChars="200"/>
        <w:rPr>
          <w:rFonts w:asciiTheme="minorEastAsia" w:hAnsiTheme="minorEastAsia"/>
          <w:sz w:val="18"/>
          <w:szCs w:val="18"/>
        </w:rPr>
      </w:pPr>
      <w:r>
        <w:rPr>
          <w:rFonts w:hint="eastAsia" w:ascii="宋体" w:hAnsi="宋体"/>
          <w:bCs/>
          <w:sz w:val="18"/>
          <w:szCs w:val="18"/>
        </w:rPr>
        <w:t>理财产品的信息披露将通过产品管理人或销售机构的门户网站、电子销售渠道或营业网点等进行。</w:t>
      </w:r>
      <w:r>
        <w:rPr>
          <w:rFonts w:asciiTheme="minorEastAsia" w:hAnsiTheme="minorEastAsia"/>
          <w:sz w:val="18"/>
          <w:szCs w:val="18"/>
        </w:rPr>
        <w:t>具体</w:t>
      </w:r>
      <w:r>
        <w:rPr>
          <w:rFonts w:hint="eastAsia" w:asciiTheme="minorEastAsia" w:hAnsiTheme="minorEastAsia"/>
          <w:sz w:val="18"/>
          <w:szCs w:val="18"/>
        </w:rPr>
        <w:t>信息披露的方式、渠道和频率等</w:t>
      </w:r>
      <w:r>
        <w:rPr>
          <w:rFonts w:asciiTheme="minorEastAsia" w:hAnsiTheme="minorEastAsia"/>
          <w:sz w:val="18"/>
          <w:szCs w:val="18"/>
        </w:rPr>
        <w:t>以《产品说明书》中“信息披露</w:t>
      </w:r>
      <w:r>
        <w:rPr>
          <w:rFonts w:hint="eastAsia" w:asciiTheme="minorEastAsia" w:hAnsiTheme="minorEastAsia"/>
          <w:sz w:val="18"/>
          <w:szCs w:val="18"/>
        </w:rPr>
        <w:t>”约定为准。</w:t>
      </w:r>
    </w:p>
    <w:p w14:paraId="1F50A538">
      <w:pPr>
        <w:ind w:firstLine="360" w:firstLineChars="200"/>
        <w:rPr>
          <w:rFonts w:asciiTheme="minorEastAsia" w:hAnsiTheme="minorEastAsia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四、关于投诉与建议</w:t>
      </w:r>
    </w:p>
    <w:p w14:paraId="155CF7EB"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（一）</w:t>
      </w:r>
      <w:r>
        <w:rPr>
          <w:rFonts w:hint="eastAsia" w:asciiTheme="minorEastAsia" w:hAnsiTheme="minorEastAsia"/>
          <w:sz w:val="18"/>
          <w:szCs w:val="18"/>
        </w:rPr>
        <w:t>您对本产品有任何意见或异议，可向产品管理人或</w:t>
      </w:r>
      <w:r>
        <w:rPr>
          <w:rFonts w:hint="eastAsia" w:ascii="宋体" w:hAnsi="宋体"/>
          <w:sz w:val="18"/>
          <w:szCs w:val="18"/>
        </w:rPr>
        <w:t>销售机构</w:t>
      </w:r>
      <w:r>
        <w:rPr>
          <w:rFonts w:hint="eastAsia" w:asciiTheme="minorEastAsia" w:hAnsiTheme="minorEastAsia"/>
          <w:sz w:val="18"/>
          <w:szCs w:val="18"/>
        </w:rPr>
        <w:t>反馈</w:t>
      </w:r>
      <w:r>
        <w:rPr>
          <w:rFonts w:hint="eastAsia" w:ascii="宋体" w:hAnsi="宋体"/>
          <w:sz w:val="18"/>
          <w:szCs w:val="18"/>
        </w:rPr>
        <w:t>，产品管理人或销售机构将由专人接听、记录您的意见或建议，并由各方协商共同解决。</w:t>
      </w:r>
    </w:p>
    <w:p w14:paraId="7FADC2BC"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（二）联络方式</w:t>
      </w:r>
      <w:r>
        <w:rPr>
          <w:rFonts w:ascii="宋体" w:hAnsi="宋体"/>
          <w:sz w:val="18"/>
          <w:szCs w:val="18"/>
        </w:rPr>
        <w:t xml:space="preserve"> </w:t>
      </w:r>
    </w:p>
    <w:p w14:paraId="3EE3B2C2">
      <w:pPr>
        <w:ind w:firstLine="360" w:firstLineChars="200"/>
        <w:rPr>
          <w:rFonts w:ascii="宋体" w:hAnsi="宋体"/>
          <w:sz w:val="18"/>
          <w:szCs w:val="18"/>
        </w:rPr>
      </w:pPr>
      <w:bookmarkStart w:id="0" w:name="_Hlk64707831"/>
      <w:r>
        <w:rPr>
          <w:rFonts w:hint="eastAsia" w:ascii="宋体" w:hAnsi="宋体"/>
          <w:sz w:val="18"/>
          <w:szCs w:val="18"/>
        </w:rPr>
        <w:t>1.产品管理人：兴银理财有限责任公司</w:t>
      </w:r>
    </w:p>
    <w:p w14:paraId="7AD55554"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客户服务热线：40015-95561。</w:t>
      </w:r>
      <w:bookmarkEnd w:id="0"/>
    </w:p>
    <w:p w14:paraId="7104FA6D"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permStart w:id="7" w:edGrp="everyone"/>
      <w:r>
        <w:rPr>
          <w:rFonts w:hint="eastAsia" w:ascii="宋体" w:hAnsi="宋体"/>
          <w:sz w:val="18"/>
          <w:szCs w:val="18"/>
        </w:rPr>
        <w:t>2.</w:t>
      </w:r>
      <w:r>
        <w:rPr>
          <w:rFonts w:ascii="宋体" w:hAnsi="宋体"/>
          <w:sz w:val="18"/>
          <w:szCs w:val="18"/>
        </w:rPr>
        <w:t>销售机构</w:t>
      </w:r>
      <w:r>
        <w:rPr>
          <w:rFonts w:hint="eastAsia" w:ascii="宋体" w:hAnsi="宋体"/>
          <w:sz w:val="18"/>
          <w:szCs w:val="18"/>
        </w:rPr>
        <w:t>：兴业银行股份有限公司</w:t>
      </w:r>
    </w:p>
    <w:p w14:paraId="7F7E21FF"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兴业银行理财经理或兴业银行各营业网点。</w:t>
      </w:r>
    </w:p>
    <w:p w14:paraId="1BB3D62D"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兴业银行</w:t>
      </w:r>
      <w:r>
        <w:rPr>
          <w:rFonts w:hint="eastAsia" w:ascii="宋体" w:hAnsi="宋体"/>
          <w:sz w:val="18"/>
          <w:szCs w:val="18"/>
        </w:rPr>
        <w:t>客户投诉电话：【</w:t>
      </w:r>
      <w:r>
        <w:rPr>
          <w:rFonts w:asciiTheme="minorEastAsia" w:hAnsiTheme="minorEastAsia"/>
          <w:sz w:val="18"/>
          <w:szCs w:val="18"/>
        </w:rPr>
        <w:t>95561</w:t>
      </w:r>
      <w:r>
        <w:rPr>
          <w:rFonts w:hint="eastAsia" w:ascii="宋体" w:hAnsi="宋体"/>
          <w:sz w:val="18"/>
          <w:szCs w:val="18"/>
        </w:rPr>
        <w:t>】。</w:t>
      </w:r>
      <w:bookmarkStart w:id="1" w:name="_GoBack"/>
      <w:bookmarkEnd w:id="1"/>
    </w:p>
    <w:p w14:paraId="69E00629"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兴业银行总行消费者投诉受理邮箱：【9</w:t>
      </w:r>
      <w:r>
        <w:rPr>
          <w:rFonts w:ascii="宋体" w:hAnsi="宋体"/>
          <w:sz w:val="18"/>
          <w:szCs w:val="18"/>
        </w:rPr>
        <w:t>5561</w:t>
      </w:r>
      <w:r>
        <w:rPr>
          <w:rFonts w:hint="eastAsia" w:ascii="宋体" w:hAnsi="宋体"/>
          <w:sz w:val="18"/>
          <w:szCs w:val="18"/>
        </w:rPr>
        <w:t>@</w:t>
      </w:r>
      <w:r>
        <w:rPr>
          <w:rFonts w:asciiTheme="minorEastAsia" w:hAnsiTheme="minorEastAsia"/>
          <w:sz w:val="18"/>
          <w:szCs w:val="18"/>
        </w:rPr>
        <w:t>cib.com.cn</w:t>
      </w:r>
      <w:r>
        <w:rPr>
          <w:rFonts w:hint="eastAsia" w:ascii="宋体" w:hAnsi="宋体"/>
          <w:sz w:val="18"/>
          <w:szCs w:val="18"/>
        </w:rPr>
        <w:t>】。</w:t>
      </w:r>
    </w:p>
    <w:p w14:paraId="60955B0C"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3、销售机构：【浙江新昌农村商业银行股份有限公司】</w:t>
      </w:r>
    </w:p>
    <w:p w14:paraId="3372355F"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通过【浙江新昌农村商业银行股份有限公司】（作为销售机构）购买本产品的，请联系【浙江新昌农村商业银行股份有限公司】，【浙江新昌农村商业银行股份有限公司】客户服务热线：【96596】；【浙江新昌农村商业银行股份有限公司】门户网站：【www.xcbank.com</w:t>
      </w:r>
      <w:r>
        <w:rPr>
          <w:rFonts w:hint="eastAsia" w:ascii="宋体" w:hAnsi="宋体"/>
          <w:sz w:val="18"/>
          <w:szCs w:val="18"/>
        </w:rPr>
        <w:t>】</w:t>
      </w:r>
    </w:p>
    <w:permEnd w:id="7"/>
    <w:p w14:paraId="4FC037DC">
      <w:pPr>
        <w:ind w:right="84" w:rightChars="40"/>
        <w:jc w:val="right"/>
        <w:rPr>
          <w:rFonts w:ascii="宋体" w:hAnsi="宋体"/>
          <w:sz w:val="18"/>
          <w:szCs w:val="18"/>
        </w:rPr>
      </w:pPr>
    </w:p>
    <w:p w14:paraId="0BF6F1BA">
      <w:pPr>
        <w:widowControl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br w:type="page"/>
      </w:r>
    </w:p>
    <w:p w14:paraId="40D8EECE">
      <w:pPr>
        <w:adjustRightInd w:val="0"/>
        <w:spacing w:line="280" w:lineRule="atLeast"/>
        <w:jc w:val="center"/>
        <w:rPr>
          <w:rStyle w:val="11"/>
          <w:rFonts w:ascii="黑体" w:hAnsi="黑体" w:eastAsia="黑体"/>
          <w:sz w:val="28"/>
          <w:szCs w:val="28"/>
        </w:rPr>
      </w:pPr>
      <w:r>
        <w:rPr>
          <w:rStyle w:val="11"/>
          <w:rFonts w:hint="eastAsia" w:ascii="黑体" w:hAnsi="黑体" w:eastAsia="黑体"/>
          <w:sz w:val="28"/>
          <w:szCs w:val="28"/>
        </w:rPr>
        <w:t>兴银理财</w:t>
      </w:r>
      <w:permStart w:id="8" w:edGrp="everyone"/>
      <w:r>
        <w:rPr>
          <w:rStyle w:val="11"/>
          <w:rFonts w:hint="eastAsia" w:ascii="黑体" w:hAnsi="黑体" w:eastAsia="黑体"/>
          <w:sz w:val="28"/>
          <w:szCs w:val="28"/>
        </w:rPr>
        <w:t>【稳利恒盈封闭式固收类】</w:t>
      </w:r>
      <w:permEnd w:id="8"/>
      <w:r>
        <w:rPr>
          <w:rStyle w:val="11"/>
          <w:rFonts w:hint="eastAsia" w:ascii="黑体" w:hAnsi="黑体" w:eastAsia="黑体"/>
          <w:sz w:val="28"/>
          <w:szCs w:val="28"/>
        </w:rPr>
        <w:t>理财产品</w:t>
      </w:r>
    </w:p>
    <w:p w14:paraId="0BBD9D3F">
      <w:pPr>
        <w:adjustRightInd w:val="0"/>
        <w:spacing w:line="280" w:lineRule="atLeast"/>
        <w:jc w:val="center"/>
        <w:rPr>
          <w:rStyle w:val="11"/>
          <w:rFonts w:ascii="黑体" w:hAnsi="黑体" w:eastAsia="黑体"/>
          <w:sz w:val="28"/>
          <w:szCs w:val="28"/>
        </w:rPr>
      </w:pPr>
      <w:r>
        <w:rPr>
          <w:rStyle w:val="11"/>
          <w:rFonts w:hint="eastAsia" w:ascii="黑体" w:hAnsi="黑体" w:eastAsia="黑体"/>
          <w:sz w:val="28"/>
          <w:szCs w:val="28"/>
        </w:rPr>
        <w:t>投资者权益须知</w:t>
      </w:r>
    </w:p>
    <w:p w14:paraId="2CF34DFB">
      <w:pPr>
        <w:pStyle w:val="15"/>
        <w:spacing w:line="280" w:lineRule="atLeast"/>
        <w:jc w:val="center"/>
        <w:rPr>
          <w:rFonts w:hAnsi="宋体"/>
          <w:b/>
          <w:color w:val="auto"/>
          <w:sz w:val="28"/>
          <w:szCs w:val="28"/>
        </w:rPr>
      </w:pPr>
      <w:r>
        <w:rPr>
          <w:rFonts w:hint="eastAsia" w:hAnsi="宋体"/>
          <w:b/>
          <w:color w:val="auto"/>
          <w:sz w:val="28"/>
          <w:szCs w:val="28"/>
        </w:rPr>
        <w:t>（适用于机构投资者）</w:t>
      </w:r>
    </w:p>
    <w:p w14:paraId="1B63B2A3">
      <w:pPr>
        <w:spacing w:line="280" w:lineRule="atLeas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尊敬的投资者：</w:t>
      </w:r>
    </w:p>
    <w:p w14:paraId="2A05E5C9">
      <w:pPr>
        <w:spacing w:line="320" w:lineRule="exact"/>
        <w:ind w:firstLine="360" w:firstLineChars="200"/>
        <w:jc w:val="lef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感谢您通过销售机构</w:t>
      </w:r>
      <w:permStart w:id="9" w:edGrp="everyone"/>
      <w:r>
        <w:rPr>
          <w:rFonts w:hint="eastAsia" w:ascii="宋体" w:hAnsi="宋体"/>
          <w:sz w:val="18"/>
          <w:szCs w:val="18"/>
        </w:rPr>
        <w:t>【】</w:t>
      </w:r>
      <w:permEnd w:id="9"/>
      <w:r>
        <w:rPr>
          <w:rFonts w:hint="eastAsia" w:ascii="宋体" w:hAnsi="宋体"/>
          <w:sz w:val="18"/>
          <w:szCs w:val="18"/>
        </w:rPr>
        <w:t>以(</w:t>
      </w:r>
      <w:permStart w:id="10" w:edGrp="everyone"/>
      <w:r>
        <w:rPr>
          <w:rFonts w:hint="eastAsia" w:ascii="宋体" w:hAnsi="宋体"/>
          <w:sz w:val="18"/>
          <w:szCs w:val="18"/>
        </w:rPr>
        <w:t>□ 直销：产品管理人销售/□ 代销：代理销售机构销售</w:t>
      </w:r>
      <w:permEnd w:id="10"/>
      <w:r>
        <w:rPr>
          <w:rFonts w:hint="eastAsia" w:ascii="宋体" w:hAnsi="宋体"/>
          <w:sz w:val="18"/>
          <w:szCs w:val="18"/>
        </w:rPr>
        <w:t>)的形式购买兴银理财有限责任公司（以下简称“兴银理财”）作为产品管理人管理的理财产品。</w:t>
      </w:r>
    </w:p>
    <w:p w14:paraId="0D410C8C">
      <w:pPr>
        <w:spacing w:line="320" w:lineRule="exact"/>
        <w:ind w:firstLine="360" w:firstLineChars="200"/>
        <w:jc w:val="lef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请仔细阅读本《投资者权益须知》，行使您在本业务项下的权益。</w:t>
      </w:r>
      <w:r>
        <w:rPr>
          <w:rFonts w:ascii="宋体" w:hAnsi="宋体"/>
          <w:sz w:val="18"/>
          <w:szCs w:val="18"/>
        </w:rPr>
        <w:t xml:space="preserve"> </w:t>
      </w:r>
    </w:p>
    <w:p w14:paraId="439AA507"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</w:p>
    <w:p w14:paraId="0A366426">
      <w:pPr>
        <w:spacing w:line="280" w:lineRule="atLeast"/>
        <w:ind w:firstLine="360" w:firstLineChars="20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一、理财产品购买流程</w:t>
      </w:r>
    </w:p>
    <w:p w14:paraId="2A8EE647"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（一）</w:t>
      </w:r>
      <w:r>
        <w:rPr>
          <w:rFonts w:ascii="宋体" w:hAnsi="宋体"/>
          <w:sz w:val="18"/>
          <w:szCs w:val="18"/>
        </w:rPr>
        <w:t>开立或持有</w:t>
      </w:r>
      <w:r>
        <w:rPr>
          <w:rFonts w:hint="eastAsia" w:ascii="宋体" w:hAnsi="宋体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账户，该账户用于本产品的理财资金划转及</w:t>
      </w:r>
      <w:r>
        <w:rPr>
          <w:rFonts w:hint="eastAsia" w:ascii="宋体" w:hAnsi="宋体"/>
          <w:sz w:val="18"/>
          <w:szCs w:val="18"/>
        </w:rPr>
        <w:t>分配</w:t>
      </w:r>
      <w:r>
        <w:rPr>
          <w:rFonts w:ascii="宋体" w:hAnsi="宋体"/>
          <w:sz w:val="18"/>
          <w:szCs w:val="18"/>
        </w:rPr>
        <w:t>，您应确保持有本产品期间所指定账户不做销户。</w:t>
      </w:r>
    </w:p>
    <w:p w14:paraId="393CCF20"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（二）</w:t>
      </w:r>
      <w:r>
        <w:rPr>
          <w:rFonts w:ascii="宋体" w:hAnsi="宋体"/>
          <w:sz w:val="18"/>
          <w:szCs w:val="18"/>
        </w:rPr>
        <w:t>接受并完成</w:t>
      </w:r>
      <w:r>
        <w:rPr>
          <w:rFonts w:hint="eastAsia" w:ascii="宋体" w:hAnsi="宋体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对您的风险承受能力评估，并根据风险评估结果选择适合的产品。</w:t>
      </w:r>
      <w:r>
        <w:rPr>
          <w:rFonts w:hint="eastAsia" w:ascii="宋体" w:hAnsi="宋体"/>
          <w:sz w:val="18"/>
          <w:szCs w:val="18"/>
        </w:rPr>
        <w:t>若销售机构对您风险承受能力评估事宜另有安排的，以销售机构政策为准。</w:t>
      </w:r>
    </w:p>
    <w:p w14:paraId="17E93698"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（三）</w:t>
      </w:r>
      <w:r>
        <w:rPr>
          <w:rFonts w:ascii="宋体" w:hAnsi="宋体"/>
          <w:sz w:val="18"/>
          <w:szCs w:val="18"/>
        </w:rPr>
        <w:t>请仔细阅读《</w:t>
      </w:r>
      <w:r>
        <w:rPr>
          <w:rFonts w:hint="eastAsia" w:ascii="宋体" w:hAnsi="宋体"/>
          <w:sz w:val="18"/>
          <w:szCs w:val="18"/>
        </w:rPr>
        <w:t>投资</w:t>
      </w:r>
      <w:r>
        <w:rPr>
          <w:rFonts w:ascii="宋体" w:hAnsi="宋体"/>
          <w:sz w:val="18"/>
          <w:szCs w:val="18"/>
        </w:rPr>
        <w:t>协议书》《产品说明书》《</w:t>
      </w:r>
      <w:r>
        <w:rPr>
          <w:rFonts w:hint="eastAsia" w:ascii="宋体" w:hAnsi="宋体"/>
          <w:sz w:val="18"/>
          <w:szCs w:val="18"/>
        </w:rPr>
        <w:t>（代理）销售</w:t>
      </w:r>
      <w:r>
        <w:rPr>
          <w:rFonts w:ascii="宋体" w:hAnsi="宋体"/>
          <w:sz w:val="18"/>
          <w:szCs w:val="18"/>
        </w:rPr>
        <w:t>协议书</w:t>
      </w:r>
      <w:r>
        <w:rPr>
          <w:rFonts w:hint="eastAsia" w:ascii="宋体" w:hAnsi="宋体"/>
          <w:sz w:val="18"/>
          <w:szCs w:val="18"/>
        </w:rPr>
        <w:t>》《</w:t>
      </w:r>
      <w:r>
        <w:rPr>
          <w:rFonts w:ascii="宋体" w:hAnsi="宋体"/>
          <w:sz w:val="18"/>
          <w:szCs w:val="18"/>
        </w:rPr>
        <w:t>风险揭示书》《投资者权益须知》以及其他有关文件（如有），确认已同意相关内容、充分了解相关风险并无疑问和异议后，签署相关销售文件，并办理购买手续。</w:t>
      </w:r>
    </w:p>
    <w:p w14:paraId="7F123C90"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四）销售机构营业网点或电子银行（包括但不限于网上银行、电话银行和手机银行）均可办理理财产品的购买手续，具体以代销机构情况为准。若产品管理人根据产品风险等级和市场情况确定发售渠道的，代销机构将按产品管理人要求执行。</w:t>
      </w:r>
    </w:p>
    <w:p w14:paraId="20D404D2">
      <w:pPr>
        <w:spacing w:line="280" w:lineRule="atLeast"/>
        <w:ind w:firstLine="360" w:firstLineChars="20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二、投资者风险承受能力与产品风险评级</w:t>
      </w:r>
    </w:p>
    <w:p w14:paraId="5B3AB9AE">
      <w:pPr>
        <w:spacing w:line="280" w:lineRule="atLeast"/>
        <w:ind w:firstLine="360" w:firstLineChars="20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（一）投资者风险承受能力评估说明</w:t>
      </w:r>
    </w:p>
    <w:p w14:paraId="2A2E3EFF"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1.</w:t>
      </w:r>
      <w:r>
        <w:rPr>
          <w:rFonts w:ascii="宋体" w:hAnsi="宋体"/>
          <w:sz w:val="18"/>
          <w:szCs w:val="18"/>
        </w:rPr>
        <w:t xml:space="preserve"> </w:t>
      </w:r>
      <w:r>
        <w:rPr>
          <w:rFonts w:hint="eastAsia" w:ascii="宋体" w:hAnsi="宋体"/>
          <w:sz w:val="18"/>
          <w:szCs w:val="18"/>
        </w:rPr>
        <w:t>您购买理财产品前，应确保已完成风险承受能力评估且风险评估结果在有效期内。理财销售管理系统会记录投资者身份信息及风险评估结果信息。该评估结果有效期一年，并将作为评价您是否适合购买理财产品的重要因素。您可以通过销售机构</w:t>
      </w:r>
      <w:r>
        <w:rPr>
          <w:rFonts w:ascii="宋体" w:hAnsi="宋体"/>
          <w:sz w:val="18"/>
          <w:szCs w:val="18"/>
        </w:rPr>
        <w:t>线下渠道</w:t>
      </w:r>
      <w:r>
        <w:rPr>
          <w:rFonts w:hint="eastAsia" w:ascii="宋体" w:hAnsi="宋体"/>
          <w:sz w:val="18"/>
          <w:szCs w:val="18"/>
        </w:rPr>
        <w:t>或</w:t>
      </w:r>
      <w:r>
        <w:rPr>
          <w:rFonts w:ascii="宋体" w:hAnsi="宋体"/>
          <w:sz w:val="18"/>
          <w:szCs w:val="18"/>
        </w:rPr>
        <w:t>线上渠道</w:t>
      </w:r>
      <w:r>
        <w:rPr>
          <w:rFonts w:hint="eastAsia" w:ascii="宋体" w:hAnsi="宋体"/>
          <w:sz w:val="18"/>
          <w:szCs w:val="18"/>
        </w:rPr>
        <w:t>进行风险承受能力持续评估。</w:t>
      </w:r>
      <w:r>
        <w:rPr>
          <w:rFonts w:hint="eastAsia" w:ascii="黑体" w:hAnsi="黑体" w:eastAsia="黑体"/>
          <w:sz w:val="18"/>
          <w:szCs w:val="18"/>
        </w:rPr>
        <w:t>如影响您风险承受能力的因素发生变化，请您及时重新完成风险承受能力评估。</w:t>
      </w:r>
    </w:p>
    <w:p w14:paraId="010760AA"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2</w:t>
      </w:r>
      <w:r>
        <w:rPr>
          <w:rFonts w:hint="eastAsia" w:ascii="宋体" w:hAnsi="宋体"/>
          <w:sz w:val="18"/>
          <w:szCs w:val="18"/>
        </w:rPr>
        <w:t>.</w:t>
      </w:r>
      <w:r>
        <w:rPr>
          <w:rFonts w:hint="eastAsia" w:ascii="宋体" w:hAnsi="宋体"/>
          <w:b/>
          <w:sz w:val="18"/>
          <w:szCs w:val="18"/>
        </w:rPr>
        <w:t>投资者风险承受能力评级与理财产品风险评级</w:t>
      </w:r>
    </w:p>
    <w:p w14:paraId="3323A2D7"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根据</w:t>
      </w:r>
      <w:r>
        <w:rPr>
          <w:rFonts w:hint="eastAsia" w:ascii="宋体" w:hAnsi="宋体"/>
          <w:sz w:val="18"/>
          <w:szCs w:val="18"/>
        </w:rPr>
        <w:t>投资者风险承受能力，机构投资者由低至高分为</w:t>
      </w:r>
      <w:permStart w:id="11" w:edGrp="everyone"/>
      <w:r>
        <w:rPr>
          <w:rFonts w:hint="eastAsia" w:ascii="宋体" w:hAnsi="宋体"/>
          <w:sz w:val="18"/>
          <w:szCs w:val="18"/>
        </w:rPr>
        <w:t>【】</w:t>
      </w:r>
      <w:permEnd w:id="11"/>
      <w:r>
        <w:rPr>
          <w:rFonts w:ascii="宋体" w:hAnsi="宋体"/>
          <w:sz w:val="18"/>
          <w:szCs w:val="18"/>
        </w:rPr>
        <w:t>。其中，</w:t>
      </w:r>
      <w:permStart w:id="12" w:edGrp="everyone"/>
      <w:r>
        <w:rPr>
          <w:rFonts w:hint="eastAsia" w:ascii="宋体" w:hAnsi="宋体"/>
          <w:sz w:val="18"/>
          <w:szCs w:val="18"/>
        </w:rPr>
        <w:t>【】</w:t>
      </w:r>
      <w:permEnd w:id="12"/>
      <w:r>
        <w:rPr>
          <w:rFonts w:ascii="宋体" w:hAnsi="宋体"/>
          <w:sz w:val="18"/>
          <w:szCs w:val="18"/>
        </w:rPr>
        <w:t>为风险承受能力最低类别，</w:t>
      </w:r>
      <w:permStart w:id="13" w:edGrp="everyone"/>
      <w:r>
        <w:rPr>
          <w:rFonts w:hint="eastAsia" w:ascii="宋体" w:hAnsi="宋体"/>
          <w:sz w:val="18"/>
          <w:szCs w:val="18"/>
        </w:rPr>
        <w:t>【】</w:t>
      </w:r>
      <w:permEnd w:id="13"/>
      <w:r>
        <w:rPr>
          <w:rFonts w:ascii="宋体" w:hAnsi="宋体"/>
          <w:sz w:val="18"/>
          <w:szCs w:val="18"/>
        </w:rPr>
        <w:t>为风险承受能力最高类别。</w:t>
      </w:r>
      <w:r>
        <w:rPr>
          <w:rFonts w:hint="eastAsia" w:ascii="宋体" w:hAnsi="宋体"/>
          <w:sz w:val="18"/>
          <w:szCs w:val="18"/>
        </w:rPr>
        <w:t>投资者根据其风险承受能力评级购买对应的理财产品。</w:t>
      </w:r>
      <w:r>
        <w:rPr>
          <w:rFonts w:ascii="宋体" w:hAnsi="宋体"/>
          <w:sz w:val="18"/>
          <w:szCs w:val="18"/>
        </w:rPr>
        <w:t>投资者风险承受能力评级类型与适合购买的理财产品的对应关系为：</w:t>
      </w:r>
    </w:p>
    <w:tbl>
      <w:tblPr>
        <w:tblStyle w:val="9"/>
        <w:tblW w:w="848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4840"/>
        <w:gridCol w:w="2865"/>
      </w:tblGrid>
      <w:tr w14:paraId="67026CA7">
        <w:trPr>
          <w:trHeight w:val="461" w:hRule="atLeast"/>
          <w:jc w:val="center"/>
        </w:trPr>
        <w:tc>
          <w:tcPr>
            <w:tcW w:w="5617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 w14:paraId="2A91934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理财产品风险评级及风险评级说明</w:t>
            </w:r>
          </w:p>
        </w:tc>
        <w:tc>
          <w:tcPr>
            <w:tcW w:w="2865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 w14:paraId="0859DF7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对应的投资者风险承受能力评级</w:t>
            </w:r>
          </w:p>
        </w:tc>
      </w:tr>
      <w:tr w14:paraId="6BC79E07">
        <w:trPr>
          <w:trHeight w:val="289" w:hRule="atLeast"/>
          <w:jc w:val="center"/>
        </w:trPr>
        <w:tc>
          <w:tcPr>
            <w:tcW w:w="77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14FF71BE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permStart w:id="14" w:edGrp="everyone"/>
          </w:p>
        </w:tc>
        <w:tc>
          <w:tcPr>
            <w:tcW w:w="48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2BC1FED9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945ACEB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</w:p>
        </w:tc>
      </w:tr>
      <w:tr w14:paraId="0C6DE615">
        <w:trPr>
          <w:trHeight w:val="289" w:hRule="atLeast"/>
          <w:jc w:val="center"/>
        </w:trPr>
        <w:tc>
          <w:tcPr>
            <w:tcW w:w="77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7726CAB4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6ABD35DD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7E607F04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</w:p>
        </w:tc>
      </w:tr>
      <w:tr w14:paraId="2E56611A">
        <w:trPr>
          <w:trHeight w:val="289" w:hRule="atLeast"/>
          <w:jc w:val="center"/>
        </w:trPr>
        <w:tc>
          <w:tcPr>
            <w:tcW w:w="77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2554BE46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510F8804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767EAFC8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</w:p>
        </w:tc>
      </w:tr>
      <w:tr w14:paraId="72211958">
        <w:trPr>
          <w:trHeight w:val="289" w:hRule="atLeast"/>
          <w:jc w:val="center"/>
        </w:trPr>
        <w:tc>
          <w:tcPr>
            <w:tcW w:w="77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1411B112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5243845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16E56D1E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</w:p>
        </w:tc>
      </w:tr>
      <w:tr w14:paraId="463B5B29">
        <w:trPr>
          <w:trHeight w:val="289" w:hRule="atLeast"/>
          <w:jc w:val="center"/>
        </w:trPr>
        <w:tc>
          <w:tcPr>
            <w:tcW w:w="77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060043C0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7BDEF7B7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7DF359C9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</w:p>
        </w:tc>
      </w:tr>
      <w:permEnd w:id="14"/>
    </w:tbl>
    <w:p w14:paraId="5E9E9A96">
      <w:pPr>
        <w:ind w:firstLine="360" w:firstLineChars="200"/>
        <w:rPr>
          <w:rFonts w:ascii="黑体" w:hAnsi="黑体" w:eastAsia="黑体"/>
          <w:sz w:val="18"/>
          <w:szCs w:val="18"/>
        </w:rPr>
      </w:pPr>
      <w:r>
        <w:rPr>
          <w:rFonts w:hint="eastAsia" w:ascii="黑体" w:hAnsi="黑体" w:eastAsia="黑体" w:cs="仿宋_GB2312"/>
          <w:bCs/>
          <w:kern w:val="0"/>
          <w:sz w:val="18"/>
          <w:szCs w:val="18"/>
        </w:rPr>
        <w:t>★</w:t>
      </w:r>
      <w:r>
        <w:rPr>
          <w:rFonts w:hint="eastAsia" w:ascii="黑体" w:hAnsi="黑体" w:eastAsia="黑体"/>
          <w:sz w:val="18"/>
          <w:szCs w:val="18"/>
        </w:rPr>
        <w:t>（二）针对“理财产品风险评级”、“投资者风险承受能力”、“适合投资者类型”的不同划分与表述的特别提示</w:t>
      </w:r>
    </w:p>
    <w:p w14:paraId="0F9C3DBA">
      <w:pPr>
        <w:ind w:firstLine="360" w:firstLineChars="200"/>
        <w:rPr>
          <w:rFonts w:ascii="黑体" w:hAnsi="黑体" w:eastAsia="黑体"/>
          <w:sz w:val="18"/>
          <w:szCs w:val="18"/>
        </w:rPr>
      </w:pPr>
      <w:r>
        <w:rPr>
          <w:rFonts w:hint="eastAsia" w:ascii="黑体" w:hAnsi="黑体" w:eastAsia="黑体"/>
          <w:sz w:val="18"/>
          <w:szCs w:val="18"/>
        </w:rPr>
        <w:t>1</w:t>
      </w:r>
      <w:r>
        <w:rPr>
          <w:rFonts w:ascii="黑体" w:hAnsi="黑体" w:eastAsia="黑体"/>
          <w:sz w:val="18"/>
          <w:szCs w:val="18"/>
        </w:rPr>
        <w:t>.</w:t>
      </w:r>
      <w:r>
        <w:rPr>
          <w:rFonts w:hint="eastAsia" w:ascii="黑体" w:hAnsi="黑体" w:eastAsia="黑体"/>
          <w:sz w:val="18"/>
          <w:szCs w:val="18"/>
        </w:rPr>
        <w:t>销售机构在销售本产品时，其对“理财产品风险评级”、“投资者风险承受能力”、“适合投资者类型”等级的划分与表述可能与产品管理人存在差异，即采用销售机构设置的标准。</w:t>
      </w:r>
    </w:p>
    <w:p w14:paraId="2B2B7B9B">
      <w:pPr>
        <w:ind w:firstLine="360" w:firstLineChars="200"/>
        <w:rPr>
          <w:rFonts w:ascii="黑体" w:hAnsi="黑体" w:eastAsia="黑体"/>
          <w:sz w:val="18"/>
          <w:szCs w:val="18"/>
        </w:rPr>
      </w:pPr>
      <w:r>
        <w:rPr>
          <w:rFonts w:ascii="黑体" w:hAnsi="黑体" w:eastAsia="黑体"/>
          <w:sz w:val="18"/>
          <w:szCs w:val="18"/>
        </w:rPr>
        <w:t>2.</w:t>
      </w:r>
      <w:r>
        <w:rPr>
          <w:rFonts w:hint="eastAsia" w:ascii="黑体" w:hAnsi="黑体" w:eastAsia="黑体"/>
          <w:sz w:val="18"/>
          <w:szCs w:val="18"/>
        </w:rPr>
        <w:t>销售机构应以书面的方式向投资者明示其对“理财产品风险评级”、“投资者风险承受能力等级”的划分与“适合投资者类型”的表述。</w:t>
      </w:r>
    </w:p>
    <w:p w14:paraId="66894E77">
      <w:pPr>
        <w:spacing w:line="280" w:lineRule="atLeast"/>
        <w:ind w:firstLine="360" w:firstLineChars="20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三、关于理财产品的信息披露</w:t>
      </w:r>
    </w:p>
    <w:p w14:paraId="2BA7C4F7">
      <w:pPr>
        <w:ind w:firstLine="360" w:firstLineChars="200"/>
        <w:rPr>
          <w:rFonts w:asciiTheme="minorEastAsia" w:hAnsiTheme="minorEastAsia"/>
          <w:sz w:val="18"/>
          <w:szCs w:val="18"/>
        </w:rPr>
      </w:pPr>
      <w:r>
        <w:rPr>
          <w:rFonts w:hint="eastAsia" w:ascii="宋体" w:hAnsi="宋体"/>
          <w:bCs/>
          <w:sz w:val="18"/>
          <w:szCs w:val="18"/>
        </w:rPr>
        <w:t>理财产品的信息披露将通过产品管理人或销售机构的门户网站、电子销售渠道或营业网点等进行。</w:t>
      </w:r>
      <w:r>
        <w:rPr>
          <w:rFonts w:asciiTheme="minorEastAsia" w:hAnsiTheme="minorEastAsia"/>
          <w:sz w:val="18"/>
          <w:szCs w:val="18"/>
        </w:rPr>
        <w:t>具体</w:t>
      </w:r>
      <w:r>
        <w:rPr>
          <w:rFonts w:hint="eastAsia" w:asciiTheme="minorEastAsia" w:hAnsiTheme="minorEastAsia"/>
          <w:sz w:val="18"/>
          <w:szCs w:val="18"/>
        </w:rPr>
        <w:t>信息披露的方式、渠道和频率等</w:t>
      </w:r>
      <w:r>
        <w:rPr>
          <w:rFonts w:asciiTheme="minorEastAsia" w:hAnsiTheme="minorEastAsia"/>
          <w:sz w:val="18"/>
          <w:szCs w:val="18"/>
        </w:rPr>
        <w:t>以《产品说明书》中“信息披露</w:t>
      </w:r>
      <w:r>
        <w:rPr>
          <w:rFonts w:hint="eastAsia" w:asciiTheme="minorEastAsia" w:hAnsiTheme="minorEastAsia"/>
          <w:sz w:val="18"/>
          <w:szCs w:val="18"/>
        </w:rPr>
        <w:t>”约定为准。</w:t>
      </w:r>
    </w:p>
    <w:p w14:paraId="2F4F6961">
      <w:pPr>
        <w:spacing w:line="280" w:lineRule="atLeast"/>
        <w:ind w:firstLine="360" w:firstLineChars="200"/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 w:val="18"/>
          <w:szCs w:val="18"/>
        </w:rPr>
        <w:t xml:space="preserve"> </w:t>
      </w:r>
      <w:r>
        <w:rPr>
          <w:rFonts w:hint="eastAsia" w:ascii="宋体" w:hAnsi="宋体"/>
          <w:b/>
          <w:sz w:val="18"/>
          <w:szCs w:val="18"/>
        </w:rPr>
        <w:t>四、关于投诉与建议</w:t>
      </w:r>
    </w:p>
    <w:p w14:paraId="35BC03A8"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（一）</w:t>
      </w:r>
      <w:r>
        <w:rPr>
          <w:rFonts w:hint="eastAsia" w:asciiTheme="minorEastAsia" w:hAnsiTheme="minorEastAsia"/>
          <w:sz w:val="18"/>
          <w:szCs w:val="18"/>
        </w:rPr>
        <w:t>您对本产品有任何意见或异议，可向产品管理人或</w:t>
      </w:r>
      <w:r>
        <w:rPr>
          <w:rFonts w:hint="eastAsia" w:ascii="宋体" w:hAnsi="宋体"/>
          <w:sz w:val="18"/>
          <w:szCs w:val="18"/>
        </w:rPr>
        <w:t>销售机构</w:t>
      </w:r>
      <w:r>
        <w:rPr>
          <w:rFonts w:hint="eastAsia" w:asciiTheme="minorEastAsia" w:hAnsiTheme="minorEastAsia"/>
          <w:sz w:val="18"/>
          <w:szCs w:val="18"/>
        </w:rPr>
        <w:t>反馈</w:t>
      </w:r>
      <w:r>
        <w:rPr>
          <w:rFonts w:hint="eastAsia" w:ascii="宋体" w:hAnsi="宋体"/>
          <w:sz w:val="18"/>
          <w:szCs w:val="18"/>
        </w:rPr>
        <w:t>，产品管理人或销售机构将由专人接听、记录您的意见或建议，并由各方协商共同解决。</w:t>
      </w:r>
    </w:p>
    <w:p w14:paraId="0F856DE3"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（二）联络方式：</w:t>
      </w:r>
    </w:p>
    <w:p w14:paraId="12ED1682"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1.产品管理人：兴银理财有限责任公司</w:t>
      </w:r>
    </w:p>
    <w:p w14:paraId="2EE5F880"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客户服务热线：40015-95561。</w:t>
      </w:r>
    </w:p>
    <w:p w14:paraId="51A08D70"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permStart w:id="15" w:edGrp="everyone"/>
      <w:r>
        <w:rPr>
          <w:rFonts w:hint="eastAsia" w:ascii="宋体" w:hAnsi="宋体"/>
          <w:sz w:val="18"/>
          <w:szCs w:val="18"/>
        </w:rPr>
        <w:t>2.</w:t>
      </w:r>
      <w:r>
        <w:rPr>
          <w:rFonts w:ascii="宋体" w:hAnsi="宋体"/>
          <w:sz w:val="18"/>
          <w:szCs w:val="18"/>
        </w:rPr>
        <w:t>销售机构</w:t>
      </w:r>
      <w:r>
        <w:rPr>
          <w:rFonts w:hint="eastAsia" w:ascii="宋体" w:hAnsi="宋体"/>
          <w:sz w:val="18"/>
          <w:szCs w:val="18"/>
        </w:rPr>
        <w:t>：兴业银行股份有限公司</w:t>
      </w:r>
    </w:p>
    <w:p w14:paraId="42AF76E1"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兴业银行理财经理或兴业银行各营业网点。</w:t>
      </w:r>
    </w:p>
    <w:p w14:paraId="2FC24683"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兴业银行</w:t>
      </w:r>
      <w:r>
        <w:rPr>
          <w:rFonts w:hint="eastAsia" w:ascii="宋体" w:hAnsi="宋体"/>
          <w:sz w:val="18"/>
          <w:szCs w:val="18"/>
        </w:rPr>
        <w:t>客户投诉电话：【</w:t>
      </w:r>
      <w:r>
        <w:rPr>
          <w:rFonts w:asciiTheme="minorEastAsia" w:hAnsiTheme="minorEastAsia"/>
          <w:sz w:val="18"/>
          <w:szCs w:val="18"/>
        </w:rPr>
        <w:t>95561</w:t>
      </w:r>
      <w:r>
        <w:rPr>
          <w:rFonts w:hint="eastAsia" w:ascii="宋体" w:hAnsi="宋体"/>
          <w:sz w:val="18"/>
          <w:szCs w:val="18"/>
        </w:rPr>
        <w:t>】。</w:t>
      </w:r>
    </w:p>
    <w:p w14:paraId="0D44EA6A"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兴业银行总行消费者投诉受理邮箱：【9</w:t>
      </w:r>
      <w:r>
        <w:rPr>
          <w:rFonts w:ascii="宋体" w:hAnsi="宋体"/>
          <w:sz w:val="18"/>
          <w:szCs w:val="18"/>
        </w:rPr>
        <w:t>5561</w:t>
      </w:r>
      <w:r>
        <w:rPr>
          <w:rFonts w:hint="eastAsia" w:ascii="宋体" w:hAnsi="宋体"/>
          <w:sz w:val="18"/>
          <w:szCs w:val="18"/>
        </w:rPr>
        <w:t>@</w:t>
      </w:r>
      <w:r>
        <w:rPr>
          <w:rFonts w:asciiTheme="minorEastAsia" w:hAnsiTheme="minorEastAsia"/>
          <w:sz w:val="18"/>
          <w:szCs w:val="18"/>
        </w:rPr>
        <w:t>cib.com.cn</w:t>
      </w:r>
      <w:r>
        <w:rPr>
          <w:rFonts w:hint="eastAsia" w:ascii="宋体" w:hAnsi="宋体"/>
          <w:sz w:val="18"/>
          <w:szCs w:val="18"/>
        </w:rPr>
        <w:t>】。</w:t>
      </w:r>
    </w:p>
    <w:p w14:paraId="2D93BFA2"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3.销售机构：【】</w:t>
      </w:r>
    </w:p>
    <w:p w14:paraId="3EFEE313"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【】</w:t>
      </w:r>
    </w:p>
    <w:permEnd w:id="15"/>
    <w:p w14:paraId="47FD7D9D">
      <w:pPr>
        <w:autoSpaceDE w:val="0"/>
        <w:autoSpaceDN w:val="0"/>
        <w:adjustRightInd w:val="0"/>
        <w:spacing w:line="280" w:lineRule="atLeast"/>
        <w:jc w:val="left"/>
        <w:rPr>
          <w:rFonts w:ascii="仿宋_GB2312" w:eastAsia="仿宋_GB2312" w:cs="仿宋_GB2312"/>
          <w:color w:val="000000"/>
          <w:kern w:val="0"/>
          <w:sz w:val="24"/>
          <w:szCs w:val="24"/>
        </w:rPr>
      </w:pPr>
    </w:p>
    <w:p w14:paraId="2BB1C716">
      <w:pPr>
        <w:widowControl/>
        <w:spacing w:line="280" w:lineRule="atLeast"/>
        <w:jc w:val="left"/>
        <w:rPr>
          <w:rFonts w:ascii="宋体" w:hAnsi="宋体"/>
          <w:b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567" w:footer="964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 w14:paraId="5404D2A8"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65ABB9">
    <w:pPr>
      <w:pStyle w:val="6"/>
      <w:jc w:val="right"/>
      <w:rPr>
        <w:rFonts w:ascii="Times New Roman" w:hAnsi="Times New Roman" w:eastAsia="宋体" w:cs="Times New Roman"/>
        <w:b/>
        <w:szCs w:val="20"/>
      </w:rPr>
    </w:pPr>
    <w:r>
      <w:rPr>
        <w:rFonts w:hint="eastAsia" w:ascii="Times New Roman" w:hAnsi="Times New Roman" w:eastAsia="宋体" w:cs="Times New Roman"/>
        <w:b/>
        <w:szCs w:val="20"/>
      </w:rPr>
      <w:t>投资者权益须知</w:t>
    </w:r>
  </w:p>
  <w:p w14:paraId="40B7EDE5">
    <w:pPr>
      <w:pStyle w:val="6"/>
      <w:jc w:val="right"/>
      <w:rPr>
        <w:rFonts w:ascii="Times New Roman" w:hAnsi="Times New Roman" w:eastAsia="宋体" w:cs="Times New Roman"/>
        <w:b/>
        <w:szCs w:val="20"/>
      </w:rPr>
    </w:pPr>
    <w:r>
      <w:rPr>
        <w:rFonts w:hint="eastAsia" w:ascii="Times New Roman" w:hAnsi="Times New Roman" w:eastAsia="宋体" w:cs="Times New Roman"/>
        <w:b/>
        <w:szCs w:val="20"/>
      </w:rPr>
      <w:t>注：本文件由兴银理财有限责任公司统一编制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bordersDoNotSurroundHeader w:val="1"/>
  <w:bordersDoNotSurroundFooter w:val="1"/>
  <w:documentProtection w:edit="readOnly" w:enforcement="1" w:cryptProviderType="rsaAES" w:cryptAlgorithmClass="hash" w:cryptAlgorithmType="typeAny" w:cryptAlgorithmSid="14" w:cryptSpinCount="100000" w:hash="k+c/UFsl11gWloH/L5insUGG7wy60L6imAgBgpHfYB4+PEw5Ne70Rrp0uZnCyItaMWk+dIaivDtskeTkkCOUzg==" w:salt="Jd9hddxm/25zEopbTpanhw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IwNTljODZlNmMxN2IxODkyNGQ0MzYwYjkyOGU4YWIifQ=="/>
  </w:docVars>
  <w:rsids>
    <w:rsidRoot w:val="00D237B3"/>
    <w:rsid w:val="00012DF8"/>
    <w:rsid w:val="00044E9D"/>
    <w:rsid w:val="000466D9"/>
    <w:rsid w:val="0008384D"/>
    <w:rsid w:val="000921B4"/>
    <w:rsid w:val="000C4846"/>
    <w:rsid w:val="000E6147"/>
    <w:rsid w:val="00141624"/>
    <w:rsid w:val="00171420"/>
    <w:rsid w:val="001826CA"/>
    <w:rsid w:val="00195672"/>
    <w:rsid w:val="001D15B4"/>
    <w:rsid w:val="001D7F61"/>
    <w:rsid w:val="001E3318"/>
    <w:rsid w:val="001E7CA6"/>
    <w:rsid w:val="00206C75"/>
    <w:rsid w:val="0023468F"/>
    <w:rsid w:val="002462D8"/>
    <w:rsid w:val="00252EC4"/>
    <w:rsid w:val="00271331"/>
    <w:rsid w:val="00276F5A"/>
    <w:rsid w:val="002861F2"/>
    <w:rsid w:val="002A6909"/>
    <w:rsid w:val="002B0017"/>
    <w:rsid w:val="002B56A0"/>
    <w:rsid w:val="002B6D4B"/>
    <w:rsid w:val="002C01C0"/>
    <w:rsid w:val="002E6656"/>
    <w:rsid w:val="00373C0A"/>
    <w:rsid w:val="003B33DD"/>
    <w:rsid w:val="003B4628"/>
    <w:rsid w:val="003B5DB0"/>
    <w:rsid w:val="003D624D"/>
    <w:rsid w:val="00484980"/>
    <w:rsid w:val="004D586E"/>
    <w:rsid w:val="004E5B8C"/>
    <w:rsid w:val="00506EB6"/>
    <w:rsid w:val="00526973"/>
    <w:rsid w:val="00532846"/>
    <w:rsid w:val="00552ACB"/>
    <w:rsid w:val="00571A72"/>
    <w:rsid w:val="00592F0D"/>
    <w:rsid w:val="005A0FFB"/>
    <w:rsid w:val="005A17EF"/>
    <w:rsid w:val="005B1F8B"/>
    <w:rsid w:val="005B6CBB"/>
    <w:rsid w:val="005D1461"/>
    <w:rsid w:val="005D158B"/>
    <w:rsid w:val="005E4F9A"/>
    <w:rsid w:val="00622E88"/>
    <w:rsid w:val="00641888"/>
    <w:rsid w:val="006639A1"/>
    <w:rsid w:val="00687239"/>
    <w:rsid w:val="006B237F"/>
    <w:rsid w:val="006D2908"/>
    <w:rsid w:val="006E4016"/>
    <w:rsid w:val="006F690F"/>
    <w:rsid w:val="00710B52"/>
    <w:rsid w:val="007B231D"/>
    <w:rsid w:val="007C6A86"/>
    <w:rsid w:val="00812B92"/>
    <w:rsid w:val="00820AF6"/>
    <w:rsid w:val="00835EA0"/>
    <w:rsid w:val="0088530C"/>
    <w:rsid w:val="008C2FE9"/>
    <w:rsid w:val="008E7821"/>
    <w:rsid w:val="008E7C7D"/>
    <w:rsid w:val="009606A0"/>
    <w:rsid w:val="00971F4B"/>
    <w:rsid w:val="009816B9"/>
    <w:rsid w:val="009A1C1D"/>
    <w:rsid w:val="009D1DC4"/>
    <w:rsid w:val="009E4DBC"/>
    <w:rsid w:val="00A4010F"/>
    <w:rsid w:val="00A646F7"/>
    <w:rsid w:val="00A75734"/>
    <w:rsid w:val="00AA4438"/>
    <w:rsid w:val="00AB386C"/>
    <w:rsid w:val="00AC38B4"/>
    <w:rsid w:val="00AC71D9"/>
    <w:rsid w:val="00AD346C"/>
    <w:rsid w:val="00AF2C8D"/>
    <w:rsid w:val="00B02055"/>
    <w:rsid w:val="00B07EA5"/>
    <w:rsid w:val="00B16C9A"/>
    <w:rsid w:val="00B507EB"/>
    <w:rsid w:val="00B57A5B"/>
    <w:rsid w:val="00BE4E6B"/>
    <w:rsid w:val="00BF7C2F"/>
    <w:rsid w:val="00C018F3"/>
    <w:rsid w:val="00C202DE"/>
    <w:rsid w:val="00C32FF7"/>
    <w:rsid w:val="00C8683D"/>
    <w:rsid w:val="00C86FD7"/>
    <w:rsid w:val="00CC4AD5"/>
    <w:rsid w:val="00CC7FEA"/>
    <w:rsid w:val="00CD7916"/>
    <w:rsid w:val="00CE1CA4"/>
    <w:rsid w:val="00D01E10"/>
    <w:rsid w:val="00D237B3"/>
    <w:rsid w:val="00D56354"/>
    <w:rsid w:val="00D917DB"/>
    <w:rsid w:val="00DB67D6"/>
    <w:rsid w:val="00DD5F6E"/>
    <w:rsid w:val="00E01CA3"/>
    <w:rsid w:val="00E077CB"/>
    <w:rsid w:val="00E4791B"/>
    <w:rsid w:val="00EA7D7F"/>
    <w:rsid w:val="00EF1A43"/>
    <w:rsid w:val="00F126D2"/>
    <w:rsid w:val="00F33265"/>
    <w:rsid w:val="00F47A61"/>
    <w:rsid w:val="00F74AE2"/>
    <w:rsid w:val="00F81CAA"/>
    <w:rsid w:val="00F85BFD"/>
    <w:rsid w:val="00FC059B"/>
    <w:rsid w:val="121A1EA9"/>
    <w:rsid w:val="387158CE"/>
    <w:rsid w:val="52D44062"/>
    <w:rsid w:val="5D555C35"/>
    <w:rsid w:val="D6BFB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99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keepNext/>
      <w:keepLines/>
      <w:spacing w:before="120" w:after="120" w:line="360" w:lineRule="auto"/>
      <w:outlineLvl w:val="0"/>
    </w:pPr>
    <w:rPr>
      <w:rFonts w:ascii="宋体"/>
      <w:b/>
      <w:color w:val="000000"/>
      <w:kern w:val="0"/>
      <w:sz w:val="24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9"/>
    <w:qFormat/>
    <w:uiPriority w:val="0"/>
    <w:pPr>
      <w:jc w:val="left"/>
    </w:pPr>
  </w:style>
  <w:style w:type="paragraph" w:styleId="4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TML Preformatted"/>
    <w:basedOn w:val="1"/>
    <w:link w:val="17"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8">
    <w:name w:val="annotation subject"/>
    <w:basedOn w:val="3"/>
    <w:next w:val="3"/>
    <w:link w:val="21"/>
    <w:semiHidden/>
    <w:unhideWhenUsed/>
    <w:qFormat/>
    <w:uiPriority w:val="99"/>
    <w:rPr>
      <w:b/>
      <w:bCs/>
    </w:rPr>
  </w:style>
  <w:style w:type="character" w:styleId="11">
    <w:name w:val="Strong"/>
    <w:qFormat/>
    <w:uiPriority w:val="22"/>
    <w:rPr>
      <w:b/>
      <w:bCs/>
    </w:rPr>
  </w:style>
  <w:style w:type="character" w:styleId="12">
    <w:name w:val="annotation reference"/>
    <w:qFormat/>
    <w:uiPriority w:val="0"/>
    <w:rPr>
      <w:sz w:val="21"/>
    </w:rPr>
  </w:style>
  <w:style w:type="character" w:customStyle="1" w:styleId="13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5"/>
    <w:qFormat/>
    <w:uiPriority w:val="99"/>
    <w:rPr>
      <w:sz w:val="18"/>
      <w:szCs w:val="18"/>
    </w:r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lang w:val="en-US" w:eastAsia="zh-CN" w:bidi="ar-SA"/>
    </w:rPr>
  </w:style>
  <w:style w:type="character" w:customStyle="1" w:styleId="16">
    <w:name w:val="标题 1 Char"/>
    <w:basedOn w:val="10"/>
    <w:link w:val="2"/>
    <w:qFormat/>
    <w:uiPriority w:val="0"/>
    <w:rPr>
      <w:rFonts w:ascii="宋体" w:hAnsi="Times New Roman" w:eastAsia="宋体" w:cs="Times New Roman"/>
      <w:b/>
      <w:color w:val="000000"/>
      <w:kern w:val="0"/>
      <w:sz w:val="24"/>
      <w:szCs w:val="20"/>
    </w:rPr>
  </w:style>
  <w:style w:type="character" w:customStyle="1" w:styleId="17">
    <w:name w:val="HTML 预设格式 Char"/>
    <w:basedOn w:val="10"/>
    <w:link w:val="7"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18">
    <w:name w:val="批注文字 Char"/>
    <w:basedOn w:val="10"/>
    <w:semiHidden/>
    <w:qFormat/>
    <w:uiPriority w:val="99"/>
    <w:rPr>
      <w:rFonts w:ascii="Times New Roman" w:hAnsi="Times New Roman" w:eastAsia="宋体" w:cs="Times New Roman"/>
      <w:szCs w:val="20"/>
    </w:rPr>
  </w:style>
  <w:style w:type="character" w:customStyle="1" w:styleId="19">
    <w:name w:val="批注文字 Char1"/>
    <w:basedOn w:val="10"/>
    <w:link w:val="3"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20">
    <w:name w:val="批注框文本 Char"/>
    <w:basedOn w:val="10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1">
    <w:name w:val="批注主题 Char"/>
    <w:basedOn w:val="19"/>
    <w:link w:val="8"/>
    <w:semiHidden/>
    <w:qFormat/>
    <w:uiPriority w:val="99"/>
    <w:rPr>
      <w:rFonts w:ascii="Times New Roman" w:hAnsi="Times New Roman" w:eastAsia="宋体" w:cs="Times New Roman"/>
      <w:b/>
      <w:bCs/>
      <w:szCs w:val="20"/>
    </w:rPr>
  </w:style>
  <w:style w:type="paragraph" w:customStyle="1" w:styleId="22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神州网信技术有限公司</Company>
  <Pages>4</Pages>
  <Words>554</Words>
  <Characters>3162</Characters>
  <Lines>26</Lines>
  <Paragraphs>7</Paragraphs>
  <TotalTime>0</TotalTime>
  <ScaleCrop>false</ScaleCrop>
  <LinksUpToDate>false</LinksUpToDate>
  <CharactersWithSpaces>3709</CharactersWithSpaces>
  <Application>WPS Office_6.14.0.8924_F1E327BC-269C-435d-A152-05C5408002CA</Application>
  <DocSecurity>8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2024-03-04T10:03:00Z</dcterms:created>
  <dc:creator>胡骁潇</dc:creator>
  <cp:lastModifiedBy>Lee</cp:lastModifiedBy>
  <dcterms:modified xsi:type="dcterms:W3CDTF">2025-01-22T14:55:52Z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9873E9C24C094D1B8CECDA42AF5A7960</vt:lpwstr>
  </property>
</Properties>
</file>