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8974">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0E9BF75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FD1A180">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0DEBEC3">
      <w:pPr>
        <w:rPr>
          <w:rFonts w:ascii="宋体" w:hAnsi="宋体" w:cs="仿宋_GB2312"/>
          <w:b/>
          <w:kern w:val="0"/>
          <w:sz w:val="18"/>
          <w:szCs w:val="18"/>
        </w:rPr>
      </w:pPr>
      <w:r>
        <w:rPr>
          <w:rFonts w:hint="eastAsia" w:ascii="宋体" w:hAnsi="宋体" w:cs="仿宋_GB2312"/>
          <w:b/>
          <w:kern w:val="0"/>
          <w:sz w:val="18"/>
          <w:szCs w:val="18"/>
        </w:rPr>
        <w:t>尊敬的投资者：</w:t>
      </w:r>
    </w:p>
    <w:p w14:paraId="741DF2B9">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17274421">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D85482D">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D9A397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3420A9BF">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【兴银理财稳利恒盈封闭式2025年403期固收类理财产品</w:t>
      </w:r>
      <w:r>
        <w:rPr>
          <w:rFonts w:hint="eastAsia" w:asciiTheme="majorEastAsia" w:hAnsiTheme="majorEastAsia" w:eastAsiaTheme="majorEastAsia"/>
          <w:bCs/>
          <w:kern w:val="0"/>
          <w:sz w:val="18"/>
          <w:szCs w:val="18"/>
        </w:rPr>
        <w:t>】</w:t>
      </w:r>
      <w:permEnd w:id="1"/>
    </w:p>
    <w:p w14:paraId="279D92E2">
      <w:pPr>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【稳利恒盈2025年403期(纯盈迎春款)A】（适用【A】类份额）</w:t>
      </w:r>
    </w:p>
    <w:p w14:paraId="641E4D93">
      <w:pPr>
        <w:ind w:firstLine="448" w:firstLineChars="249"/>
        <w:rPr>
          <w:rFonts w:hint="eastAsia" w:ascii="宋体" w:hAnsi="宋体" w:cs="仿宋_GB2312"/>
          <w:kern w:val="0"/>
          <w:sz w:val="18"/>
          <w:szCs w:val="18"/>
        </w:rPr>
      </w:pPr>
      <w:r>
        <w:rPr>
          <w:rFonts w:hint="eastAsia" w:ascii="宋体" w:hAnsi="宋体" w:cs="仿宋_GB2312"/>
          <w:kern w:val="0"/>
          <w:sz w:val="18"/>
          <w:szCs w:val="18"/>
        </w:rPr>
        <w:t>【稳利恒盈2025年403期(纯盈迎春款)B】（适用【</w:t>
      </w:r>
      <w:r>
        <w:rPr>
          <w:rFonts w:hint="eastAsia" w:ascii="宋体" w:hAnsi="宋体" w:cs="仿宋_GB2312"/>
          <w:kern w:val="0"/>
          <w:sz w:val="18"/>
          <w:szCs w:val="18"/>
          <w:lang w:val="en-US" w:eastAsia="zh-CN"/>
        </w:rPr>
        <w:t>B</w:t>
      </w:r>
      <w:r>
        <w:rPr>
          <w:rFonts w:hint="eastAsia" w:ascii="宋体" w:hAnsi="宋体" w:cs="仿宋_GB2312"/>
          <w:kern w:val="0"/>
          <w:sz w:val="18"/>
          <w:szCs w:val="18"/>
        </w:rPr>
        <w:t>】类份额）</w:t>
      </w:r>
    </w:p>
    <w:p w14:paraId="4D3D4F98">
      <w:pPr>
        <w:ind w:firstLine="448" w:firstLineChars="249"/>
        <w:rPr>
          <w:rFonts w:hint="eastAsia" w:ascii="宋体" w:hAnsi="宋体" w:cs="仿宋_GB2312"/>
          <w:kern w:val="0"/>
          <w:sz w:val="18"/>
          <w:szCs w:val="18"/>
        </w:rPr>
      </w:pPr>
      <w:r>
        <w:rPr>
          <w:rFonts w:hint="eastAsia" w:ascii="宋体" w:hAnsi="宋体" w:cs="仿宋_GB2312"/>
          <w:kern w:val="0"/>
          <w:sz w:val="18"/>
          <w:szCs w:val="18"/>
          <w:lang w:eastAsia="zh-CN"/>
        </w:rPr>
        <w:t>【</w:t>
      </w:r>
      <w:r>
        <w:rPr>
          <w:rFonts w:hint="eastAsia" w:ascii="宋体" w:hAnsi="宋体" w:cs="仿宋_GB2312"/>
          <w:kern w:val="0"/>
          <w:sz w:val="18"/>
          <w:szCs w:val="18"/>
        </w:rPr>
        <w:t>稳利恒盈2025年403期(纯盈迎春款)C】（适用【</w:t>
      </w:r>
      <w:r>
        <w:rPr>
          <w:rFonts w:hint="eastAsia" w:ascii="宋体" w:hAnsi="宋体" w:cs="仿宋_GB2312"/>
          <w:kern w:val="0"/>
          <w:sz w:val="18"/>
          <w:szCs w:val="18"/>
          <w:lang w:val="en-US" w:eastAsia="zh-CN"/>
        </w:rPr>
        <w:t>C</w:t>
      </w:r>
      <w:r>
        <w:rPr>
          <w:rFonts w:hint="eastAsia" w:ascii="宋体" w:hAnsi="宋体" w:cs="仿宋_GB2312"/>
          <w:kern w:val="0"/>
          <w:sz w:val="18"/>
          <w:szCs w:val="18"/>
        </w:rPr>
        <w:t>】类份额）</w:t>
      </w:r>
    </w:p>
    <w:p w14:paraId="7230F61F">
      <w:pPr>
        <w:ind w:firstLine="448" w:firstLineChars="249"/>
        <w:rPr>
          <w:rFonts w:ascii="宋体" w:hAnsi="宋体" w:cs="仿宋_GB2312"/>
          <w:kern w:val="0"/>
          <w:sz w:val="18"/>
          <w:szCs w:val="18"/>
        </w:rPr>
      </w:pPr>
      <w:r>
        <w:rPr>
          <w:rFonts w:hint="eastAsia" w:ascii="宋体" w:hAnsi="宋体" w:cs="仿宋_GB2312"/>
          <w:kern w:val="0"/>
          <w:sz w:val="18"/>
          <w:szCs w:val="18"/>
          <w:lang w:eastAsia="zh-CN"/>
        </w:rPr>
        <w:t>【</w:t>
      </w:r>
      <w:r>
        <w:rPr>
          <w:rFonts w:hint="eastAsia" w:ascii="宋体" w:hAnsi="宋体" w:cs="仿宋_GB2312"/>
          <w:kern w:val="0"/>
          <w:sz w:val="18"/>
          <w:szCs w:val="18"/>
        </w:rPr>
        <w:t>稳利恒盈2025年403期(纯盈迎春款)</w:t>
      </w:r>
      <w:r>
        <w:rPr>
          <w:rFonts w:hint="eastAsia" w:ascii="宋体" w:hAnsi="宋体" w:cs="仿宋_GB2312"/>
          <w:kern w:val="0"/>
          <w:sz w:val="18"/>
          <w:szCs w:val="18"/>
          <w:lang w:val="en-US" w:eastAsia="zh-CN"/>
        </w:rPr>
        <w:t>D</w:t>
      </w:r>
      <w:r>
        <w:rPr>
          <w:rFonts w:hint="eastAsia" w:ascii="宋体" w:hAnsi="宋体" w:cs="仿宋_GB2312"/>
          <w:kern w:val="0"/>
          <w:sz w:val="18"/>
          <w:szCs w:val="18"/>
        </w:rPr>
        <w:t>】（适用【</w:t>
      </w:r>
      <w:r>
        <w:rPr>
          <w:rFonts w:hint="eastAsia" w:ascii="宋体" w:hAnsi="宋体" w:cs="仿宋_GB2312"/>
          <w:kern w:val="0"/>
          <w:sz w:val="18"/>
          <w:szCs w:val="18"/>
          <w:lang w:val="en-US" w:eastAsia="zh-CN"/>
        </w:rPr>
        <w:t>D</w:t>
      </w:r>
      <w:r>
        <w:rPr>
          <w:rFonts w:hint="eastAsia" w:ascii="宋体" w:hAnsi="宋体" w:cs="仿宋_GB2312"/>
          <w:kern w:val="0"/>
          <w:sz w:val="18"/>
          <w:szCs w:val="18"/>
        </w:rPr>
        <w:t>】类份额）</w:t>
      </w:r>
    </w:p>
    <w:p w14:paraId="71FF24F6">
      <w:pPr>
        <w:rPr>
          <w:rFonts w:hint="eastAsia" w:ascii="宋体" w:hAnsi="宋体" w:cs="仿宋_GB2312"/>
          <w:kern w:val="0"/>
          <w:sz w:val="18"/>
          <w:szCs w:val="18"/>
        </w:rPr>
      </w:pPr>
    </w:p>
    <w:p w14:paraId="574D4CB1">
      <w:pPr>
        <w:ind w:firstLine="448" w:firstLineChars="249"/>
        <w:rPr>
          <w:rFonts w:hint="eastAsia" w:ascii="宋体" w:hAnsi="宋体" w:cs="仿宋_GB2312"/>
          <w:kern w:val="0"/>
          <w:sz w:val="18"/>
          <w:szCs w:val="18"/>
        </w:rPr>
      </w:pPr>
    </w:p>
    <w:permEnd w:id="2"/>
    <w:p w14:paraId="5662031D">
      <w:pPr>
        <w:ind w:firstLine="448" w:firstLineChars="249"/>
        <w:rPr>
          <w:rFonts w:ascii="宋体" w:hAnsi="宋体" w:cs="仿宋_GB2312"/>
          <w:kern w:val="0"/>
          <w:sz w:val="18"/>
          <w:szCs w:val="18"/>
        </w:rPr>
      </w:pPr>
    </w:p>
    <w:p w14:paraId="1EC6D79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Z7002024003345</w:t>
      </w:r>
      <w:r>
        <w:rPr>
          <w:rFonts w:ascii="宋体" w:hAnsi="宋体" w:cs="仿宋_GB2312"/>
          <w:kern w:val="0"/>
          <w:sz w:val="18"/>
          <w:szCs w:val="18"/>
        </w:rPr>
        <w:t>】</w:t>
      </w:r>
      <w:permEnd w:id="3"/>
    </w:p>
    <w:p w14:paraId="32884D04">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DE8A8E8">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9C333DC">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5E70FFE">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■有固定期限：【97天】</w:t>
      </w:r>
    </w:p>
    <w:p w14:paraId="09CBE305">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4F3BB54B">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921F1A3">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1A9DBA0">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2B6A945">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75029A3E">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BDE6FEE">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296BA29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518801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407A81A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AEE5CA4">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C6C6B30">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82D069D">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05B21D9">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5CF7520">
      <w:pPr>
        <w:pStyle w:val="13"/>
        <w:ind w:firstLine="360"/>
        <w:rPr>
          <w:rFonts w:ascii="宋体" w:hAnsi="宋体"/>
          <w:bCs/>
          <w:sz w:val="18"/>
          <w:szCs w:val="18"/>
        </w:rPr>
      </w:pPr>
      <w:permStart w:id="10" w:edGrp="everyone"/>
      <w:r>
        <w:rPr>
          <w:rFonts w:hint="eastAsia" w:ascii="宋体" w:hAnsi="宋体"/>
          <w:sz w:val="18"/>
          <w:szCs w:val="18"/>
        </w:rPr>
        <w:t>【</w:t>
      </w:r>
      <w:r>
        <w:rPr>
          <w:rFonts w:ascii="宋体" w:hAnsi="宋体"/>
          <w:bCs/>
          <w:sz w:val="18"/>
          <w:szCs w:val="18"/>
        </w:rPr>
        <w:t>1.</w:t>
      </w:r>
      <w:r>
        <w:rPr>
          <w:rFonts w:hint="eastAsia" w:ascii="宋体" w:hAnsi="宋体"/>
          <w:bCs/>
          <w:sz w:val="18"/>
          <w:szCs w:val="18"/>
        </w:rPr>
        <w:t>拟投资市场和资产的风险：</w:t>
      </w:r>
    </w:p>
    <w:p w14:paraId="2EE440FA">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）投资债权类资产的风险</w:t>
      </w:r>
    </w:p>
    <w:p w14:paraId="290F8A92">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）投资标准化债权类资产的风险</w:t>
      </w:r>
    </w:p>
    <w:p w14:paraId="14379919">
      <w:pPr>
        <w:pStyle w:val="13"/>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BAB394B">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）投资非标准化债权类资产的风险</w:t>
      </w:r>
    </w:p>
    <w:p w14:paraId="00DD6E3F">
      <w:pPr>
        <w:pStyle w:val="13"/>
        <w:ind w:firstLine="360"/>
        <w:rPr>
          <w:rFonts w:ascii="宋体" w:hAnsi="宋体"/>
          <w:bCs/>
          <w:sz w:val="18"/>
          <w:szCs w:val="18"/>
        </w:rPr>
      </w:pPr>
      <w:r>
        <w:rPr>
          <w:rFonts w:hint="eastAsia" w:ascii="宋体" w:hAnsi="宋体"/>
          <w:bCs/>
          <w:sz w:val="18"/>
          <w:szCs w:val="18"/>
        </w:rPr>
        <w:t>本产品投资非标债权类资产时可能面临以下风险：由于融资主体</w:t>
      </w:r>
      <w:r>
        <w:rPr>
          <w:rFonts w:ascii="宋体" w:hAnsi="宋体"/>
          <w:bCs/>
          <w:sz w:val="18"/>
          <w:szCs w:val="18"/>
        </w:rPr>
        <w:t>/</w:t>
      </w:r>
      <w:r>
        <w:rPr>
          <w:rFonts w:hint="eastAsia" w:ascii="宋体" w:hAnsi="宋体"/>
          <w:bCs/>
          <w:sz w:val="18"/>
          <w:szCs w:val="18"/>
        </w:rPr>
        <w:t>增信主体</w:t>
      </w:r>
      <w:r>
        <w:rPr>
          <w:rFonts w:ascii="宋体" w:hAnsi="宋体"/>
          <w:bCs/>
          <w:sz w:val="18"/>
          <w:szCs w:val="18"/>
        </w:rPr>
        <w:t>/</w:t>
      </w:r>
      <w:r>
        <w:rPr>
          <w:rFonts w:hint="eastAsia" w:ascii="宋体" w:hAnsi="宋体"/>
          <w:bCs/>
          <w:sz w:val="18"/>
          <w:szCs w:val="18"/>
        </w:rPr>
        <w:t>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0AB543A9">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）投资权益类资产的风险</w:t>
      </w:r>
      <w:r>
        <w:rPr>
          <w:rFonts w:ascii="宋体" w:hAnsi="宋体"/>
          <w:bCs/>
          <w:sz w:val="18"/>
          <w:szCs w:val="18"/>
        </w:rPr>
        <w:t xml:space="preserve"> </w:t>
      </w:r>
    </w:p>
    <w:p w14:paraId="285D4107">
      <w:pPr>
        <w:pStyle w:val="13"/>
        <w:ind w:firstLine="360"/>
        <w:rPr>
          <w:rFonts w:ascii="宋体" w:hAnsi="宋体"/>
          <w:bCs/>
          <w:sz w:val="18"/>
          <w:szCs w:val="18"/>
        </w:rPr>
      </w:pPr>
      <w:r>
        <w:rPr>
          <w:rFonts w:ascii="宋体" w:hAnsi="宋体"/>
          <w:bCs/>
          <w:sz w:val="18"/>
          <w:szCs w:val="18"/>
        </w:rPr>
        <w:t>1</w:t>
      </w:r>
      <w:r>
        <w:rPr>
          <w:rFonts w:hint="eastAsia" w:ascii="宋体" w:hAnsi="宋体"/>
          <w:bCs/>
          <w:sz w:val="18"/>
          <w:szCs w:val="18"/>
        </w:rPr>
        <w:t>）投资股票类资产的风险</w:t>
      </w:r>
    </w:p>
    <w:p w14:paraId="7DB27F38">
      <w:pPr>
        <w:pStyle w:val="13"/>
        <w:ind w:firstLine="36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69402ACA">
      <w:pPr>
        <w:pStyle w:val="13"/>
        <w:ind w:firstLine="360"/>
        <w:rPr>
          <w:rFonts w:ascii="宋体" w:hAnsi="宋体"/>
          <w:bCs/>
          <w:sz w:val="18"/>
          <w:szCs w:val="18"/>
        </w:rPr>
      </w:pPr>
      <w:r>
        <w:rPr>
          <w:rFonts w:ascii="宋体" w:hAnsi="宋体"/>
          <w:bCs/>
          <w:sz w:val="18"/>
          <w:szCs w:val="18"/>
        </w:rPr>
        <w:t>2</w:t>
      </w:r>
      <w:r>
        <w:rPr>
          <w:rFonts w:hint="eastAsia" w:ascii="宋体" w:hAnsi="宋体"/>
          <w:bCs/>
          <w:sz w:val="18"/>
          <w:szCs w:val="18"/>
        </w:rPr>
        <w:t>）投资股权类资产的风险</w:t>
      </w:r>
    </w:p>
    <w:p w14:paraId="0E49E260">
      <w:pPr>
        <w:pStyle w:val="13"/>
        <w:ind w:firstLine="36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14:paraId="1D30A2DC">
      <w:pPr>
        <w:pStyle w:val="13"/>
        <w:ind w:firstLine="36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）投资商品和金融衍生品类资产的风险</w:t>
      </w:r>
      <w:r>
        <w:rPr>
          <w:rFonts w:ascii="宋体" w:hAnsi="宋体"/>
          <w:bCs/>
          <w:sz w:val="18"/>
          <w:szCs w:val="18"/>
        </w:rPr>
        <w:t xml:space="preserve"> </w:t>
      </w:r>
    </w:p>
    <w:p w14:paraId="0EB1486A">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456A493">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50BC97F4">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101C10BB">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3E84B137">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533270E">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B58DD46">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22F0A43">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1AC9FAC">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5C9BB10">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937CEFE">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E5A9148">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D6E64E5">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99D3E09">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A59E893">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61EC786">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0BB42C0">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B575297">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559C632A">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B14C053">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16A0A3D5">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23014028">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3C4D3E0">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9A62FA7">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F3ED51A">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34EE88C5">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0475AF1F">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DB23DF5">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1F99F12">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B1A593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69FE443">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176098E">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ADF6B22">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8BA2D6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230ED02E">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F75B371">
      <w:pPr>
        <w:pStyle w:val="13"/>
        <w:ind w:firstLineChars="0"/>
        <w:rPr>
          <w:rFonts w:ascii="宋体" w:hAnsi="宋体"/>
          <w:b/>
          <w:bCs/>
          <w:sz w:val="18"/>
          <w:szCs w:val="18"/>
        </w:rPr>
      </w:pPr>
      <w:r>
        <w:rPr>
          <w:rFonts w:hint="eastAsia" w:ascii="宋体" w:hAnsi="宋体"/>
          <w:b/>
          <w:bCs/>
          <w:sz w:val="18"/>
          <w:szCs w:val="18"/>
        </w:rPr>
        <w:t>17.关联交易风险</w:t>
      </w:r>
    </w:p>
    <w:p w14:paraId="096BB4C6">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C077AC6">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336C9C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1397247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E1289FF">
      <w:pPr>
        <w:ind w:left="540"/>
        <w:jc w:val="right"/>
        <w:rPr>
          <w:rFonts w:ascii="宋体" w:hAnsi="宋体"/>
          <w:sz w:val="18"/>
          <w:szCs w:val="18"/>
        </w:rPr>
      </w:pPr>
    </w:p>
    <w:p w14:paraId="06BF25B2">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5DB24918">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销售机构（【浙江新昌农村商业银行股份有限公司</w:t>
      </w:r>
      <w:bookmarkStart w:id="0" w:name="_GoBack"/>
      <w:bookmarkEnd w:id="0"/>
      <w:r>
        <w:rPr>
          <w:rFonts w:hint="eastAsia" w:ascii="宋体" w:hAnsi="宋体"/>
          <w:sz w:val="18"/>
          <w:szCs w:val="18"/>
          <w:lang w:eastAsia="zh-CN"/>
        </w:rPr>
        <w:t>】）</w:t>
      </w:r>
    </w:p>
    <w:permEnd w:id="11"/>
    <w:p w14:paraId="6031B801">
      <w:pPr>
        <w:widowControl/>
        <w:jc w:val="left"/>
        <w:rPr>
          <w:rFonts w:ascii="宋体" w:hAnsi="宋体"/>
          <w:sz w:val="18"/>
          <w:szCs w:val="18"/>
        </w:rPr>
      </w:pPr>
      <w:r>
        <w:rPr>
          <w:rFonts w:ascii="宋体" w:hAnsi="宋体"/>
          <w:sz w:val="18"/>
          <w:szCs w:val="18"/>
        </w:rPr>
        <w:br w:type="page"/>
      </w:r>
    </w:p>
    <w:p w14:paraId="631946AA">
      <w:pPr>
        <w:ind w:left="540"/>
        <w:jc w:val="right"/>
        <w:rPr>
          <w:rFonts w:ascii="宋体" w:hAnsi="宋体"/>
          <w:sz w:val="18"/>
          <w:szCs w:val="18"/>
        </w:rPr>
      </w:pPr>
    </w:p>
    <w:p w14:paraId="681BDD70">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E96C58A">
        <w:trPr>
          <w:trHeight w:val="627" w:hRule="atLeast"/>
        </w:trPr>
        <w:tc>
          <w:tcPr>
            <w:tcW w:w="8371" w:type="dxa"/>
          </w:tcPr>
          <w:p w14:paraId="1B454063">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9094493">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30AACF9">
        <w:trPr>
          <w:trHeight w:val="6283" w:hRule="atLeast"/>
        </w:trPr>
        <w:tc>
          <w:tcPr>
            <w:tcW w:w="8371" w:type="dxa"/>
          </w:tcPr>
          <w:p w14:paraId="7563A36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4AE9293">
            <w:pPr>
              <w:spacing w:line="280" w:lineRule="atLeast"/>
              <w:jc w:val="left"/>
              <w:rPr>
                <w:rFonts w:ascii="宋体" w:hAnsi="宋体" w:cs="Arial"/>
                <w:sz w:val="18"/>
                <w:szCs w:val="18"/>
              </w:rPr>
            </w:pPr>
          </w:p>
          <w:p w14:paraId="141ACAFC">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C9F9001">
            <w:pPr>
              <w:spacing w:line="280" w:lineRule="atLeast"/>
              <w:jc w:val="left"/>
              <w:rPr>
                <w:rFonts w:ascii="宋体" w:hAnsi="宋体" w:cs="Arial"/>
                <w:kern w:val="0"/>
                <w:sz w:val="18"/>
                <w:szCs w:val="18"/>
              </w:rPr>
            </w:pPr>
          </w:p>
          <w:p w14:paraId="4CC349E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C71C71C">
            <w:pPr>
              <w:spacing w:line="280" w:lineRule="atLeast"/>
              <w:jc w:val="left"/>
              <w:rPr>
                <w:rFonts w:ascii="宋体" w:hAnsi="宋体" w:cs="Arial"/>
                <w:kern w:val="0"/>
                <w:sz w:val="18"/>
                <w:szCs w:val="18"/>
              </w:rPr>
            </w:pPr>
          </w:p>
          <w:p w14:paraId="79958A71">
            <w:pPr>
              <w:spacing w:line="280" w:lineRule="atLeast"/>
              <w:jc w:val="left"/>
              <w:rPr>
                <w:kern w:val="0"/>
                <w:sz w:val="18"/>
                <w:szCs w:val="18"/>
                <w:u w:val="single"/>
              </w:rPr>
            </w:pPr>
            <w:r>
              <w:rPr>
                <w:rFonts w:hint="eastAsia" w:ascii="宋体" w:hAnsi="宋体" w:cs="Arial"/>
                <w:kern w:val="0"/>
                <w:sz w:val="18"/>
                <w:szCs w:val="18"/>
              </w:rPr>
              <w:t>请投资者在此抄录：</w:t>
            </w:r>
          </w:p>
          <w:p w14:paraId="069BEFD8">
            <w:pPr>
              <w:spacing w:line="280" w:lineRule="atLeast"/>
              <w:jc w:val="left"/>
              <w:rPr>
                <w:kern w:val="0"/>
                <w:sz w:val="18"/>
                <w:szCs w:val="18"/>
                <w:u w:val="single"/>
              </w:rPr>
            </w:pPr>
          </w:p>
          <w:p w14:paraId="5F5F48D8">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7E3ECB4E">
            <w:pPr>
              <w:spacing w:line="280" w:lineRule="atLeast"/>
              <w:ind w:left="4200" w:firstLine="1080" w:firstLineChars="600"/>
              <w:jc w:val="left"/>
              <w:rPr>
                <w:rFonts w:ascii="宋体" w:hAnsi="宋体" w:cs="Arial"/>
                <w:kern w:val="0"/>
                <w:sz w:val="18"/>
                <w:szCs w:val="18"/>
              </w:rPr>
            </w:pPr>
          </w:p>
          <w:p w14:paraId="3CFB98E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7D4DFBD">
            <w:pPr>
              <w:spacing w:line="280" w:lineRule="atLeast"/>
              <w:ind w:left="4200" w:firstLine="1080" w:firstLineChars="600"/>
              <w:jc w:val="left"/>
              <w:rPr>
                <w:rFonts w:ascii="宋体" w:hAnsi="宋体" w:cs="Arial"/>
                <w:kern w:val="0"/>
                <w:sz w:val="18"/>
                <w:szCs w:val="18"/>
              </w:rPr>
            </w:pPr>
          </w:p>
          <w:p w14:paraId="12D0CB3B">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BC05645">
            <w:pPr>
              <w:spacing w:line="280" w:lineRule="atLeast"/>
              <w:jc w:val="right"/>
              <w:rPr>
                <w:rFonts w:ascii="宋体" w:hAnsi="宋体"/>
                <w:kern w:val="0"/>
                <w:sz w:val="18"/>
                <w:szCs w:val="18"/>
              </w:rPr>
            </w:pPr>
          </w:p>
        </w:tc>
      </w:tr>
    </w:tbl>
    <w:p w14:paraId="6A61514A">
      <w:pPr>
        <w:autoSpaceDE w:val="0"/>
        <w:autoSpaceDN w:val="0"/>
        <w:adjustRightInd w:val="0"/>
        <w:spacing w:line="360" w:lineRule="auto"/>
        <w:ind w:firstLine="420"/>
        <w:jc w:val="left"/>
        <w:rPr>
          <w:rFonts w:ascii="宋体" w:hAnsi="宋体"/>
          <w:sz w:val="24"/>
        </w:rPr>
      </w:pPr>
    </w:p>
    <w:p w14:paraId="3B7C0585">
      <w:pPr>
        <w:rPr>
          <w:rFonts w:ascii="宋体" w:hAnsi="宋体" w:cs="Arial"/>
          <w:sz w:val="24"/>
        </w:rPr>
      </w:pPr>
    </w:p>
    <w:p w14:paraId="5B33C936">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E78E6A0">
        <w:trPr>
          <w:trHeight w:val="823" w:hRule="atLeast"/>
        </w:trPr>
        <w:tc>
          <w:tcPr>
            <w:tcW w:w="8413" w:type="dxa"/>
          </w:tcPr>
          <w:p w14:paraId="1C73B132">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E271D28">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2393C725">
        <w:trPr>
          <w:trHeight w:val="7355" w:hRule="atLeast"/>
        </w:trPr>
        <w:tc>
          <w:tcPr>
            <w:tcW w:w="8413" w:type="dxa"/>
          </w:tcPr>
          <w:p w14:paraId="70302A4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2954FEF">
            <w:pPr>
              <w:spacing w:line="280" w:lineRule="atLeast"/>
              <w:ind w:firstLine="360" w:firstLineChars="200"/>
              <w:jc w:val="left"/>
              <w:rPr>
                <w:rFonts w:ascii="宋体" w:hAnsi="宋体" w:cs="Arial"/>
                <w:kern w:val="0"/>
                <w:sz w:val="18"/>
                <w:szCs w:val="18"/>
              </w:rPr>
            </w:pPr>
          </w:p>
          <w:p w14:paraId="4F2760F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60D833B">
            <w:pPr>
              <w:spacing w:line="280" w:lineRule="atLeast"/>
              <w:ind w:firstLine="360" w:firstLineChars="200"/>
              <w:jc w:val="left"/>
              <w:rPr>
                <w:rFonts w:ascii="宋体" w:hAnsi="宋体" w:cs="Arial"/>
                <w:kern w:val="0"/>
                <w:sz w:val="18"/>
                <w:szCs w:val="18"/>
              </w:rPr>
            </w:pPr>
          </w:p>
          <w:p w14:paraId="41AD67A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E4E0E63">
            <w:pPr>
              <w:spacing w:line="280" w:lineRule="atLeast"/>
              <w:jc w:val="left"/>
              <w:rPr>
                <w:rFonts w:ascii="宋体" w:hAnsi="宋体" w:cs="Arial"/>
                <w:kern w:val="0"/>
                <w:sz w:val="18"/>
                <w:szCs w:val="18"/>
              </w:rPr>
            </w:pPr>
          </w:p>
          <w:p w14:paraId="172BDB4D">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3E245D1">
            <w:pPr>
              <w:spacing w:line="280" w:lineRule="atLeast"/>
              <w:jc w:val="left"/>
              <w:rPr>
                <w:rFonts w:ascii="宋体" w:hAnsi="宋体" w:cs="Arial"/>
                <w:kern w:val="0"/>
                <w:sz w:val="18"/>
                <w:szCs w:val="18"/>
              </w:rPr>
            </w:pPr>
          </w:p>
          <w:p w14:paraId="236B5F0A">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631E37D">
            <w:pPr>
              <w:spacing w:line="280" w:lineRule="atLeast"/>
              <w:jc w:val="left"/>
              <w:rPr>
                <w:rFonts w:ascii="宋体" w:hAnsi="宋体" w:cs="Arial"/>
                <w:kern w:val="0"/>
                <w:sz w:val="18"/>
                <w:szCs w:val="18"/>
              </w:rPr>
            </w:pPr>
          </w:p>
          <w:p w14:paraId="7DC60046">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7369743A">
            <w:pPr>
              <w:spacing w:line="280" w:lineRule="atLeast"/>
              <w:ind w:left="4200" w:firstLine="1080" w:firstLineChars="600"/>
              <w:jc w:val="left"/>
              <w:rPr>
                <w:rFonts w:ascii="宋体" w:hAnsi="宋体" w:cs="Arial"/>
                <w:kern w:val="0"/>
                <w:sz w:val="18"/>
                <w:szCs w:val="18"/>
              </w:rPr>
            </w:pPr>
          </w:p>
          <w:p w14:paraId="722A6ECC">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9B513BA">
            <w:pPr>
              <w:spacing w:line="280" w:lineRule="atLeast"/>
              <w:rPr>
                <w:kern w:val="0"/>
                <w:sz w:val="20"/>
                <w:szCs w:val="20"/>
              </w:rPr>
            </w:pPr>
          </w:p>
          <w:p w14:paraId="7D33DB7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767495C">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FDA228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364C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DC972DC">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4064"/>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06343"/>
    <w:rsid w:val="00955293"/>
    <w:rsid w:val="0096566F"/>
    <w:rsid w:val="00981E5B"/>
    <w:rsid w:val="00993AEC"/>
    <w:rsid w:val="009F15B3"/>
    <w:rsid w:val="00A00AF5"/>
    <w:rsid w:val="00A15A07"/>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B5271"/>
    <w:rsid w:val="00DC5611"/>
    <w:rsid w:val="00DD246D"/>
    <w:rsid w:val="00DD5ABC"/>
    <w:rsid w:val="00E504DE"/>
    <w:rsid w:val="00E80603"/>
    <w:rsid w:val="00EA1011"/>
    <w:rsid w:val="00EB34F9"/>
    <w:rsid w:val="00EB77EF"/>
    <w:rsid w:val="00EE0296"/>
    <w:rsid w:val="00EE339A"/>
    <w:rsid w:val="00F2208D"/>
    <w:rsid w:val="00F24091"/>
    <w:rsid w:val="00F26105"/>
    <w:rsid w:val="00F34E57"/>
    <w:rsid w:val="00F54E96"/>
    <w:rsid w:val="00F57B20"/>
    <w:rsid w:val="00F70F24"/>
    <w:rsid w:val="00F8077D"/>
    <w:rsid w:val="00F855B5"/>
    <w:rsid w:val="00F86E22"/>
    <w:rsid w:val="00FF75B3"/>
    <w:rsid w:val="01540E14"/>
    <w:rsid w:val="02426A6A"/>
    <w:rsid w:val="02FF592B"/>
    <w:rsid w:val="045561C9"/>
    <w:rsid w:val="093C4710"/>
    <w:rsid w:val="09735E53"/>
    <w:rsid w:val="0996667D"/>
    <w:rsid w:val="0DF745E4"/>
    <w:rsid w:val="0EEF25B4"/>
    <w:rsid w:val="0EFF3E1C"/>
    <w:rsid w:val="123D1F82"/>
    <w:rsid w:val="14B1176F"/>
    <w:rsid w:val="18236F39"/>
    <w:rsid w:val="1905229C"/>
    <w:rsid w:val="1AD46EB0"/>
    <w:rsid w:val="1AEE7ABF"/>
    <w:rsid w:val="1D003158"/>
    <w:rsid w:val="206E66CC"/>
    <w:rsid w:val="227C18B4"/>
    <w:rsid w:val="23024B39"/>
    <w:rsid w:val="24181BC0"/>
    <w:rsid w:val="246719FB"/>
    <w:rsid w:val="24B9547B"/>
    <w:rsid w:val="268E72DD"/>
    <w:rsid w:val="2C6623B7"/>
    <w:rsid w:val="2D8759C0"/>
    <w:rsid w:val="2F494C6A"/>
    <w:rsid w:val="335832D8"/>
    <w:rsid w:val="3377408A"/>
    <w:rsid w:val="33E8BE79"/>
    <w:rsid w:val="33EB61FE"/>
    <w:rsid w:val="35A92851"/>
    <w:rsid w:val="379F52A0"/>
    <w:rsid w:val="3C085B02"/>
    <w:rsid w:val="3CD51087"/>
    <w:rsid w:val="3CF05116"/>
    <w:rsid w:val="3E1719B5"/>
    <w:rsid w:val="3E9E5455"/>
    <w:rsid w:val="3F654DC4"/>
    <w:rsid w:val="410649EE"/>
    <w:rsid w:val="438F7AC0"/>
    <w:rsid w:val="439A7C73"/>
    <w:rsid w:val="44421B67"/>
    <w:rsid w:val="45193283"/>
    <w:rsid w:val="4B1E5A4B"/>
    <w:rsid w:val="4B87403E"/>
    <w:rsid w:val="4E392D10"/>
    <w:rsid w:val="4EEE53D9"/>
    <w:rsid w:val="4FEB1808"/>
    <w:rsid w:val="515413AB"/>
    <w:rsid w:val="53E31179"/>
    <w:rsid w:val="53E52518"/>
    <w:rsid w:val="54862801"/>
    <w:rsid w:val="54C667E4"/>
    <w:rsid w:val="54D13B74"/>
    <w:rsid w:val="55A613A9"/>
    <w:rsid w:val="56260BF2"/>
    <w:rsid w:val="571D4A44"/>
    <w:rsid w:val="584C33C5"/>
    <w:rsid w:val="5BDD1A54"/>
    <w:rsid w:val="5E3A6E41"/>
    <w:rsid w:val="5F984065"/>
    <w:rsid w:val="601969DF"/>
    <w:rsid w:val="659C2FA3"/>
    <w:rsid w:val="65A64182"/>
    <w:rsid w:val="68862828"/>
    <w:rsid w:val="691C3BFE"/>
    <w:rsid w:val="6BBB2B19"/>
    <w:rsid w:val="6D4E3838"/>
    <w:rsid w:val="6FF814BC"/>
    <w:rsid w:val="715B2FFB"/>
    <w:rsid w:val="72D27B93"/>
    <w:rsid w:val="736A4C9B"/>
    <w:rsid w:val="75163CDF"/>
    <w:rsid w:val="773521EB"/>
    <w:rsid w:val="77CE4644"/>
    <w:rsid w:val="79455133"/>
    <w:rsid w:val="7AB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850</Words>
  <Characters>4850</Characters>
  <Lines>40</Lines>
  <Paragraphs>11</Paragraphs>
  <TotalTime>0</TotalTime>
  <ScaleCrop>false</ScaleCrop>
  <LinksUpToDate>false</LinksUpToDate>
  <CharactersWithSpaces>5689</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2025-01-22T14:54:51Z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