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【稳利恒盈封闭式固收类】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01</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【稳利恒盈封闭式固收类】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【稳利恒盈封闭式固收类】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【稳利恒盈封闭式固收类】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【稳利恒盈封闭式固收类】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【稳利恒盈封闭式固收类】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【稳利恒盈封闭式固收类】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【稳利恒盈封闭式固收类】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【稳利恒盈封闭式固收类】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【稳利恒盈封闭式固收类】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ascii="宋体" w:hAnsi="宋体"/>
                <w:bCs/>
                <w:sz w:val="18"/>
                <w:szCs w:val="18"/>
              </w:rPr>
            </w:pPr>
            <w:r>
              <w:rPr>
                <w:rFonts w:hint="eastAsia" w:asciiTheme="majorEastAsia" w:hAnsiTheme="majorEastAsia" w:eastAsiaTheme="majorEastAsia"/>
                <w:bCs/>
                <w:kern w:val="0"/>
                <w:sz w:val="18"/>
                <w:szCs w:val="18"/>
              </w:rPr>
              <w:t>【兴银理财稳利恒盈封闭式2025年403期固收类理财产品】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【稳利恒盈2025年403期(纯盈迎春款)A】</w:t>
            </w:r>
            <w:r>
              <w:rPr>
                <w:rFonts w:hint="eastAsia" w:hAnsi="宋体"/>
                <w:sz w:val="18"/>
                <w:szCs w:val="18"/>
              </w:rPr>
              <w:t>（适用【A】类份额）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【稳利恒盈2025年403期(纯盈迎春款)B】</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【稳利恒盈2025年403期(纯盈迎春款)C】</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【稳利恒盈2025年403期(纯盈迎春款)</w:t>
            </w:r>
            <w:r>
              <w:rPr>
                <w:rFonts w:hint="eastAsia" w:asciiTheme="majorEastAsia" w:hAnsiTheme="majorEastAsia" w:eastAsiaTheme="majorEastAsia"/>
                <w:bCs/>
                <w:kern w:val="0"/>
                <w:sz w:val="18"/>
                <w:szCs w:val="18"/>
                <w:lang w:val="en-US" w:eastAsia="zh-CN"/>
              </w:rPr>
              <w:t>D</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D</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【Z7002024003345】</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sz w:val="18"/>
                <w:szCs w:val="18"/>
              </w:rPr>
              <w:t>9N254030】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【9N25403A】（适用【A】类份额）</w:t>
            </w:r>
          </w:p>
          <w:p>
            <w:pPr>
              <w:spacing w:line="360" w:lineRule="auto"/>
              <w:jc w:val="left"/>
              <w:rPr>
                <w:rFonts w:hint="eastAsia" w:hAnsi="宋体"/>
                <w:sz w:val="18"/>
                <w:szCs w:val="18"/>
              </w:rPr>
            </w:pPr>
            <w:r>
              <w:rPr>
                <w:rFonts w:hint="eastAsia" w:hAnsi="宋体"/>
                <w:sz w:val="18"/>
                <w:szCs w:val="18"/>
              </w:rPr>
              <w:t>【9N25403B】（适用【</w:t>
            </w:r>
            <w:r>
              <w:rPr>
                <w:rFonts w:hint="eastAsia" w:hAnsi="宋体"/>
                <w:sz w:val="18"/>
                <w:szCs w:val="18"/>
                <w:lang w:val="en-US" w:eastAsia="zh-CN"/>
              </w:rPr>
              <w:t>B</w:t>
            </w:r>
            <w:r>
              <w:rPr>
                <w:rFonts w:hint="eastAsia" w:hAnsi="宋体"/>
                <w:sz w:val="18"/>
                <w:szCs w:val="18"/>
              </w:rPr>
              <w:t>】类份额）</w:t>
            </w:r>
          </w:p>
          <w:p>
            <w:pPr>
              <w:spacing w:line="360" w:lineRule="auto"/>
              <w:jc w:val="left"/>
              <w:rPr>
                <w:rFonts w:hint="eastAsia" w:hAnsi="宋体"/>
                <w:sz w:val="18"/>
                <w:szCs w:val="18"/>
              </w:rPr>
            </w:pPr>
            <w:r>
              <w:rPr>
                <w:rFonts w:hint="eastAsia" w:hAnsi="宋体"/>
                <w:sz w:val="18"/>
                <w:szCs w:val="18"/>
              </w:rPr>
              <w:t>【9N25403C】（适用【</w:t>
            </w:r>
            <w:r>
              <w:rPr>
                <w:rFonts w:hint="eastAsia" w:hAnsi="宋体"/>
                <w:sz w:val="18"/>
                <w:szCs w:val="18"/>
                <w:lang w:val="en-US" w:eastAsia="zh-CN"/>
              </w:rPr>
              <w:t>C</w:t>
            </w:r>
            <w:r>
              <w:rPr>
                <w:rFonts w:hint="eastAsia" w:hAnsi="宋体"/>
                <w:sz w:val="18"/>
                <w:szCs w:val="18"/>
              </w:rPr>
              <w:t>】类份额）</w:t>
            </w:r>
          </w:p>
          <w:p>
            <w:pPr>
              <w:spacing w:line="360" w:lineRule="auto"/>
              <w:jc w:val="left"/>
              <w:rPr>
                <w:rFonts w:hint="eastAsia" w:hAnsi="宋体"/>
                <w:sz w:val="18"/>
                <w:szCs w:val="18"/>
              </w:rPr>
            </w:pPr>
            <w:r>
              <w:rPr>
                <w:rFonts w:hint="eastAsia" w:hAnsi="宋体"/>
                <w:sz w:val="18"/>
                <w:szCs w:val="18"/>
              </w:rPr>
              <w:t>【9N25403</w:t>
            </w:r>
            <w:r>
              <w:rPr>
                <w:rFonts w:hint="eastAsia" w:hAnsi="宋体"/>
                <w:sz w:val="18"/>
                <w:szCs w:val="18"/>
                <w:lang w:val="en-US" w:eastAsia="zh-CN"/>
              </w:rPr>
              <w:t>D</w:t>
            </w:r>
            <w:r>
              <w:rPr>
                <w:rFonts w:hint="eastAsia" w:hAnsi="宋体"/>
                <w:sz w:val="18"/>
                <w:szCs w:val="18"/>
              </w:rPr>
              <w:t>】（适用【</w:t>
            </w:r>
            <w:r>
              <w:rPr>
                <w:rFonts w:hint="eastAsia" w:hAnsi="宋体"/>
                <w:sz w:val="18"/>
                <w:szCs w:val="18"/>
                <w:lang w:val="en-US" w:eastAsia="zh-CN"/>
              </w:rPr>
              <w:t>D</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5</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97</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01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23</w:t>
            </w:r>
            <w:r>
              <w:rPr>
                <w:rFonts w:hint="eastAsia" w:cs="Times New Roman" w:asciiTheme="minorEastAsia" w:hAnsiTheme="minorEastAsia"/>
                <w:sz w:val="18"/>
                <w:szCs w:val="18"/>
              </w:rPr>
              <w:t>】日【9:00】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02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05</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02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06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【2025</w:t>
            </w:r>
            <w:r>
              <w:rPr>
                <w:rFonts w:cs="Times New Roman" w:asciiTheme="minorEastAsia" w:hAnsiTheme="minorEastAsia"/>
                <w:sz w:val="18"/>
                <w:szCs w:val="18"/>
              </w:rPr>
              <w:t>】年【</w:t>
            </w:r>
            <w:r>
              <w:rPr>
                <w:rFonts w:hint="eastAsia" w:cs="Times New Roman" w:asciiTheme="minorEastAsia" w:hAnsiTheme="minorEastAsia"/>
                <w:sz w:val="18"/>
                <w:szCs w:val="18"/>
              </w:rPr>
              <w:t>0</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14</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购买起点金额为【1.00】元；超出起点金额的部分以【0.01】元的整数倍递增。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bookmarkStart w:id="156" w:name="_GoBack"/>
            <w:bookmarkEnd w:id="156"/>
            <w:r>
              <w:rPr>
                <w:rFonts w:hint="eastAsia" w:asciiTheme="majorEastAsia" w:hAnsiTheme="majorEastAsia" w:eastAsiaTheme="majorEastAsia"/>
                <w:bCs/>
                <w:color w:val="000000" w:themeColor="text1"/>
                <w:sz w:val="18"/>
                <w:szCs w:val="18"/>
                <w14:textFill>
                  <w14:solidFill>
                    <w14:schemeClr w14:val="tx1"/>
                  </w14:solidFill>
                </w14:textFill>
              </w:rPr>
              <w:t>A</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/B/C/D</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int="eastAsia" w:hAnsi="宋体"/>
                <w:sz w:val="18"/>
                <w:szCs w:val="18"/>
              </w:rPr>
              <w:t>（适用【</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hAnsi="宋体"/>
                <w:sz w:val="18"/>
                <w:szCs w:val="18"/>
              </w:rPr>
              <w:t>】类份额）</w:t>
            </w:r>
          </w:p>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【根据本产品各类资产的拟投资比例、资产信用利差、久期敞口以及流动性溢价，结合当前宏观环境和各类资产价格所处的位置，参考历史经验和回测结果，设定业绩基准</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jc w:val="left"/>
              <w:rPr>
                <w:rFonts w:hint="eastAsia" w:ascii="宋体" w:hAnsi="宋体"/>
                <w:bCs/>
                <w:sz w:val="18"/>
                <w:szCs w:val="18"/>
              </w:rPr>
            </w:pPr>
            <w:r>
              <w:rPr>
                <w:rFonts w:hint="eastAsia" w:ascii="宋体" w:hAnsi="宋体"/>
                <w:bCs/>
                <w:sz w:val="18"/>
                <w:szCs w:val="18"/>
              </w:rPr>
              <w:t>A类份额：年化【2.35%】。</w:t>
            </w:r>
          </w:p>
          <w:p>
            <w:pPr>
              <w:spacing w:line="360" w:lineRule="auto"/>
              <w:jc w:val="left"/>
              <w:rPr>
                <w:rFonts w:ascii="宋体" w:hAnsi="宋体"/>
                <w:bCs/>
                <w:sz w:val="18"/>
                <w:szCs w:val="18"/>
              </w:rPr>
            </w:pPr>
            <w:r>
              <w:rPr>
                <w:rFonts w:hint="eastAsia" w:ascii="宋体" w:hAnsi="宋体"/>
                <w:bCs/>
                <w:sz w:val="18"/>
                <w:szCs w:val="18"/>
                <w:lang w:val="en-US" w:eastAsia="zh-CN"/>
              </w:rPr>
              <w:t>B</w:t>
            </w:r>
            <w:r>
              <w:rPr>
                <w:rFonts w:hint="eastAsia" w:ascii="宋体" w:hAnsi="宋体"/>
                <w:bCs/>
                <w:sz w:val="18"/>
                <w:szCs w:val="18"/>
              </w:rPr>
              <w:t>类份额：年化【2.25%】。</w:t>
            </w:r>
          </w:p>
          <w:p>
            <w:pPr>
              <w:spacing w:line="360" w:lineRule="auto"/>
              <w:jc w:val="left"/>
              <w:rPr>
                <w:rFonts w:hint="eastAsia" w:ascii="宋体" w:hAnsi="宋体"/>
                <w:bCs/>
                <w:sz w:val="18"/>
                <w:szCs w:val="18"/>
              </w:rPr>
            </w:pPr>
            <w:r>
              <w:rPr>
                <w:rFonts w:hint="eastAsia" w:ascii="宋体" w:hAnsi="宋体"/>
                <w:bCs/>
                <w:sz w:val="18"/>
                <w:szCs w:val="18"/>
                <w:lang w:val="en-US" w:eastAsia="zh-CN"/>
              </w:rPr>
              <w:t>C</w:t>
            </w:r>
            <w:r>
              <w:rPr>
                <w:rFonts w:hint="eastAsia" w:ascii="宋体" w:hAnsi="宋体"/>
                <w:bCs/>
                <w:sz w:val="18"/>
                <w:szCs w:val="18"/>
              </w:rPr>
              <w:t>类份额：年化【2.</w:t>
            </w:r>
            <w:r>
              <w:rPr>
                <w:rFonts w:hint="eastAsia" w:ascii="宋体" w:hAnsi="宋体"/>
                <w:bCs/>
                <w:sz w:val="18"/>
                <w:szCs w:val="18"/>
                <w:lang w:val="en-US" w:eastAsia="zh-CN"/>
              </w:rPr>
              <w:t>10</w:t>
            </w:r>
            <w:r>
              <w:rPr>
                <w:rFonts w:hint="eastAsia" w:ascii="宋体" w:hAnsi="宋体"/>
                <w:bCs/>
                <w:sz w:val="18"/>
                <w:szCs w:val="18"/>
              </w:rPr>
              <w:t>%】。</w:t>
            </w:r>
          </w:p>
          <w:p>
            <w:pPr>
              <w:spacing w:line="360" w:lineRule="auto"/>
              <w:jc w:val="left"/>
              <w:rPr>
                <w:rFonts w:hint="eastAsia" w:ascii="宋体" w:hAnsi="宋体"/>
                <w:bCs/>
                <w:sz w:val="18"/>
                <w:szCs w:val="18"/>
              </w:rPr>
            </w:pPr>
            <w:r>
              <w:rPr>
                <w:rFonts w:hint="eastAsia" w:ascii="宋体" w:hAnsi="宋体"/>
                <w:bCs/>
                <w:sz w:val="18"/>
                <w:szCs w:val="18"/>
                <w:lang w:val="en-US" w:eastAsia="zh-CN"/>
              </w:rPr>
              <w:t>D</w:t>
            </w:r>
            <w:r>
              <w:rPr>
                <w:rFonts w:hint="eastAsia" w:ascii="宋体" w:hAnsi="宋体"/>
                <w:bCs/>
                <w:sz w:val="18"/>
                <w:szCs w:val="18"/>
              </w:rPr>
              <w:t>类份额：年化【2.</w:t>
            </w:r>
            <w:r>
              <w:rPr>
                <w:rFonts w:hint="eastAsia" w:ascii="宋体" w:hAnsi="宋体"/>
                <w:bCs/>
                <w:sz w:val="18"/>
                <w:szCs w:val="18"/>
                <w:lang w:val="en-US" w:eastAsia="zh-CN"/>
              </w:rPr>
              <w:t>20</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w:t>
            </w:r>
          </w:p>
          <w:p>
            <w:pPr>
              <w:spacing w:line="360" w:lineRule="auto"/>
              <w:jc w:val="left"/>
              <w:rPr>
                <w:rFonts w:hint="eastAsia" w:ascii="宋体" w:hAnsi="宋体"/>
                <w:bCs/>
                <w:sz w:val="18"/>
                <w:szCs w:val="18"/>
              </w:rPr>
            </w:pPr>
            <w:r>
              <w:rPr>
                <w:rFonts w:hint="eastAsia" w:ascii="宋体" w:hAnsi="宋体"/>
                <w:bCs/>
                <w:sz w:val="18"/>
                <w:szCs w:val="18"/>
              </w:rPr>
              <w:t>A类份额：年化【2.35%】。</w:t>
            </w:r>
          </w:p>
          <w:p>
            <w:pPr>
              <w:spacing w:line="360" w:lineRule="auto"/>
              <w:jc w:val="left"/>
              <w:rPr>
                <w:rFonts w:ascii="宋体" w:hAnsi="宋体"/>
                <w:bCs/>
                <w:sz w:val="18"/>
                <w:szCs w:val="18"/>
              </w:rPr>
            </w:pPr>
            <w:r>
              <w:rPr>
                <w:rFonts w:hint="eastAsia" w:ascii="宋体" w:hAnsi="宋体"/>
                <w:bCs/>
                <w:sz w:val="18"/>
                <w:szCs w:val="18"/>
                <w:lang w:val="en-US" w:eastAsia="zh-CN"/>
              </w:rPr>
              <w:t>B</w:t>
            </w:r>
            <w:r>
              <w:rPr>
                <w:rFonts w:hint="eastAsia" w:ascii="宋体" w:hAnsi="宋体"/>
                <w:bCs/>
                <w:sz w:val="18"/>
                <w:szCs w:val="18"/>
              </w:rPr>
              <w:t>类份额：年化【2.25%】。</w:t>
            </w:r>
          </w:p>
          <w:p>
            <w:pPr>
              <w:spacing w:line="360" w:lineRule="auto"/>
              <w:jc w:val="left"/>
              <w:rPr>
                <w:rFonts w:hint="eastAsia" w:ascii="宋体" w:hAnsi="宋体"/>
                <w:bCs/>
                <w:sz w:val="18"/>
                <w:szCs w:val="18"/>
              </w:rPr>
            </w:pPr>
            <w:r>
              <w:rPr>
                <w:rFonts w:hint="eastAsia" w:ascii="宋体" w:hAnsi="宋体"/>
                <w:bCs/>
                <w:sz w:val="18"/>
                <w:szCs w:val="18"/>
                <w:lang w:val="en-US" w:eastAsia="zh-CN"/>
              </w:rPr>
              <w:t>C</w:t>
            </w:r>
            <w:r>
              <w:rPr>
                <w:rFonts w:hint="eastAsia" w:ascii="宋体" w:hAnsi="宋体"/>
                <w:bCs/>
                <w:sz w:val="18"/>
                <w:szCs w:val="18"/>
              </w:rPr>
              <w:t>类份额：年化【2.</w:t>
            </w:r>
            <w:r>
              <w:rPr>
                <w:rFonts w:hint="eastAsia" w:ascii="宋体" w:hAnsi="宋体"/>
                <w:bCs/>
                <w:sz w:val="18"/>
                <w:szCs w:val="18"/>
                <w:lang w:val="en-US" w:eastAsia="zh-CN"/>
              </w:rPr>
              <w:t>10</w:t>
            </w:r>
            <w:r>
              <w:rPr>
                <w:rFonts w:hint="eastAsia" w:ascii="宋体" w:hAnsi="宋体"/>
                <w:bCs/>
                <w:sz w:val="18"/>
                <w:szCs w:val="18"/>
              </w:rPr>
              <w:t>%】。</w:t>
            </w:r>
          </w:p>
          <w:p>
            <w:pPr>
              <w:spacing w:line="360" w:lineRule="auto"/>
              <w:jc w:val="left"/>
              <w:rPr>
                <w:rFonts w:hint="eastAsia" w:ascii="宋体" w:hAnsi="宋体"/>
                <w:bCs/>
                <w:sz w:val="18"/>
                <w:szCs w:val="18"/>
              </w:rPr>
            </w:pPr>
            <w:r>
              <w:rPr>
                <w:rFonts w:hint="eastAsia" w:ascii="宋体" w:hAnsi="宋体"/>
                <w:bCs/>
                <w:sz w:val="18"/>
                <w:szCs w:val="18"/>
                <w:lang w:val="en-US" w:eastAsia="zh-CN"/>
              </w:rPr>
              <w:t>D</w:t>
            </w:r>
            <w:r>
              <w:rPr>
                <w:rFonts w:hint="eastAsia" w:ascii="宋体" w:hAnsi="宋体"/>
                <w:bCs/>
                <w:sz w:val="18"/>
                <w:szCs w:val="18"/>
              </w:rPr>
              <w:t>类份额：年化【2.</w:t>
            </w:r>
            <w:r>
              <w:rPr>
                <w:rFonts w:hint="eastAsia" w:ascii="宋体" w:hAnsi="宋体"/>
                <w:bCs/>
                <w:sz w:val="18"/>
                <w:szCs w:val="18"/>
                <w:lang w:val="en-US" w:eastAsia="zh-CN"/>
              </w:rPr>
              <w:t>20</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A类份额：年化费率【0.05%】。</w:t>
            </w:r>
          </w:p>
          <w:p>
            <w:pPr>
              <w:spacing w:line="360" w:lineRule="auto"/>
              <w:rPr>
                <w:rFonts w:ascii="黑体" w:hAnsi="黑体" w:eastAsia="黑体"/>
                <w:bCs/>
                <w:sz w:val="18"/>
                <w:szCs w:val="18"/>
              </w:rPr>
            </w:pPr>
            <w:r>
              <w:rPr>
                <w:rFonts w:hint="eastAsia" w:ascii="黑体" w:hAnsi="黑体" w:eastAsia="黑体"/>
                <w:bCs/>
                <w:sz w:val="18"/>
                <w:szCs w:val="18"/>
                <w:lang w:val="en-US" w:eastAsia="zh-CN"/>
              </w:rPr>
              <w:t>B</w:t>
            </w:r>
            <w:r>
              <w:rPr>
                <w:rFonts w:hint="eastAsia" w:ascii="黑体" w:hAnsi="黑体" w:eastAsia="黑体"/>
                <w:bCs/>
                <w:sz w:val="18"/>
                <w:szCs w:val="18"/>
              </w:rPr>
              <w:t>类份额：年化费率【0.</w:t>
            </w:r>
            <w:r>
              <w:rPr>
                <w:rFonts w:hint="eastAsia" w:ascii="黑体" w:hAnsi="黑体" w:eastAsia="黑体"/>
                <w:bCs/>
                <w:sz w:val="18"/>
                <w:szCs w:val="18"/>
                <w:lang w:val="en-US" w:eastAsia="zh-CN"/>
              </w:rPr>
              <w:t>1</w:t>
            </w:r>
            <w:r>
              <w:rPr>
                <w:rFonts w:hint="eastAsia" w:ascii="黑体" w:hAnsi="黑体" w:eastAsia="黑体"/>
                <w:bCs/>
                <w:sz w:val="18"/>
                <w:szCs w:val="18"/>
              </w:rPr>
              <w:t>5%】。</w:t>
            </w:r>
          </w:p>
          <w:p>
            <w:pPr>
              <w:spacing w:line="360" w:lineRule="auto"/>
              <w:rPr>
                <w:rFonts w:hint="eastAsia" w:ascii="黑体" w:hAnsi="黑体" w:eastAsia="黑体"/>
                <w:bCs/>
                <w:sz w:val="18"/>
                <w:szCs w:val="18"/>
              </w:rPr>
            </w:pPr>
            <w:r>
              <w:rPr>
                <w:rFonts w:hint="eastAsia" w:ascii="黑体" w:hAnsi="黑体" w:eastAsia="黑体"/>
                <w:bCs/>
                <w:sz w:val="18"/>
                <w:szCs w:val="18"/>
                <w:lang w:val="en-US" w:eastAsia="zh-CN"/>
              </w:rPr>
              <w:t>C</w:t>
            </w:r>
            <w:r>
              <w:rPr>
                <w:rFonts w:hint="eastAsia" w:ascii="黑体" w:hAnsi="黑体" w:eastAsia="黑体"/>
                <w:bCs/>
                <w:sz w:val="18"/>
                <w:szCs w:val="18"/>
              </w:rPr>
              <w:t>类份额：年化费率【0.</w:t>
            </w:r>
            <w:r>
              <w:rPr>
                <w:rFonts w:hint="eastAsia" w:ascii="黑体" w:hAnsi="黑体" w:eastAsia="黑体"/>
                <w:bCs/>
                <w:sz w:val="18"/>
                <w:szCs w:val="18"/>
                <w:lang w:val="en-US" w:eastAsia="zh-CN"/>
              </w:rPr>
              <w:t>30</w:t>
            </w:r>
            <w:r>
              <w:rPr>
                <w:rFonts w:hint="eastAsia" w:ascii="黑体" w:hAnsi="黑体" w:eastAsia="黑体"/>
                <w:bCs/>
                <w:sz w:val="18"/>
                <w:szCs w:val="18"/>
              </w:rPr>
              <w:t>%】。</w:t>
            </w:r>
          </w:p>
          <w:p>
            <w:pPr>
              <w:spacing w:line="360" w:lineRule="auto"/>
              <w:rPr>
                <w:rFonts w:hint="eastAsia" w:ascii="黑体" w:hAnsi="黑体" w:eastAsia="黑体"/>
                <w:bCs/>
                <w:sz w:val="18"/>
                <w:szCs w:val="18"/>
              </w:rPr>
            </w:pPr>
            <w:r>
              <w:rPr>
                <w:rFonts w:hint="eastAsia" w:ascii="黑体" w:hAnsi="黑体" w:eastAsia="黑体"/>
                <w:bCs/>
                <w:sz w:val="18"/>
                <w:szCs w:val="18"/>
                <w:lang w:val="en-US" w:eastAsia="zh-CN"/>
              </w:rPr>
              <w:t>D</w:t>
            </w:r>
            <w:r>
              <w:rPr>
                <w:rFonts w:hint="eastAsia" w:ascii="黑体" w:hAnsi="黑体" w:eastAsia="黑体"/>
                <w:bCs/>
                <w:sz w:val="18"/>
                <w:szCs w:val="18"/>
              </w:rPr>
              <w:t>类份额：年化费率【0.</w:t>
            </w:r>
            <w:r>
              <w:rPr>
                <w:rFonts w:hint="eastAsia" w:ascii="黑体" w:hAnsi="黑体" w:eastAsia="黑体"/>
                <w:bCs/>
                <w:sz w:val="18"/>
                <w:szCs w:val="18"/>
                <w:lang w:val="en-US" w:eastAsia="zh-CN"/>
              </w:rPr>
              <w:t>20</w:t>
            </w:r>
            <w:r>
              <w:rPr>
                <w:rFonts w:hint="eastAsia" w:ascii="黑体" w:hAnsi="黑体" w:eastAsia="黑体"/>
                <w:bCs/>
                <w:sz w:val="18"/>
                <w:szCs w:val="18"/>
              </w:rPr>
              <w:t>%】。</w:t>
            </w:r>
          </w:p>
          <w:p>
            <w:pPr>
              <w:spacing w:line="360" w:lineRule="auto"/>
              <w:rPr>
                <w:rFonts w:ascii="黑体" w:hAnsi="黑体" w:eastAsia="黑体"/>
                <w:bCs/>
                <w:sz w:val="18"/>
                <w:szCs w:val="18"/>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年化费率【0.01%】。</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年化费率【0.01%】。</w:t>
            </w:r>
          </w:p>
          <w:p>
            <w:pPr>
              <w:widowControl/>
              <w:spacing w:line="360" w:lineRule="auto"/>
              <w:jc w:val="left"/>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p>
          <w:p>
            <w:pPr>
              <w:widowControl/>
              <w:spacing w:line="360" w:lineRule="auto"/>
              <w:jc w:val="left"/>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5</w:t>
            </w:r>
            <w:r>
              <w:rPr>
                <w:rFonts w:ascii="宋体" w:hAnsi="宋体"/>
                <w:sz w:val="18"/>
                <w:szCs w:val="18"/>
              </w:rPr>
              <w:t>0</w:t>
            </w:r>
            <w:r>
              <w:rPr>
                <w:rFonts w:hint="eastAsia" w:ascii="宋体" w:hAnsi="宋体"/>
                <w:sz w:val="18"/>
                <w:szCs w:val="18"/>
              </w:rPr>
              <w:t>%】作为超额业绩报酬。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90742390"/>
      <w:bookmarkStart w:id="12" w:name="_Toc27189"/>
      <w:bookmarkStart w:id="13" w:name="_Toc90742688"/>
      <w:bookmarkStart w:id="14" w:name="_Toc90742321"/>
      <w:bookmarkStart w:id="15" w:name="_Toc6714"/>
      <w:bookmarkStart w:id="16" w:name="_Toc29948"/>
      <w:bookmarkStart w:id="17" w:name="_Toc22074"/>
      <w:bookmarkStart w:id="18" w:name="_Toc29784"/>
      <w:bookmarkStart w:id="19" w:name="_Toc3266"/>
      <w:bookmarkStart w:id="20" w:name="_Toc16265"/>
      <w:bookmarkStart w:id="21" w:name="_Toc74065741"/>
      <w:bookmarkStart w:id="22" w:name="_Toc79154668"/>
      <w:bookmarkStart w:id="23" w:name="_Toc27226"/>
      <w:bookmarkStart w:id="24" w:name="_Toc7151"/>
      <w:bookmarkStart w:id="25" w:name="_Toc15203"/>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sz w:val="18"/>
          <w:szCs w:val="18"/>
        </w:rPr>
      </w:pPr>
      <w:permStart w:id="14" w:edGrp="everyone"/>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permStart w:id="15" w:edGrp="everyone"/>
      <w:r>
        <w:rPr>
          <w:rFonts w:hint="eastAsia" w:asciiTheme="majorEastAsia" w:hAnsiTheme="majorEastAsia" w:eastAsiaTheme="majorEastAsia"/>
          <w:bCs/>
          <w:kern w:val="0"/>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（3）符合监管要求的债权类资产。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（4）以套期保值为目的的国债期货、利率互换、信用风险缓释工具、债券借贷。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（5）优先股。</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（6）结构化资产管理产品的优先级份额。</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7）投资于（1）-（5）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（8）其他风险不高于前述资产的资产。</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（1）本产品投资于债权类资产的比例不低于产品总资产的80%。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（2）国债期货、利率互换、信用风险缓释工具等衍生品占产品总资产比例</w:t>
      </w:r>
      <w:r>
        <w:rPr>
          <w:rFonts w:hint="eastAsia" w:asciiTheme="majorEastAsia" w:hAnsiTheme="majorEastAsia" w:eastAsiaTheme="majorEastAsia"/>
          <w:bCs/>
          <w:sz w:val="18"/>
          <w:szCs w:val="18"/>
          <w:lang w:val="en-US" w:eastAsia="zh-CN"/>
        </w:rPr>
        <w:t>不高</w:t>
      </w:r>
      <w:r>
        <w:rPr>
          <w:rFonts w:hint="eastAsia" w:asciiTheme="majorEastAsia" w:hAnsiTheme="majorEastAsia" w:eastAsiaTheme="majorEastAsia"/>
          <w:bCs/>
          <w:sz w:val="18"/>
          <w:szCs w:val="18"/>
        </w:rPr>
        <w:t>于20%。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（3）投资于权益类资产的比例不高于产品总资产的10%，权益类资产仅限于投资于优先股和结构化资产管理产品的优先级份额。</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（4）符合监管要求的非标准化债权类资产低于产品净资产的50%。</w:t>
      </w:r>
    </w:p>
    <w:p>
      <w:pPr>
        <w:autoSpaceDE w:val="0"/>
        <w:autoSpaceDN w:val="0"/>
        <w:adjustRightInd w:val="0"/>
        <w:spacing w:line="360" w:lineRule="auto"/>
        <w:ind w:firstLine="361"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
          <w:sz w:val="18"/>
          <w:szCs w:val="18"/>
        </w:rPr>
        <w:t>注：本产品可能投资不存在活跃交易市场，并且需要采用估值技术确定公允价值的资产，且投资上述资产的比例达到理财产品净资产50%以上。</w:t>
      </w:r>
      <w:r>
        <w:rPr>
          <w:rFonts w:hint="eastAsia" w:asciiTheme="majorEastAsia" w:hAnsiTheme="majorEastAsia" w:eastAsiaTheme="majorEastAsia"/>
          <w:bCs/>
          <w:kern w:val="0"/>
          <w:sz w:val="18"/>
          <w:szCs w:val="18"/>
        </w:rPr>
        <w:t>】</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sz w:val="18"/>
          <w:szCs w:val="18"/>
        </w:rPr>
      </w:pPr>
      <w:permStart w:id="18" w:edGrp="everyone"/>
      <w:r>
        <w:rPr>
          <w:rFonts w:hint="eastAsia" w:asciiTheme="majorEastAsia" w:hAnsiTheme="majorEastAsia" w:eastAsiaTheme="majorEastAsia"/>
          <w:bCs/>
          <w:sz w:val="18"/>
          <w:szCs w:val="18"/>
        </w:rPr>
        <w:t>（1）每只公募理财产品投资单只证券或者单只公募证券投资基金的市值不得超过该理财产品净资产的10%。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（4）全部开放式公募理财产品投资单一上市公司发行的股票不得超过该上市公司可流通股票的15%。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【通过对经济基本面、企业盈利、无风险利率水平、资金面等因素进行定性和定量分析，根据产品的业绩目标和回撤目标制定各个阶段产品资产投资比例。】</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4893"/>
      <w:bookmarkStart w:id="28" w:name="_Toc139991735"/>
      <w:bookmarkStart w:id="29" w:name="_Toc4741"/>
      <w:bookmarkStart w:id="30" w:name="_Toc1823"/>
      <w:bookmarkStart w:id="31" w:name="_Toc26986"/>
      <w:bookmarkStart w:id="32" w:name="_Toc79154669"/>
      <w:bookmarkStart w:id="33" w:name="_Toc74065742"/>
      <w:bookmarkStart w:id="34" w:name="_Toc18329"/>
      <w:bookmarkStart w:id="35" w:name="_Toc141703885"/>
      <w:bookmarkStart w:id="36" w:name="_Toc21988"/>
      <w:bookmarkStart w:id="37" w:name="_Toc18526"/>
      <w:bookmarkStart w:id="38" w:name="_Toc18797"/>
      <w:bookmarkStart w:id="39" w:name="_Toc176189758"/>
      <w:bookmarkStart w:id="40" w:name="_Toc17912"/>
      <w:bookmarkStart w:id="41" w:name="_Toc784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39991736"/>
      <w:bookmarkStart w:id="44" w:name="_Toc610"/>
      <w:bookmarkStart w:id="45" w:name="_Toc123112234"/>
      <w:bookmarkStart w:id="46" w:name="_Toc10463"/>
      <w:bookmarkStart w:id="47" w:name="_Toc1427"/>
      <w:bookmarkStart w:id="48" w:name="_Toc20733"/>
      <w:bookmarkStart w:id="49" w:name="_Toc79154670"/>
      <w:bookmarkStart w:id="50" w:name="_Toc123102453"/>
      <w:bookmarkStart w:id="51" w:name="_Toc176189759"/>
      <w:bookmarkStart w:id="52" w:name="_Toc7920"/>
      <w:bookmarkStart w:id="53" w:name="_Toc141703886"/>
      <w:bookmarkStart w:id="54" w:name="_Toc79392606"/>
      <w:bookmarkStart w:id="55" w:name="_Toc74065743"/>
      <w:bookmarkStart w:id="56" w:name="_Toc23261"/>
      <w:bookmarkStart w:id="57" w:name="_Toc1270"/>
      <w:bookmarkStart w:id="58" w:name="_Toc4003"/>
      <w:bookmarkStart w:id="59" w:name="_Toc17244"/>
      <w:bookmarkStart w:id="60" w:name="_Toc48649707"/>
      <w:bookmarkStart w:id="61" w:name="_Toc23822"/>
      <w:bookmarkStart w:id="62" w:name="_Toc98560352"/>
      <w:bookmarkStart w:id="63" w:name="_Toc123051452"/>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74065744"/>
      <w:bookmarkStart w:id="66" w:name="_Toc123112235"/>
      <w:bookmarkStart w:id="67" w:name="_Toc12245"/>
      <w:bookmarkStart w:id="68" w:name="_Toc79154671"/>
      <w:bookmarkStart w:id="69" w:name="_Toc26207"/>
      <w:bookmarkStart w:id="70" w:name="_Toc176189760"/>
      <w:bookmarkStart w:id="71" w:name="_Toc15143"/>
      <w:bookmarkStart w:id="72" w:name="_Toc29251"/>
      <w:bookmarkStart w:id="73" w:name="_Toc31235"/>
      <w:bookmarkStart w:id="74" w:name="_Toc98560353"/>
      <w:bookmarkStart w:id="75" w:name="_Toc141703887"/>
      <w:bookmarkStart w:id="76" w:name="_Toc139991737"/>
      <w:bookmarkStart w:id="77" w:name="_Toc123102454"/>
      <w:bookmarkStart w:id="78" w:name="_Toc3601"/>
      <w:bookmarkStart w:id="79" w:name="_Toc31653"/>
      <w:bookmarkStart w:id="80" w:name="_Toc14835"/>
      <w:bookmarkStart w:id="81" w:name="_Toc6405"/>
      <w:bookmarkStart w:id="82" w:name="_Toc31644"/>
      <w:bookmarkStart w:id="83" w:name="_Toc123051453"/>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23711668"/>
      <w:bookmarkStart w:id="86" w:name="_Toc79392580"/>
      <w:bookmarkStart w:id="87" w:name="_Toc57530239"/>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18567"/>
      <w:bookmarkStart w:id="92" w:name="_Toc6447"/>
      <w:bookmarkStart w:id="93" w:name="_Toc123112236"/>
      <w:bookmarkStart w:id="94" w:name="_Toc3321"/>
      <w:bookmarkStart w:id="95" w:name="_Toc139991738"/>
      <w:bookmarkStart w:id="96" w:name="_Toc98560354"/>
      <w:bookmarkStart w:id="97" w:name="_Toc7058"/>
      <w:bookmarkStart w:id="98" w:name="_Toc176189761"/>
      <w:bookmarkStart w:id="99" w:name="_Toc141703888"/>
      <w:bookmarkStart w:id="100" w:name="_Toc74065745"/>
      <w:bookmarkStart w:id="101" w:name="_Toc3771"/>
      <w:bookmarkStart w:id="102" w:name="_Toc11030"/>
      <w:bookmarkStart w:id="103" w:name="_Toc79392583"/>
      <w:bookmarkStart w:id="104" w:name="_Toc79154672"/>
      <w:bookmarkStart w:id="105" w:name="_Toc9706"/>
      <w:bookmarkStart w:id="106" w:name="_Toc123051454"/>
      <w:bookmarkStart w:id="107" w:name="_Toc4559"/>
      <w:bookmarkStart w:id="108" w:name="_Toc123102455"/>
      <w:bookmarkStart w:id="109" w:name="_Toc10650"/>
      <w:bookmarkStart w:id="110" w:name="_Toc25783"/>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pStyle w:val="34"/>
        <w:spacing w:line="360" w:lineRule="auto"/>
        <w:ind w:firstLine="360" w:firstLineChars="200"/>
        <w:rPr>
          <w:rFonts w:hAnsi="宋体"/>
          <w:sz w:val="18"/>
          <w:szCs w:val="18"/>
        </w:rPr>
      </w:pPr>
      <w:permStart w:id="23" w:edGrp="everyone"/>
      <w:r>
        <w:rPr>
          <w:rFonts w:hint="eastAsia" w:hAnsi="宋体"/>
          <w:sz w:val="18"/>
          <w:szCs w:val="18"/>
        </w:rPr>
        <w:t>（2）理财产品的销售服务费</w:t>
      </w:r>
    </w:p>
    <w:p>
      <w:pPr>
        <w:pStyle w:val="34"/>
        <w:spacing w:line="360" w:lineRule="auto"/>
        <w:ind w:firstLine="360" w:firstLineChars="200"/>
        <w:rPr>
          <w:rFonts w:hAnsi="宋体"/>
          <w:sz w:val="18"/>
          <w:szCs w:val="18"/>
        </w:rPr>
      </w:pPr>
      <w:r>
        <w:rPr>
          <w:rFonts w:hint="eastAsia" w:hAnsi="宋体"/>
          <w:sz w:val="18"/>
          <w:szCs w:val="18"/>
        </w:rPr>
        <w:t>本产品的销售服务费按前一日理财资产净值与销售服务费每日费率每日计提。销售服务费的计算方法如下：</w:t>
      </w:r>
    </w:p>
    <w:p>
      <w:pPr>
        <w:pStyle w:val="34"/>
        <w:spacing w:line="360" w:lineRule="auto"/>
        <w:ind w:firstLine="360" w:firstLineChars="200"/>
        <w:rPr>
          <w:rFonts w:hAnsi="宋体"/>
          <w:sz w:val="18"/>
          <w:szCs w:val="18"/>
        </w:rPr>
      </w:pPr>
      <w:r>
        <w:rPr>
          <w:rFonts w:hint="eastAsia" w:hAnsi="宋体"/>
          <w:sz w:val="18"/>
          <w:szCs w:val="18"/>
        </w:rPr>
        <w:t>H＝E×销售服务费年费率÷365</w:t>
      </w:r>
    </w:p>
    <w:p>
      <w:pPr>
        <w:pStyle w:val="34"/>
        <w:spacing w:line="360" w:lineRule="auto"/>
        <w:ind w:firstLine="360" w:firstLineChars="200"/>
        <w:rPr>
          <w:rFonts w:hAnsi="宋体"/>
          <w:sz w:val="18"/>
          <w:szCs w:val="18"/>
        </w:rPr>
      </w:pPr>
      <w:r>
        <w:rPr>
          <w:rFonts w:hint="eastAsia" w:hAnsi="宋体"/>
          <w:sz w:val="18"/>
          <w:szCs w:val="18"/>
        </w:rPr>
        <w:t>H为每日应计提的销售服务费</w:t>
      </w:r>
    </w:p>
    <w:p>
      <w:pPr>
        <w:pStyle w:val="34"/>
        <w:spacing w:line="360" w:lineRule="auto"/>
        <w:ind w:firstLine="360" w:firstLineChars="200"/>
        <w:rPr>
          <w:rFonts w:hAnsi="宋体"/>
          <w:sz w:val="18"/>
          <w:szCs w:val="18"/>
        </w:rPr>
      </w:pPr>
      <w:r>
        <w:rPr>
          <w:rFonts w:hint="eastAsia" w:hAnsi="宋体"/>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sz w:val="18"/>
          <w:szCs w:val="18"/>
        </w:rPr>
        <w:t>销售服务费依照上述约定，从理财财产中支付。费率具体数值以《产品说明书》“第二条 理财产品基本情况”为准。</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74065746"/>
      <w:bookmarkStart w:id="114" w:name="_Toc123112237"/>
      <w:bookmarkStart w:id="115" w:name="_Toc79154673"/>
      <w:bookmarkStart w:id="116" w:name="_Toc141703889"/>
      <w:bookmarkStart w:id="117" w:name="_Toc725"/>
      <w:bookmarkStart w:id="118" w:name="_Toc16164"/>
      <w:bookmarkStart w:id="119" w:name="_Toc21735"/>
      <w:bookmarkStart w:id="120" w:name="_Toc10398"/>
      <w:bookmarkStart w:id="121" w:name="_Toc123102456"/>
      <w:bookmarkStart w:id="122" w:name="_Toc139991739"/>
      <w:bookmarkStart w:id="123" w:name="_Toc123051455"/>
      <w:bookmarkStart w:id="124" w:name="_Toc18206"/>
      <w:bookmarkStart w:id="125" w:name="_Toc98560355"/>
      <w:bookmarkStart w:id="126" w:name="_Toc3572"/>
      <w:bookmarkStart w:id="127" w:name="_Toc3080"/>
      <w:bookmarkStart w:id="128" w:name="_Toc176189762"/>
      <w:bookmarkStart w:id="129" w:name="_Toc31821"/>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79392593"/>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29408"/>
      <w:bookmarkStart w:id="134" w:name="_Toc739"/>
      <w:bookmarkStart w:id="135" w:name="_Toc32092"/>
      <w:bookmarkStart w:id="136" w:name="_Toc5170"/>
      <w:bookmarkStart w:id="137" w:name="_Toc141703890"/>
      <w:bookmarkStart w:id="138" w:name="_Toc17920"/>
      <w:bookmarkStart w:id="139" w:name="_Toc17198"/>
      <w:bookmarkStart w:id="140" w:name="_Toc48649708"/>
      <w:bookmarkStart w:id="141" w:name="_Toc123051456"/>
      <w:bookmarkStart w:id="142" w:name="_Toc8791"/>
      <w:bookmarkStart w:id="143" w:name="_Toc74065747"/>
      <w:bookmarkStart w:id="144" w:name="_Toc32584"/>
      <w:bookmarkStart w:id="145" w:name="_Toc123102457"/>
      <w:bookmarkStart w:id="146" w:name="_Toc21237"/>
      <w:bookmarkStart w:id="147" w:name="_Toc98560356"/>
      <w:bookmarkStart w:id="148" w:name="_Toc79392622"/>
      <w:bookmarkStart w:id="149" w:name="_Toc79154674"/>
      <w:bookmarkStart w:id="150" w:name="_Toc3329"/>
      <w:bookmarkStart w:id="151" w:name="_Toc176189763"/>
      <w:bookmarkStart w:id="152" w:name="_Toc139991740"/>
      <w:bookmarkStart w:id="153" w:name="_Toc12311223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76189764"/>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bCs/>
          <w:sz w:val="18"/>
          <w:szCs w:val="18"/>
        </w:rPr>
      </w:pPr>
      <w:permStart w:id="26" w:edGrp="everyone"/>
      <w:r>
        <w:rPr>
          <w:rFonts w:hint="eastAsia" w:ascii="宋体" w:hAnsi="宋体"/>
          <w:sz w:val="18"/>
          <w:szCs w:val="18"/>
        </w:rPr>
        <w:t>【</w:t>
      </w:r>
      <w:r>
        <w:rPr>
          <w:rFonts w:hint="eastAsia" w:ascii="宋体" w:hAnsi="宋体"/>
          <w:bCs/>
          <w:sz w:val="18"/>
          <w:szCs w:val="18"/>
        </w:rPr>
        <w:t>1.拟投资市场和资产的风险：</w:t>
      </w:r>
    </w:p>
    <w:p>
      <w:pPr>
        <w:spacing w:line="360" w:lineRule="auto"/>
        <w:ind w:firstLine="360" w:firstLineChars="200"/>
        <w:rPr>
          <w:rFonts w:ascii="宋体" w:hAnsi="宋体"/>
          <w:bCs/>
          <w:sz w:val="18"/>
          <w:szCs w:val="18"/>
        </w:rPr>
      </w:pPr>
      <w:r>
        <w:rPr>
          <w:rFonts w:hint="eastAsia" w:ascii="宋体" w:hAnsi="宋体"/>
          <w:bCs/>
          <w:sz w:val="18"/>
          <w:szCs w:val="18"/>
        </w:rPr>
        <w:t>（1）投资债权类资产的风险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2）投资非标准化债权类资产的风险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（2）投资权益类资产的风险 </w:t>
      </w:r>
    </w:p>
    <w:p>
      <w:pPr>
        <w:spacing w:line="360" w:lineRule="auto"/>
        <w:ind w:firstLine="360" w:firstLineChars="200"/>
        <w:rPr>
          <w:rFonts w:ascii="宋体" w:hAnsi="宋体"/>
          <w:bCs/>
          <w:sz w:val="18"/>
          <w:szCs w:val="18"/>
        </w:rPr>
      </w:pPr>
      <w:r>
        <w:rPr>
          <w:rFonts w:hint="eastAsia" w:ascii="宋体" w:hAnsi="宋体"/>
          <w:bCs/>
          <w:sz w:val="18"/>
          <w:szCs w:val="18"/>
        </w:rPr>
        <w:t>1）投资股票类资产的风险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2）投资股权类资产的风险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（3）投资商品和金融衍生品类资产的风险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17970"/>
    <w:rsid w:val="00220D74"/>
    <w:rsid w:val="002213EA"/>
    <w:rsid w:val="00223351"/>
    <w:rsid w:val="00223B5B"/>
    <w:rsid w:val="00224505"/>
    <w:rsid w:val="002265AA"/>
    <w:rsid w:val="00226925"/>
    <w:rsid w:val="00226E60"/>
    <w:rsid w:val="00227359"/>
    <w:rsid w:val="00231FC0"/>
    <w:rsid w:val="00233392"/>
    <w:rsid w:val="00235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23AFA"/>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699"/>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1D4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225B"/>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4D8"/>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38D1"/>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C5EDB"/>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7699A"/>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165295B"/>
    <w:rsid w:val="020A6A96"/>
    <w:rsid w:val="02233BC6"/>
    <w:rsid w:val="034341BC"/>
    <w:rsid w:val="0356786B"/>
    <w:rsid w:val="03B54561"/>
    <w:rsid w:val="03E3559B"/>
    <w:rsid w:val="041B7410"/>
    <w:rsid w:val="044A2BDF"/>
    <w:rsid w:val="046E31C1"/>
    <w:rsid w:val="04C1094E"/>
    <w:rsid w:val="051909CC"/>
    <w:rsid w:val="056C4F65"/>
    <w:rsid w:val="05BC2ADE"/>
    <w:rsid w:val="065C2C52"/>
    <w:rsid w:val="06F3246E"/>
    <w:rsid w:val="06F4696E"/>
    <w:rsid w:val="07245E56"/>
    <w:rsid w:val="072779FF"/>
    <w:rsid w:val="07791003"/>
    <w:rsid w:val="07943FC2"/>
    <w:rsid w:val="07E24E6E"/>
    <w:rsid w:val="086F77F2"/>
    <w:rsid w:val="08826C48"/>
    <w:rsid w:val="08A74706"/>
    <w:rsid w:val="099C1AB2"/>
    <w:rsid w:val="09F93E32"/>
    <w:rsid w:val="0A0D24C9"/>
    <w:rsid w:val="0A675124"/>
    <w:rsid w:val="0A963E61"/>
    <w:rsid w:val="0AB3094A"/>
    <w:rsid w:val="0AF94BA0"/>
    <w:rsid w:val="0B24723C"/>
    <w:rsid w:val="0B2842E7"/>
    <w:rsid w:val="0BEB0CCD"/>
    <w:rsid w:val="0BF5172E"/>
    <w:rsid w:val="0C023D8C"/>
    <w:rsid w:val="0C0864B4"/>
    <w:rsid w:val="0C1E2DC9"/>
    <w:rsid w:val="0C8D1704"/>
    <w:rsid w:val="0D766A5A"/>
    <w:rsid w:val="0E024A66"/>
    <w:rsid w:val="0E84195D"/>
    <w:rsid w:val="0E94232E"/>
    <w:rsid w:val="0E971F37"/>
    <w:rsid w:val="0F1306D5"/>
    <w:rsid w:val="0F430647"/>
    <w:rsid w:val="100C4E1D"/>
    <w:rsid w:val="10535AB1"/>
    <w:rsid w:val="11295396"/>
    <w:rsid w:val="11AA4320"/>
    <w:rsid w:val="12384277"/>
    <w:rsid w:val="12802AA8"/>
    <w:rsid w:val="12C605CB"/>
    <w:rsid w:val="132A076A"/>
    <w:rsid w:val="13691161"/>
    <w:rsid w:val="13701827"/>
    <w:rsid w:val="14431896"/>
    <w:rsid w:val="147D4711"/>
    <w:rsid w:val="14916AF7"/>
    <w:rsid w:val="14AE77CC"/>
    <w:rsid w:val="153E1FF8"/>
    <w:rsid w:val="156E5C04"/>
    <w:rsid w:val="15D63D85"/>
    <w:rsid w:val="162422F6"/>
    <w:rsid w:val="163E2FB7"/>
    <w:rsid w:val="16752590"/>
    <w:rsid w:val="169464D9"/>
    <w:rsid w:val="16A96147"/>
    <w:rsid w:val="1754530E"/>
    <w:rsid w:val="175C2B84"/>
    <w:rsid w:val="17DA14A8"/>
    <w:rsid w:val="19685B1E"/>
    <w:rsid w:val="1A48157B"/>
    <w:rsid w:val="1A6C6D3F"/>
    <w:rsid w:val="1ABE2ED9"/>
    <w:rsid w:val="1B0C74FC"/>
    <w:rsid w:val="1B1C7DE8"/>
    <w:rsid w:val="1B252221"/>
    <w:rsid w:val="1BA10AA2"/>
    <w:rsid w:val="1BD241F6"/>
    <w:rsid w:val="1BD70953"/>
    <w:rsid w:val="1BF87698"/>
    <w:rsid w:val="1C78144D"/>
    <w:rsid w:val="1CCF3441"/>
    <w:rsid w:val="1D424059"/>
    <w:rsid w:val="1DF36249"/>
    <w:rsid w:val="1E585AB7"/>
    <w:rsid w:val="1EB160C2"/>
    <w:rsid w:val="1F3A7B69"/>
    <w:rsid w:val="1F9236C2"/>
    <w:rsid w:val="1FF145B9"/>
    <w:rsid w:val="1FF75EA6"/>
    <w:rsid w:val="202F491F"/>
    <w:rsid w:val="210A7380"/>
    <w:rsid w:val="210C1EB6"/>
    <w:rsid w:val="2193546F"/>
    <w:rsid w:val="22347417"/>
    <w:rsid w:val="23083986"/>
    <w:rsid w:val="23756429"/>
    <w:rsid w:val="23AF29A3"/>
    <w:rsid w:val="24136DA5"/>
    <w:rsid w:val="24E24F25"/>
    <w:rsid w:val="25370C95"/>
    <w:rsid w:val="25667274"/>
    <w:rsid w:val="256B73BA"/>
    <w:rsid w:val="26123FD6"/>
    <w:rsid w:val="26F50BA9"/>
    <w:rsid w:val="27A32C64"/>
    <w:rsid w:val="27AD39BB"/>
    <w:rsid w:val="28014EEE"/>
    <w:rsid w:val="29026D00"/>
    <w:rsid w:val="297231DC"/>
    <w:rsid w:val="29C13D33"/>
    <w:rsid w:val="29C46109"/>
    <w:rsid w:val="2A0B5933"/>
    <w:rsid w:val="2A642791"/>
    <w:rsid w:val="2ACA28B1"/>
    <w:rsid w:val="2AF96AFF"/>
    <w:rsid w:val="2C95611F"/>
    <w:rsid w:val="2CF14A8B"/>
    <w:rsid w:val="2D21666E"/>
    <w:rsid w:val="2D612570"/>
    <w:rsid w:val="2E2D1233"/>
    <w:rsid w:val="2E5836D1"/>
    <w:rsid w:val="2E620985"/>
    <w:rsid w:val="2E7664B0"/>
    <w:rsid w:val="2E7E736A"/>
    <w:rsid w:val="2EA644DF"/>
    <w:rsid w:val="2EC33927"/>
    <w:rsid w:val="2FB532A0"/>
    <w:rsid w:val="300D149C"/>
    <w:rsid w:val="303C3841"/>
    <w:rsid w:val="30C06C81"/>
    <w:rsid w:val="31123B1C"/>
    <w:rsid w:val="31632780"/>
    <w:rsid w:val="319C4BEA"/>
    <w:rsid w:val="31B01F83"/>
    <w:rsid w:val="31D2373F"/>
    <w:rsid w:val="33142545"/>
    <w:rsid w:val="333B64B2"/>
    <w:rsid w:val="335E0870"/>
    <w:rsid w:val="33963229"/>
    <w:rsid w:val="33DA2E89"/>
    <w:rsid w:val="34C829B2"/>
    <w:rsid w:val="35381804"/>
    <w:rsid w:val="363E0214"/>
    <w:rsid w:val="36CC3569"/>
    <w:rsid w:val="370E0B38"/>
    <w:rsid w:val="37124D7E"/>
    <w:rsid w:val="37265C4E"/>
    <w:rsid w:val="378F60B6"/>
    <w:rsid w:val="3825278F"/>
    <w:rsid w:val="386A3F56"/>
    <w:rsid w:val="3883377D"/>
    <w:rsid w:val="38D8526E"/>
    <w:rsid w:val="39131BC4"/>
    <w:rsid w:val="39654A69"/>
    <w:rsid w:val="3A810EF7"/>
    <w:rsid w:val="3ACC0496"/>
    <w:rsid w:val="3AE347E1"/>
    <w:rsid w:val="3BE44675"/>
    <w:rsid w:val="3C3802E9"/>
    <w:rsid w:val="3C724259"/>
    <w:rsid w:val="3D85480E"/>
    <w:rsid w:val="3E0C1771"/>
    <w:rsid w:val="3E55358A"/>
    <w:rsid w:val="3E586AB8"/>
    <w:rsid w:val="3E5C1B1D"/>
    <w:rsid w:val="3EAE14E9"/>
    <w:rsid w:val="3F3F64D1"/>
    <w:rsid w:val="3FD261A6"/>
    <w:rsid w:val="407E6950"/>
    <w:rsid w:val="42B34984"/>
    <w:rsid w:val="42B678E8"/>
    <w:rsid w:val="42EB2F9C"/>
    <w:rsid w:val="44A45B92"/>
    <w:rsid w:val="44BF49BF"/>
    <w:rsid w:val="45041E07"/>
    <w:rsid w:val="45226963"/>
    <w:rsid w:val="45246C8F"/>
    <w:rsid w:val="45374848"/>
    <w:rsid w:val="46316B0C"/>
    <w:rsid w:val="468740F2"/>
    <w:rsid w:val="469F5C49"/>
    <w:rsid w:val="479D54DF"/>
    <w:rsid w:val="47CF2CA6"/>
    <w:rsid w:val="48582C37"/>
    <w:rsid w:val="487D5C35"/>
    <w:rsid w:val="489115E5"/>
    <w:rsid w:val="49E07B20"/>
    <w:rsid w:val="4A3E5B27"/>
    <w:rsid w:val="4AB20173"/>
    <w:rsid w:val="4BE24DED"/>
    <w:rsid w:val="4C662B3D"/>
    <w:rsid w:val="4CA7517C"/>
    <w:rsid w:val="4CFD4868"/>
    <w:rsid w:val="4D0A07A3"/>
    <w:rsid w:val="4D296019"/>
    <w:rsid w:val="4D39606F"/>
    <w:rsid w:val="4DE4323E"/>
    <w:rsid w:val="4E3707EC"/>
    <w:rsid w:val="4E654CB3"/>
    <w:rsid w:val="4EA029AF"/>
    <w:rsid w:val="4F11552F"/>
    <w:rsid w:val="4F173C02"/>
    <w:rsid w:val="4F6F001C"/>
    <w:rsid w:val="4F8E3D4D"/>
    <w:rsid w:val="4FA308F4"/>
    <w:rsid w:val="4FB62C29"/>
    <w:rsid w:val="4FF654AE"/>
    <w:rsid w:val="5059062B"/>
    <w:rsid w:val="51BA6BB6"/>
    <w:rsid w:val="5279459C"/>
    <w:rsid w:val="52CD6535"/>
    <w:rsid w:val="52F6441E"/>
    <w:rsid w:val="5308468B"/>
    <w:rsid w:val="53571213"/>
    <w:rsid w:val="53B3493A"/>
    <w:rsid w:val="54790390"/>
    <w:rsid w:val="54A912C5"/>
    <w:rsid w:val="54C363C2"/>
    <w:rsid w:val="5537323C"/>
    <w:rsid w:val="555F597A"/>
    <w:rsid w:val="557D76CC"/>
    <w:rsid w:val="55855837"/>
    <w:rsid w:val="55B632DC"/>
    <w:rsid w:val="55F705E7"/>
    <w:rsid w:val="56503211"/>
    <w:rsid w:val="57BD5DAE"/>
    <w:rsid w:val="57E666C6"/>
    <w:rsid w:val="58553752"/>
    <w:rsid w:val="585A3A6A"/>
    <w:rsid w:val="595D54E8"/>
    <w:rsid w:val="598B567E"/>
    <w:rsid w:val="5A5339BC"/>
    <w:rsid w:val="5A8204A1"/>
    <w:rsid w:val="5A964695"/>
    <w:rsid w:val="5B304BC5"/>
    <w:rsid w:val="5B6F0C7F"/>
    <w:rsid w:val="5BA577EB"/>
    <w:rsid w:val="5C624734"/>
    <w:rsid w:val="5CC56236"/>
    <w:rsid w:val="5CF81FDE"/>
    <w:rsid w:val="5D3E4939"/>
    <w:rsid w:val="5D6B43AA"/>
    <w:rsid w:val="5D8D67CB"/>
    <w:rsid w:val="5E572C9F"/>
    <w:rsid w:val="5E7B30D7"/>
    <w:rsid w:val="5FE91ABC"/>
    <w:rsid w:val="5FF37167"/>
    <w:rsid w:val="60711D26"/>
    <w:rsid w:val="60D42826"/>
    <w:rsid w:val="60F33CC4"/>
    <w:rsid w:val="60F50CB6"/>
    <w:rsid w:val="6157780E"/>
    <w:rsid w:val="62175529"/>
    <w:rsid w:val="62252822"/>
    <w:rsid w:val="628E734C"/>
    <w:rsid w:val="62DA34CF"/>
    <w:rsid w:val="63744F21"/>
    <w:rsid w:val="63750698"/>
    <w:rsid w:val="63B94481"/>
    <w:rsid w:val="64680E7F"/>
    <w:rsid w:val="64BC0A3E"/>
    <w:rsid w:val="6580603B"/>
    <w:rsid w:val="65C347D3"/>
    <w:rsid w:val="662D4D92"/>
    <w:rsid w:val="665C6083"/>
    <w:rsid w:val="665D4769"/>
    <w:rsid w:val="66817CE6"/>
    <w:rsid w:val="67336D5B"/>
    <w:rsid w:val="68062BDA"/>
    <w:rsid w:val="683762A3"/>
    <w:rsid w:val="6899065A"/>
    <w:rsid w:val="68B96EA7"/>
    <w:rsid w:val="68C7223A"/>
    <w:rsid w:val="68EF6886"/>
    <w:rsid w:val="694A7300"/>
    <w:rsid w:val="699457CF"/>
    <w:rsid w:val="69A416FE"/>
    <w:rsid w:val="69E54916"/>
    <w:rsid w:val="6C2C5540"/>
    <w:rsid w:val="6D544054"/>
    <w:rsid w:val="6FDD1093"/>
    <w:rsid w:val="703F1118"/>
    <w:rsid w:val="709C0126"/>
    <w:rsid w:val="70D965CD"/>
    <w:rsid w:val="72461215"/>
    <w:rsid w:val="72802429"/>
    <w:rsid w:val="72CE4D5E"/>
    <w:rsid w:val="73353D0E"/>
    <w:rsid w:val="73395E22"/>
    <w:rsid w:val="73530181"/>
    <w:rsid w:val="73AB22E2"/>
    <w:rsid w:val="73B25F07"/>
    <w:rsid w:val="73EB7F47"/>
    <w:rsid w:val="74AF0141"/>
    <w:rsid w:val="7535109F"/>
    <w:rsid w:val="759E5F72"/>
    <w:rsid w:val="76022652"/>
    <w:rsid w:val="768501BE"/>
    <w:rsid w:val="76C8601E"/>
    <w:rsid w:val="76D575C3"/>
    <w:rsid w:val="771C127E"/>
    <w:rsid w:val="77415C1E"/>
    <w:rsid w:val="77556443"/>
    <w:rsid w:val="77EA277C"/>
    <w:rsid w:val="7815582E"/>
    <w:rsid w:val="78DF0934"/>
    <w:rsid w:val="78F17EA8"/>
    <w:rsid w:val="791667F6"/>
    <w:rsid w:val="793F62BC"/>
    <w:rsid w:val="795E2190"/>
    <w:rsid w:val="79CB58E8"/>
    <w:rsid w:val="79CD073D"/>
    <w:rsid w:val="7A7A5D05"/>
    <w:rsid w:val="7A922015"/>
    <w:rsid w:val="7AB10DA6"/>
    <w:rsid w:val="7AD72994"/>
    <w:rsid w:val="7BAF3E56"/>
    <w:rsid w:val="7C86115B"/>
    <w:rsid w:val="7D1C75C8"/>
    <w:rsid w:val="7D664F7B"/>
    <w:rsid w:val="7D80556D"/>
    <w:rsid w:val="7D9A53E7"/>
    <w:rsid w:val="7E794577"/>
    <w:rsid w:val="7ED86E63"/>
    <w:rsid w:val="7EF86D24"/>
    <w:rsid w:val="7F43142A"/>
    <w:rsid w:val="7F6F19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C45DDBE-A426-47CA-BC62-D025DE29F1BC}">
  <ds:schemaRefs/>
</ds:datastoreItem>
</file>

<file path=customXml/itemProps11.xml><?xml version="1.0" encoding="utf-8"?>
<ds:datastoreItem xmlns:ds="http://schemas.openxmlformats.org/officeDocument/2006/customXml" ds:itemID="{9114D43D-ED98-4C7B-A3AE-26D78B80CA82}">
  <ds:schemaRefs/>
</ds:datastoreItem>
</file>

<file path=customXml/itemProps12.xml><?xml version="1.0" encoding="utf-8"?>
<ds:datastoreItem xmlns:ds="http://schemas.openxmlformats.org/officeDocument/2006/customXml" ds:itemID="{ACF89029-0C2E-4A29-B2FE-AF718C9B9A38}">
  <ds:schemaRefs/>
</ds:datastoreItem>
</file>

<file path=customXml/itemProps13.xml><?xml version="1.0" encoding="utf-8"?>
<ds:datastoreItem xmlns:ds="http://schemas.openxmlformats.org/officeDocument/2006/customXml" ds:itemID="{AC86F3EB-DB57-4B60-8A7E-BBB67A22EE0B}">
  <ds:schemaRefs/>
</ds:datastoreItem>
</file>

<file path=customXml/itemProps14.xml><?xml version="1.0" encoding="utf-8"?>
<ds:datastoreItem xmlns:ds="http://schemas.openxmlformats.org/officeDocument/2006/customXml" ds:itemID="{D902962D-C8CC-43BF-804A-CD60AE6D7475}">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0A7AA9EF-3B8C-4BAA-9155-A6E3E5337D3C}">
  <ds:schemaRefs/>
</ds:datastoreItem>
</file>

<file path=customXml/itemProps17.xml><?xml version="1.0" encoding="utf-8"?>
<ds:datastoreItem xmlns:ds="http://schemas.openxmlformats.org/officeDocument/2006/customXml" ds:itemID="{CF487381-D648-48A1-B1E4-A4540B0D3650}">
  <ds:schemaRefs/>
</ds:datastoreItem>
</file>

<file path=customXml/itemProps18.xml><?xml version="1.0" encoding="utf-8"?>
<ds:datastoreItem xmlns:ds="http://schemas.openxmlformats.org/officeDocument/2006/customXml" ds:itemID="{7E5C9D84-6DB6-48FB-8632-D5279FC233C8}">
  <ds:schemaRefs/>
</ds:datastoreItem>
</file>

<file path=customXml/itemProps2.xml><?xml version="1.0" encoding="utf-8"?>
<ds:datastoreItem xmlns:ds="http://schemas.openxmlformats.org/officeDocument/2006/customXml" ds:itemID="{509BA638-9D3A-4AA3-A169-FF78BC0E4BE9}">
  <ds:schemaRefs/>
</ds:datastoreItem>
</file>

<file path=customXml/itemProps3.xml><?xml version="1.0" encoding="utf-8"?>
<ds:datastoreItem xmlns:ds="http://schemas.openxmlformats.org/officeDocument/2006/customXml" ds:itemID="{1990A2D8-324F-45D5-B9CD-07245ED2860B}">
  <ds:schemaRefs/>
</ds:datastoreItem>
</file>

<file path=customXml/itemProps4.xml><?xml version="1.0" encoding="utf-8"?>
<ds:datastoreItem xmlns:ds="http://schemas.openxmlformats.org/officeDocument/2006/customXml" ds:itemID="{E6D3D55C-3DD8-4C31-8069-E5508DD844FB}">
  <ds:schemaRefs/>
</ds:datastoreItem>
</file>

<file path=customXml/itemProps5.xml><?xml version="1.0" encoding="utf-8"?>
<ds:datastoreItem xmlns:ds="http://schemas.openxmlformats.org/officeDocument/2006/customXml" ds:itemID="{3A3C3A8D-C5E4-45AF-8B48-C3BF528808AD}">
  <ds:schemaRefs/>
</ds:datastoreItem>
</file>

<file path=customXml/itemProps6.xml><?xml version="1.0" encoding="utf-8"?>
<ds:datastoreItem xmlns:ds="http://schemas.openxmlformats.org/officeDocument/2006/customXml" ds:itemID="{A06CD169-7F5C-4082-81B2-6ECAA9AF6149}">
  <ds:schemaRefs/>
</ds:datastoreItem>
</file>

<file path=customXml/itemProps7.xml><?xml version="1.0" encoding="utf-8"?>
<ds:datastoreItem xmlns:ds="http://schemas.openxmlformats.org/officeDocument/2006/customXml" ds:itemID="{2108FF18-8EC8-4170-A536-1AA8E39CC797}">
  <ds:schemaRefs/>
</ds:datastoreItem>
</file>

<file path=customXml/itemProps8.xml><?xml version="1.0" encoding="utf-8"?>
<ds:datastoreItem xmlns:ds="http://schemas.openxmlformats.org/officeDocument/2006/customXml" ds:itemID="{1A3BDF38-4832-4575-A8AB-7A1679738229}">
  <ds:schemaRefs/>
</ds:datastoreItem>
</file>

<file path=customXml/itemProps9.xml><?xml version="1.0" encoding="utf-8"?>
<ds:datastoreItem xmlns:ds="http://schemas.openxmlformats.org/officeDocument/2006/customXml" ds:itemID="{BEEE0313-55EB-45FA-BBBD-C0232D36725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3788</Words>
  <Characters>21595</Characters>
  <Lines>179</Lines>
  <Paragraphs>50</Paragraphs>
  <TotalTime>1</TotalTime>
  <ScaleCrop>false</ScaleCrop>
  <LinksUpToDate>false</LinksUpToDate>
  <CharactersWithSpaces>25333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2024-03-04T02:34:00Z</dcterms:created>
  <dc:creator>张淼雯</dc:creator>
  <cp:lastModifiedBy>cib</cp:lastModifiedBy>
  <cp:lastPrinted>2020-09-21T06:35:00Z</cp:lastPrinted>
  <dcterms:modified xsi:type="dcterms:W3CDTF">2025-01-20T05:48:00Z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