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4.4697%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-1.3456%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0.6576%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4.7759%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3.7393%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3.5548%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-1.2138%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0.7561%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5.3815%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3.6459%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3.5740%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-1.1810%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0.8220%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