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】年【1</w:t>
      </w:r>
      <w:r>
        <w:rPr>
          <w:rStyle w:val="27"/>
          <w:rFonts w:hint="eastAsia" w:ascii="宋体" w:hAnsi="宋体" w:cs="Times New Roman"/>
          <w:sz w:val="32"/>
          <w:szCs w:val="32"/>
          <w:lang w:val="en-US" w:eastAsia="zh-CN"/>
        </w:rPr>
        <w:t>2</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w:t>
      </w:r>
      <w:r>
        <w:rPr>
          <w:rFonts w:hint="eastAsia" w:ascii="宋体" w:hAnsi="宋体"/>
          <w:kern w:val="0"/>
          <w:sz w:val="20"/>
          <w:szCs w:val="21"/>
        </w:rPr>
        <w:t>稳利</w:t>
      </w:r>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兴银理财稳利丰收封闭式138号固收类理财产品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稳利</w:t>
            </w:r>
            <w:r>
              <w:rPr>
                <w:rFonts w:hint="eastAsia" w:ascii="宋体" w:hAnsi="宋体"/>
                <w:bCs/>
                <w:sz w:val="18"/>
                <w:szCs w:val="18"/>
              </w:rPr>
              <w:t>丰收封闭式13</w:t>
            </w:r>
            <w:r>
              <w:rPr>
                <w:rFonts w:hint="eastAsia" w:ascii="宋体" w:hAnsi="宋体"/>
                <w:bCs/>
                <w:sz w:val="18"/>
                <w:szCs w:val="18"/>
                <w:lang w:val="en-US" w:eastAsia="zh-CN"/>
              </w:rPr>
              <w:t>8</w:t>
            </w:r>
            <w:r>
              <w:rPr>
                <w:rFonts w:hint="eastAsia" w:ascii="宋体" w:hAnsi="宋体"/>
                <w:bCs/>
                <w:sz w:val="18"/>
                <w:szCs w:val="18"/>
              </w:rPr>
              <w:t>号</w:t>
            </w:r>
            <w:r>
              <w:rPr>
                <w:rFonts w:hint="eastAsia" w:ascii="宋体" w:hAnsi="宋体"/>
                <w:bCs/>
                <w:sz w:val="18"/>
                <w:szCs w:val="18"/>
                <w:lang w:val="en-US" w:eastAsia="zh-CN"/>
              </w:rPr>
              <w:t>A</w:t>
            </w:r>
            <w:r>
              <w:rPr>
                <w:rFonts w:hint="eastAsia" w:ascii="宋体" w:hAnsi="宋体"/>
                <w:bCs/>
                <w:sz w:val="18"/>
                <w:szCs w:val="18"/>
              </w:rPr>
              <w:t>（安享款）</w:t>
            </w:r>
            <w:r>
              <w:rPr>
                <w:rFonts w:hint="eastAsia" w:asciiTheme="majorEastAsia" w:hAnsiTheme="majorEastAsia" w:eastAsiaTheme="majorEastAsia"/>
                <w:bCs/>
                <w:kern w:val="0"/>
                <w:sz w:val="18"/>
                <w:szCs w:val="18"/>
              </w:rPr>
              <w:t>】</w:t>
            </w:r>
            <w:r>
              <w:rPr>
                <w:rFonts w:hint="eastAsia" w:hAnsi="宋体"/>
                <w:sz w:val="18"/>
                <w:szCs w:val="18"/>
              </w:rPr>
              <w:t>（适用【A】类份额）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稳利</w:t>
            </w:r>
            <w:r>
              <w:rPr>
                <w:rFonts w:hint="eastAsia" w:ascii="宋体" w:hAnsi="宋体"/>
                <w:bCs/>
                <w:sz w:val="18"/>
                <w:szCs w:val="18"/>
              </w:rPr>
              <w:t>丰收封闭式13</w:t>
            </w:r>
            <w:r>
              <w:rPr>
                <w:rFonts w:hint="eastAsia" w:ascii="宋体" w:hAnsi="宋体"/>
                <w:bCs/>
                <w:sz w:val="18"/>
                <w:szCs w:val="18"/>
                <w:lang w:val="en-US" w:eastAsia="zh-CN"/>
              </w:rPr>
              <w:t>8</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w:t>
            </w:r>
            <w:r>
              <w:rPr>
                <w:rFonts w:hint="eastAsia" w:ascii="宋体" w:hAnsi="宋体"/>
                <w:kern w:val="0"/>
                <w:sz w:val="20"/>
                <w:szCs w:val="21"/>
              </w:rPr>
              <w:t>稳利</w:t>
            </w:r>
            <w:r>
              <w:rPr>
                <w:rFonts w:hint="eastAsia" w:ascii="宋体" w:hAnsi="宋体"/>
                <w:bCs/>
                <w:sz w:val="18"/>
                <w:szCs w:val="18"/>
              </w:rPr>
              <w:t>丰收封闭式13</w:t>
            </w:r>
            <w:r>
              <w:rPr>
                <w:rFonts w:hint="eastAsia" w:ascii="宋体" w:hAnsi="宋体"/>
                <w:bCs/>
                <w:sz w:val="18"/>
                <w:szCs w:val="18"/>
                <w:lang w:val="en-US" w:eastAsia="zh-CN"/>
              </w:rPr>
              <w:t>8</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w:t>
            </w:r>
            <w:r>
              <w:rPr>
                <w:rFonts w:hint="eastAsia" w:asciiTheme="majorEastAsia" w:hAnsiTheme="majorEastAsia" w:eastAsiaTheme="majorEastAsia"/>
                <w:bCs/>
                <w:kern w:val="0"/>
                <w:sz w:val="18"/>
                <w:szCs w:val="18"/>
              </w:rPr>
              <w:t>】</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【Z7002024003033】</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9C3113</w:t>
            </w:r>
            <w:r>
              <w:rPr>
                <w:rFonts w:hint="eastAsia" w:ascii="宋体" w:hAnsi="宋体"/>
                <w:bCs/>
                <w:color w:val="000000" w:themeColor="text1"/>
                <w:sz w:val="18"/>
                <w:szCs w:val="18"/>
                <w:lang w:val="en-US" w:eastAsia="zh-CN"/>
                <w14:textFill>
                  <w14:solidFill>
                    <w14:schemeClr w14:val="tx1"/>
                  </w14:solidFill>
                </w14:textFill>
              </w:rPr>
              <w:t>8</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9C31138A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9C31138B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9C31138C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38</w:t>
            </w:r>
            <w:bookmarkStart w:id="156" w:name="_GoBack"/>
            <w:bookmarkEnd w:id="156"/>
            <w:r>
              <w:rPr>
                <w:rFonts w:hint="eastAsia" w:asciiTheme="majorEastAsia" w:hAnsiTheme="majorEastAsia" w:eastAsiaTheme="majorEastAsia"/>
                <w:bCs/>
                <w:sz w:val="18"/>
                <w:szCs w:val="18"/>
                <w:lang w:val="en-US" w:eastAsia="zh-CN"/>
              </w:rPr>
              <w:t>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w:t>
            </w:r>
            <w:r>
              <w:rPr>
                <w:rFonts w:hint="eastAsia" w:cs="Times New Roman" w:asciiTheme="minorEastAsia" w:hAnsiTheme="minorEastAsia"/>
                <w:sz w:val="18"/>
                <w:szCs w:val="18"/>
              </w:rPr>
              <w:t>1</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74065741"/>
      <w:bookmarkStart w:id="12" w:name="_Toc27189"/>
      <w:bookmarkStart w:id="13" w:name="_Toc90742321"/>
      <w:bookmarkStart w:id="14" w:name="_Toc7151"/>
      <w:bookmarkStart w:id="15" w:name="_Toc90742390"/>
      <w:bookmarkStart w:id="16" w:name="_Toc29948"/>
      <w:bookmarkStart w:id="17" w:name="_Toc27226"/>
      <w:bookmarkStart w:id="18" w:name="_Toc16265"/>
      <w:bookmarkStart w:id="19" w:name="_Toc15203"/>
      <w:bookmarkStart w:id="20" w:name="_Toc22074"/>
      <w:bookmarkStart w:id="21" w:name="_Toc6714"/>
      <w:bookmarkStart w:id="22" w:name="_Toc79154668"/>
      <w:bookmarkStart w:id="23" w:name="_Toc90742688"/>
      <w:bookmarkStart w:id="24" w:name="_Toc3266"/>
      <w:bookmarkStart w:id="25" w:name="_Toc2978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6986"/>
      <w:bookmarkStart w:id="28" w:name="_Toc18526"/>
      <w:bookmarkStart w:id="29" w:name="_Toc4741"/>
      <w:bookmarkStart w:id="30" w:name="_Toc17912"/>
      <w:bookmarkStart w:id="31" w:name="_Toc1823"/>
      <w:bookmarkStart w:id="32" w:name="_Toc139991735"/>
      <w:bookmarkStart w:id="33" w:name="_Toc18329"/>
      <w:bookmarkStart w:id="34" w:name="_Toc79154669"/>
      <w:bookmarkStart w:id="35" w:name="_Toc18797"/>
      <w:bookmarkStart w:id="36" w:name="_Toc14893"/>
      <w:bookmarkStart w:id="37" w:name="_Toc74065742"/>
      <w:bookmarkStart w:id="38" w:name="_Toc7848"/>
      <w:bookmarkStart w:id="39" w:name="_Toc176189758"/>
      <w:bookmarkStart w:id="40" w:name="_Toc21988"/>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12234"/>
      <w:bookmarkStart w:id="44" w:name="_Toc1427"/>
      <w:bookmarkStart w:id="45" w:name="_Toc139991736"/>
      <w:bookmarkStart w:id="46" w:name="_Toc176189759"/>
      <w:bookmarkStart w:id="47" w:name="_Toc74065743"/>
      <w:bookmarkStart w:id="48" w:name="_Toc79154670"/>
      <w:bookmarkStart w:id="49" w:name="_Toc20733"/>
      <w:bookmarkStart w:id="50" w:name="_Toc17244"/>
      <w:bookmarkStart w:id="51" w:name="_Toc98560352"/>
      <w:bookmarkStart w:id="52" w:name="_Toc123051452"/>
      <w:bookmarkStart w:id="53" w:name="_Toc1270"/>
      <w:bookmarkStart w:id="54" w:name="_Toc123102453"/>
      <w:bookmarkStart w:id="55" w:name="_Toc10463"/>
      <w:bookmarkStart w:id="56" w:name="_Toc79392606"/>
      <w:bookmarkStart w:id="57" w:name="_Toc48649707"/>
      <w:bookmarkStart w:id="58" w:name="_Toc23822"/>
      <w:bookmarkStart w:id="59" w:name="_Toc141703886"/>
      <w:bookmarkStart w:id="60" w:name="_Toc4003"/>
      <w:bookmarkStart w:id="61" w:name="_Toc610"/>
      <w:bookmarkStart w:id="62" w:name="_Toc23261"/>
      <w:bookmarkStart w:id="63" w:name="_Toc792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1703887"/>
      <w:bookmarkStart w:id="66" w:name="_Toc31235"/>
      <w:bookmarkStart w:id="67" w:name="_Toc29251"/>
      <w:bookmarkStart w:id="68" w:name="_Toc6405"/>
      <w:bookmarkStart w:id="69" w:name="_Toc15143"/>
      <w:bookmarkStart w:id="70" w:name="_Toc123102454"/>
      <w:bookmarkStart w:id="71" w:name="_Toc31653"/>
      <w:bookmarkStart w:id="72" w:name="_Toc123051453"/>
      <w:bookmarkStart w:id="73" w:name="_Toc98560353"/>
      <w:bookmarkStart w:id="74" w:name="_Toc79154671"/>
      <w:bookmarkStart w:id="75" w:name="_Toc14835"/>
      <w:bookmarkStart w:id="76" w:name="_Toc31644"/>
      <w:bookmarkStart w:id="77" w:name="_Toc3601"/>
      <w:bookmarkStart w:id="78" w:name="_Toc139991737"/>
      <w:bookmarkStart w:id="79" w:name="_Toc74065744"/>
      <w:bookmarkStart w:id="80" w:name="_Toc123112235"/>
      <w:bookmarkStart w:id="81" w:name="_Toc26207"/>
      <w:bookmarkStart w:id="82" w:name="_Toc176189760"/>
      <w:bookmarkStart w:id="83" w:name="_Toc1224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3321"/>
      <w:bookmarkStart w:id="92" w:name="_Toc7058"/>
      <w:bookmarkStart w:id="93" w:name="_Toc98560354"/>
      <w:bookmarkStart w:id="94" w:name="_Toc9706"/>
      <w:bookmarkStart w:id="95" w:name="_Toc6447"/>
      <w:bookmarkStart w:id="96" w:name="_Toc18567"/>
      <w:bookmarkStart w:id="97" w:name="_Toc3771"/>
      <w:bookmarkStart w:id="98" w:name="_Toc123112236"/>
      <w:bookmarkStart w:id="99" w:name="_Toc139991738"/>
      <w:bookmarkStart w:id="100" w:name="_Toc79154672"/>
      <w:bookmarkStart w:id="101" w:name="_Toc123051454"/>
      <w:bookmarkStart w:id="102" w:name="_Toc79392583"/>
      <w:bookmarkStart w:id="103" w:name="_Toc141703888"/>
      <w:bookmarkStart w:id="104" w:name="_Toc25783"/>
      <w:bookmarkStart w:id="105" w:name="_Toc4559"/>
      <w:bookmarkStart w:id="106" w:name="_Toc123102455"/>
      <w:bookmarkStart w:id="107" w:name="_Toc11030"/>
      <w:bookmarkStart w:id="108" w:name="_Toc176189761"/>
      <w:bookmarkStart w:id="109" w:name="_Toc74065745"/>
      <w:bookmarkStart w:id="110" w:name="_Toc1065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39991739"/>
      <w:bookmarkStart w:id="114" w:name="_Toc18206"/>
      <w:bookmarkStart w:id="115" w:name="_Toc123051455"/>
      <w:bookmarkStart w:id="116" w:name="_Toc3080"/>
      <w:bookmarkStart w:id="117" w:name="_Toc31821"/>
      <w:bookmarkStart w:id="118" w:name="_Toc725"/>
      <w:bookmarkStart w:id="119" w:name="_Toc176189762"/>
      <w:bookmarkStart w:id="120" w:name="_Toc16164"/>
      <w:bookmarkStart w:id="121" w:name="_Toc98560355"/>
      <w:bookmarkStart w:id="122" w:name="_Toc123112237"/>
      <w:bookmarkStart w:id="123" w:name="_Toc79154673"/>
      <w:bookmarkStart w:id="124" w:name="_Toc10398"/>
      <w:bookmarkStart w:id="125" w:name="_Toc3572"/>
      <w:bookmarkStart w:id="126" w:name="_Toc141703889"/>
      <w:bookmarkStart w:id="127" w:name="_Toc74065746"/>
      <w:bookmarkStart w:id="128" w:name="_Toc123102456"/>
      <w:bookmarkStart w:id="129" w:name="_Toc2173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051456"/>
      <w:bookmarkStart w:id="134" w:name="_Toc141703890"/>
      <w:bookmarkStart w:id="135" w:name="_Toc8791"/>
      <w:bookmarkStart w:id="136" w:name="_Toc21237"/>
      <w:bookmarkStart w:id="137" w:name="_Toc123112238"/>
      <w:bookmarkStart w:id="138" w:name="_Toc32092"/>
      <w:bookmarkStart w:id="139" w:name="_Toc79392622"/>
      <w:bookmarkStart w:id="140" w:name="_Toc17920"/>
      <w:bookmarkStart w:id="141" w:name="_Toc5170"/>
      <w:bookmarkStart w:id="142" w:name="_Toc139991740"/>
      <w:bookmarkStart w:id="143" w:name="_Toc17198"/>
      <w:bookmarkStart w:id="144" w:name="_Toc739"/>
      <w:bookmarkStart w:id="145" w:name="_Toc48649708"/>
      <w:bookmarkStart w:id="146" w:name="_Toc79154674"/>
      <w:bookmarkStart w:id="147" w:name="_Toc74065747"/>
      <w:bookmarkStart w:id="148" w:name="_Toc32584"/>
      <w:bookmarkStart w:id="149" w:name="_Toc98560356"/>
      <w:bookmarkStart w:id="150" w:name="_Toc29408"/>
      <w:bookmarkStart w:id="151" w:name="_Toc123102457"/>
      <w:bookmarkStart w:id="152" w:name="_Toc176189763"/>
      <w:bookmarkStart w:id="153" w:name="_Toc332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46E31C1"/>
    <w:rsid w:val="056C4F65"/>
    <w:rsid w:val="06F4696E"/>
    <w:rsid w:val="07245E56"/>
    <w:rsid w:val="072779FF"/>
    <w:rsid w:val="0C023D8C"/>
    <w:rsid w:val="0E94232E"/>
    <w:rsid w:val="0F1306D5"/>
    <w:rsid w:val="10F01A1A"/>
    <w:rsid w:val="11295396"/>
    <w:rsid w:val="163E2FB7"/>
    <w:rsid w:val="19645879"/>
    <w:rsid w:val="1A48157B"/>
    <w:rsid w:val="1ABE2ED9"/>
    <w:rsid w:val="1BD70953"/>
    <w:rsid w:val="1BF87698"/>
    <w:rsid w:val="1C78144D"/>
    <w:rsid w:val="1CD60A49"/>
    <w:rsid w:val="1E585AB7"/>
    <w:rsid w:val="1EB160C2"/>
    <w:rsid w:val="1FF145B9"/>
    <w:rsid w:val="2193546F"/>
    <w:rsid w:val="23083986"/>
    <w:rsid w:val="23AF29A3"/>
    <w:rsid w:val="26123FD6"/>
    <w:rsid w:val="26F50BA9"/>
    <w:rsid w:val="29026D00"/>
    <w:rsid w:val="2A642791"/>
    <w:rsid w:val="2EA644DF"/>
    <w:rsid w:val="2FB532A0"/>
    <w:rsid w:val="30257ABB"/>
    <w:rsid w:val="319C4BEA"/>
    <w:rsid w:val="33DA2E89"/>
    <w:rsid w:val="34C829B2"/>
    <w:rsid w:val="35381804"/>
    <w:rsid w:val="386A3F56"/>
    <w:rsid w:val="3A810EF7"/>
    <w:rsid w:val="3C3802E9"/>
    <w:rsid w:val="3E0C1771"/>
    <w:rsid w:val="3E586AB8"/>
    <w:rsid w:val="3E5C1B1D"/>
    <w:rsid w:val="3EAE14E9"/>
    <w:rsid w:val="3FD261A6"/>
    <w:rsid w:val="42EB2F9C"/>
    <w:rsid w:val="43380D15"/>
    <w:rsid w:val="45226963"/>
    <w:rsid w:val="469F5C49"/>
    <w:rsid w:val="4D39606F"/>
    <w:rsid w:val="4F8E3D4D"/>
    <w:rsid w:val="4FA308F4"/>
    <w:rsid w:val="4FFA094D"/>
    <w:rsid w:val="53B3493A"/>
    <w:rsid w:val="5537323C"/>
    <w:rsid w:val="55855837"/>
    <w:rsid w:val="56503211"/>
    <w:rsid w:val="57BD5DAE"/>
    <w:rsid w:val="598B567E"/>
    <w:rsid w:val="5B5D4C61"/>
    <w:rsid w:val="5BA577EB"/>
    <w:rsid w:val="5C624734"/>
    <w:rsid w:val="5FE91ABC"/>
    <w:rsid w:val="60D42826"/>
    <w:rsid w:val="628E734C"/>
    <w:rsid w:val="644D235A"/>
    <w:rsid w:val="64F66D8D"/>
    <w:rsid w:val="6580603B"/>
    <w:rsid w:val="68B96EA7"/>
    <w:rsid w:val="68C7223A"/>
    <w:rsid w:val="68EF6886"/>
    <w:rsid w:val="694A7300"/>
    <w:rsid w:val="699457CF"/>
    <w:rsid w:val="6FDD1093"/>
    <w:rsid w:val="709C0126"/>
    <w:rsid w:val="73EB7F47"/>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3</TotalTime>
  <ScaleCrop>false</ScaleCrop>
  <LinksUpToDate>false</LinksUpToDate>
  <CharactersWithSpaces>25323</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2024-12-10T01:39:36Z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