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jc w:val="center"/>
        <w:rPr>
          <w:rFonts w:ascii="黑体" w:hAnsi="黑体" w:eastAsia="黑体"/>
          <w:b/>
          <w:sz w:val="28"/>
          <w:szCs w:val="28"/>
        </w:rPr>
      </w:pPr>
      <w:r>
        <w:rPr>
          <w:rFonts w:hint="eastAsia" w:ascii="黑体" w:hAnsi="黑体" w:eastAsia="黑体"/>
          <w:b/>
          <w:sz w:val="28"/>
          <w:szCs w:val="28"/>
        </w:rPr>
        <w:t>兴银理财</w:t>
      </w:r>
      <w:permStart w:id="0" w:edGrp="everyone"/>
      <w:r>
        <w:rPr>
          <w:rFonts w:hint="eastAsia" w:ascii="黑体" w:hAnsi="黑体" w:eastAsia="黑体"/>
          <w:b/>
          <w:sz w:val="28"/>
          <w:szCs w:val="28"/>
        </w:rPr>
        <w:t>【稳利丰收封闭式固收类】</w:t>
      </w:r>
      <w:permEnd w:id="0"/>
      <w:r>
        <w:rPr>
          <w:rFonts w:hint="eastAsia" w:ascii="黑体" w:hAnsi="黑体" w:eastAsia="黑体"/>
          <w:b/>
          <w:sz w:val="28"/>
          <w:szCs w:val="28"/>
        </w:rPr>
        <w:t>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5"/>
              <w:spacing w:line="320" w:lineRule="exact"/>
              <w:rPr>
                <w:rFonts w:ascii="宋体" w:hAnsi="宋体"/>
                <w:b/>
                <w:bCs/>
                <w:sz w:val="28"/>
                <w:szCs w:val="28"/>
              </w:rPr>
            </w:pPr>
          </w:p>
        </w:tc>
      </w:tr>
      <w:tr>
        <w:trPr>
          <w:cantSplit/>
          <w:trHeight w:val="170" w:hRule="exact"/>
          <w:jc w:val="center"/>
        </w:trPr>
        <w:tc>
          <w:tcPr>
            <w:tcW w:w="7598" w:type="dxa"/>
            <w:gridSpan w:val="6"/>
            <w:shd w:val="pct10" w:color="A5A5A5" w:themeColor="background1" w:themeShade="A6" w:fill="A5A5A5" w:themeFill="background1" w:themeFillShade="A6"/>
            <w:vAlign w:val="center"/>
          </w:tcPr>
          <w:p>
            <w:pPr>
              <w:pStyle w:val="5"/>
              <w:spacing w:line="320" w:lineRule="exact"/>
              <w:rPr>
                <w:rFonts w:ascii="宋体" w:hAnsi="宋体"/>
                <w:b/>
                <w:bCs/>
                <w:sz w:val="28"/>
                <w:szCs w:val="28"/>
              </w:rPr>
            </w:pPr>
          </w:p>
        </w:tc>
      </w:tr>
      <w:tr>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permStart w:id="1" w:edGrp="everyone" w:colFirst="3" w:colLast="3"/>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permEnd w:id="1"/>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2" w:edGrp="everyone" w:colFirst="3" w:colLast="3"/>
            <w:permStart w:id="3" w:edGrp="everyone" w:colFirst="5" w:colLast="5"/>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permEnd w:id="2"/>
      <w:permEnd w:id="3"/>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4" w:edGrp="everyone" w:colFirst="3" w:colLast="3"/>
            <w:permStart w:id="5" w:edGrp="everyone" w:colFirst="5" w:colLast="5"/>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permEnd w:id="4"/>
      <w:permEnd w:id="5"/>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6" w:edGrp="everyone" w:colFirst="3" w:colLast="3"/>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permEnd w:id="6"/>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7" w:edGrp="everyone" w:colFirst="3" w:colLast="3"/>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permEnd w:id="7"/>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8" w:edGrp="everyone" w:colFirst="3" w:colLast="3"/>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8"/>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9" w:edGrp="everyone" w:colFirst="3" w:colLast="3"/>
            <w:permStart w:id="10" w:edGrp="everyone" w:colFirst="5" w:colLast="5"/>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9"/>
      <w:permEnd w:id="10"/>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1" w:edGrp="everyone" w:colFirst="3" w:colLast="3"/>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1"/>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2" w:edGrp="everyone" w:colFirst="3" w:colLast="3"/>
            <w:permStart w:id="13" w:edGrp="everyone" w:colFirst="5" w:colLast="5"/>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2"/>
      <w:permEnd w:id="13"/>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4" w:edGrp="everyone" w:colFirst="3" w:colLast="3"/>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4"/>
      <w:tr>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ermStart w:id="15" w:edGrp="everyone" w:colFirst="3" w:colLast="3"/>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5"/>
      <w:tr>
        <w:trPr>
          <w:trHeight w:val="170" w:hRule="exact"/>
          <w:jc w:val="center"/>
        </w:trPr>
        <w:tc>
          <w:tcPr>
            <w:tcW w:w="7598" w:type="dxa"/>
            <w:gridSpan w:val="6"/>
            <w:shd w:val="pct10" w:color="FFFFFF" w:fill="A5A5A5" w:themeFill="background1" w:themeFillShade="A6"/>
            <w:vAlign w:val="center"/>
          </w:tcPr>
          <w:p>
            <w:pPr>
              <w:pStyle w:val="5"/>
              <w:pBdr>
                <w:bottom w:val="none" w:color="auto" w:sz="0" w:space="0"/>
              </w:pBdr>
              <w:spacing w:line="320" w:lineRule="exact"/>
              <w:rPr>
                <w:rFonts w:ascii="宋体" w:hAnsi="宋体"/>
                <w:b/>
                <w:bCs/>
                <w:sz w:val="28"/>
                <w:szCs w:val="28"/>
              </w:rPr>
            </w:pPr>
          </w:p>
        </w:tc>
      </w:tr>
      <w:tr>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ermEnd w:id="16"/>
          </w:p>
        </w:tc>
      </w:tr>
      <w:tr>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permStart w:id="17" w:edGrp="everyone"/>
            <w:r>
              <w:rPr>
                <w:rFonts w:hint="eastAsia" w:ascii="宋体" w:hAnsi="宋体"/>
                <w:bCs/>
                <w:sz w:val="18"/>
                <w:szCs w:val="18"/>
              </w:rPr>
              <w:t>【</w:t>
            </w:r>
            <w:r>
              <w:rPr>
                <w:rFonts w:hint="eastAsia" w:ascii="宋体" w:hAnsi="宋体"/>
                <w:bCs/>
                <w:color w:val="FF0000"/>
                <w:sz w:val="18"/>
                <w:szCs w:val="18"/>
              </w:rPr>
              <w:t>浙江新昌农村商业银行股份有限公司</w:t>
            </w:r>
            <w:r>
              <w:rPr>
                <w:rFonts w:hint="eastAsia" w:ascii="宋体" w:hAnsi="宋体"/>
                <w:bCs/>
                <w:sz w:val="18"/>
                <w:szCs w:val="18"/>
              </w:rPr>
              <w:t>】</w:t>
            </w:r>
            <w:permEnd w:id="17"/>
          </w:p>
        </w:tc>
      </w:tr>
      <w:tr>
        <w:trPr>
          <w:trHeight w:val="375" w:hRule="atLeas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tcBorders>
              <w:bottom w:val="single" w:color="auto" w:sz="12" w:space="0"/>
            </w:tcBorders>
            <w:shd w:val="solid" w:color="FFFFFF" w:fill="FFFFFF"/>
            <w:vAlign w:val="center"/>
          </w:tcPr>
          <w:p>
            <w:pPr>
              <w:pStyle w:val="15"/>
              <w:jc w:val="both"/>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FF0000"/>
                <w:sz w:val="18"/>
                <w:szCs w:val="18"/>
                <w:highlight w:val="none"/>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hint="eastAsia" w:asciiTheme="majorEastAsia" w:hAnsiTheme="majorEastAsia" w:eastAsiaTheme="majorEastAsia"/>
                <w:bCs/>
                <w:sz w:val="18"/>
                <w:szCs w:val="18"/>
              </w:rPr>
              <w:t>】</w:t>
            </w:r>
            <w:permEnd w:id="18"/>
          </w:p>
        </w:tc>
      </w:tr>
      <w:tr>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rPr>
          <w:trHeight w:val="402" w:hRule="atLeast"/>
          <w:jc w:val="center"/>
        </w:trPr>
        <w:tc>
          <w:tcPr>
            <w:tcW w:w="817" w:type="dxa"/>
            <w:shd w:val="solid" w:color="FFFFFF" w:fill="FFFFFF"/>
            <w:vAlign w:val="center"/>
          </w:tcPr>
          <w:p>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permStart w:id="19" w:edGrp="everyone"/>
            <w:r>
              <w:rPr>
                <w:rFonts w:ascii="宋体" w:hAnsi="宋体"/>
                <w:u w:val="single"/>
              </w:rPr>
              <w:t xml:space="preserve">　                     </w:t>
            </w:r>
            <w:permEnd w:id="19"/>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pPr>
        <w:widowControl/>
        <w:spacing w:line="360" w:lineRule="auto"/>
        <w:jc w:val="left"/>
        <w:rPr>
          <w:rFonts w:ascii="黑体" w:hAnsi="黑体" w:eastAsia="黑体" w:cs="仿宋_GB2312"/>
          <w:kern w:val="0"/>
          <w:sz w:val="18"/>
          <w:szCs w:val="18"/>
        </w:rPr>
      </w:pPr>
      <w:permStart w:id="20"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ermEnd w:id="20"/>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黑体" w:hAnsi="黑体" w:eastAsia="黑体" w:cs="仿宋_GB2312"/>
          <w:kern w:val="0"/>
          <w:sz w:val="18"/>
          <w:szCs w:val="18"/>
        </w:rPr>
      </w:pPr>
      <w:permStart w:id="21"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ermEnd w:id="21"/>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permStart w:id="22" w:edGrp="everyone"/>
      <w:r>
        <w:rPr>
          <w:rFonts w:hint="eastAsia" w:ascii="宋体" w:hAnsi="宋体" w:cs="仿宋_GB2312"/>
          <w:kern w:val="0"/>
          <w:sz w:val="18"/>
          <w:szCs w:val="18"/>
        </w:rPr>
        <w:t>【</w:t>
      </w:r>
      <w:r>
        <w:rPr>
          <w:rFonts w:hint="eastAsia" w:ascii="宋体" w:hAnsi="宋体" w:cs="仿宋_GB2312"/>
          <w:color w:val="FF0000"/>
          <w:kern w:val="0"/>
          <w:sz w:val="18"/>
          <w:szCs w:val="18"/>
          <w:lang w:val="en-US" w:eastAsia="zh-CN"/>
        </w:rPr>
        <w:t>5</w:t>
      </w:r>
      <w:r>
        <w:rPr>
          <w:rFonts w:hint="eastAsia" w:ascii="宋体" w:hAnsi="宋体" w:cs="仿宋_GB2312"/>
          <w:kern w:val="0"/>
          <w:sz w:val="18"/>
          <w:szCs w:val="18"/>
        </w:rPr>
        <w:t>】</w:t>
      </w:r>
      <w:permEnd w:id="22"/>
      <w:r>
        <w:rPr>
          <w:rFonts w:hint="eastAsia" w:ascii="宋体" w:hAnsi="宋体" w:cs="仿宋_GB2312"/>
          <w:kern w:val="0"/>
          <w:sz w:val="18"/>
          <w:szCs w:val="18"/>
        </w:rPr>
        <w:t>个风险等级</w:t>
      </w:r>
      <w:r>
        <w:rPr>
          <w:rFonts w:ascii="宋体" w:hAnsi="宋体" w:cs="仿宋_GB2312"/>
          <w:kern w:val="0"/>
          <w:sz w:val="18"/>
          <w:szCs w:val="18"/>
        </w:rPr>
        <w:t>：</w:t>
      </w:r>
      <w:permStart w:id="23" w:edGrp="everyone"/>
      <w:r>
        <w:rPr>
          <w:rFonts w:hint="eastAsia" w:ascii="宋体" w:hAnsi="宋体" w:cs="仿宋_GB2312"/>
          <w:kern w:val="0"/>
          <w:sz w:val="18"/>
          <w:szCs w:val="18"/>
        </w:rPr>
        <w:t>【</w:t>
      </w:r>
      <w:r>
        <w:rPr>
          <w:rFonts w:hint="eastAsia" w:ascii="宋体" w:hAnsi="宋体" w:cs="仿宋_GB2312"/>
          <w:color w:val="FF0000"/>
          <w:kern w:val="0"/>
          <w:sz w:val="18"/>
          <w:szCs w:val="18"/>
        </w:rPr>
        <w:t>低风险、中低风险、中风险、中高风险、高风险</w:t>
      </w:r>
      <w:r>
        <w:rPr>
          <w:rFonts w:hint="eastAsia" w:ascii="宋体" w:hAnsi="宋体" w:cs="仿宋_GB2312"/>
          <w:kern w:val="0"/>
          <w:sz w:val="18"/>
          <w:szCs w:val="18"/>
        </w:rPr>
        <w:t>】</w:t>
      </w:r>
      <w:permEnd w:id="23"/>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5"/>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permStart w:id="24"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4"/>
      <w:r>
        <w:rPr>
          <w:rFonts w:hint="eastAsia" w:asciiTheme="majorEastAsia" w:hAnsiTheme="majorEastAsia" w:eastAsiaTheme="majorEastAsia"/>
          <w:sz w:val="18"/>
          <w:szCs w:val="18"/>
        </w:rPr>
        <w:t>参照本条第（1）款非机构投资者要求执行；</w:t>
      </w:r>
    </w:p>
    <w:p>
      <w:pPr>
        <w:widowControl/>
        <w:spacing w:line="360" w:lineRule="auto"/>
        <w:jc w:val="left"/>
        <w:rPr>
          <w:rFonts w:asciiTheme="majorEastAsia" w:hAnsiTheme="majorEastAsia" w:eastAsiaTheme="majorEastAsia"/>
          <w:sz w:val="18"/>
          <w:szCs w:val="18"/>
        </w:rPr>
      </w:pPr>
      <w:permStart w:id="25" w:edGrp="everyone"/>
      <w:r>
        <w:rPr>
          <w:rFonts w:hint="eastAsia" w:asciiTheme="majorEastAsia" w:hAnsiTheme="majorEastAsia" w:eastAsiaTheme="majorEastAsia"/>
          <w:sz w:val="18"/>
          <w:szCs w:val="18"/>
        </w:rPr>
        <w:sym w:font="Wingdings 2" w:char="0052"/>
      </w:r>
      <w:r>
        <w:rPr>
          <w:rFonts w:hint="eastAsia" w:asciiTheme="majorEastAsia" w:hAnsiTheme="majorEastAsia" w:eastAsiaTheme="majorEastAsia"/>
          <w:sz w:val="18"/>
          <w:szCs w:val="18"/>
        </w:rPr>
        <w:t xml:space="preserve"> </w:t>
      </w:r>
      <w:permEnd w:id="25"/>
      <w:r>
        <w:rPr>
          <w:rFonts w:hint="eastAsia" w:asciiTheme="majorEastAsia" w:hAnsiTheme="majorEastAsia" w:eastAsiaTheme="majorEastAsia"/>
          <w:sz w:val="18"/>
          <w:szCs w:val="18"/>
        </w:rPr>
        <w:t>其他：</w:t>
      </w:r>
      <w:permStart w:id="26" w:edGrp="everyone"/>
      <w:r>
        <w:rPr>
          <w:rFonts w:hint="eastAsia" w:asciiTheme="majorEastAsia" w:hAnsiTheme="majorEastAsia" w:eastAsiaTheme="majorEastAsia"/>
          <w:sz w:val="18"/>
          <w:szCs w:val="18"/>
          <w:u w:val="single"/>
        </w:rPr>
        <w:t xml:space="preserve"> </w:t>
      </w:r>
      <w:r>
        <w:rPr>
          <w:rFonts w:hint="eastAsia" w:asciiTheme="majorEastAsia" w:hAnsiTheme="majorEastAsia" w:eastAsiaTheme="majorEastAsia"/>
          <w:sz w:val="18"/>
          <w:szCs w:val="18"/>
          <w:u w:val="single"/>
          <w:lang w:val="en-US" w:eastAsia="zh-CN"/>
        </w:rPr>
        <w:t xml:space="preserve">                                </w:t>
      </w:r>
      <w:permEnd w:id="26"/>
      <w:bookmarkStart w:id="0" w:name="_GoBack"/>
      <w:bookmarkEnd w:id="0"/>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1)甲方已经收到所购买乙方销售的理财产品的《投资协议书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rPr>
          <w:trHeight w:val="1014"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
    <w:p/>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 w:val="7FF3F3C6"/>
    <w:rsid w:val="9FFBDF37"/>
    <w:rsid w:val="FDFF4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unhideWhenUsed/>
    <w:qFormat/>
    <w:uiPriority w:val="0"/>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批注文字 Char"/>
    <w:basedOn w:val="10"/>
    <w:link w:val="2"/>
    <w:qFormat/>
    <w:uiPriority w:val="99"/>
    <w:rPr>
      <w:rFonts w:ascii="Calibri" w:hAnsi="Calibri" w:eastAsia="宋体" w:cs="宋体"/>
    </w:rPr>
  </w:style>
  <w:style w:type="character" w:customStyle="1" w:styleId="17">
    <w:name w:val="批注主题 Char"/>
    <w:basedOn w:val="16"/>
    <w:link w:val="7"/>
    <w:semiHidden/>
    <w:qFormat/>
    <w:uiPriority w:val="99"/>
    <w:rPr>
      <w:rFonts w:ascii="Calibri" w:hAnsi="Calibri" w:eastAsia="宋体" w:cs="宋体"/>
      <w:b/>
      <w:bCs/>
    </w:rPr>
  </w:style>
  <w:style w:type="character" w:customStyle="1" w:styleId="18">
    <w:name w:val="批注框文本 Char"/>
    <w:basedOn w:val="10"/>
    <w:link w:val="3"/>
    <w:semiHidden/>
    <w:qFormat/>
    <w:uiPriority w:val="99"/>
    <w:rPr>
      <w:rFonts w:ascii="Calibri" w:hAnsi="Calibri" w:eastAsia="宋体" w:cs="宋体"/>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652</Words>
  <Characters>3718</Characters>
  <Lines>30</Lines>
  <Paragraphs>8</Paragraphs>
  <TotalTime>11</TotalTime>
  <ScaleCrop>false</ScaleCrop>
  <LinksUpToDate>false</LinksUpToDate>
  <CharactersWithSpaces>4362</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2023-11-01T05:04:00Z</dcterms:created>
  <dc:creator>胡骁潇</dc:creator>
  <cp:lastModifiedBy>Lee</cp:lastModifiedBy>
  <dcterms:modified xsi:type="dcterms:W3CDTF">2024-07-16T06:01:59Z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DCAA966F15694DFBAAE5A22BB81990CC</vt:lpwstr>
  </property>
</Properties>
</file>