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【稳添利最短持有期日开固收类】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306"/>
            </w:tabs>
          </w:pPr>
          <w:r>
            <w:fldChar w:fldCharType="begin"/>
          </w:r>
          <w:r>
            <w:instrText xml:space="preserve"> TOC \o "1-3" \h \z \u </w:instrText>
          </w:r>
          <w:r>
            <w:fldChar w:fldCharType="separate"/>
          </w:r>
          <w:r>
            <w:fldChar w:fldCharType="begin"/>
          </w:r>
          <w:r>
            <w:instrText xml:space="preserve"> HYPERLINK \l "_Toc26572"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_Toc26572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"_Toc14559" </w:instrText>
          </w:r>
          <w:r>
            <w:fldChar w:fldCharType="separate"/>
          </w:r>
          <w:r>
            <w:rPr>
              <w:rFonts w:hint="eastAsia" w:hAnsi="宋体"/>
              <w:szCs w:val="28"/>
            </w:rPr>
            <w:t xml:space="preserve">第二条  理财产品基本情况 </w:t>
          </w:r>
          <w:r>
            <w:tab/>
          </w:r>
          <w:r>
            <w:fldChar w:fldCharType="begin"/>
          </w:r>
          <w:r>
            <w:instrText xml:space="preserve"> PAGEREF _Toc14559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"_Toc4403"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_Toc4403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"_Toc6529"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_Toc6529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"_Toc12517"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_Toc12517 \h </w:instrText>
          </w:r>
          <w:r>
            <w:fldChar w:fldCharType="separate"/>
          </w:r>
          <w:r>
            <w:t>20</w:t>
          </w:r>
          <w:r>
            <w:fldChar w:fldCharType="end"/>
          </w:r>
          <w:r>
            <w:fldChar w:fldCharType="end"/>
          </w:r>
        </w:p>
        <w:p>
          <w:pPr>
            <w:pStyle w:val="16"/>
            <w:tabs>
              <w:tab w:val="right" w:leader="dot" w:pos="8306"/>
            </w:tabs>
          </w:pPr>
          <w:r>
            <w:fldChar w:fldCharType="begin"/>
          </w:r>
          <w:r>
            <w:instrText xml:space="preserve"> HYPERLINK \l "_Toc27967"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_Toc27967 \h </w:instrText>
          </w:r>
          <w:r>
            <w:fldChar w:fldCharType="separate"/>
          </w:r>
          <w:r>
            <w:t>23</w:t>
          </w:r>
          <w:r>
            <w:fldChar w:fldCharType="end"/>
          </w:r>
          <w:r>
            <w:fldChar w:fldCharType="end"/>
          </w:r>
        </w:p>
        <w:p>
          <w:pPr>
            <w:pStyle w:val="16"/>
            <w:tabs>
              <w:tab w:val="right" w:leader="dot" w:pos="8306"/>
            </w:tabs>
          </w:pPr>
          <w:r>
            <w:fldChar w:fldCharType="begin"/>
          </w:r>
          <w:r>
            <w:instrText xml:space="preserve"> HYPERLINK \l "_Toc13903"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_Toc13903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"_Toc4020"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_Toc4020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"_Toc6394"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_Toc6394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"_Toc25397"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_Toc25397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"_Toc7953"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_Toc7953 \h </w:instrText>
          </w:r>
          <w:r>
            <w:fldChar w:fldCharType="separate"/>
          </w:r>
          <w:r>
            <w:t>34</w:t>
          </w:r>
          <w:r>
            <w:fldChar w:fldCharType="end"/>
          </w:r>
          <w:r>
            <w:fldChar w:fldCharType="end"/>
          </w:r>
        </w:p>
        <w:p>
          <w:pPr>
            <w:pStyle w:val="16"/>
            <w:tabs>
              <w:tab w:val="right" w:leader="dot" w:pos="8306"/>
            </w:tabs>
          </w:pPr>
          <w:r>
            <w:fldChar w:fldCharType="begin"/>
          </w:r>
          <w:r>
            <w:instrText xml:space="preserve"> HYPERLINK \l "_Toc30149"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_Toc30149 \h </w:instrText>
          </w:r>
          <w:r>
            <w:fldChar w:fldCharType="separate"/>
          </w:r>
          <w:r>
            <w:t>36</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26572"/>
      <w:bookmarkStart w:id="2"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【稳添利最短持有期日开固收类】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【稳添利最短持有期日开固收类】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【稳添利最短持有期日开固收类】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【稳添利最短持有期日开固收类】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【稳添利最短持有期日开固收类】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【稳添利最短持有期日开固收类】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【稳添利最短持有期日开固收类】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【稳添利最短持有期日开固收类】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【稳添利最短持有期日开固收类】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理财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）适合投资者：指适合购买理财产品的投资者类型。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（20）巨额赎回：每个赎回日，本产品的净赎回申请（赎回申请份额总数扣除申购申请份额总数后的余额,下同）之和达到上一赎回日产品总份额的约定百分比，为巨额赎回。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22）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）成立日：指理财产品开始运作的日期。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）终止日：指理财产品终止的日期。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（14）赎回申请日：指投资者做出赎回申请的当日。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6）赎回日：指产品管理人接受投资者赎回申请的当日。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（3）适用法律：指在理财销售文件签署日和履行过程中，适用中华人民共和国法律（为本销售文件之目的，在此不包括香港、澳门特别行政区和台湾地区的法律），包括中国任何立法机构、政府部门、银行业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3" w:name="_Toc79154665"/>
      <w:bookmarkStart w:id="4" w:name="_Toc92377131"/>
      <w:bookmarkStart w:id="5" w:name="_Toc14559"/>
      <w:r>
        <w:rPr>
          <w:rFonts w:hint="eastAsia" w:hAnsi="宋体"/>
          <w:sz w:val="28"/>
          <w:szCs w:val="28"/>
        </w:rPr>
        <w:t>第二条  理财产品基本情况</w:t>
      </w:r>
      <w:bookmarkEnd w:id="3"/>
      <w:bookmarkEnd w:id="4"/>
      <w:r>
        <w:rPr>
          <w:rFonts w:hint="eastAsia" w:hAnsi="宋体"/>
          <w:sz w:val="28"/>
          <w:szCs w:val="28"/>
        </w:rPr>
        <w:t xml:space="preserve"> </w:t>
      </w:r>
      <w:bookmarkEnd w:id="5"/>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sz w:val="18"/>
                <w:szCs w:val="18"/>
              </w:rPr>
              <w:t>【兴银理财稳添利双周盈11号(14天最短持有期)日开固收类理财产品】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widowControl/>
              <w:spacing w:line="360" w:lineRule="auto"/>
              <w:jc w:val="left"/>
              <w:rPr>
                <w:rFonts w:ascii="宋体" w:hAnsi="宋体"/>
                <w:kern w:val="0"/>
                <w:sz w:val="22"/>
              </w:rPr>
            </w:pPr>
            <w:r>
              <w:rPr>
                <w:rFonts w:hint="eastAsia" w:asciiTheme="majorEastAsia" w:hAnsiTheme="majorEastAsia" w:eastAsiaTheme="majorEastAsia"/>
                <w:bCs/>
                <w:kern w:val="0"/>
                <w:sz w:val="18"/>
                <w:szCs w:val="18"/>
              </w:rPr>
              <w:t>【</w:t>
            </w:r>
            <w:r>
              <w:rPr>
                <w:rFonts w:hint="eastAsia" w:ascii="宋体" w:hAnsi="宋体"/>
                <w:sz w:val="18"/>
                <w:szCs w:val="18"/>
              </w:rPr>
              <w:t>兴银稳添利双周盈11号A（兴普惠）</w:t>
            </w:r>
            <w:r>
              <w:rPr>
                <w:rFonts w:hint="eastAsia" w:asciiTheme="majorEastAsia" w:hAnsiTheme="majorEastAsia" w:eastAsiaTheme="majorEastAsia"/>
                <w:bCs/>
                <w:kern w:val="0"/>
                <w:sz w:val="18"/>
                <w:szCs w:val="18"/>
              </w:rPr>
              <w:t>】</w:t>
            </w:r>
            <w:r>
              <w:rPr>
                <w:rFonts w:hint="eastAsia" w:hAnsi="宋体"/>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【Z7002023001467】</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9K400510】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60" w:lineRule="auto"/>
              <w:jc w:val="left"/>
              <w:rPr>
                <w:rFonts w:hAnsi="宋体"/>
                <w:sz w:val="18"/>
                <w:szCs w:val="18"/>
              </w:rPr>
            </w:pPr>
            <w:r>
              <w:rPr>
                <w:rFonts w:hint="eastAsia" w:hAnsi="宋体"/>
                <w:sz w:val="18"/>
                <w:szCs w:val="18"/>
              </w:rPr>
              <w:t>【</w:t>
            </w:r>
            <w:r>
              <w:rPr>
                <w:rFonts w:hint="eastAsia" w:ascii="宋体" w:hAnsi="宋体"/>
                <w:bCs/>
                <w:sz w:val="18"/>
                <w:szCs w:val="18"/>
              </w:rPr>
              <w:t>9K40051</w:t>
            </w:r>
            <w:r>
              <w:rPr>
                <w:rFonts w:hint="eastAsia" w:ascii="宋体" w:hAnsi="宋体"/>
                <w:bCs/>
                <w:sz w:val="18"/>
                <w:szCs w:val="18"/>
                <w:lang w:val="en-US" w:eastAsia="zh-CN"/>
              </w:rPr>
              <w:t>A</w:t>
            </w:r>
            <w:r>
              <w:rPr>
                <w:rFonts w:hint="eastAsia" w:hAnsi="宋体"/>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】日【9:0</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5:45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704" w:type="dxa"/>
            <w:shd w:val="solid" w:color="FFFFFF" w:fill="FFFFFF"/>
          </w:tcPr>
          <w:p>
            <w:pPr>
              <w:spacing w:line="360" w:lineRule="auto"/>
              <w:rPr>
                <w:rFonts w:asciiTheme="minorEastAsia" w:hAnsiTheme="minorEastAsia" w:eastAsiaTheme="majorEastAsia" w:cstheme="majorBidi"/>
                <w:b/>
                <w:bCs/>
                <w:sz w:val="18"/>
                <w:szCs w:val="18"/>
              </w:rPr>
            </w:pPr>
            <w:r>
              <w:rPr>
                <w:rFonts w:cs="Times New Roman" w:asciiTheme="minorEastAsia" w:hAnsiTheme="minorEastAsia"/>
                <w:sz w:val="18"/>
                <w:szCs w:val="18"/>
              </w:rPr>
              <w:t>1.</w:t>
            </w:r>
            <w:r>
              <w:rPr>
                <w:rFonts w:hint="eastAsia" w:ascii="宋体" w:hAnsi="宋体"/>
                <w:bCs/>
                <w:sz w:val="18"/>
                <w:szCs w:val="18"/>
              </w:rPr>
              <w:t>本产品封闭期为：</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w:t>
            </w:r>
            <w:r>
              <w:rPr>
                <w:rFonts w:hint="eastAsia" w:asciiTheme="majorEastAsia" w:hAnsiTheme="majorEastAsia" w:eastAsiaTheme="majorEastAsia"/>
                <w:sz w:val="18"/>
                <w:szCs w:val="18"/>
              </w:rPr>
              <w:t>。</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本产品的开放日</w:t>
            </w:r>
          </w:p>
          <w:p>
            <w:pPr>
              <w:spacing w:line="360" w:lineRule="auto"/>
              <w:rPr>
                <w:rFonts w:asciiTheme="minorEastAsia" w:hAnsiTheme="minorEastAsia"/>
                <w:sz w:val="18"/>
                <w:szCs w:val="18"/>
              </w:rPr>
            </w:pPr>
            <w:r>
              <w:rPr>
                <w:rFonts w:hint="eastAsia" w:asciiTheme="minorEastAsia" w:hAnsiTheme="minorEastAsia"/>
                <w:sz w:val="18"/>
                <w:szCs w:val="18"/>
              </w:rPr>
              <w:t>本产品最短持有期为【</w:t>
            </w:r>
            <w:r>
              <w:rPr>
                <w:rFonts w:hint="eastAsia" w:asciiTheme="minorEastAsia" w:hAnsiTheme="minorEastAsia"/>
                <w:sz w:val="18"/>
                <w:szCs w:val="18"/>
                <w:lang w:val="en-US" w:eastAsia="zh-CN"/>
              </w:rPr>
              <w:t>14</w:t>
            </w:r>
            <w:r>
              <w:rPr>
                <w:rFonts w:hint="eastAsia" w:asciiTheme="minorEastAsia" w:hAnsiTheme="minorEastAsia"/>
                <w:sz w:val="18"/>
                <w:szCs w:val="18"/>
              </w:rPr>
              <w:t>】个自然日。本产品封闭期结束后的第一个工作日起每日开放（产品管理人公告暂停开放的日期除外），投资者可于开放日提交申购申请。</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自产品成立日/申购确认日起第【</w:t>
            </w:r>
            <w:r>
              <w:rPr>
                <w:rFonts w:hint="eastAsia" w:asciiTheme="minorEastAsia" w:hAnsiTheme="minorEastAsia" w:eastAsiaTheme="majorEastAsia"/>
                <w:sz w:val="18"/>
                <w:szCs w:val="18"/>
                <w:lang w:val="en-US" w:eastAsia="zh-CN"/>
              </w:rPr>
              <w:t>14</w:t>
            </w:r>
            <w:r>
              <w:rPr>
                <w:rFonts w:hint="eastAsia" w:asciiTheme="majorEastAsia" w:hAnsiTheme="majorEastAsia" w:eastAsiaTheme="majorEastAsia"/>
                <w:bCs/>
                <w:sz w:val="18"/>
                <w:szCs w:val="18"/>
              </w:rPr>
              <w:t>】个自然日内（不含当日）投资者不能赎回该产品份额，自产品成立日/申购确认日起第【</w:t>
            </w:r>
            <w:r>
              <w:rPr>
                <w:rFonts w:hint="eastAsia" w:asciiTheme="minorEastAsia" w:hAnsiTheme="minorEastAsia" w:eastAsiaTheme="majorEastAsia"/>
                <w:sz w:val="18"/>
                <w:szCs w:val="18"/>
                <w:lang w:val="en-US" w:eastAsia="zh-CN"/>
              </w:rPr>
              <w:t>14</w:t>
            </w:r>
            <w:r>
              <w:rPr>
                <w:rFonts w:hint="eastAsia" w:asciiTheme="majorEastAsia" w:hAnsiTheme="majorEastAsia" w:eastAsiaTheme="majorEastAsia"/>
                <w:bCs/>
                <w:sz w:val="18"/>
                <w:szCs w:val="18"/>
              </w:rPr>
              <w:t>】个自然日起（含当日），投资者</w:t>
            </w:r>
            <w:r>
              <w:rPr>
                <w:rFonts w:hint="eastAsia" w:asciiTheme="minorEastAsia" w:hAnsiTheme="minorEastAsia"/>
                <w:sz w:val="18"/>
                <w:szCs w:val="18"/>
              </w:rPr>
              <w:t>可于任一开放日</w:t>
            </w:r>
            <w:r>
              <w:rPr>
                <w:rFonts w:hint="eastAsia" w:asciiTheme="majorEastAsia" w:hAnsiTheme="majorEastAsia" w:eastAsiaTheme="majorEastAsia"/>
                <w:bCs/>
                <w:sz w:val="18"/>
                <w:szCs w:val="18"/>
              </w:rPr>
              <w:t>赎回该产品份额。</w:t>
            </w:r>
          </w:p>
          <w:p>
            <w:pPr>
              <w:spacing w:line="360" w:lineRule="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产品管理人在申购日后【</w:t>
            </w:r>
            <w:r>
              <w:rPr>
                <w:rFonts w:cs="Times New Roman" w:asciiTheme="minorEastAsia" w:hAnsiTheme="minorEastAsia" w:eastAsiaTheme="minorEastAsia"/>
                <w:bCs/>
                <w:sz w:val="18"/>
                <w:szCs w:val="18"/>
              </w:rPr>
              <w:t>2</w:t>
            </w:r>
            <w:r>
              <w:rPr>
                <w:rFonts w:hint="eastAsia" w:cs="Times New Roman" w:asciiTheme="minorEastAsia" w:hAnsiTheme="minorEastAsia" w:eastAsiaTheme="minorEastAsia"/>
                <w:bCs/>
                <w:sz w:val="18"/>
                <w:szCs w:val="18"/>
              </w:rPr>
              <w:t>】个工作日内对投资者的申购申请的有效性进行确认，并登记理财份额。</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【1</w:t>
            </w:r>
            <w:r>
              <w:rPr>
                <w:rFonts w:cs="Times New Roman" w:asciiTheme="minorEastAsia" w:hAnsiTheme="minorEastAsia"/>
                <w:sz w:val="18"/>
                <w:szCs w:val="18"/>
              </w:rPr>
              <w:t>5</w:t>
            </w:r>
            <w:r>
              <w:rPr>
                <w:rFonts w:hint="eastAsia" w:cs="Times New Roman" w:asciiTheme="minorEastAsia" w:hAnsiTheme="minorEastAsia"/>
                <w:sz w:val="18"/>
                <w:szCs w:val="18"/>
              </w:rPr>
              <w:t>：4</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产品管理人在赎回日后【</w:t>
            </w:r>
            <w:r>
              <w:rPr>
                <w:rFonts w:cs="Times New Roman" w:asciiTheme="minorEastAsia" w:hAnsiTheme="minorEastAsia" w:eastAsiaTheme="minorEastAsia"/>
                <w:bCs/>
                <w:sz w:val="18"/>
                <w:szCs w:val="18"/>
              </w:rPr>
              <w:t>2</w:t>
            </w:r>
            <w:r>
              <w:rPr>
                <w:rFonts w:hint="eastAsia" w:cs="Times New Roman" w:asciiTheme="minorEastAsia" w:hAnsiTheme="minorEastAsia" w:eastAsiaTheme="minorEastAsia"/>
                <w:bCs/>
                <w:sz w:val="18"/>
                <w:szCs w:val="18"/>
              </w:rPr>
              <w:t>】个工作日内对投资者的赎回申请的有效性进行确认，并注销理财份额。</w:t>
            </w:r>
          </w:p>
          <w:p>
            <w:pPr>
              <w:spacing w:line="360" w:lineRule="auto"/>
              <w:rPr>
                <w:rFonts w:ascii="黑体" w:hAnsi="黑体" w:eastAsia="黑体" w:cs="黑体"/>
                <w:sz w:val="18"/>
                <w:szCs w:val="18"/>
              </w:rPr>
            </w:pPr>
            <w:r>
              <w:rPr>
                <w:rFonts w:hint="eastAsia" w:ascii="黑体" w:hAnsi="黑体" w:eastAsia="黑体" w:cs="黑体"/>
                <w:sz w:val="18"/>
                <w:szCs w:val="18"/>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bCs/>
                <w:color w:val="000000" w:themeColor="text1"/>
                <w:sz w:val="18"/>
                <w:szCs w:val="18"/>
                <w14:textFill>
                  <w14:solidFill>
                    <w14:schemeClr w14:val="tx1"/>
                  </w14:solidFill>
                </w14:textFill>
              </w:rPr>
              <w:t>款项于</w:t>
            </w:r>
            <w:r>
              <w:rPr>
                <w:rFonts w:hint="eastAsia" w:ascii="黑体" w:hAnsi="黑体" w:eastAsia="黑体" w:cs="黑体"/>
                <w:bCs/>
                <w:kern w:val="0"/>
                <w:sz w:val="18"/>
                <w:szCs w:val="18"/>
              </w:rPr>
              <w:t>赎回</w:t>
            </w:r>
            <w:r>
              <w:rPr>
                <w:rFonts w:hint="eastAsia" w:ascii="黑体" w:hAnsi="黑体" w:eastAsia="黑体" w:cs="黑体"/>
                <w:kern w:val="0"/>
                <w:sz w:val="18"/>
              </w:rPr>
              <w:t>日后【3】个工作日</w:t>
            </w:r>
            <w:r>
              <w:rPr>
                <w:rFonts w:hint="eastAsia" w:ascii="黑体" w:hAnsi="黑体" w:eastAsia="黑体" w:cs="黑体"/>
                <w:bCs/>
                <w:kern w:val="0"/>
                <w:sz w:val="18"/>
                <w:szCs w:val="18"/>
              </w:rPr>
              <w:t>内支付给</w:t>
            </w:r>
            <w:r>
              <w:rPr>
                <w:rFonts w:hint="eastAsia" w:ascii="黑体" w:hAnsi="黑体" w:eastAsia="黑体" w:cs="黑体"/>
                <w:kern w:val="0"/>
                <w:sz w:val="18"/>
              </w:rPr>
              <w:t>投资者</w:t>
            </w:r>
            <w:r>
              <w:rPr>
                <w:rFonts w:hint="eastAsia" w:ascii="黑体" w:hAnsi="黑体" w:eastAsia="黑体" w:cs="黑体"/>
                <w:bCs/>
                <w:kern w:val="0"/>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购买起点金额为【1】元；超出起点金额的部分以【0</w:t>
            </w:r>
            <w:r>
              <w:rPr>
                <w:rFonts w:asciiTheme="majorEastAsia" w:hAnsiTheme="majorEastAsia" w:eastAsiaTheme="majorEastAsia"/>
                <w:bCs/>
                <w:sz w:val="18"/>
                <w:szCs w:val="18"/>
              </w:rPr>
              <w:t>.01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★认购、申购与赎回的数量限制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】元。如需突破上限，请与产品管理人或销售机构客户经理联系。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】元。</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理财产品的费用和税收</w:t>
            </w:r>
            <w:r>
              <w:rPr>
                <w:rFonts w:asciiTheme="majorEastAsia" w:hAnsiTheme="majorEastAsia" w:eastAsiaTheme="majorEastAsia"/>
                <w:bCs/>
                <w:sz w:val="18"/>
                <w:szCs w:val="18"/>
              </w:rPr>
              <w:t>。</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（适用【A】类份额）</w:t>
            </w:r>
          </w:p>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w:t>
            </w:r>
            <w:r>
              <w:rPr>
                <w:rFonts w:hint="eastAsia" w:asciiTheme="majorEastAsia" w:hAnsiTheme="majorEastAsia" w:eastAsiaTheme="majorEastAsia"/>
                <w:bCs/>
                <w:sz w:val="18"/>
                <w:szCs w:val="18"/>
              </w:rPr>
              <w:t>基于当前对未来市场的判断，根据拟投资债权类资产的信用利差、久期敞口以及流动性溢价，预判组合的波动幅度</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3.0</w:t>
            </w:r>
            <w:bookmarkStart w:id="170" w:name="_GoBack"/>
            <w:bookmarkEnd w:id="170"/>
            <w:r>
              <w:rPr>
                <w:rFonts w:hint="eastAsia" w:ascii="宋体" w:hAnsi="宋体"/>
                <w:bCs/>
                <w:sz w:val="18"/>
                <w:szCs w:val="18"/>
                <w:lang w:val="en-US" w:eastAsia="zh-CN"/>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2.业绩比较基准的提示：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（适用【A】类份额）</w:t>
            </w:r>
          </w:p>
          <w:p>
            <w:pPr>
              <w:spacing w:line="360" w:lineRule="auto"/>
              <w:jc w:val="left"/>
              <w:rPr>
                <w:rFonts w:ascii="宋体" w:hAnsi="宋体"/>
                <w:sz w:val="18"/>
              </w:rPr>
            </w:pPr>
            <w:r>
              <w:rPr>
                <w:rFonts w:ascii="宋体" w:hAnsi="宋体"/>
                <w:b/>
                <w:bCs/>
                <w:sz w:val="18"/>
                <w:szCs w:val="18"/>
              </w:rPr>
              <w:t>1.业绩报酬计提基准的设置</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ascii="宋体"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4</w:t>
            </w:r>
            <w:r>
              <w:rPr>
                <w:rFonts w:asciiTheme="majorEastAsia" w:hAnsiTheme="majorEastAsia" w:eastAsiaTheme="majorEastAsia"/>
                <w:sz w:val="18"/>
                <w:szCs w:val="18"/>
              </w:rPr>
              <w:t>0</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.03】</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无。</w:t>
            </w:r>
          </w:p>
          <w:p>
            <w:pPr>
              <w:spacing w:line="360" w:lineRule="auto"/>
              <w:rPr>
                <w:rFonts w:ascii="黑体" w:hAnsi="黑体" w:eastAsia="黑体"/>
                <w:bCs/>
                <w:sz w:val="18"/>
                <w:szCs w:val="18"/>
              </w:rPr>
            </w:pPr>
            <w:r>
              <w:rPr>
                <w:rFonts w:hint="eastAsia"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6" w:name="_Toc79154666"/>
      <w:bookmarkStart w:id="7" w:name="_Toc92377132"/>
      <w:bookmarkStart w:id="8" w:name="_Toc4403"/>
      <w:r>
        <w:rPr>
          <w:rFonts w:ascii="Times New Roman"/>
          <w:sz w:val="30"/>
        </w:rPr>
        <w:t>第</w:t>
      </w:r>
      <w:r>
        <w:rPr>
          <w:rFonts w:hint="eastAsia" w:ascii="Times New Roman"/>
          <w:sz w:val="30"/>
        </w:rPr>
        <w:t>三条</w:t>
      </w:r>
      <w:r>
        <w:rPr>
          <w:rFonts w:ascii="Times New Roman"/>
          <w:sz w:val="30"/>
        </w:rPr>
        <w:t xml:space="preserve">  </w:t>
      </w:r>
      <w:bookmarkStart w:id="9" w:name="_Toc79392573"/>
      <w:r>
        <w:rPr>
          <w:rFonts w:hint="eastAsia" w:ascii="Times New Roman"/>
          <w:sz w:val="30"/>
        </w:rPr>
        <w:t>理财产品的认购</w:t>
      </w:r>
      <w:bookmarkEnd w:id="6"/>
      <w:bookmarkEnd w:id="7"/>
      <w:bookmarkEnd w:id="8"/>
    </w:p>
    <w:p>
      <w:pPr>
        <w:spacing w:line="360" w:lineRule="auto"/>
        <w:ind w:firstLine="361" w:firstLineChars="200"/>
        <w:rPr>
          <w:rFonts w:asciiTheme="minorEastAsia" w:hAnsiTheme="minorEastAsia"/>
          <w:b/>
          <w:bCs/>
          <w:sz w:val="18"/>
          <w:szCs w:val="18"/>
        </w:rPr>
      </w:pPr>
      <w:bookmarkStart w:id="10" w:name="_Hlt88031774"/>
      <w:bookmarkEnd w:id="10"/>
      <w:bookmarkStart w:id="11"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2" w:name="_Toc6529"/>
      <w:bookmarkStart w:id="13" w:name="_Toc92377133"/>
      <w:bookmarkStart w:id="14" w:name="_Toc7915466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2"/>
      <w:bookmarkEnd w:id="13"/>
      <w:bookmarkEnd w:id="14"/>
    </w:p>
    <w:bookmarkEnd w:id="11"/>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86"/>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86"/>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9"/>
    <w:p>
      <w:pPr>
        <w:pStyle w:val="2"/>
        <w:spacing w:before="0" w:after="0" w:line="360" w:lineRule="auto"/>
        <w:jc w:val="center"/>
        <w:rPr>
          <w:rFonts w:ascii="Times New Roman"/>
          <w:sz w:val="30"/>
        </w:rPr>
      </w:pPr>
      <w:bookmarkStart w:id="15" w:name="_Toc74065741"/>
      <w:bookmarkStart w:id="16" w:name="_Toc27226"/>
      <w:bookmarkStart w:id="17" w:name="_Toc6714"/>
      <w:bookmarkStart w:id="18" w:name="_Toc15203"/>
      <w:bookmarkStart w:id="19" w:name="_Toc29948"/>
      <w:bookmarkStart w:id="20" w:name="_Toc7151"/>
      <w:bookmarkStart w:id="21" w:name="_Toc92377134"/>
      <w:bookmarkStart w:id="22" w:name="_Toc3266"/>
      <w:bookmarkStart w:id="23" w:name="_Toc22074"/>
      <w:bookmarkStart w:id="24" w:name="_Toc29784"/>
      <w:bookmarkStart w:id="25" w:name="_Toc16265"/>
      <w:bookmarkStart w:id="26" w:name="_Toc79154668"/>
      <w:bookmarkStart w:id="27" w:name="_Toc12517"/>
      <w:bookmarkStart w:id="28" w:name="_Toc27189"/>
      <w:bookmarkStart w:id="29" w:name="_Toc90742688"/>
      <w:bookmarkStart w:id="30" w:name="_Toc90742321"/>
      <w:bookmarkStart w:id="31" w:name="_Toc90742390"/>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3"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4"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本产品投资于债权类资产的比例不低于产品总资产的80%。</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应当符合本销售文件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销售文件</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4"/>
        <w:spacing w:line="360" w:lineRule="auto"/>
        <w:ind w:firstLine="360" w:firstLineChars="200"/>
        <w:rPr>
          <w:rFonts w:asciiTheme="majorEastAsia" w:hAnsiTheme="majorEastAsia" w:eastAsiaTheme="majorEastAsia"/>
          <w:color w:val="auto"/>
          <w:sz w:val="18"/>
          <w:szCs w:val="18"/>
        </w:rPr>
      </w:pPr>
      <w:permStart w:id="17" w:edGrp="everyone"/>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销售文件</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ermEnd w:id="18"/>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2" w:name="_Toc18797"/>
      <w:bookmarkStart w:id="33" w:name="_Toc1823"/>
      <w:bookmarkStart w:id="34" w:name="_Toc92377135"/>
      <w:bookmarkStart w:id="35" w:name="_Toc21988"/>
      <w:bookmarkStart w:id="36" w:name="_Toc79154669"/>
      <w:bookmarkStart w:id="37" w:name="_Toc14893"/>
      <w:bookmarkStart w:id="38" w:name="_Toc17912"/>
      <w:bookmarkStart w:id="39" w:name="_Toc74065742"/>
      <w:bookmarkStart w:id="40" w:name="_Toc7848"/>
      <w:bookmarkStart w:id="41" w:name="_Toc4741"/>
      <w:bookmarkStart w:id="42" w:name="_Toc27967"/>
      <w:bookmarkStart w:id="43" w:name="_Toc18329"/>
      <w:bookmarkStart w:id="44" w:name="_Toc141703885"/>
      <w:bookmarkStart w:id="45" w:name="_Toc139991735"/>
      <w:bookmarkStart w:id="46" w:name="_Toc26986"/>
      <w:bookmarkStart w:id="47" w:name="_Toc18526"/>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34"/>
        <w:spacing w:line="360" w:lineRule="auto"/>
        <w:ind w:firstLine="361" w:firstLineChars="200"/>
        <w:rPr>
          <w:rFonts w:asciiTheme="majorEastAsia" w:hAnsiTheme="majorEastAsia" w:eastAsiaTheme="majorEastAsia"/>
          <w:b/>
          <w:color w:val="auto"/>
          <w:sz w:val="18"/>
          <w:szCs w:val="18"/>
        </w:rPr>
      </w:pPr>
      <w:bookmarkStart w:id="48"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8"/>
    <w:p>
      <w:pPr>
        <w:pStyle w:val="2"/>
        <w:spacing w:before="0" w:after="0" w:line="360" w:lineRule="auto"/>
        <w:jc w:val="center"/>
        <w:rPr>
          <w:rFonts w:ascii="Times New Roman"/>
          <w:sz w:val="28"/>
          <w:szCs w:val="28"/>
        </w:rPr>
      </w:pPr>
      <w:bookmarkStart w:id="49" w:name="_Toc13903"/>
      <w:bookmarkStart w:id="50" w:name="_Toc83391971"/>
      <w:bookmarkStart w:id="51" w:name="_Toc92377136"/>
      <w:bookmarkStart w:id="52" w:name="_Toc123102453"/>
      <w:bookmarkStart w:id="53" w:name="_Toc141703886"/>
      <w:bookmarkStart w:id="54" w:name="_Toc123051452"/>
      <w:bookmarkStart w:id="55" w:name="_Toc10463"/>
      <w:bookmarkStart w:id="56" w:name="_Toc23822"/>
      <w:bookmarkStart w:id="57" w:name="_Toc123112234"/>
      <w:bookmarkStart w:id="58" w:name="_Toc610"/>
      <w:bookmarkStart w:id="59" w:name="_Toc23261"/>
      <w:bookmarkStart w:id="60" w:name="_Toc1270"/>
      <w:bookmarkStart w:id="61" w:name="_Toc74065743"/>
      <w:bookmarkStart w:id="62" w:name="_Toc139991736"/>
      <w:bookmarkStart w:id="63" w:name="_Toc20733"/>
      <w:bookmarkStart w:id="64" w:name="_Toc7920"/>
      <w:bookmarkStart w:id="65" w:name="_Toc98560352"/>
      <w:bookmarkStart w:id="66" w:name="_Toc79392606"/>
      <w:bookmarkStart w:id="67" w:name="_Toc4003"/>
      <w:bookmarkStart w:id="68" w:name="_Toc79154670"/>
      <w:bookmarkStart w:id="69" w:name="_Toc48649707"/>
      <w:bookmarkStart w:id="70" w:name="_Toc17244"/>
      <w:bookmarkStart w:id="71" w:name="_Toc1427"/>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49"/>
      <w:bookmarkEnd w:id="50"/>
      <w:bookmarkEnd w:id="51"/>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，每个【工作日】进行一次估值</w:t>
      </w:r>
      <w:r>
        <w:rPr>
          <w:rFonts w:hint="eastAsia" w:asciiTheme="minorEastAsia" w:hAnsiTheme="minorEastAsia" w:eastAsiaTheme="minorEastAsia"/>
          <w:color w:val="2E3033"/>
          <w:sz w:val="18"/>
          <w:szCs w:val="18"/>
        </w:rPr>
        <w:t>。</w:t>
      </w:r>
    </w:p>
    <w:permEnd w:id="19"/>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Pr>
        <w:pStyle w:val="2"/>
        <w:spacing w:before="0" w:after="0" w:line="360" w:lineRule="auto"/>
        <w:ind w:left="60" w:firstLine="10"/>
        <w:jc w:val="center"/>
        <w:rPr>
          <w:rFonts w:ascii="Times New Roman"/>
          <w:sz w:val="30"/>
        </w:rPr>
      </w:pPr>
      <w:bookmarkStart w:id="72" w:name="_Hlt70481650"/>
      <w:bookmarkEnd w:id="72"/>
      <w:bookmarkStart w:id="73" w:name="_Toc6405"/>
      <w:bookmarkStart w:id="74" w:name="_Toc79154671"/>
      <w:bookmarkStart w:id="75" w:name="_Toc74065744"/>
      <w:bookmarkStart w:id="76" w:name="_Toc123102454"/>
      <w:bookmarkStart w:id="77" w:name="_Toc3601"/>
      <w:bookmarkStart w:id="78" w:name="_Toc139991737"/>
      <w:bookmarkStart w:id="79" w:name="_Toc31644"/>
      <w:bookmarkStart w:id="80" w:name="_Toc14835"/>
      <w:bookmarkStart w:id="81" w:name="_Toc92377137"/>
      <w:bookmarkStart w:id="82" w:name="_Toc123112235"/>
      <w:bookmarkStart w:id="83" w:name="_Toc29251"/>
      <w:bookmarkStart w:id="84" w:name="_Toc141703887"/>
      <w:bookmarkStart w:id="85" w:name="_Toc4020"/>
      <w:bookmarkStart w:id="86" w:name="_Toc98560353"/>
      <w:bookmarkStart w:id="87" w:name="_Toc15143"/>
      <w:bookmarkStart w:id="88" w:name="_Toc31235"/>
      <w:bookmarkStart w:id="89" w:name="_Toc26207"/>
      <w:bookmarkStart w:id="90" w:name="_Toc123051453"/>
      <w:bookmarkStart w:id="91" w:name="_Toc12245"/>
      <w:bookmarkStart w:id="92" w:name="_Toc31653"/>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Hlt55355235"/>
      <w:bookmarkEnd w:id="93"/>
      <w:bookmarkStart w:id="94" w:name="_Toc79392580"/>
      <w:bookmarkStart w:id="95" w:name="_Toc523711668"/>
      <w:bookmarkStart w:id="96" w:name="_Toc57530239"/>
      <w:bookmarkStart w:id="97"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94"/>
    <w:bookmarkEnd w:id="95"/>
    <w:bookmarkEnd w:id="96"/>
    <w:bookmarkEnd w:id="97"/>
    <w:p>
      <w:pPr>
        <w:pStyle w:val="2"/>
        <w:spacing w:before="0" w:after="0" w:line="360" w:lineRule="auto"/>
        <w:jc w:val="center"/>
        <w:rPr>
          <w:rFonts w:ascii="Times New Roman"/>
          <w:sz w:val="30"/>
        </w:rPr>
      </w:pPr>
      <w:bookmarkStart w:id="98" w:name="_Hlt88897298"/>
      <w:bookmarkEnd w:id="98"/>
      <w:bookmarkStart w:id="99" w:name="_Hlt88825574"/>
      <w:bookmarkEnd w:id="99"/>
      <w:bookmarkStart w:id="100" w:name="_Toc7058"/>
      <w:bookmarkStart w:id="101" w:name="_Toc123112236"/>
      <w:bookmarkStart w:id="102" w:name="_Toc25783"/>
      <w:bookmarkStart w:id="103" w:name="_Toc79154672"/>
      <w:bookmarkStart w:id="104" w:name="_Toc18567"/>
      <w:bookmarkStart w:id="105" w:name="_Toc123051454"/>
      <w:bookmarkStart w:id="106" w:name="_Toc3321"/>
      <w:bookmarkStart w:id="107" w:name="_Toc10650"/>
      <w:bookmarkStart w:id="108" w:name="_Toc6447"/>
      <w:bookmarkStart w:id="109" w:name="_Toc74065745"/>
      <w:bookmarkStart w:id="110" w:name="_Toc11030"/>
      <w:bookmarkStart w:id="111" w:name="_Toc4559"/>
      <w:bookmarkStart w:id="112" w:name="_Toc92377138"/>
      <w:bookmarkStart w:id="113" w:name="_Toc141703888"/>
      <w:bookmarkStart w:id="114" w:name="_Toc3771"/>
      <w:bookmarkStart w:id="115" w:name="_Toc139991738"/>
      <w:bookmarkStart w:id="116" w:name="_Toc6394"/>
      <w:bookmarkStart w:id="117" w:name="_Toc79392583"/>
      <w:bookmarkStart w:id="118" w:name="_Toc123102455"/>
      <w:bookmarkStart w:id="119" w:name="_Toc98560354"/>
      <w:bookmarkStart w:id="120" w:name="_Toc9706"/>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③在投资者提出赎回申请的产品份额所对应的赎回日提取超额业绩报酬的，超额业绩报酬从赎回资金中扣除；在产品终止日提取超额业绩报酬的，超额业绩报酬从清算资金中扣除；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产品份额超额业绩报酬计提日为投资者提出赎回申请的产品份额所对应的赎回日或产品终止日。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业绩报酬计提基准和比例有所调整，以该产品份额持有期间调整前后的业绩报酬计提基准和比例分别测算整个份额持有期间应收取的超额业绩报酬数值，并以较小的数值来收取超额业绩报酬。</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21" w:name="_Toc3963"/>
      <w:bookmarkStart w:id="122" w:name="_Toc1745"/>
      <w:r>
        <w:br w:type="page"/>
      </w:r>
      <w:bookmarkStart w:id="123" w:name="_Toc74065746"/>
      <w:bookmarkStart w:id="124" w:name="_Toc141703889"/>
      <w:bookmarkStart w:id="125" w:name="_Toc3572"/>
      <w:bookmarkStart w:id="126" w:name="_Toc98560355"/>
      <w:bookmarkStart w:id="127" w:name="_Toc3080"/>
      <w:bookmarkStart w:id="128" w:name="_Toc10398"/>
      <w:bookmarkStart w:id="129" w:name="_Toc123102456"/>
      <w:bookmarkStart w:id="130" w:name="_Toc21735"/>
      <w:bookmarkStart w:id="131" w:name="_Toc16164"/>
      <w:bookmarkStart w:id="132" w:name="_Toc18206"/>
      <w:bookmarkStart w:id="133" w:name="_Toc725"/>
      <w:bookmarkStart w:id="134" w:name="_Toc79154673"/>
      <w:bookmarkStart w:id="135" w:name="_Toc92377139"/>
      <w:bookmarkStart w:id="136" w:name="_Toc139991739"/>
      <w:bookmarkStart w:id="137" w:name="_Toc31821"/>
      <w:bookmarkStart w:id="138" w:name="_Toc123112237"/>
      <w:bookmarkStart w:id="139" w:name="_Toc25397"/>
      <w:bookmarkStart w:id="140" w:name="_Toc123051455"/>
      <w:r>
        <w:rPr>
          <w:rFonts w:hint="eastAsia"/>
          <w:sz w:val="30"/>
        </w:rPr>
        <w:t>第十条</w:t>
      </w:r>
      <w:r>
        <w:rPr>
          <w:sz w:val="30"/>
        </w:rPr>
        <w:t xml:space="preserve">  </w:t>
      </w:r>
      <w:r>
        <w:rPr>
          <w:rFonts w:hint="eastAsia"/>
          <w:sz w:val="30"/>
        </w:rPr>
        <w:t>理财产品的终止与清算</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ind w:firstLine="361" w:firstLineChars="200"/>
        <w:rPr>
          <w:rFonts w:asciiTheme="majorEastAsia" w:hAnsiTheme="majorEastAsia" w:eastAsiaTheme="majorEastAsia"/>
          <w:b/>
          <w:bCs/>
          <w:sz w:val="18"/>
          <w:szCs w:val="18"/>
        </w:rPr>
      </w:pPr>
      <w:bookmarkStart w:id="141" w:name="_Toc15118245"/>
      <w:bookmarkStart w:id="142" w:name="_Toc79392593"/>
      <w:bookmarkStart w:id="143"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41"/>
    <w:bookmarkEnd w:id="142"/>
    <w:bookmarkEnd w:id="143"/>
    <w:p>
      <w:pPr>
        <w:pStyle w:val="2"/>
        <w:spacing w:before="0" w:after="0" w:line="360" w:lineRule="auto"/>
        <w:jc w:val="center"/>
        <w:rPr>
          <w:rFonts w:ascii="Times New Roman"/>
          <w:sz w:val="18"/>
          <w:szCs w:val="18"/>
        </w:rPr>
      </w:pPr>
      <w:r>
        <w:rPr>
          <w:rFonts w:ascii="Times New Roman"/>
          <w:b w:val="0"/>
          <w:bCs w:val="0"/>
          <w:kern w:val="2"/>
        </w:rPr>
        <w:br w:type="page"/>
      </w:r>
      <w:bookmarkStart w:id="144" w:name="_Toc92377140"/>
      <w:bookmarkStart w:id="145" w:name="_Toc7953"/>
      <w:bookmarkStart w:id="146" w:name="_Toc17198"/>
      <w:bookmarkStart w:id="147" w:name="_Toc3329"/>
      <w:bookmarkStart w:id="148" w:name="_Toc5170"/>
      <w:bookmarkStart w:id="149" w:name="_Toc32092"/>
      <w:bookmarkStart w:id="150" w:name="_Toc21237"/>
      <w:bookmarkStart w:id="151" w:name="_Toc83391975"/>
      <w:bookmarkStart w:id="152" w:name="_Toc739"/>
      <w:bookmarkStart w:id="153" w:name="_Toc79392622"/>
      <w:bookmarkStart w:id="154" w:name="_Toc29408"/>
      <w:bookmarkStart w:id="155" w:name="_Toc123051456"/>
      <w:bookmarkStart w:id="156" w:name="_Toc98560356"/>
      <w:bookmarkStart w:id="157" w:name="_Toc17920"/>
      <w:bookmarkStart w:id="158" w:name="_Toc123112238"/>
      <w:bookmarkStart w:id="159" w:name="_Toc139991740"/>
      <w:bookmarkStart w:id="160" w:name="_Toc32584"/>
      <w:bookmarkStart w:id="161" w:name="_Toc8791"/>
      <w:bookmarkStart w:id="162" w:name="_Toc141703890"/>
      <w:bookmarkStart w:id="163" w:name="_Toc123102457"/>
      <w:bookmarkStart w:id="164" w:name="_Toc48649708"/>
      <w:bookmarkStart w:id="165" w:name="_Toc74065747"/>
      <w:bookmarkStart w:id="166" w:name="_Toc79154674"/>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44"/>
      <w:bookmarkEnd w:id="145"/>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w:t>
      </w:r>
      <w:r>
        <w:rPr>
          <w:rFonts w:hint="eastAsia" w:ascii="宋体" w:hAnsi="宋体"/>
          <w:bCs/>
          <w:sz w:val="18"/>
          <w:szCs w:val="18"/>
        </w:rPr>
        <w:t>产品管理人</w:t>
      </w:r>
      <w:r>
        <w:rPr>
          <w:rFonts w:ascii="宋体" w:hAnsi="宋体"/>
          <w:bCs/>
          <w:sz w:val="18"/>
          <w:szCs w:val="18"/>
        </w:rPr>
        <w:t>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期间，每个【工作日】向投资者披露一次估值日公告，估值日公告披露的内容包括估值日的产品份额净值、产品份额累计净值等。如遇法定节假日顺延。此外，如遇其他特殊情况，以产品管理人信息披露为准。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spacing w:line="360" w:lineRule="auto"/>
        <w:ind w:firstLine="480" w:firstLineChars="200"/>
        <w:rPr>
          <w:bCs/>
          <w:sz w:val="24"/>
        </w:rPr>
      </w:pPr>
      <w:r>
        <w:rPr>
          <w:sz w:val="24"/>
        </w:rPr>
        <w:br w:type="page"/>
      </w:r>
    </w:p>
    <w:p>
      <w:pPr>
        <w:pStyle w:val="2"/>
        <w:spacing w:before="0" w:after="0" w:line="360" w:lineRule="auto"/>
        <w:jc w:val="center"/>
        <w:rPr>
          <w:rFonts w:ascii="Times New Roman"/>
          <w:b w:val="0"/>
          <w:sz w:val="30"/>
        </w:rPr>
      </w:pPr>
      <w:bookmarkStart w:id="167" w:name="_Toc79154675"/>
      <w:bookmarkStart w:id="168" w:name="_Toc30149"/>
      <w:bookmarkStart w:id="169"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67"/>
      <w:bookmarkEnd w:id="168"/>
      <w:bookmarkEnd w:id="169"/>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0" w:firstLineChars="200"/>
        <w:rPr>
          <w:rFonts w:ascii="宋体" w:hAnsi="宋体"/>
          <w:sz w:val="18"/>
          <w:szCs w:val="18"/>
        </w:rPr>
      </w:pPr>
      <w:r>
        <w:rPr>
          <w:rFonts w:hint="eastAsia" w:ascii="宋体" w:hAnsi="宋体"/>
          <w:sz w:val="18"/>
          <w:szCs w:val="18"/>
        </w:rPr>
        <w:t>】</w:t>
      </w:r>
    </w:p>
    <w:permEnd w:id="24"/>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延期终止风险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11</w:t>
        </w:r>
        <w:r>
          <w:fldChar w:fldCharType="end"/>
        </w:r>
      </w:p>
    </w:sdtContent>
  </w:sdt>
  <w:p>
    <w:pPr>
      <w:pStyle w:val="8"/>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p>
    <w:pPr>
      <w:pStyle w:val="15"/>
      <w:pBdr>
        <w:bottom w:val="none" w:color="auto" w:sz="0" w:space="0"/>
      </w:pBdr>
      <w:jc w:val="right"/>
      <w:rPr>
        <w:rFonts w:ascii="Times New Roman" w:hAnsi="Times New Roman" w:cs="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QVVWQ4j5kyOX9VCeHVBuDgtMMtTVeiJLZM3kg585ZESUwb2Qhrdvsw/mIxrJKGp9eckyN6igntBZRLJByseSjw==" w:salt="ANTHfFkYH5iERfV/TAyo3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591"/>
    <w:rsid w:val="0000208C"/>
    <w:rsid w:val="00002480"/>
    <w:rsid w:val="00007765"/>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08D2"/>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77CD3"/>
    <w:rsid w:val="00080277"/>
    <w:rsid w:val="0008037A"/>
    <w:rsid w:val="00080815"/>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4391"/>
    <w:rsid w:val="000B6819"/>
    <w:rsid w:val="000B7F67"/>
    <w:rsid w:val="000C31AC"/>
    <w:rsid w:val="000C3B81"/>
    <w:rsid w:val="000C69CB"/>
    <w:rsid w:val="000C6BF4"/>
    <w:rsid w:val="000C7C96"/>
    <w:rsid w:val="000D0C3A"/>
    <w:rsid w:val="000D10B1"/>
    <w:rsid w:val="000D1473"/>
    <w:rsid w:val="000D19CF"/>
    <w:rsid w:val="000D1A89"/>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6919"/>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17B0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9EE"/>
    <w:rsid w:val="00167B0D"/>
    <w:rsid w:val="00171033"/>
    <w:rsid w:val="001715BB"/>
    <w:rsid w:val="00172BBF"/>
    <w:rsid w:val="0017394A"/>
    <w:rsid w:val="0017488D"/>
    <w:rsid w:val="00175F68"/>
    <w:rsid w:val="00176589"/>
    <w:rsid w:val="00176C88"/>
    <w:rsid w:val="0017731A"/>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2C8"/>
    <w:rsid w:val="001A352E"/>
    <w:rsid w:val="001A434D"/>
    <w:rsid w:val="001B218F"/>
    <w:rsid w:val="001B21AE"/>
    <w:rsid w:val="001B5BBB"/>
    <w:rsid w:val="001C247A"/>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2F98"/>
    <w:rsid w:val="001D3E8B"/>
    <w:rsid w:val="001D4AC9"/>
    <w:rsid w:val="001D4BC1"/>
    <w:rsid w:val="001D570A"/>
    <w:rsid w:val="001D5D3E"/>
    <w:rsid w:val="001D688E"/>
    <w:rsid w:val="001D760B"/>
    <w:rsid w:val="001E14FD"/>
    <w:rsid w:val="001E291D"/>
    <w:rsid w:val="001E461E"/>
    <w:rsid w:val="001E54CE"/>
    <w:rsid w:val="001E61BD"/>
    <w:rsid w:val="001E6BA6"/>
    <w:rsid w:val="001E6C14"/>
    <w:rsid w:val="001E70FE"/>
    <w:rsid w:val="001E77D6"/>
    <w:rsid w:val="001E794F"/>
    <w:rsid w:val="001F00E4"/>
    <w:rsid w:val="001F08F9"/>
    <w:rsid w:val="001F4671"/>
    <w:rsid w:val="001F6BB0"/>
    <w:rsid w:val="001F6DE3"/>
    <w:rsid w:val="001F7B81"/>
    <w:rsid w:val="001F7E0A"/>
    <w:rsid w:val="00201415"/>
    <w:rsid w:val="0020141D"/>
    <w:rsid w:val="00204063"/>
    <w:rsid w:val="0020563F"/>
    <w:rsid w:val="0020668E"/>
    <w:rsid w:val="00211510"/>
    <w:rsid w:val="002126B6"/>
    <w:rsid w:val="0021340F"/>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357F"/>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141DA"/>
    <w:rsid w:val="00317397"/>
    <w:rsid w:val="00320153"/>
    <w:rsid w:val="00321AFE"/>
    <w:rsid w:val="003224C7"/>
    <w:rsid w:val="00327E26"/>
    <w:rsid w:val="00330DD8"/>
    <w:rsid w:val="00331380"/>
    <w:rsid w:val="00331423"/>
    <w:rsid w:val="00331AA1"/>
    <w:rsid w:val="00332367"/>
    <w:rsid w:val="0033357B"/>
    <w:rsid w:val="003363E0"/>
    <w:rsid w:val="0033710A"/>
    <w:rsid w:val="00337172"/>
    <w:rsid w:val="00337AF2"/>
    <w:rsid w:val="00337BCF"/>
    <w:rsid w:val="00337EC3"/>
    <w:rsid w:val="003405D3"/>
    <w:rsid w:val="00341DFC"/>
    <w:rsid w:val="003444E9"/>
    <w:rsid w:val="00350B80"/>
    <w:rsid w:val="0035109F"/>
    <w:rsid w:val="0035299D"/>
    <w:rsid w:val="00356734"/>
    <w:rsid w:val="00356F2E"/>
    <w:rsid w:val="003601A7"/>
    <w:rsid w:val="00361109"/>
    <w:rsid w:val="00363191"/>
    <w:rsid w:val="00363271"/>
    <w:rsid w:val="00363504"/>
    <w:rsid w:val="0036433E"/>
    <w:rsid w:val="00370696"/>
    <w:rsid w:val="00371546"/>
    <w:rsid w:val="003727DA"/>
    <w:rsid w:val="00373305"/>
    <w:rsid w:val="003745A5"/>
    <w:rsid w:val="00375BC6"/>
    <w:rsid w:val="00380628"/>
    <w:rsid w:val="00380DB4"/>
    <w:rsid w:val="00381A67"/>
    <w:rsid w:val="003823A6"/>
    <w:rsid w:val="003838B9"/>
    <w:rsid w:val="0038451B"/>
    <w:rsid w:val="00387255"/>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1A3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6722"/>
    <w:rsid w:val="00447A83"/>
    <w:rsid w:val="00450AE7"/>
    <w:rsid w:val="00452527"/>
    <w:rsid w:val="00453F94"/>
    <w:rsid w:val="0045405E"/>
    <w:rsid w:val="0045524D"/>
    <w:rsid w:val="00455720"/>
    <w:rsid w:val="00455EFB"/>
    <w:rsid w:val="00455FA5"/>
    <w:rsid w:val="00456516"/>
    <w:rsid w:val="00461E0D"/>
    <w:rsid w:val="00462328"/>
    <w:rsid w:val="00462D9E"/>
    <w:rsid w:val="004636D8"/>
    <w:rsid w:val="00464878"/>
    <w:rsid w:val="00466864"/>
    <w:rsid w:val="00466F57"/>
    <w:rsid w:val="00467C9D"/>
    <w:rsid w:val="00470261"/>
    <w:rsid w:val="004711A9"/>
    <w:rsid w:val="00471ABA"/>
    <w:rsid w:val="00477510"/>
    <w:rsid w:val="00480985"/>
    <w:rsid w:val="00480CC1"/>
    <w:rsid w:val="00480FF7"/>
    <w:rsid w:val="004811BA"/>
    <w:rsid w:val="00482354"/>
    <w:rsid w:val="0048253E"/>
    <w:rsid w:val="00482F37"/>
    <w:rsid w:val="00483507"/>
    <w:rsid w:val="00485D45"/>
    <w:rsid w:val="00486A6C"/>
    <w:rsid w:val="00487444"/>
    <w:rsid w:val="0048787F"/>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73F"/>
    <w:rsid w:val="004D3932"/>
    <w:rsid w:val="004D5055"/>
    <w:rsid w:val="004D5A01"/>
    <w:rsid w:val="004D5AAF"/>
    <w:rsid w:val="004D5BE2"/>
    <w:rsid w:val="004D5E18"/>
    <w:rsid w:val="004D6163"/>
    <w:rsid w:val="004D6C75"/>
    <w:rsid w:val="004E157D"/>
    <w:rsid w:val="004E17EB"/>
    <w:rsid w:val="004E1D4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4B8"/>
    <w:rsid w:val="00506FB3"/>
    <w:rsid w:val="005102A0"/>
    <w:rsid w:val="005107A4"/>
    <w:rsid w:val="00512B61"/>
    <w:rsid w:val="00512E3B"/>
    <w:rsid w:val="00513143"/>
    <w:rsid w:val="005131E7"/>
    <w:rsid w:val="00517C1B"/>
    <w:rsid w:val="00521905"/>
    <w:rsid w:val="00521A8A"/>
    <w:rsid w:val="0052537A"/>
    <w:rsid w:val="005261C6"/>
    <w:rsid w:val="005268CD"/>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80E"/>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A0CDE"/>
    <w:rsid w:val="005A1A2E"/>
    <w:rsid w:val="005A2814"/>
    <w:rsid w:val="005A2F58"/>
    <w:rsid w:val="005A52CE"/>
    <w:rsid w:val="005A5694"/>
    <w:rsid w:val="005A60A3"/>
    <w:rsid w:val="005A6F2A"/>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56FA"/>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52D1"/>
    <w:rsid w:val="006172ED"/>
    <w:rsid w:val="00620063"/>
    <w:rsid w:val="00620D75"/>
    <w:rsid w:val="00621F2C"/>
    <w:rsid w:val="00624760"/>
    <w:rsid w:val="00624BDB"/>
    <w:rsid w:val="00624F2C"/>
    <w:rsid w:val="00626BC0"/>
    <w:rsid w:val="0063051C"/>
    <w:rsid w:val="00631736"/>
    <w:rsid w:val="006328AE"/>
    <w:rsid w:val="0063609F"/>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094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5CB6"/>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45D7"/>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77221"/>
    <w:rsid w:val="00780770"/>
    <w:rsid w:val="00783025"/>
    <w:rsid w:val="00784BFC"/>
    <w:rsid w:val="0078739B"/>
    <w:rsid w:val="0079021D"/>
    <w:rsid w:val="007929D8"/>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74E"/>
    <w:rsid w:val="007B7E70"/>
    <w:rsid w:val="007C0495"/>
    <w:rsid w:val="007C67CB"/>
    <w:rsid w:val="007D115D"/>
    <w:rsid w:val="007D1185"/>
    <w:rsid w:val="007D37FB"/>
    <w:rsid w:val="007D3AB0"/>
    <w:rsid w:val="007D3C57"/>
    <w:rsid w:val="007D6324"/>
    <w:rsid w:val="007D68C9"/>
    <w:rsid w:val="007D6C15"/>
    <w:rsid w:val="007D6F94"/>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7F66E1"/>
    <w:rsid w:val="008002FC"/>
    <w:rsid w:val="00800AE7"/>
    <w:rsid w:val="008016A7"/>
    <w:rsid w:val="00801ED9"/>
    <w:rsid w:val="00802399"/>
    <w:rsid w:val="008027C8"/>
    <w:rsid w:val="00803922"/>
    <w:rsid w:val="00804D31"/>
    <w:rsid w:val="008051DC"/>
    <w:rsid w:val="0080586D"/>
    <w:rsid w:val="00805A3D"/>
    <w:rsid w:val="00806DDF"/>
    <w:rsid w:val="00807174"/>
    <w:rsid w:val="00807C0F"/>
    <w:rsid w:val="00807F91"/>
    <w:rsid w:val="0081012C"/>
    <w:rsid w:val="0081039A"/>
    <w:rsid w:val="008103FD"/>
    <w:rsid w:val="00810570"/>
    <w:rsid w:val="00810605"/>
    <w:rsid w:val="00810BBC"/>
    <w:rsid w:val="0081517F"/>
    <w:rsid w:val="0081549F"/>
    <w:rsid w:val="00816B26"/>
    <w:rsid w:val="008176FD"/>
    <w:rsid w:val="00820221"/>
    <w:rsid w:val="00820966"/>
    <w:rsid w:val="008216F7"/>
    <w:rsid w:val="00822153"/>
    <w:rsid w:val="00822FBD"/>
    <w:rsid w:val="00823AB7"/>
    <w:rsid w:val="00827113"/>
    <w:rsid w:val="00827169"/>
    <w:rsid w:val="00827DAF"/>
    <w:rsid w:val="008306A2"/>
    <w:rsid w:val="00830FAF"/>
    <w:rsid w:val="00831BB9"/>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67DAC"/>
    <w:rsid w:val="00870018"/>
    <w:rsid w:val="00871411"/>
    <w:rsid w:val="00871A7B"/>
    <w:rsid w:val="00872192"/>
    <w:rsid w:val="008726D9"/>
    <w:rsid w:val="008735AB"/>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1A6D"/>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5567"/>
    <w:rsid w:val="008F784B"/>
    <w:rsid w:val="008F7A01"/>
    <w:rsid w:val="00900322"/>
    <w:rsid w:val="00900AF7"/>
    <w:rsid w:val="00901909"/>
    <w:rsid w:val="00901ACE"/>
    <w:rsid w:val="00901B37"/>
    <w:rsid w:val="009043D1"/>
    <w:rsid w:val="0090500B"/>
    <w:rsid w:val="00905578"/>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16D1"/>
    <w:rsid w:val="0094391C"/>
    <w:rsid w:val="00945661"/>
    <w:rsid w:val="00946996"/>
    <w:rsid w:val="0095066D"/>
    <w:rsid w:val="0095322B"/>
    <w:rsid w:val="0095360A"/>
    <w:rsid w:val="009559EB"/>
    <w:rsid w:val="009604D5"/>
    <w:rsid w:val="009618D2"/>
    <w:rsid w:val="009626CA"/>
    <w:rsid w:val="00962D06"/>
    <w:rsid w:val="00963402"/>
    <w:rsid w:val="00964835"/>
    <w:rsid w:val="00966868"/>
    <w:rsid w:val="00966917"/>
    <w:rsid w:val="00967387"/>
    <w:rsid w:val="009709AB"/>
    <w:rsid w:val="00971FD5"/>
    <w:rsid w:val="0097223A"/>
    <w:rsid w:val="00972723"/>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585"/>
    <w:rsid w:val="00992A3A"/>
    <w:rsid w:val="00993261"/>
    <w:rsid w:val="00993578"/>
    <w:rsid w:val="00997E03"/>
    <w:rsid w:val="009A0770"/>
    <w:rsid w:val="009A0BA3"/>
    <w:rsid w:val="009A1A8B"/>
    <w:rsid w:val="009A2A56"/>
    <w:rsid w:val="009A2BE5"/>
    <w:rsid w:val="009A3752"/>
    <w:rsid w:val="009A418D"/>
    <w:rsid w:val="009A520C"/>
    <w:rsid w:val="009A75FE"/>
    <w:rsid w:val="009B137E"/>
    <w:rsid w:val="009B2144"/>
    <w:rsid w:val="009B2D08"/>
    <w:rsid w:val="009B6315"/>
    <w:rsid w:val="009B6C73"/>
    <w:rsid w:val="009C4645"/>
    <w:rsid w:val="009C59F9"/>
    <w:rsid w:val="009C63B1"/>
    <w:rsid w:val="009C6C6F"/>
    <w:rsid w:val="009D0173"/>
    <w:rsid w:val="009D0895"/>
    <w:rsid w:val="009D21F6"/>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66D0"/>
    <w:rsid w:val="009E7F8B"/>
    <w:rsid w:val="009F01CF"/>
    <w:rsid w:val="009F06C5"/>
    <w:rsid w:val="009F0C46"/>
    <w:rsid w:val="009F2505"/>
    <w:rsid w:val="009F2E10"/>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60D"/>
    <w:rsid w:val="00A776D2"/>
    <w:rsid w:val="00A82790"/>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260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8FC"/>
    <w:rsid w:val="00AE3F46"/>
    <w:rsid w:val="00AE4061"/>
    <w:rsid w:val="00AE52E7"/>
    <w:rsid w:val="00AE68F6"/>
    <w:rsid w:val="00AE6E54"/>
    <w:rsid w:val="00AF17F6"/>
    <w:rsid w:val="00AF2D24"/>
    <w:rsid w:val="00AF413F"/>
    <w:rsid w:val="00AF420A"/>
    <w:rsid w:val="00AF4465"/>
    <w:rsid w:val="00AF4901"/>
    <w:rsid w:val="00AF670F"/>
    <w:rsid w:val="00AF6E5B"/>
    <w:rsid w:val="00AF75AC"/>
    <w:rsid w:val="00AF766A"/>
    <w:rsid w:val="00B014BB"/>
    <w:rsid w:val="00B02826"/>
    <w:rsid w:val="00B043E6"/>
    <w:rsid w:val="00B045EC"/>
    <w:rsid w:val="00B058FF"/>
    <w:rsid w:val="00B07483"/>
    <w:rsid w:val="00B074D0"/>
    <w:rsid w:val="00B10CFD"/>
    <w:rsid w:val="00B158C3"/>
    <w:rsid w:val="00B22517"/>
    <w:rsid w:val="00B2293D"/>
    <w:rsid w:val="00B2353C"/>
    <w:rsid w:val="00B272BE"/>
    <w:rsid w:val="00B27737"/>
    <w:rsid w:val="00B27A14"/>
    <w:rsid w:val="00B32C84"/>
    <w:rsid w:val="00B33E5E"/>
    <w:rsid w:val="00B34D85"/>
    <w:rsid w:val="00B3567F"/>
    <w:rsid w:val="00B3710C"/>
    <w:rsid w:val="00B37FE3"/>
    <w:rsid w:val="00B4043F"/>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0FC0"/>
    <w:rsid w:val="00B664E9"/>
    <w:rsid w:val="00B67A2A"/>
    <w:rsid w:val="00B70610"/>
    <w:rsid w:val="00B72DDC"/>
    <w:rsid w:val="00B7347F"/>
    <w:rsid w:val="00B74AB7"/>
    <w:rsid w:val="00B75565"/>
    <w:rsid w:val="00B76017"/>
    <w:rsid w:val="00B7689E"/>
    <w:rsid w:val="00B81053"/>
    <w:rsid w:val="00B82164"/>
    <w:rsid w:val="00B86446"/>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3E4"/>
    <w:rsid w:val="00BB18C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356"/>
    <w:rsid w:val="00C17507"/>
    <w:rsid w:val="00C17BFA"/>
    <w:rsid w:val="00C22767"/>
    <w:rsid w:val="00C22C2F"/>
    <w:rsid w:val="00C25992"/>
    <w:rsid w:val="00C267E3"/>
    <w:rsid w:val="00C27B64"/>
    <w:rsid w:val="00C30167"/>
    <w:rsid w:val="00C308DC"/>
    <w:rsid w:val="00C31AC5"/>
    <w:rsid w:val="00C31CE3"/>
    <w:rsid w:val="00C3206E"/>
    <w:rsid w:val="00C365F1"/>
    <w:rsid w:val="00C3665C"/>
    <w:rsid w:val="00C368EE"/>
    <w:rsid w:val="00C36EA2"/>
    <w:rsid w:val="00C37F27"/>
    <w:rsid w:val="00C40CC6"/>
    <w:rsid w:val="00C41E59"/>
    <w:rsid w:val="00C42234"/>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4B16"/>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68BB"/>
    <w:rsid w:val="00D0769E"/>
    <w:rsid w:val="00D07E73"/>
    <w:rsid w:val="00D115E6"/>
    <w:rsid w:val="00D13FEF"/>
    <w:rsid w:val="00D151E7"/>
    <w:rsid w:val="00D1730F"/>
    <w:rsid w:val="00D17787"/>
    <w:rsid w:val="00D17B1C"/>
    <w:rsid w:val="00D17F70"/>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2BF"/>
    <w:rsid w:val="00D438F0"/>
    <w:rsid w:val="00D442DB"/>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CF3"/>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5DEB"/>
    <w:rsid w:val="00DB67F3"/>
    <w:rsid w:val="00DC11F9"/>
    <w:rsid w:val="00DC2867"/>
    <w:rsid w:val="00DC2BC4"/>
    <w:rsid w:val="00DC343A"/>
    <w:rsid w:val="00DD130F"/>
    <w:rsid w:val="00DD4131"/>
    <w:rsid w:val="00DD4387"/>
    <w:rsid w:val="00DD5B36"/>
    <w:rsid w:val="00DD7C42"/>
    <w:rsid w:val="00DD7F60"/>
    <w:rsid w:val="00DE295D"/>
    <w:rsid w:val="00DE2B95"/>
    <w:rsid w:val="00DE45E9"/>
    <w:rsid w:val="00DE51F9"/>
    <w:rsid w:val="00DE52FB"/>
    <w:rsid w:val="00DE56BC"/>
    <w:rsid w:val="00DE7F8F"/>
    <w:rsid w:val="00DF03B9"/>
    <w:rsid w:val="00DF0C4B"/>
    <w:rsid w:val="00DF0F34"/>
    <w:rsid w:val="00DF1657"/>
    <w:rsid w:val="00DF36FD"/>
    <w:rsid w:val="00DF3718"/>
    <w:rsid w:val="00DF38F5"/>
    <w:rsid w:val="00DF6462"/>
    <w:rsid w:val="00DF6D4A"/>
    <w:rsid w:val="00E00B6A"/>
    <w:rsid w:val="00E01C2C"/>
    <w:rsid w:val="00E020B4"/>
    <w:rsid w:val="00E023F7"/>
    <w:rsid w:val="00E028E3"/>
    <w:rsid w:val="00E03016"/>
    <w:rsid w:val="00E035A1"/>
    <w:rsid w:val="00E03911"/>
    <w:rsid w:val="00E049CB"/>
    <w:rsid w:val="00E04D19"/>
    <w:rsid w:val="00E05B4C"/>
    <w:rsid w:val="00E07967"/>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2A8E"/>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638F"/>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BED"/>
    <w:rsid w:val="00E96ECC"/>
    <w:rsid w:val="00E9744A"/>
    <w:rsid w:val="00E97657"/>
    <w:rsid w:val="00EA28E6"/>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9C3"/>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324"/>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474"/>
    <w:rsid w:val="00F67967"/>
    <w:rsid w:val="00F67CF6"/>
    <w:rsid w:val="00F72651"/>
    <w:rsid w:val="00F7301E"/>
    <w:rsid w:val="00F8175E"/>
    <w:rsid w:val="00F81B05"/>
    <w:rsid w:val="00F81F15"/>
    <w:rsid w:val="00F82049"/>
    <w:rsid w:val="00F82C9F"/>
    <w:rsid w:val="00F8388A"/>
    <w:rsid w:val="00F84E80"/>
    <w:rsid w:val="00F87537"/>
    <w:rsid w:val="00F90D7D"/>
    <w:rsid w:val="00F947DC"/>
    <w:rsid w:val="00F948F3"/>
    <w:rsid w:val="00F9700C"/>
    <w:rsid w:val="00F9781A"/>
    <w:rsid w:val="00FA057C"/>
    <w:rsid w:val="00FA086F"/>
    <w:rsid w:val="00FA0D16"/>
    <w:rsid w:val="00FA185B"/>
    <w:rsid w:val="00FA294A"/>
    <w:rsid w:val="00FA60BF"/>
    <w:rsid w:val="00FA6883"/>
    <w:rsid w:val="00FA7405"/>
    <w:rsid w:val="00FB0D12"/>
    <w:rsid w:val="00FB1CB4"/>
    <w:rsid w:val="00FB23B5"/>
    <w:rsid w:val="00FB3D40"/>
    <w:rsid w:val="00FB44EB"/>
    <w:rsid w:val="00FB675F"/>
    <w:rsid w:val="00FC11A3"/>
    <w:rsid w:val="00FC1300"/>
    <w:rsid w:val="00FC1C93"/>
    <w:rsid w:val="00FC42A3"/>
    <w:rsid w:val="00FC55F9"/>
    <w:rsid w:val="00FC60D4"/>
    <w:rsid w:val="00FC77AE"/>
    <w:rsid w:val="00FC7D9F"/>
    <w:rsid w:val="00FD2BAD"/>
    <w:rsid w:val="00FD2F51"/>
    <w:rsid w:val="00FD330C"/>
    <w:rsid w:val="00FD3660"/>
    <w:rsid w:val="00FD484C"/>
    <w:rsid w:val="00FD49D6"/>
    <w:rsid w:val="00FD5230"/>
    <w:rsid w:val="00FD55FB"/>
    <w:rsid w:val="00FD569D"/>
    <w:rsid w:val="00FD678B"/>
    <w:rsid w:val="00FD6903"/>
    <w:rsid w:val="00FE1ADC"/>
    <w:rsid w:val="00FE225D"/>
    <w:rsid w:val="00FE4989"/>
    <w:rsid w:val="00FE5C3E"/>
    <w:rsid w:val="00FF0A2F"/>
    <w:rsid w:val="00FF1B04"/>
    <w:rsid w:val="00FF22F8"/>
    <w:rsid w:val="01654C82"/>
    <w:rsid w:val="020A6A96"/>
    <w:rsid w:val="0356786B"/>
    <w:rsid w:val="046E31C1"/>
    <w:rsid w:val="056C4F65"/>
    <w:rsid w:val="06F4696E"/>
    <w:rsid w:val="07245E56"/>
    <w:rsid w:val="0B852C6D"/>
    <w:rsid w:val="0C023D8C"/>
    <w:rsid w:val="0C225D7B"/>
    <w:rsid w:val="0E9022D3"/>
    <w:rsid w:val="0E94232E"/>
    <w:rsid w:val="0F1306D5"/>
    <w:rsid w:val="11295396"/>
    <w:rsid w:val="12F56293"/>
    <w:rsid w:val="156656C7"/>
    <w:rsid w:val="163A1B23"/>
    <w:rsid w:val="163E2FB7"/>
    <w:rsid w:val="17622796"/>
    <w:rsid w:val="181C08FC"/>
    <w:rsid w:val="19F32D28"/>
    <w:rsid w:val="1A48157B"/>
    <w:rsid w:val="1AAA799F"/>
    <w:rsid w:val="1B9930ED"/>
    <w:rsid w:val="1BD70953"/>
    <w:rsid w:val="1BF87698"/>
    <w:rsid w:val="1E585AB7"/>
    <w:rsid w:val="1E8075A1"/>
    <w:rsid w:val="1EB160C2"/>
    <w:rsid w:val="1FA97B1F"/>
    <w:rsid w:val="1FF145B9"/>
    <w:rsid w:val="2193546F"/>
    <w:rsid w:val="26F50BA9"/>
    <w:rsid w:val="27BD5E26"/>
    <w:rsid w:val="285E4249"/>
    <w:rsid w:val="29026D00"/>
    <w:rsid w:val="29AF0175"/>
    <w:rsid w:val="2EA644DF"/>
    <w:rsid w:val="2FB532A0"/>
    <w:rsid w:val="319C4BEA"/>
    <w:rsid w:val="34C829B2"/>
    <w:rsid w:val="35381804"/>
    <w:rsid w:val="36146FAD"/>
    <w:rsid w:val="38051411"/>
    <w:rsid w:val="386A3F56"/>
    <w:rsid w:val="38777E2D"/>
    <w:rsid w:val="3A810EF7"/>
    <w:rsid w:val="3A842191"/>
    <w:rsid w:val="3ACF0F3F"/>
    <w:rsid w:val="3B7626CB"/>
    <w:rsid w:val="3C3802E9"/>
    <w:rsid w:val="3DA51C15"/>
    <w:rsid w:val="3E586AB8"/>
    <w:rsid w:val="3E5C1B1D"/>
    <w:rsid w:val="3EAE14E9"/>
    <w:rsid w:val="3FD261A6"/>
    <w:rsid w:val="407C0C49"/>
    <w:rsid w:val="42EB2F9C"/>
    <w:rsid w:val="45226963"/>
    <w:rsid w:val="477C2F5C"/>
    <w:rsid w:val="499C5ED6"/>
    <w:rsid w:val="49CF7D54"/>
    <w:rsid w:val="4D39606F"/>
    <w:rsid w:val="4F137BD5"/>
    <w:rsid w:val="4F8E3D4D"/>
    <w:rsid w:val="53063B85"/>
    <w:rsid w:val="533C1961"/>
    <w:rsid w:val="53B3493A"/>
    <w:rsid w:val="54560EDE"/>
    <w:rsid w:val="5537323C"/>
    <w:rsid w:val="55855837"/>
    <w:rsid w:val="55E83741"/>
    <w:rsid w:val="56503211"/>
    <w:rsid w:val="598B567E"/>
    <w:rsid w:val="5C624734"/>
    <w:rsid w:val="5FE91ABC"/>
    <w:rsid w:val="60EB32EA"/>
    <w:rsid w:val="628E734C"/>
    <w:rsid w:val="62BD3A82"/>
    <w:rsid w:val="6580603B"/>
    <w:rsid w:val="66A34D18"/>
    <w:rsid w:val="66B96F6D"/>
    <w:rsid w:val="67240B6C"/>
    <w:rsid w:val="682A44E1"/>
    <w:rsid w:val="68C7223A"/>
    <w:rsid w:val="68EF6886"/>
    <w:rsid w:val="69867C07"/>
    <w:rsid w:val="6AAD6877"/>
    <w:rsid w:val="6B3F3089"/>
    <w:rsid w:val="6C2B2E22"/>
    <w:rsid w:val="6EAA7DFD"/>
    <w:rsid w:val="6EE25628"/>
    <w:rsid w:val="6FDD1093"/>
    <w:rsid w:val="709C0126"/>
    <w:rsid w:val="70F170A8"/>
    <w:rsid w:val="717B6CD1"/>
    <w:rsid w:val="76022652"/>
    <w:rsid w:val="768501BE"/>
    <w:rsid w:val="76C8601E"/>
    <w:rsid w:val="77150144"/>
    <w:rsid w:val="7BEA1CFE"/>
    <w:rsid w:val="7D803772"/>
    <w:rsid w:val="7D80556D"/>
    <w:rsid w:val="7E3713F1"/>
    <w:rsid w:val="7ED86E63"/>
    <w:rsid w:val="7F553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529AF23-123D-40E4-B376-9DD12EA995DF}">
  <ds:schemaRefs/>
</ds:datastoreItem>
</file>

<file path=customXml/itemProps11.xml><?xml version="1.0" encoding="utf-8"?>
<ds:datastoreItem xmlns:ds="http://schemas.openxmlformats.org/officeDocument/2006/customXml" ds:itemID="{509BA638-9D3A-4AA3-A169-FF78BC0E4BE9}">
  <ds:schemaRefs/>
</ds:datastoreItem>
</file>

<file path=customXml/itemProps12.xml><?xml version="1.0" encoding="utf-8"?>
<ds:datastoreItem xmlns:ds="http://schemas.openxmlformats.org/officeDocument/2006/customXml" ds:itemID="{0A7AA9EF-3B8C-4BAA-9155-A6E3E5337D3C}">
  <ds:schemaRefs/>
</ds:datastoreItem>
</file>

<file path=customXml/itemProps13.xml><?xml version="1.0" encoding="utf-8"?>
<ds:datastoreItem xmlns:ds="http://schemas.openxmlformats.org/officeDocument/2006/customXml" ds:itemID="{AC86F3EB-DB57-4B60-8A7E-BBB67A22EE0B}">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3A3C3A8D-C5E4-45AF-8B48-C3BF528808AD}">
  <ds:schemaRefs/>
</ds:datastoreItem>
</file>

<file path=customXml/itemProps17.xml><?xml version="1.0" encoding="utf-8"?>
<ds:datastoreItem xmlns:ds="http://schemas.openxmlformats.org/officeDocument/2006/customXml" ds:itemID="{BEEE0313-55EB-45FA-BBBD-C0232D367255}">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A06CD169-7F5C-4082-81B2-6ECAA9AF6149}">
  <ds:schemaRefs/>
</ds:datastoreItem>
</file>

<file path=customXml/itemProps3.xml><?xml version="1.0" encoding="utf-8"?>
<ds:datastoreItem xmlns:ds="http://schemas.openxmlformats.org/officeDocument/2006/customXml" ds:itemID="{7E5C9D84-6DB6-48FB-8632-D5279FC233C8}">
  <ds:schemaRefs/>
</ds:datastoreItem>
</file>

<file path=customXml/itemProps4.xml><?xml version="1.0" encoding="utf-8"?>
<ds:datastoreItem xmlns:ds="http://schemas.openxmlformats.org/officeDocument/2006/customXml" ds:itemID="{2108FF18-8EC8-4170-A536-1AA8E39CC797}">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9114D43D-ED98-4C7B-A3AE-26D78B80CA82}">
  <ds:schemaRefs/>
</ds:datastoreItem>
</file>

<file path=customXml/itemProps7.xml><?xml version="1.0" encoding="utf-8"?>
<ds:datastoreItem xmlns:ds="http://schemas.openxmlformats.org/officeDocument/2006/customXml" ds:itemID="{D902962D-C8CC-43BF-804A-CD60AE6D7475}">
  <ds:schemaRefs/>
</ds:datastoreItem>
</file>

<file path=customXml/itemProps8.xml><?xml version="1.0" encoding="utf-8"?>
<ds:datastoreItem xmlns:ds="http://schemas.openxmlformats.org/officeDocument/2006/customXml" ds:itemID="{CF487381-D648-48A1-B1E4-A4540B0D3650}">
  <ds:schemaRefs/>
</ds:datastoreItem>
</file>

<file path=customXml/itemProps9.xml><?xml version="1.0" encoding="utf-8"?>
<ds:datastoreItem xmlns:ds="http://schemas.openxmlformats.org/officeDocument/2006/customXml" ds:itemID="{E6D3D55C-3DD8-4C31-8069-E5508DD844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4398</Words>
  <Characters>25070</Characters>
  <Lines>208</Lines>
  <Paragraphs>58</Paragraphs>
  <TotalTime>2</TotalTime>
  <ScaleCrop>false</ScaleCrop>
  <LinksUpToDate>false</LinksUpToDate>
  <CharactersWithSpaces>29410</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2023-11-01T01:20:00Z</dcterms:created>
  <dc:creator>张淼雯</dc:creator>
  <cp:lastModifiedBy>郭向新</cp:lastModifiedBy>
  <cp:lastPrinted>2022-01-18T08:37:00Z</cp:lastPrinted>
  <dcterms:modified xsi:type="dcterms:W3CDTF">2024-08-08T08:05:52Z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