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/>
        <w:jc w:val="center"/>
        <w:rPr>
          <w:rFonts w:ascii="楷体" w:hAnsi="楷体" w:eastAsia="楷体" w:cs="楷体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“苏银理财恒源6月定开6期”</w:t>
      </w:r>
    </w:p>
    <w:p>
      <w:pPr>
        <w:widowControl/>
        <w:jc w:val="center"/>
        <w:rPr>
          <w:rFonts w:ascii="楷体" w:hAnsi="楷体" w:eastAsia="楷体" w:cs="楷体"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理财产品开放期公告</w:t>
      </w:r>
    </w:p>
    <w:p>
      <w:pPr>
        <w:widowControl/>
        <w:jc w:val="left"/>
        <w:rPr>
          <w:rFonts w:hint="eastAsia" w:ascii="楷体" w:hAnsi="楷体" w:eastAsia="楷体" w:cs="楷体"/>
          <w:color w:val="000000"/>
          <w:kern w:val="0"/>
          <w:sz w:val="27"/>
          <w:szCs w:val="27"/>
        </w:rPr>
      </w:pPr>
    </w:p>
    <w:p>
      <w:pPr>
        <w:widowControl/>
        <w:jc w:val="left"/>
        <w:rPr>
          <w:rFonts w:ascii="楷体" w:hAnsi="楷体" w:eastAsia="楷体" w:cs="楷体"/>
          <w:color w:val="000000"/>
          <w:kern w:val="0"/>
          <w:sz w:val="27"/>
          <w:szCs w:val="27"/>
        </w:rPr>
      </w:pPr>
      <w:bookmarkStart w:id="0" w:name="_GoBack"/>
      <w:bookmarkEnd w:id="0"/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 xml:space="preserve">尊敬的客户： </w:t>
      </w:r>
    </w:p>
    <w:p>
      <w:pPr>
        <w:widowControl/>
        <w:ind w:firstLine="480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“苏银理财恒源6月定开6期”已于2024年11月13日开放确认，管理人使用2024年11月12日的份额单位净值对各份额的申购/赎回申请进行确认。2024年11月12日净值信息如下：</w:t>
      </w:r>
    </w:p>
    <w:tbl>
      <w:tblPr>
        <w:tblStyle w:val="7"/>
        <w:tblW w:w="0" w:type="auto"/>
        <w:jc w:val="center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3090"/>
        <w:gridCol w:w="1916"/>
        <w:gridCol w:w="1945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销售代码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销售简称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单位净值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累计单位净值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J01944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苏银理财恒源6月定开6期A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1.000000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1.086563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J01945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苏银理财恒源6月定开6期C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1.000000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1.089129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J01946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苏银理财恒源6月定开6期D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1.000000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1.088798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J01947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苏银理财恒源6月定开6期E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1.000000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1.090512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J02123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苏银理财恒源6月定开6期F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1.000000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1.064244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J02785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苏银理财恒源6月定开6期G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1.000000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1.031294</w:t>
            </w:r>
          </w:p>
        </w:tc>
      </w:tr>
    </w:tbl>
    <w:p>
      <w:pPr>
        <w:widowControl/>
        <w:ind w:firstLine="540" w:firstLineChars="200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上一投资周期为2024年5月10日-2024年11月12日，该投资周期业绩表现如下：</w:t>
      </w:r>
    </w:p>
    <w:tbl>
      <w:tblPr>
        <w:tblStyle w:val="7"/>
        <w:tblW w:w="0" w:type="auto"/>
        <w:jc w:val="center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3088"/>
        <w:gridCol w:w="1406"/>
        <w:gridCol w:w="2455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销售代码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销售简称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每单位份额</w:t>
            </w:r>
          </w:p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分红（元）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投资周期年化收益率</w:t>
            </w:r>
          </w:p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（2024年5月10日-2024年11月12日）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J01944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苏银理财恒源6月定开6期A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hAnsi="楷体" w:eastAsia="楷体" w:cs="楷体"/>
              </w:rPr>
              <w:t>0.011413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hAnsi="楷体" w:eastAsia="楷体" w:cs="楷体"/>
              </w:rPr>
              <w:t>2.23%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J01945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苏银理财恒源6月定开6期C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hAnsi="楷体" w:eastAsia="楷体" w:cs="楷体"/>
              </w:rPr>
              <w:t>0.011930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hAnsi="楷体" w:eastAsia="楷体" w:cs="楷体"/>
              </w:rPr>
              <w:t>2.33%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J01946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苏银理财恒源6月定开6期D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hAnsi="楷体" w:eastAsia="楷体" w:cs="楷体"/>
              </w:rPr>
              <w:t>0.012191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hAnsi="楷体" w:eastAsia="楷体" w:cs="楷体"/>
              </w:rPr>
              <w:t>2.38%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J01947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苏银理财恒源6月定开6期E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hAnsi="楷体" w:eastAsia="楷体" w:cs="楷体"/>
              </w:rPr>
              <w:t>0.012710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hAnsi="楷体" w:eastAsia="楷体" w:cs="楷体"/>
              </w:rPr>
              <w:t>2.48%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J02123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苏银理财恒源6月定开6期F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hAnsi="楷体" w:eastAsia="楷体" w:cs="楷体"/>
              </w:rPr>
              <w:t>0.011419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hAnsi="楷体" w:eastAsia="楷体" w:cs="楷体"/>
              </w:rPr>
              <w:t>2.23%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J02785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苏银理财恒源6月定开6期G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hAnsi="楷体" w:eastAsia="楷体" w:cs="楷体"/>
              </w:rPr>
              <w:t>0.011936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hAnsi="楷体" w:eastAsia="楷体" w:cs="楷体"/>
              </w:rPr>
              <w:t>2.33%</w:t>
            </w:r>
          </w:p>
        </w:tc>
      </w:tr>
    </w:tbl>
    <w:p>
      <w:pPr>
        <w:widowControl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Cs w:val="21"/>
        </w:rPr>
        <w:t>注：分红金额以实际入账为准。</w:t>
      </w:r>
    </w:p>
    <w:p>
      <w:pPr>
        <w:widowControl/>
        <w:ind w:firstLine="540" w:firstLineChars="200"/>
        <w:jc w:val="left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过往业绩仅供参考，不代表未来表现，不等于理财产品实际收益，投资须谨慎。</w:t>
      </w:r>
    </w:p>
    <w:p>
      <w:pPr>
        <w:widowControl/>
        <w:ind w:firstLine="480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 xml:space="preserve">特此公告。     </w:t>
      </w:r>
    </w:p>
    <w:p>
      <w:pPr>
        <w:widowControl/>
        <w:ind w:firstLine="480"/>
        <w:jc w:val="right"/>
        <w:rPr>
          <w:rFonts w:ascii="楷体" w:hAnsi="楷体" w:eastAsia="楷体"/>
          <w:sz w:val="20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苏银理财有限责任公司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br w:type="textWrapping"/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2024年11月13日</w:t>
      </w:r>
    </w:p>
    <w:p>
      <w:pPr>
        <w:rPr>
          <w:rFonts w:ascii="楷体" w:hAnsi="楷体" w:eastAsia="楷体"/>
          <w:sz w:val="20"/>
        </w:rPr>
      </w:pPr>
    </w:p>
    <w:p>
      <w:pPr>
        <w:rPr>
          <w:rFonts w:hint="eastAsia" w:ascii="楷体" w:hAnsi="楷体" w:eastAsia="楷体" w:cs="楷体"/>
        </w:rPr>
      </w:pPr>
      <w:r>
        <w:rPr>
          <w:rFonts w:hint="eastAsia" w:ascii="楷体" w:hAnsi="楷体" w:eastAsia="楷体"/>
          <w:sz w:val="20"/>
        </w:rPr>
        <w:t>备注：本次披露内容解释权归苏银理财所有，不构成任何形式的法律要约或承诺。</w:t>
      </w: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insoku w:val="0"/>
      <w:overflowPunct w:val="0"/>
      <w:spacing w:before="0" w:line="320" w:lineRule="exact"/>
      <w:ind w:left="20"/>
      <w:jc w:val="both"/>
      <w:rPr>
        <w:rFonts w:ascii="楷体" w:hAnsi="楷体" w:eastAsia="楷体" w:cs="黑体"/>
        <w:b/>
        <w:spacing w:val="-2"/>
        <w:sz w:val="24"/>
        <w:szCs w:val="24"/>
      </w:rPr>
    </w:pPr>
    <w:r>
      <w:rPr>
        <w:rFonts w:ascii="楷体" w:hAnsi="楷体" w:eastAsia="楷体"/>
        <w:b/>
      </w:rPr>
      <w:pict>
        <v:shape id="WordPictureWatermark367128483" o:spid="_x0000_s2051" o:spt="75" type="#_x0000_t75" style="position:absolute;left:0pt;height:862.85pt;width:1137.35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苏银理财"/>
          <o:lock v:ext="edit" aspectratio="t"/>
        </v:shape>
      </w:pict>
    </w: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3923665</wp:posOffset>
          </wp:positionH>
          <wp:positionV relativeFrom="paragraph">
            <wp:posOffset>-95250</wp:posOffset>
          </wp:positionV>
          <wp:extent cx="1325245" cy="424815"/>
          <wp:effectExtent l="0" t="0" r="8255" b="0"/>
          <wp:wrapSquare wrapText="bothSides"/>
          <wp:docPr id="1" name="图片 1" descr="说明: 说明: C:\Users\JSYH\Desktop\苏银理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: 说明: C:\Users\JSYH\Desktop\苏银理财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52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楷体" w:hAnsi="楷体" w:eastAsia="楷体" w:cs="黑体"/>
        <w:b/>
        <w:bCs/>
        <w:spacing w:val="-2"/>
        <w:sz w:val="24"/>
        <w:szCs w:val="24"/>
      </w:rPr>
      <w:t>理财非存款、产品有风险、投资须谨慎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367128482" o:spid="_x0000_s2050" o:spt="75" type="#_x0000_t75" style="position:absolute;left:0pt;height:862.85pt;width:1137.3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苏银理财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367128481" o:spid="_x0000_s2049" o:spt="75" type="#_x0000_t75" style="position:absolute;left:0pt;height:862.85pt;width:1137.3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苏银理财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298"/>
    <w:rsid w:val="000C729A"/>
    <w:rsid w:val="002010EC"/>
    <w:rsid w:val="00212BF8"/>
    <w:rsid w:val="00246CD5"/>
    <w:rsid w:val="00273CEE"/>
    <w:rsid w:val="002E297E"/>
    <w:rsid w:val="00384393"/>
    <w:rsid w:val="00435BAA"/>
    <w:rsid w:val="004C5CC6"/>
    <w:rsid w:val="0056651E"/>
    <w:rsid w:val="00572614"/>
    <w:rsid w:val="005A39BB"/>
    <w:rsid w:val="0066652C"/>
    <w:rsid w:val="006B59C2"/>
    <w:rsid w:val="007C1CB0"/>
    <w:rsid w:val="007D2760"/>
    <w:rsid w:val="00805935"/>
    <w:rsid w:val="00812D85"/>
    <w:rsid w:val="008626CF"/>
    <w:rsid w:val="008E2898"/>
    <w:rsid w:val="009879B6"/>
    <w:rsid w:val="009D169F"/>
    <w:rsid w:val="00B94E31"/>
    <w:rsid w:val="00BC44F4"/>
    <w:rsid w:val="00C82298"/>
    <w:rsid w:val="00CB3B08"/>
    <w:rsid w:val="00CC1DB4"/>
    <w:rsid w:val="00D1100F"/>
    <w:rsid w:val="00D12FB8"/>
    <w:rsid w:val="00D14797"/>
    <w:rsid w:val="00D71270"/>
    <w:rsid w:val="00E72933"/>
    <w:rsid w:val="00F82353"/>
    <w:rsid w:val="09106906"/>
    <w:rsid w:val="2DDE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unhideWhenUsed/>
    <w:uiPriority w:val="99"/>
    <w:pPr>
      <w:jc w:val="left"/>
    </w:pPr>
  </w:style>
  <w:style w:type="paragraph" w:styleId="3">
    <w:name w:val="Body Text"/>
    <w:basedOn w:val="1"/>
    <w:link w:val="11"/>
    <w:qFormat/>
    <w:uiPriority w:val="1"/>
    <w:pPr>
      <w:autoSpaceDE w:val="0"/>
      <w:autoSpaceDN w:val="0"/>
      <w:adjustRightInd w:val="0"/>
      <w:spacing w:before="162"/>
      <w:ind w:left="120"/>
      <w:jc w:val="left"/>
    </w:pPr>
    <w:rPr>
      <w:rFonts w:ascii="宋体"/>
      <w:kern w:val="0"/>
      <w:sz w:val="20"/>
      <w:szCs w:val="21"/>
    </w:rPr>
  </w:style>
  <w:style w:type="paragraph" w:styleId="4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0">
    <w:name w:val="批注文字 字符"/>
    <w:basedOn w:val="8"/>
    <w:link w:val="2"/>
    <w:uiPriority w:val="99"/>
    <w:rPr>
      <w:rFonts w:ascii="Times New Roman" w:hAnsi="Times New Roman" w:eastAsia="宋体" w:cs="Times New Roman"/>
    </w:rPr>
  </w:style>
  <w:style w:type="character" w:customStyle="1" w:styleId="11">
    <w:name w:val="正文文本 字符"/>
    <w:basedOn w:val="8"/>
    <w:link w:val="3"/>
    <w:uiPriority w:val="1"/>
    <w:rPr>
      <w:rFonts w:ascii="宋体" w:hAnsi="Times New Roman" w:eastAsia="宋体" w:cs="Times New Roman"/>
      <w:kern w:val="0"/>
      <w:sz w:val="20"/>
      <w:szCs w:val="21"/>
    </w:rPr>
  </w:style>
  <w:style w:type="character" w:customStyle="1" w:styleId="12">
    <w:name w:val="页脚 字符"/>
    <w:basedOn w:val="8"/>
    <w:link w:val="5"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3">
    <w:name w:val="页眉 字符"/>
    <w:basedOn w:val="8"/>
    <w:link w:val="6"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4">
    <w:name w:val="批注框文本 字符"/>
    <w:basedOn w:val="8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WORKGROUP</Company>
  <Pages>2</Pages>
  <Words>121</Words>
  <Characters>695</Characters>
  <Lines>5</Lines>
  <Paragraphs>1</Paragraphs>
  <TotalTime>5</TotalTime>
  <ScaleCrop>false</ScaleCrop>
  <LinksUpToDate>false</LinksUpToDate>
  <CharactersWithSpaces>815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2023-08-04T08:56:00Z</dcterms:created>
  <dc:creator>User</dc:creator>
  <cp:lastModifiedBy>jsyh</cp:lastModifiedBy>
  <dcterms:modified xsi:type="dcterms:W3CDTF">2024-11-13T00:59:06Z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