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苏银理财恒源封闭债权137期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苏银理财恒源封闭债权137期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2024年10月23日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苏银理财恒源封闭债权137期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Z7003124000121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43,302,471.00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2024年10月16日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2024年10月22日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2024年10月23日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2025年11月18日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2024年10月24日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