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杭银理财幸福99半年添益2006期理财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杭银理财幸福99半年添益2006期理财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TYG6M2006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3.2124%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3.8856%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0.4674%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5.3185%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4.4400%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4.2717%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杭银理财幸福99半年添益2006期理财W款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TYG6M2006W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3.2124%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2024年9月25日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