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 xml:space="preserve"> </w:t>
      </w:r>
    </w:p>
    <w:p/>
    <w:p/>
    <w:p/>
    <w:p/>
    <w:p/>
    <w:p/>
    <w:p/>
    <w:p/>
    <w:p>
      <w:pPr>
        <w:jc w:val="center"/>
        <w:outlineLvl w:val="0"/>
        <w:rPr>
          <w:rFonts w:hint="eastAsia" w:ascii="宋体" w:hAnsi="宋体" w:eastAsia="宋体" w:cs="宋体"/>
          <w:sz w:val="44"/>
          <w:szCs w:val="44"/>
          <w:highlight w:val="none"/>
          <w:lang w:eastAsia="zh-CN"/>
        </w:rPr>
      </w:pPr>
      <w:r>
        <w:rPr>
          <w:rFonts w:hint="eastAsia" w:ascii="宋体" w:hAnsi="宋体" w:cs="宋体"/>
          <w:sz w:val="44"/>
          <w:szCs w:val="44"/>
          <w:highlight w:val="none"/>
          <w:lang w:eastAsia="zh-CN"/>
        </w:rPr>
        <w:t>杭银理财丰收天添益开放式1期理财合同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rPr>
          <w:rFonts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pStyle w:val="2"/>
        <w:bidi w:val="0"/>
        <w:outlineLvl w:val="0"/>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杭银理财丰收天添益开放式1期理财合同</w:t>
      </w:r>
      <w:r>
        <w:rPr>
          <w:rFonts w:hint="eastAsia" w:ascii="宋体" w:hAnsi="宋体" w:eastAsia="宋体" w:cs="宋体"/>
          <w:b/>
          <w:bCs/>
          <w:sz w:val="44"/>
          <w:szCs w:val="44"/>
          <w:highlight w:val="none"/>
          <w:lang w:val="en-US" w:eastAsia="zh-CN"/>
        </w:rPr>
        <w:t>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杭银理财丰收天添益开放式1期理财风险揭示书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杭银理财丰收天添益开放式1期理财产品说明书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both"/>
        <w:rPr>
          <w:rFonts w:hint="eastAsia"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lang w:eastAsia="zh-CN"/>
        </w:rPr>
        <w:br w:type="page"/>
      </w:r>
      <w:r>
        <w:rPr>
          <w:rFonts w:hint="eastAsia" w:ascii="宋体" w:hAnsi="宋体" w:cs="宋体"/>
          <w:b/>
          <w:bCs/>
          <w:sz w:val="44"/>
          <w:szCs w:val="44"/>
          <w:highlight w:val="none"/>
          <w:lang w:eastAsia="zh-CN"/>
        </w:rPr>
        <w:t>杭银理财丰收天添益开放式1期理财</w:t>
      </w:r>
      <w:r>
        <w:rPr>
          <w:rFonts w:hint="eastAsia" w:ascii="宋体" w:hAnsi="宋体" w:cs="宋体"/>
          <w:b/>
          <w:bCs/>
          <w:sz w:val="44"/>
          <w:szCs w:val="44"/>
          <w:highlight w:val="none"/>
        </w:rPr>
        <w:t>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highlight w:val="none"/>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highlight w:val="none"/>
        </w:rPr>
        <w:t>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不同</w:t>
      </w:r>
      <w:r>
        <w:rPr>
          <w:rFonts w:hint="eastAsia" w:ascii="宋体" w:hAnsi="宋体" w:cs="宋体"/>
          <w:b/>
          <w:sz w:val="24"/>
          <w:highlight w:val="none"/>
          <w:lang w:val="en-US" w:eastAsia="zh-CN"/>
        </w:rPr>
        <w:t>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9"/>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sz w:val="24"/>
          <w:highlight w:val="none"/>
        </w:rPr>
        <w:t>投资者的本金可能会出现损失。</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收益不达业绩比较基准风险：本理财计划每日开放，下一交易日确认，投资收益与投资者的申购、赎回时点密切相关，收益存在一定的波动性，投资者的本金可能会出现损失。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cs="宋体"/>
          <w:b/>
          <w:sz w:val="24"/>
          <w:highlight w:val="none"/>
        </w:rPr>
        <w:t>，</w:t>
      </w:r>
      <w:r>
        <w:rPr>
          <w:rFonts w:hint="eastAsia" w:ascii="宋体" w:hAnsi="宋体" w:cs="宋体"/>
          <w:bCs/>
          <w:sz w:val="24"/>
          <w:highlight w:val="none"/>
        </w:rPr>
        <w:t>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outlineLvl w:val="2"/>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4"/>
        <w:spacing w:line="360" w:lineRule="auto"/>
        <w:jc w:val="center"/>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    如超过一年未进行风险承受能力评估或影响本人风险承受能力的因素发生变化，本人将于再次购买理财计划时及时完成风险承受能力评估。</w:t>
      </w:r>
    </w:p>
    <w:p>
      <w:pPr>
        <w:pStyle w:val="14"/>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rPr>
          <w:rFonts w:hint="eastAsia" w:ascii="宋体" w:hAnsi="宋体" w:cs="宋体"/>
          <w:b/>
          <w:color w:val="auto"/>
          <w:highlight w:val="none"/>
        </w:rPr>
      </w:pPr>
    </w:p>
    <w:p>
      <w:pPr>
        <w:pStyle w:val="14"/>
        <w:spacing w:line="360" w:lineRule="auto"/>
        <w:jc w:val="center"/>
        <w:outlineLvl w:val="2"/>
        <w:rPr>
          <w:rFonts w:hint="eastAsia" w:ascii="宋体" w:hAnsi="宋体" w:cs="宋体"/>
          <w:b/>
          <w:highlight w:val="none"/>
        </w:rPr>
      </w:pPr>
      <w:r>
        <w:rPr>
          <w:rFonts w:hint="eastAsia" w:ascii="宋体" w:hAnsi="宋体" w:cs="宋体"/>
          <w:b/>
          <w:color w:val="auto"/>
          <w:highlight w:val="none"/>
        </w:rPr>
        <w:t>投资者确认栏（机构投资者）</w:t>
      </w:r>
    </w:p>
    <w:p>
      <w:pPr>
        <w:pStyle w:val="14"/>
        <w:spacing w:line="360" w:lineRule="auto"/>
        <w:jc w:val="center"/>
        <w:rPr>
          <w:rFonts w:hint="eastAsia" w:ascii="宋体" w:hAnsi="宋体" w:cs="宋体"/>
          <w:b/>
          <w:highlight w:val="none"/>
        </w:rPr>
      </w:pPr>
    </w:p>
    <w:p>
      <w:pPr>
        <w:widowControl/>
        <w:spacing w:line="360" w:lineRule="auto"/>
        <w:contextualSpacing/>
        <w:outlineLvl w:val="9"/>
        <w:rPr>
          <w:rFonts w:hint="eastAsia" w:ascii="宋体" w:hAnsi="宋体" w:cs="宋体"/>
          <w:b/>
          <w:bCs/>
          <w:sz w:val="24"/>
          <w:highlight w:val="none"/>
        </w:rPr>
      </w:pPr>
      <w:r>
        <w:rPr>
          <w:rFonts w:hint="eastAsia" w:ascii="宋体" w:hAnsi="宋体" w:cs="宋体"/>
          <w:b/>
          <w:bCs/>
          <w:sz w:val="24"/>
          <w:highlight w:val="none"/>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highlight w:val="none"/>
          <w:u w:val="single"/>
        </w:rPr>
        <w:t>接受本风险揭示书及《理财计划产品说明书》《投资者权益须知》《理财计划投资协议书》《理财计划销售协议书》等本理财计划合同全部内容，</w:t>
      </w:r>
      <w:r>
        <w:rPr>
          <w:rFonts w:hint="eastAsia" w:ascii="宋体" w:hAnsi="宋体" w:cs="宋体"/>
          <w:b/>
          <w:bCs/>
          <w:sz w:val="24"/>
          <w:highlight w:val="none"/>
        </w:rPr>
        <w:t>自愿且有能力承担</w:t>
      </w:r>
      <w:r>
        <w:rPr>
          <w:rFonts w:hint="eastAsia" w:ascii="宋体" w:hAnsi="宋体" w:cs="宋体"/>
          <w:b/>
          <w:bCs/>
          <w:sz w:val="24"/>
          <w:highlight w:val="none"/>
          <w:u w:val="single"/>
        </w:rPr>
        <w:t>投资本理财计划的</w:t>
      </w:r>
      <w:r>
        <w:rPr>
          <w:rFonts w:hint="eastAsia" w:ascii="宋体" w:hAnsi="宋体" w:cs="宋体"/>
          <w:b/>
          <w:bCs/>
          <w:sz w:val="24"/>
          <w:highlight w:val="none"/>
        </w:rPr>
        <w:t>风险。</w:t>
      </w:r>
    </w:p>
    <w:p>
      <w:pPr>
        <w:widowControl/>
        <w:spacing w:line="360" w:lineRule="auto"/>
        <w:contextualSpacing/>
        <w:outlineLvl w:val="9"/>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b/>
          <w:bCs/>
          <w:sz w:val="24"/>
          <w:highlight w:val="none"/>
          <w:u w:val="single"/>
        </w:rPr>
        <w:t>本公司/单位</w:t>
      </w:r>
      <w:r>
        <w:rPr>
          <w:rFonts w:hint="eastAsia" w:ascii="宋体" w:hAnsi="宋体" w:cs="宋体"/>
          <w:b/>
          <w:bCs/>
          <w:sz w:val="24"/>
          <w:highlight w:val="none"/>
          <w:u w:val="single"/>
          <w:lang w:val="en-US" w:eastAsia="zh-CN"/>
        </w:rPr>
        <w:t>购买</w:t>
      </w:r>
      <w:r>
        <w:rPr>
          <w:rFonts w:hint="eastAsia" w:ascii="宋体" w:hAnsi="宋体" w:cs="宋体"/>
          <w:b/>
          <w:bCs/>
          <w:sz w:val="24"/>
          <w:highlight w:val="none"/>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投资者（公章）                          法定代表人或授权代理人（签章）</w:t>
      </w: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lang w:eastAsia="zh-CN"/>
        </w:rPr>
        <w:t>杭银理财丰收天添益开放式1期理财</w:t>
      </w:r>
      <w:r>
        <w:rPr>
          <w:rFonts w:hint="eastAsia" w:ascii="宋体" w:hAnsi="宋体" w:cs="宋体"/>
          <w:b/>
          <w:bCs/>
          <w:sz w:val="44"/>
          <w:szCs w:val="44"/>
          <w:highlight w:val="none"/>
        </w:rPr>
        <w:t>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〖Z7002224000269〗</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rPr>
        <w:t>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4"/>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天添益（安享优选）5期夜市理财合同</w:t>
      </w:r>
      <w:r>
        <w:rPr>
          <w:rFonts w:hint="eastAsia" w:ascii="宋体" w:hAnsi="宋体" w:cs="宋体"/>
          <w:bCs/>
          <w:color w:val="auto"/>
          <w:kern w:val="2"/>
          <w:highlight w:val="none"/>
        </w:rPr>
        <w:t>不可分割组成部分的理财计划销售协议书，以及对该文件的有效修改与补充。</w:t>
      </w:r>
    </w:p>
    <w:p>
      <w:pPr>
        <w:pStyle w:val="14"/>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4"/>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4"/>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4"/>
        <w:adjustRightInd/>
        <w:spacing w:line="360" w:lineRule="auto"/>
        <w:rPr>
          <w:rFonts w:ascii="宋体" w:hAnsi="宋体" w:cs="宋体"/>
          <w:bCs/>
          <w:color w:val="auto"/>
          <w:kern w:val="2"/>
          <w:highlight w:val="none"/>
        </w:rPr>
      </w:pPr>
    </w:p>
    <w:p>
      <w:pPr>
        <w:pStyle w:val="14"/>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noWrap w:val="0"/>
            <w:vAlign w:val="top"/>
          </w:tcPr>
          <w:p>
            <w:pPr>
              <w:pStyle w:val="14"/>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noWrap w:val="0"/>
            <w:vAlign w:val="top"/>
          </w:tcPr>
          <w:p>
            <w:pPr>
              <w:pStyle w:val="14"/>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ascii="宋体" w:hAnsi="宋体" w:cs="宋体"/>
          <w:b/>
          <w:color w:val="auto"/>
          <w:kern w:val="2"/>
          <w:highlight w:val="none"/>
        </w:rPr>
      </w:pPr>
    </w:p>
    <w:p>
      <w:pPr>
        <w:pStyle w:val="14"/>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noWrap w:val="0"/>
            <w:vAlign w:val="center"/>
          </w:tcPr>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szCs w:val="21"/>
                <w:highlight w:val="none"/>
                <w:lang w:eastAsia="zh-CN"/>
              </w:rPr>
              <w:t>杭银理财丰收天添益开放式1期理财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noWrap w:val="0"/>
            <w:vAlign w:val="center"/>
          </w:tcPr>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eastAsia="zh-CN"/>
              </w:rPr>
              <w:t>丰收天添益</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FS</w:t>
            </w:r>
            <w:r>
              <w:rPr>
                <w:rFonts w:hint="eastAsia" w:ascii="宋体" w:hAnsi="宋体" w:cs="宋体"/>
                <w:szCs w:val="21"/>
                <w:highlight w:val="none"/>
              </w:rPr>
              <w:t>TYG1D</w:t>
            </w:r>
            <w:r>
              <w:rPr>
                <w:rFonts w:hint="eastAsia" w:ascii="宋体" w:hAnsi="宋体" w:cs="宋体"/>
                <w:szCs w:val="21"/>
                <w:highlight w:val="none"/>
                <w:lang w:val="en-US" w:eastAsia="zh-CN"/>
              </w:rPr>
              <w:t>01</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本理财计划在全国银行业理财信息登记系统的登记编码是〖Z7002224000269〗，投资者可依据该编码在“中国理财网（www.chinawealth.com.cn）”查询本理财计划信息。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noWrap w:val="0"/>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noWrap w:val="0"/>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:00〗至〖</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lang w:val="en-US" w:eastAsia="zh-CN"/>
              </w:rPr>
              <w:t>A份额：</w:t>
            </w:r>
            <w:r>
              <w:rPr>
                <w:rFonts w:hint="eastAsia" w:ascii="宋体" w:hAnsi="宋体" w:cs="宋体"/>
                <w:szCs w:val="21"/>
                <w:highlight w:val="none"/>
              </w:rPr>
              <w:t>单户持有上限〖</w:t>
            </w:r>
            <w:r>
              <w:rPr>
                <w:rFonts w:hint="eastAsia" w:ascii="宋体" w:hAnsi="宋体" w:cs="宋体"/>
                <w:szCs w:val="21"/>
                <w:highlight w:val="none"/>
                <w:lang w:val="en-US" w:eastAsia="zh-CN"/>
              </w:rPr>
              <w:t>5000万</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noWrap w:val="0"/>
            <w:vAlign w:val="center"/>
          </w:tcPr>
          <w:p>
            <w:pPr>
              <w:widowControl/>
              <w:spacing w:line="360"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2.20%-3.50</w:t>
            </w:r>
            <w:r>
              <w:rPr>
                <w:rFonts w:hint="eastAsia" w:ascii="宋体" w:hAnsi="宋体" w:eastAsia="宋体" w:cs="宋体"/>
                <w:highlight w:val="none"/>
              </w:rPr>
              <w:t>%</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w:t>
            </w:r>
            <w:r>
              <w:rPr>
                <w:rFonts w:hint="eastAsia" w:ascii="宋体" w:hAnsi="宋体" w:cs="宋体"/>
                <w:b/>
                <w:bCs/>
                <w:szCs w:val="21"/>
                <w:highlight w:val="none"/>
              </w:rPr>
              <w:t>等资产，根据当前市场环境，拟投资产收益率在</w:t>
            </w:r>
            <w:r>
              <w:rPr>
                <w:rFonts w:hint="eastAsia" w:ascii="宋体" w:hAnsi="宋体" w:cs="宋体"/>
                <w:b/>
                <w:bCs/>
                <w:szCs w:val="21"/>
                <w:highlight w:val="none"/>
                <w:lang w:val="en-US" w:eastAsia="zh-CN"/>
              </w:rPr>
              <w:t>2</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val="en-US" w:eastAsia="zh-CN"/>
              </w:rPr>
              <w:t>A份额</w:t>
            </w:r>
            <w:r>
              <w:rPr>
                <w:rFonts w:hint="eastAsia" w:ascii="宋体" w:hAnsi="宋体" w:cs="宋体"/>
                <w:b/>
                <w:bCs/>
                <w:szCs w:val="21"/>
                <w:highlight w:val="none"/>
              </w:rPr>
              <w:t>业绩比较基准的中枢在</w:t>
            </w:r>
            <w:r>
              <w:rPr>
                <w:rFonts w:hint="eastAsia" w:ascii="宋体" w:hAnsi="宋体" w:cs="宋体"/>
                <w:b/>
                <w:bCs/>
                <w:szCs w:val="21"/>
                <w:highlight w:val="none"/>
                <w:lang w:val="en-US" w:eastAsia="zh-CN"/>
              </w:rPr>
              <w:t>2.5</w:t>
            </w:r>
            <w:r>
              <w:rPr>
                <w:rFonts w:hint="eastAsia" w:ascii="宋体" w:hAnsi="宋体" w:cs="宋体"/>
                <w:b/>
                <w:bCs/>
                <w:szCs w:val="21"/>
                <w:highlight w:val="none"/>
              </w:rPr>
              <w:t>%</w:t>
            </w:r>
            <w:r>
              <w:rPr>
                <w:rFonts w:hint="eastAsia" w:ascii="宋体" w:hAnsi="宋体" w:cs="宋体"/>
                <w:b/>
                <w:bCs/>
                <w:szCs w:val="21"/>
                <w:highlight w:val="none"/>
              </w:rPr>
              <w:t>左右。</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w:t>
            </w:r>
            <w:r>
              <w:rPr>
                <w:rFonts w:hint="eastAsia" w:ascii="宋体" w:hAnsi="宋体" w:cs="宋体"/>
                <w:bCs/>
                <w:szCs w:val="21"/>
                <w:highlight w:val="none"/>
                <w:lang w:val="en-US" w:eastAsia="zh-CN"/>
              </w:rPr>
              <w:t>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21"/>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1"/>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6"/>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7"/>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spacing w:line="360" w:lineRule="auto"/>
              <w:jc w:val="center"/>
              <w:rPr>
                <w:rFonts w:ascii="宋体" w:hAnsi="宋体" w:cs="宋体"/>
                <w:bCs/>
                <w:szCs w:val="21"/>
                <w:highlight w:val="none"/>
              </w:rPr>
            </w:pPr>
            <w:r>
              <w:rPr>
                <w:rFonts w:hint="eastAsia"/>
                <w:highlight w:val="none"/>
              </w:rPr>
              <w:t>宁波慈溪农村商业银行股份有限公司</w:t>
            </w: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ascii="宋体" w:hAnsi="宋体" w:cs="宋体"/>
                <w:bCs/>
                <w:szCs w:val="21"/>
                <w:highlight w:val="none"/>
              </w:rPr>
            </w:pPr>
            <w:r>
              <w:rPr>
                <w:rFonts w:hint="eastAsia"/>
                <w:highlight w:val="none"/>
              </w:rPr>
              <w:t>浙江省慈溪市浒山街道南城路2</w:t>
            </w:r>
            <w:r>
              <w:rPr>
                <w:rFonts w:hint="eastAsia"/>
                <w:highlight w:val="none"/>
                <w:lang w:val="en-US" w:eastAsia="zh-CN"/>
              </w:rPr>
              <w:t>5</w:t>
            </w:r>
            <w:r>
              <w:rPr>
                <w:rFonts w:hint="eastAsia"/>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ascii="宋体" w:hAnsi="宋体" w:cs="宋体"/>
                <w:bCs/>
                <w:szCs w:val="21"/>
                <w:highlight w:val="none"/>
              </w:rPr>
            </w:pP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highlight w:val="none"/>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restart"/>
            <w:noWrap w:val="0"/>
            <w:vAlign w:val="center"/>
          </w:tcPr>
          <w:p>
            <w:pPr>
              <w:spacing w:line="360" w:lineRule="auto"/>
              <w:jc w:val="center"/>
              <w:rPr>
                <w:rFonts w:hint="eastAsia" w:ascii="宋体" w:hAnsi="宋体" w:eastAsia="宋体" w:cs="宋体"/>
                <w:color w:val="000000"/>
                <w:kern w:val="0"/>
                <w:highlight w:val="none"/>
                <w:lang w:val="en-US" w:eastAsia="zh-CN"/>
              </w:rPr>
            </w:pPr>
            <w:r>
              <w:rPr>
                <w:rFonts w:hint="eastAsia"/>
                <w:highlight w:val="none"/>
              </w:rPr>
              <w:t>浙江温州龙湾农村商业银行股份有限公司</w:t>
            </w: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温州市龙湾区永中街道永宁西路555号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color w:val="000000"/>
                <w:kern w:val="0"/>
                <w:highlight w:val="none"/>
              </w:rPr>
            </w:pP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default" w:ascii="宋体" w:hAnsi="宋体" w:eastAsia="宋体" w:cs="宋体"/>
                <w:color w:val="000000"/>
                <w:kern w:val="0"/>
                <w:highlight w:val="none"/>
                <w:lang w:val="en-US" w:eastAsia="zh-CN"/>
              </w:rPr>
            </w:pPr>
            <w:r>
              <w:rPr>
                <w:rFonts w:hint="eastAsia"/>
                <w:highlight w:val="none"/>
              </w:rPr>
              <w:t>4008296596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restart"/>
            <w:noWrap w:val="0"/>
            <w:vAlign w:val="center"/>
          </w:tcPr>
          <w:p>
            <w:pPr>
              <w:spacing w:line="360" w:lineRule="auto"/>
              <w:jc w:val="center"/>
              <w:rPr>
                <w:rFonts w:hint="eastAsia" w:ascii="宋体" w:hAnsi="宋体" w:cs="宋体"/>
                <w:color w:val="000000"/>
                <w:kern w:val="0"/>
                <w:highlight w:val="none"/>
              </w:rPr>
            </w:pPr>
            <w:r>
              <w:rPr>
                <w:rFonts w:hint="eastAsia"/>
                <w:highlight w:val="none"/>
              </w:rPr>
              <w:t>浙江德清农村商业银行股份有限公司</w:t>
            </w: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浙江省德清县武康街道沈长圩街50号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color w:val="000000"/>
                <w:kern w:val="0"/>
                <w:highlight w:val="none"/>
              </w:rPr>
            </w:pP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4"/>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4"/>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5"/>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w:t>
      </w:r>
      <w:r>
        <w:rPr>
          <w:rFonts w:hint="eastAsia" w:ascii="宋体" w:hAnsi="宋体" w:cs="宋体"/>
          <w:bCs/>
          <w:color w:val="000000"/>
          <w:sz w:val="24"/>
          <w:highlight w:val="none"/>
        </w:rPr>
        <w:t>（提前终止日）</w:t>
      </w:r>
      <w:r>
        <w:rPr>
          <w:rFonts w:hint="eastAsia" w:ascii="宋体" w:hAnsi="宋体" w:cs="宋体"/>
          <w:bCs/>
          <w:color w:val="000000"/>
          <w:sz w:val="24"/>
          <w:highlight w:val="none"/>
        </w:rPr>
        <w:t>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w:t>
      </w:r>
      <w:r>
        <w:rPr>
          <w:rFonts w:hint="eastAsia" w:ascii="宋体" w:hAnsi="宋体" w:cs="宋体"/>
          <w:bCs/>
          <w:color w:val="000000"/>
          <w:sz w:val="24"/>
          <w:highlight w:val="none"/>
        </w:rPr>
        <w:t>（提前终止日）</w:t>
      </w:r>
      <w:r>
        <w:rPr>
          <w:rFonts w:hint="eastAsia" w:ascii="宋体" w:hAnsi="宋体" w:cs="宋体"/>
          <w:bCs/>
          <w:color w:val="000000"/>
          <w:sz w:val="24"/>
          <w:highlight w:val="none"/>
        </w:rPr>
        <w:t>前一日单位净值为提取相关费用及税费后的单位理财计划份额净值。</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1"/>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w:t>
      </w:r>
      <w:r>
        <w:rPr>
          <w:rFonts w:hint="eastAsia" w:ascii="宋体" w:hAnsi="宋体" w:cs="宋体"/>
          <w:b/>
          <w:color w:val="000000"/>
          <w:sz w:val="24"/>
          <w:highlight w:val="none"/>
        </w:rPr>
        <w:t>（如有）</w:t>
      </w:r>
      <w:r>
        <w:rPr>
          <w:rFonts w:hint="eastAsia" w:ascii="宋体" w:hAnsi="宋体" w:cs="宋体"/>
          <w:b/>
          <w:color w:val="000000"/>
          <w:sz w:val="24"/>
          <w:highlight w:val="none"/>
        </w:rPr>
        <w:t>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41"/>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w:t>
      </w:r>
      <w:r>
        <w:rPr>
          <w:rFonts w:hint="eastAsia" w:ascii="宋体" w:hAnsi="宋体" w:cs="宋体"/>
          <w:b/>
          <w:color w:val="000000"/>
          <w:sz w:val="24"/>
          <w:highlight w:val="none"/>
        </w:rPr>
        <w:t>（如有）</w:t>
      </w:r>
      <w:r>
        <w:rPr>
          <w:rFonts w:hint="eastAsia" w:ascii="宋体" w:hAnsi="宋体" w:cs="宋体"/>
          <w:b/>
          <w:color w:val="000000"/>
          <w:sz w:val="24"/>
          <w:highlight w:val="none"/>
        </w:rPr>
        <w:t>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w:t>
      </w:r>
      <w:r>
        <w:rPr>
          <w:rFonts w:hint="eastAsia" w:ascii="宋体" w:hAnsi="宋体" w:cs="宋体"/>
          <w:bCs/>
          <w:sz w:val="24"/>
          <w:highlight w:val="none"/>
          <w:lang w:val="en-US" w:eastAsia="zh-CN"/>
        </w:rPr>
        <w:t>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工作时间为每个交易日〖9:00〗至〖</w:t>
      </w:r>
      <w:r>
        <w:rPr>
          <w:rFonts w:hint="eastAsia" w:ascii="宋体" w:hAnsi="宋体" w:cs="宋体"/>
          <w:bCs/>
          <w:sz w:val="24"/>
          <w:highlight w:val="none"/>
          <w:lang w:val="en-US" w:eastAsia="zh-CN"/>
        </w:rPr>
        <w:t>1</w:t>
      </w:r>
      <w:r>
        <w:rPr>
          <w:rFonts w:hint="eastAsia" w:ascii="宋体" w:hAnsi="宋体" w:cs="宋体"/>
          <w:bCs/>
          <w:sz w:val="24"/>
          <w:highlight w:val="none"/>
          <w:lang w:val="en-US" w:eastAsia="zh-CN"/>
        </w:rPr>
        <w:t>5</w:t>
      </w:r>
      <w:r>
        <w:rPr>
          <w:rFonts w:hint="eastAsia" w:ascii="宋体" w:hAnsi="宋体" w:cs="宋体"/>
          <w:bCs/>
          <w:sz w:val="24"/>
          <w:highlight w:val="none"/>
          <w:lang w:eastAsia="zh-CN"/>
        </w:rPr>
        <w:t>:</w:t>
      </w:r>
      <w:r>
        <w:rPr>
          <w:rFonts w:hint="eastAsia" w:ascii="宋体" w:hAnsi="宋体" w:cs="宋体"/>
          <w:bCs/>
          <w:sz w:val="24"/>
          <w:highlight w:val="none"/>
          <w:lang w:val="en-US" w:eastAsia="zh-CN"/>
        </w:rPr>
        <w:t>4</w:t>
      </w:r>
      <w:r>
        <w:rPr>
          <w:rFonts w:hint="eastAsia" w:ascii="宋体" w:hAnsi="宋体" w:cs="宋体"/>
          <w:bCs/>
          <w:sz w:val="24"/>
          <w:highlight w:val="none"/>
          <w:lang w:val="en-US" w:eastAsia="zh-CN"/>
        </w:rPr>
        <w:t>5</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4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5"/>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w:t>
      </w:r>
      <w:r>
        <w:rPr>
          <w:rFonts w:hint="eastAsia" w:ascii="宋体" w:hAnsi="宋体" w:cs="宋体"/>
          <w:b/>
          <w:sz w:val="24"/>
          <w:highlight w:val="none"/>
        </w:rPr>
        <w:t>终止权：</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1"/>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1"/>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3"/>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5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6"/>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56"/>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7"/>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3"/>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9"/>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bCs/>
          <w:sz w:val="24"/>
          <w:highlight w:val="none"/>
        </w:rPr>
        <w:t>理财计划</w:t>
      </w:r>
      <w:r>
        <w:rPr>
          <w:rFonts w:hint="eastAsia" w:ascii="宋体" w:hAnsi="宋体" w:cs="宋体"/>
          <w:kern w:val="0"/>
          <w:sz w:val="24"/>
          <w:highlight w:val="none"/>
        </w:rPr>
        <w:t>风险揭示书、理财计划产品说明书、投资者权益须知、理财计划投资协议书和</w:t>
      </w:r>
      <w:r>
        <w:rPr>
          <w:rFonts w:hint="eastAsia" w:ascii="宋体" w:hAnsi="宋体" w:cs="宋体"/>
          <w:bCs/>
          <w:sz w:val="24"/>
          <w:highlight w:val="none"/>
        </w:rPr>
        <w:t>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0"/>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w:t>
      </w:r>
      <w:r>
        <w:rPr>
          <w:rFonts w:hint="eastAsia" w:ascii="宋体" w:hAnsi="宋体" w:cs="宋体"/>
          <w:kern w:val="0"/>
          <w:sz w:val="24"/>
          <w:highlight w:val="none"/>
          <w:lang w:eastAsia="zh-CN"/>
        </w:rPr>
        <w:t>中风险</w:t>
      </w:r>
      <w:r>
        <w:rPr>
          <w:rFonts w:hint="eastAsia" w:ascii="宋体" w:hAnsi="宋体" w:cs="宋体"/>
          <w:kern w:val="0"/>
          <w:sz w:val="24"/>
          <w:highlight w:val="none"/>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highlight w:val="none"/>
        </w:rPr>
      </w:pPr>
      <w:r>
        <w:rPr>
          <w:rFonts w:hint="eastAsia" w:ascii="宋体" w:hAnsi="宋体" w:cs="宋体"/>
          <w:bCs w:val="0"/>
          <w:kern w:val="0"/>
          <w:sz w:val="24"/>
          <w:highlight w:val="none"/>
        </w:rPr>
        <w:t>投资者风险承受能力评级水平以销售机构评估为准。</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66"/>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www.hzbankwealth.co</w:t>
      </w:r>
      <w:r>
        <w:rPr>
          <w:rFonts w:hint="eastAsia" w:ascii="宋体" w:hAnsi="宋体" w:cs="宋体"/>
          <w:kern w:val="0"/>
          <w:sz w:val="24"/>
          <w:highlight w:val="none"/>
          <w:u w:val="singl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6"/>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jc w:val="center"/>
        <w:outlineLvl w:val="2"/>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rPr>
        <w:t>理财计划</w:t>
      </w:r>
      <w:r>
        <w:rPr>
          <w:rFonts w:hint="eastAsia"/>
          <w:b/>
          <w:bCs/>
          <w:sz w:val="24"/>
          <w:highlight w:val="none"/>
        </w:rPr>
        <w:t>风险揭示书、理财计划</w:t>
      </w:r>
      <w:r>
        <w:rPr>
          <w:rFonts w:hint="eastAsia"/>
          <w:b/>
          <w:bCs/>
          <w:sz w:val="24"/>
          <w:highlight w:val="none"/>
          <w:lang w:val="en-US" w:eastAsia="zh-CN"/>
        </w:rPr>
        <w:t>产品</w:t>
      </w:r>
      <w:r>
        <w:rPr>
          <w:rFonts w:hint="eastAsia"/>
          <w:b/>
          <w:bCs/>
          <w:sz w:val="24"/>
          <w:highlight w:val="none"/>
        </w:rPr>
        <w:t>说明书、投资者权益须知及</w:t>
      </w:r>
      <w:r>
        <w:rPr>
          <w:rFonts w:hint="eastAsia" w:ascii="宋体" w:hAnsi="宋体" w:cs="宋体"/>
          <w:b/>
          <w:bCs/>
          <w:sz w:val="24"/>
          <w:highlight w:val="none"/>
        </w:rPr>
        <w:t>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7"/>
        </w:numPr>
        <w:spacing w:line="360" w:lineRule="auto"/>
        <w:ind w:firstLine="482" w:firstLineChars="200"/>
        <w:outlineLvl w:val="2"/>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投资者权利与义务</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管理人权利与义务</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9"/>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cs="宋体"/>
          <w:bCs/>
          <w:sz w:val="24"/>
          <w:highlight w:val="none"/>
        </w:rPr>
        <w:t>国务院银行业监督管理</w:t>
      </w:r>
      <w:r>
        <w:rPr>
          <w:rFonts w:hint="eastAsia" w:ascii="宋体" w:hAnsi="宋体" w:cs="宋体"/>
          <w:bCs/>
          <w:sz w:val="24"/>
          <w:highlight w:val="none"/>
          <w:lang w:val="en-US" w:eastAsia="zh-CN"/>
        </w:rPr>
        <w:t>机构</w:t>
      </w:r>
      <w:r>
        <w:rPr>
          <w:rFonts w:hint="eastAsia" w:ascii="宋体" w:hAnsi="宋体" w:cs="宋体"/>
          <w:bCs/>
          <w:sz w:val="24"/>
          <w:highlight w:val="none"/>
        </w:rPr>
        <w:t>认可</w:t>
      </w:r>
      <w:r>
        <w:rPr>
          <w:rFonts w:hint="eastAsia" w:ascii="宋体" w:hAnsi="宋体"/>
          <w:sz w:val="24"/>
          <w:highlight w:val="none"/>
        </w:rPr>
        <w:t xml:space="preserve">的其他机构托管理财计划。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理财计划认（申）购、赎回及终止</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0"/>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违约责任及免责条款</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7"/>
        </w:numPr>
        <w:spacing w:line="360" w:lineRule="auto"/>
        <w:ind w:firstLine="482" w:firstLineChars="200"/>
        <w:outlineLvl w:val="2"/>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w:t>
      </w:r>
      <w:r>
        <w:rPr>
          <w:rFonts w:hint="eastAsia" w:ascii="宋体" w:hAnsi="宋体"/>
          <w:sz w:val="24"/>
          <w:highlight w:val="none"/>
          <w:lang w:val="en-US" w:eastAsia="zh-CN"/>
        </w:rPr>
        <w:t>需</w:t>
      </w:r>
      <w:r>
        <w:rPr>
          <w:rFonts w:hint="eastAsia" w:ascii="宋体" w:hAnsi="宋体"/>
          <w:sz w:val="24"/>
          <w:highlight w:val="none"/>
        </w:rPr>
        <w:t>继续履行。</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协议生效和终止</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7"/>
        </w:numPr>
        <w:spacing w:line="360" w:lineRule="auto"/>
        <w:ind w:firstLine="482" w:firstLineChars="200"/>
        <w:outlineLvl w:val="2"/>
        <w:rPr>
          <w:b/>
          <w:sz w:val="24"/>
          <w:highlight w:val="none"/>
        </w:rPr>
      </w:pPr>
      <w:r>
        <w:rPr>
          <w:rFonts w:hint="eastAsia"/>
          <w:b/>
          <w:sz w:val="24"/>
          <w:highlight w:val="none"/>
        </w:rPr>
        <w:t>附则</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7"/>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both"/>
        <w:rPr>
          <w:rFonts w:hint="eastAsia"/>
          <w:b/>
          <w:sz w:val="44"/>
          <w:szCs w:val="44"/>
          <w:highlight w:val="none"/>
        </w:rPr>
      </w:pPr>
    </w:p>
    <w:p>
      <w:pPr>
        <w:jc w:val="center"/>
        <w:outlineLvl w:val="0"/>
        <w:rPr>
          <w:rFonts w:hint="eastAsia"/>
          <w:b/>
          <w:sz w:val="44"/>
          <w:szCs w:val="44"/>
          <w:highlight w:val="none"/>
        </w:rPr>
      </w:pPr>
      <w:r>
        <w:rPr>
          <w:rFonts w:hint="eastAsia"/>
          <w:b/>
          <w:sz w:val="44"/>
          <w:szCs w:val="44"/>
          <w:highlight w:val="none"/>
        </w:rPr>
        <w:t>杭银理财理财计划销售协议书</w:t>
      </w:r>
    </w:p>
    <w:p>
      <w:pPr>
        <w:jc w:val="center"/>
        <w:outlineLvl w:val="1"/>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outlineLvl w:val="2"/>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w:t>
      </w:r>
      <w:r>
        <w:rPr>
          <w:rFonts w:hint="eastAsia" w:ascii="宋体" w:hAnsi="宋体" w:cs="宋体"/>
          <w:b/>
          <w:bCs/>
          <w:sz w:val="24"/>
          <w:highlight w:val="none"/>
          <w:lang w:eastAsia="zh-CN"/>
        </w:rPr>
        <w:t>202201</w:t>
      </w:r>
      <w:r>
        <w:rPr>
          <w:rFonts w:hint="eastAsia" w:ascii="宋体" w:hAnsi="宋体" w:cs="宋体"/>
          <w:b/>
          <w:bCs/>
          <w:sz w:val="24"/>
          <w:highlight w:val="none"/>
        </w:rPr>
        <w:t>版）</w:t>
      </w:r>
      <w:r>
        <w:rPr>
          <w:rFonts w:hint="eastAsia"/>
          <w:b/>
          <w:bCs/>
          <w:sz w:val="24"/>
          <w:highlight w:val="none"/>
        </w:rPr>
        <w:t>》与对应期次的</w:t>
      </w:r>
      <w:r>
        <w:rPr>
          <w:rFonts w:hint="eastAsia"/>
          <w:b/>
          <w:bCs/>
          <w:sz w:val="24"/>
          <w:highlight w:val="none"/>
        </w:rPr>
        <w:t>理财计划</w:t>
      </w:r>
      <w:r>
        <w:rPr>
          <w:rFonts w:hint="eastAsia"/>
          <w:b/>
          <w:bCs/>
          <w:sz w:val="24"/>
          <w:highlight w:val="none"/>
        </w:rPr>
        <w:t>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highlight w:val="none"/>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highlight w:val="none"/>
        </w:rPr>
        <w:t>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outlineLvl w:val="2"/>
        <w:rPr>
          <w:rFonts w:hint="eastAsia"/>
          <w:b/>
          <w:bCs/>
          <w:sz w:val="24"/>
          <w:highlight w:val="none"/>
        </w:rPr>
      </w:pPr>
      <w:r>
        <w:rPr>
          <w:rFonts w:hint="eastAsia"/>
          <w:b/>
          <w:bCs/>
          <w:sz w:val="24"/>
          <w:highlight w:val="none"/>
        </w:rPr>
        <w:t>第二条 投资者权利与义务</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4"/>
        </w:numPr>
        <w:spacing w:line="360" w:lineRule="auto"/>
        <w:contextualSpacing/>
        <w:rPr>
          <w:rFonts w:hint="eastAsia" w:ascii="宋体" w:hAnsi="宋体"/>
          <w:sz w:val="24"/>
          <w:highlight w:val="none"/>
        </w:rPr>
      </w:pPr>
      <w:r>
        <w:rPr>
          <w:rFonts w:hint="eastAsia" w:ascii="宋体" w:hAnsi="宋体"/>
          <w:b/>
          <w:bCs/>
          <w:sz w:val="24"/>
          <w:highlight w:val="none"/>
        </w:rPr>
        <w:t>投资者购买销售机构代理销售的私募理财计划后，可以享有24小时的投资冷静期，在投资冷静期内，如投资者改变投资决定，应提出解除相应理财计划合同文件申请，销售机构将及时退还投资者的全部投资款项。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4"/>
        </w:numPr>
        <w:spacing w:line="360" w:lineRule="auto"/>
        <w:contextualSpacing/>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在本理财计划存续期内，如有权机关要求</w:t>
      </w:r>
      <w:r>
        <w:rPr>
          <w:rFonts w:hint="eastAsia" w:ascii="宋体" w:hAnsi="宋体"/>
          <w:sz w:val="24"/>
          <w:highlight w:val="none"/>
          <w:lang w:eastAsia="zh-CN"/>
        </w:rPr>
        <w:t>销售机构</w:t>
      </w:r>
      <w:r>
        <w:rPr>
          <w:rFonts w:hint="eastAsia" w:ascii="宋体" w:hAnsi="宋体"/>
          <w:sz w:val="24"/>
          <w:highlight w:val="none"/>
        </w:rPr>
        <w:t>配合对投资者理财份额、理财账户、授权指定账户进行查封、冻结或扣划的，</w:t>
      </w:r>
      <w:r>
        <w:rPr>
          <w:rFonts w:hint="eastAsia" w:ascii="宋体" w:hAnsi="宋体"/>
          <w:sz w:val="24"/>
          <w:highlight w:val="none"/>
          <w:lang w:eastAsia="zh-CN"/>
        </w:rPr>
        <w:t>销售机构</w:t>
      </w:r>
      <w:r>
        <w:rPr>
          <w:rFonts w:hint="eastAsia" w:ascii="宋体" w:hAnsi="宋体"/>
          <w:sz w:val="24"/>
          <w:highlight w:val="none"/>
        </w:rPr>
        <w:t>有权根据实际情况采取相应措施。</w:t>
      </w:r>
      <w:r>
        <w:rPr>
          <w:rFonts w:hint="eastAsia" w:ascii="宋体" w:hAnsi="宋体"/>
          <w:sz w:val="24"/>
          <w:highlight w:val="none"/>
          <w:lang w:eastAsia="zh-CN"/>
        </w:rPr>
        <w:t>销售机构</w:t>
      </w:r>
      <w:r>
        <w:rPr>
          <w:rFonts w:hint="eastAsia" w:ascii="宋体" w:hAnsi="宋体"/>
          <w:sz w:val="24"/>
          <w:highlight w:val="none"/>
        </w:rPr>
        <w:t xml:space="preserve">对上述后果不承担任何责任。 </w:t>
      </w:r>
    </w:p>
    <w:p>
      <w:pPr>
        <w:widowControl/>
        <w:numPr>
          <w:ilvl w:val="0"/>
          <w:numId w:val="74"/>
        </w:numPr>
        <w:spacing w:line="360" w:lineRule="auto"/>
        <w:ind w:left="0" w:firstLine="0"/>
        <w:contextualSpacing/>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w:t>
      </w:r>
      <w:r>
        <w:rPr>
          <w:rFonts w:hint="eastAsia" w:ascii="宋体" w:hAnsi="宋体"/>
          <w:sz w:val="24"/>
          <w:highlight w:val="none"/>
          <w:lang w:eastAsia="zh-CN"/>
        </w:rPr>
        <w:t>销售机构</w:t>
      </w:r>
      <w:r>
        <w:rPr>
          <w:rFonts w:hint="eastAsia" w:ascii="宋体" w:hAnsi="宋体"/>
          <w:sz w:val="24"/>
          <w:highlight w:val="none"/>
        </w:rPr>
        <w:t>不承担任何责任。</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投资者应确保其提供的所有资料真实、完整、合法、有效，如果有任何变更，投资者应及时通知</w:t>
      </w:r>
      <w:r>
        <w:rPr>
          <w:rFonts w:hint="eastAsia" w:ascii="宋体" w:hAnsi="宋体"/>
          <w:sz w:val="24"/>
          <w:highlight w:val="none"/>
          <w:lang w:eastAsia="zh-CN"/>
        </w:rPr>
        <w:t>销售机构</w:t>
      </w:r>
      <w:r>
        <w:rPr>
          <w:rFonts w:hint="eastAsia" w:ascii="宋体" w:hAnsi="宋体"/>
          <w:sz w:val="24"/>
          <w:highlight w:val="none"/>
        </w:rPr>
        <w:t>并办理变更手续。如因投资者未及时通知</w:t>
      </w:r>
      <w:r>
        <w:rPr>
          <w:rFonts w:hint="eastAsia" w:ascii="宋体" w:hAnsi="宋体"/>
          <w:sz w:val="24"/>
          <w:highlight w:val="none"/>
          <w:lang w:eastAsia="zh-CN"/>
        </w:rPr>
        <w:t>销售机构</w:t>
      </w:r>
      <w:r>
        <w:rPr>
          <w:rFonts w:hint="eastAsia" w:ascii="宋体" w:hAnsi="宋体"/>
          <w:sz w:val="24"/>
          <w:highlight w:val="none"/>
        </w:rPr>
        <w:t>并办理相应的变更手续，由此导致的一切后果由投资者自行承担，</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投资者对本协议及其条款负有保密义务，未经</w:t>
      </w:r>
      <w:r>
        <w:rPr>
          <w:rFonts w:hint="eastAsia" w:ascii="宋体" w:hAnsi="宋体"/>
          <w:sz w:val="24"/>
          <w:highlight w:val="none"/>
          <w:lang w:eastAsia="zh-CN"/>
        </w:rPr>
        <w:t>销售机构</w:t>
      </w:r>
      <w:r>
        <w:rPr>
          <w:rFonts w:hint="eastAsia" w:ascii="宋体" w:hAnsi="宋体"/>
          <w:sz w:val="24"/>
          <w:highlight w:val="none"/>
        </w:rPr>
        <w:t>书面许可，不得向任何组织、个人提供或泄露与</w:t>
      </w:r>
      <w:r>
        <w:rPr>
          <w:rFonts w:hint="eastAsia" w:ascii="宋体" w:hAnsi="宋体"/>
          <w:sz w:val="24"/>
          <w:highlight w:val="none"/>
          <w:lang w:eastAsia="zh-CN"/>
        </w:rPr>
        <w:t>销售机构</w:t>
      </w:r>
      <w:r>
        <w:rPr>
          <w:rFonts w:hint="eastAsia" w:ascii="宋体" w:hAnsi="宋体"/>
          <w:sz w:val="24"/>
          <w:highlight w:val="none"/>
        </w:rPr>
        <w:t>有关的业务资料及信息，但法律、法规另有规定的除外。</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68"/>
        </w:numPr>
        <w:spacing w:line="360" w:lineRule="auto"/>
        <w:contextualSpacing/>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w:t>
      </w:r>
      <w:r>
        <w:rPr>
          <w:rFonts w:hint="eastAsia" w:ascii="宋体" w:hAnsi="宋体"/>
          <w:b/>
          <w:bCs/>
          <w:sz w:val="24"/>
          <w:highlight w:val="none"/>
          <w:lang w:eastAsia="zh-CN"/>
        </w:rPr>
        <w:t>销售机构</w:t>
      </w:r>
      <w:r>
        <w:rPr>
          <w:rFonts w:hint="eastAsia" w:ascii="宋体" w:hAnsi="宋体"/>
          <w:b/>
          <w:bCs/>
          <w:sz w:val="24"/>
          <w:highlight w:val="none"/>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highlight w:val="none"/>
          <w:lang w:eastAsia="zh-CN"/>
        </w:rPr>
        <w:t>销售机构</w:t>
      </w:r>
      <w:r>
        <w:rPr>
          <w:rFonts w:hint="eastAsia" w:ascii="宋体" w:hAnsi="宋体"/>
          <w:b/>
          <w:bCs/>
          <w:sz w:val="24"/>
          <w:highlight w:val="none"/>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highlight w:val="none"/>
        </w:rPr>
      </w:pP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十四</w:t>
      </w:r>
      <w:r>
        <w:rPr>
          <w:rFonts w:hint="eastAsia" w:ascii="宋体" w:hAnsi="宋体" w:eastAsia="宋体"/>
          <w:b/>
          <w:bCs/>
          <w:sz w:val="24"/>
          <w:highlight w:val="none"/>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第三条 </w:t>
      </w:r>
      <w:r>
        <w:rPr>
          <w:rFonts w:hint="eastAsia"/>
          <w:b/>
          <w:bCs/>
          <w:sz w:val="24"/>
          <w:highlight w:val="none"/>
          <w:lang w:eastAsia="zh-CN"/>
        </w:rPr>
        <w:t>销售机构</w:t>
      </w:r>
      <w:r>
        <w:rPr>
          <w:rFonts w:hint="eastAsia"/>
          <w:b/>
          <w:bCs/>
          <w:sz w:val="24"/>
          <w:highlight w:val="none"/>
        </w:rPr>
        <w:t>的权利与义务</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应对拟销售的理财计划开展尽职调查，承担审批职责，并纳入本机构统一专门名单管理，不得仅以管理人相关产品资料或其出具意见作为审批依据。</w:t>
      </w:r>
      <w:r>
        <w:rPr>
          <w:rFonts w:hint="eastAsia" w:ascii="宋体" w:hAnsi="宋体"/>
          <w:sz w:val="24"/>
          <w:highlight w:val="none"/>
          <w:lang w:eastAsia="zh-CN"/>
        </w:rPr>
        <w:t>销售机构</w:t>
      </w:r>
      <w:r>
        <w:rPr>
          <w:rFonts w:hint="eastAsia" w:ascii="宋体" w:hAnsi="宋体"/>
          <w:sz w:val="24"/>
          <w:highlight w:val="none"/>
        </w:rPr>
        <w:t>应当根据本机构的方式和方法，独立、审慎地对代理销售的理财计划进行销售评级。销售评级与管理人产品评级结果不一致的，</w:t>
      </w:r>
      <w:r>
        <w:rPr>
          <w:rFonts w:hint="eastAsia" w:ascii="宋体" w:hAnsi="宋体"/>
          <w:sz w:val="24"/>
          <w:highlight w:val="none"/>
          <w:lang w:eastAsia="zh-CN"/>
        </w:rPr>
        <w:t>销售机构</w:t>
      </w:r>
      <w:r>
        <w:rPr>
          <w:rFonts w:hint="eastAsia" w:ascii="宋体" w:hAnsi="宋体"/>
          <w:sz w:val="24"/>
          <w:highlight w:val="none"/>
        </w:rPr>
        <w:t>应当采用对应较高风险等级的评级结果并予以披露。</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应定期对购买其代理销售的理财计划的非机构投资者进行有效风险承受能力评估，并保证向投资者推介及销售与其风险承受能力匹配的产品。</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rPr>
        <w:t>对于通过营业网点向非机构投资者销售理财计划的，</w:t>
      </w:r>
      <w:r>
        <w:rPr>
          <w:rFonts w:hint="eastAsia" w:ascii="宋体" w:hAnsi="宋体"/>
          <w:sz w:val="24"/>
          <w:highlight w:val="none"/>
          <w:lang w:eastAsia="zh-CN"/>
        </w:rPr>
        <w:t>销售机构</w:t>
      </w:r>
      <w:r>
        <w:rPr>
          <w:rFonts w:hint="eastAsia" w:ascii="宋体" w:hAnsi="宋体"/>
          <w:sz w:val="24"/>
          <w:highlight w:val="none"/>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应建立健全上岗资格、持续培训、信息公示与查询核实等制度并有效执行。未经</w:t>
      </w:r>
      <w:r>
        <w:rPr>
          <w:rFonts w:hint="eastAsia" w:ascii="宋体" w:hAnsi="宋体"/>
          <w:sz w:val="24"/>
          <w:highlight w:val="none"/>
          <w:lang w:eastAsia="zh-CN"/>
        </w:rPr>
        <w:t>销售机构</w:t>
      </w:r>
      <w:r>
        <w:rPr>
          <w:rFonts w:hint="eastAsia" w:ascii="宋体" w:hAnsi="宋体"/>
          <w:sz w:val="24"/>
          <w:highlight w:val="none"/>
        </w:rPr>
        <w:t>进行上岗资格认定并签订劳动合同，任何人员不得从事理财计划销售业务活动。</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对投资者负有信息保密义务，未经投资者书面许可，乙方不得向任何组织、个人提供或泄露与甲方有关的业务资料及信息，但法律、法规另有规定的除外。</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应按照法律法规、监管规定、理财计划合同的约定收取销售费用，并如实核算、记账。未经载明，不得对不同投资者适用不同费率。</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rPr>
        <w:t>理财计划销售结算资金属于理财计划投资者，</w:t>
      </w:r>
      <w:r>
        <w:rPr>
          <w:rFonts w:hint="eastAsia" w:ascii="宋体" w:hAnsi="宋体"/>
          <w:sz w:val="24"/>
          <w:highlight w:val="none"/>
          <w:lang w:eastAsia="zh-CN"/>
        </w:rPr>
        <w:t>销售机构</w:t>
      </w:r>
      <w:r>
        <w:rPr>
          <w:rFonts w:hint="eastAsia" w:ascii="宋体" w:hAnsi="宋体"/>
          <w:sz w:val="24"/>
          <w:highlight w:val="none"/>
        </w:rPr>
        <w:t>不得挪用理财计划销售结算资金或将理财计划销售结算资金归入自有资产。</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应遵守相关法律、法规、监管规定及理财计划合同约定，诚实守信、勤勉尽责，向购买理财计划的投资者充分传递管理人披露的产品相关信息并进行充分的风险揭示。</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第四条 理财计划认（申）购、赎回及终止</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理财计划不成立：若在募集期结束日，本理财计划发行规模未能达到对应期次的理财计划产品说明书规定的要求，则本理财计划不成立，</w:t>
      </w:r>
      <w:r>
        <w:rPr>
          <w:rFonts w:hint="eastAsia" w:ascii="宋体" w:hAnsi="宋体"/>
          <w:sz w:val="24"/>
          <w:highlight w:val="none"/>
          <w:lang w:eastAsia="zh-CN"/>
        </w:rPr>
        <w:t>销售机构</w:t>
      </w:r>
      <w:r>
        <w:rPr>
          <w:rFonts w:hint="eastAsia" w:ascii="宋体" w:hAnsi="宋体"/>
          <w:sz w:val="24"/>
          <w:highlight w:val="none"/>
        </w:rPr>
        <w:t xml:space="preserve">将按对应期次的理财计划产品说明书约定条款向投资者进行公告，并将及时解除对投资者授权指定账户中认购资金的冻结。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理财计划赎回/终止兑付：在正常情况下，管理人和</w:t>
      </w:r>
      <w:r>
        <w:rPr>
          <w:rFonts w:hint="eastAsia" w:ascii="宋体" w:hAnsi="宋体"/>
          <w:sz w:val="24"/>
          <w:highlight w:val="none"/>
          <w:lang w:eastAsia="zh-CN"/>
        </w:rPr>
        <w:t>销售机构</w:t>
      </w:r>
      <w:r>
        <w:rPr>
          <w:rFonts w:hint="eastAsia" w:ascii="宋体" w:hAnsi="宋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highlight w:val="none"/>
          <w:lang w:eastAsia="zh-CN"/>
        </w:rPr>
        <w:t>销售机构</w:t>
      </w:r>
      <w:r>
        <w:rPr>
          <w:rFonts w:hint="eastAsia" w:ascii="宋体" w:hAnsi="宋体"/>
          <w:sz w:val="24"/>
          <w:highlight w:val="none"/>
        </w:rPr>
        <w:t>将于原约定清算日前通过信息披露途径及时通知，并根据实际情况进行后续处理。</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w:t>
      </w:r>
      <w:r>
        <w:rPr>
          <w:rFonts w:hint="eastAsia" w:ascii="宋体" w:hAnsi="宋体"/>
          <w:sz w:val="24"/>
          <w:highlight w:val="none"/>
          <w:lang w:eastAsia="zh-CN"/>
        </w:rPr>
        <w:t>销售机构</w:t>
      </w:r>
      <w:r>
        <w:rPr>
          <w:rFonts w:hint="eastAsia" w:ascii="宋体" w:hAnsi="宋体"/>
          <w:sz w:val="24"/>
          <w:highlight w:val="none"/>
        </w:rPr>
        <w:t>清算账户后，由</w:t>
      </w:r>
      <w:r>
        <w:rPr>
          <w:rFonts w:hint="eastAsia" w:ascii="宋体" w:hAnsi="宋体"/>
          <w:sz w:val="24"/>
          <w:highlight w:val="none"/>
          <w:lang w:eastAsia="zh-CN"/>
        </w:rPr>
        <w:t>销售机构</w:t>
      </w:r>
      <w:r>
        <w:rPr>
          <w:rFonts w:hint="eastAsia" w:ascii="宋体" w:hAnsi="宋体"/>
          <w:sz w:val="24"/>
          <w:highlight w:val="none"/>
        </w:rPr>
        <w:t>向投资者划付投资者应得资金。如因投资者清算账户余额不足，或</w:t>
      </w:r>
      <w:r>
        <w:rPr>
          <w:rFonts w:hint="eastAsia" w:ascii="宋体" w:hAnsi="宋体"/>
          <w:sz w:val="24"/>
          <w:highlight w:val="none"/>
          <w:lang w:eastAsia="zh-CN"/>
        </w:rPr>
        <w:t>销售机构</w:t>
      </w:r>
      <w:r>
        <w:rPr>
          <w:rFonts w:hint="eastAsia" w:ascii="宋体" w:hAnsi="宋体"/>
          <w:sz w:val="24"/>
          <w:highlight w:val="none"/>
        </w:rPr>
        <w:t>未及时足额划付资金，或</w:t>
      </w:r>
      <w:r>
        <w:rPr>
          <w:rFonts w:hint="eastAsia" w:ascii="宋体" w:hAnsi="宋体"/>
          <w:sz w:val="24"/>
          <w:highlight w:val="none"/>
          <w:lang w:eastAsia="zh-CN"/>
        </w:rPr>
        <w:t>销售机构</w:t>
      </w:r>
      <w:r>
        <w:rPr>
          <w:rFonts w:hint="eastAsia" w:ascii="宋体" w:hAnsi="宋体"/>
          <w:sz w:val="24"/>
          <w:highlight w:val="none"/>
        </w:rPr>
        <w:t>清算账户内资金被依法冻结或扣划，或</w:t>
      </w:r>
      <w:r>
        <w:rPr>
          <w:rFonts w:hint="eastAsia" w:ascii="宋体" w:hAnsi="宋体"/>
          <w:sz w:val="24"/>
          <w:highlight w:val="none"/>
          <w:lang w:eastAsia="zh-CN"/>
        </w:rPr>
        <w:t>销售机构</w:t>
      </w:r>
      <w:r>
        <w:rPr>
          <w:rFonts w:hint="eastAsia" w:ascii="宋体" w:hAnsi="宋体"/>
          <w:sz w:val="24"/>
          <w:highlight w:val="none"/>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highlight w:val="none"/>
          <w:lang w:eastAsia="zh-CN"/>
        </w:rPr>
        <w:t>销售机构</w:t>
      </w:r>
      <w:r>
        <w:rPr>
          <w:rFonts w:hint="eastAsia" w:ascii="宋体" w:hAnsi="宋体"/>
          <w:sz w:val="24"/>
          <w:highlight w:val="none"/>
        </w:rPr>
        <w:t>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第五条 违约责任及免责条款</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w:t>
      </w:r>
      <w:r>
        <w:rPr>
          <w:rFonts w:hint="eastAsia" w:ascii="宋体" w:hAnsi="宋体"/>
          <w:sz w:val="24"/>
          <w:highlight w:val="none"/>
          <w:lang w:val="en-US" w:eastAsia="zh-CN"/>
        </w:rPr>
        <w:t>赎回</w:t>
      </w:r>
      <w:r>
        <w:rPr>
          <w:rFonts w:hint="eastAsia" w:ascii="宋体" w:hAnsi="宋体"/>
          <w:sz w:val="24"/>
          <w:highlight w:val="none"/>
        </w:rPr>
        <w:t>，本协议自动终止。因提前终止而产生的损失及相关费用由投资者承担。本协议因前述情况终止的，理财本金不计付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投资者违反本协议第二条内容，应承担相应违约责任。</w:t>
      </w:r>
      <w:r>
        <w:rPr>
          <w:rFonts w:hint="eastAsia" w:ascii="宋体" w:hAnsi="宋体"/>
          <w:sz w:val="24"/>
          <w:highlight w:val="none"/>
          <w:lang w:eastAsia="zh-CN"/>
        </w:rPr>
        <w:t>销售机构</w:t>
      </w:r>
      <w:r>
        <w:rPr>
          <w:rFonts w:hint="eastAsia" w:ascii="宋体" w:hAnsi="宋体"/>
          <w:sz w:val="24"/>
          <w:highlight w:val="none"/>
        </w:rPr>
        <w:t>对由此导致的理财业务交易延误、中断、终止及投资者损失不承担任何责任，并有权单方终止双方理财业务关系。因投资者违反双方约定给</w:t>
      </w:r>
      <w:r>
        <w:rPr>
          <w:rFonts w:hint="eastAsia" w:ascii="宋体" w:hAnsi="宋体"/>
          <w:sz w:val="24"/>
          <w:highlight w:val="none"/>
          <w:lang w:eastAsia="zh-CN"/>
        </w:rPr>
        <w:t>销售机构</w:t>
      </w:r>
      <w:r>
        <w:rPr>
          <w:rFonts w:hint="eastAsia" w:ascii="宋体" w:hAnsi="宋体"/>
          <w:sz w:val="24"/>
          <w:highlight w:val="none"/>
        </w:rPr>
        <w:t>或全体投资者造成损失的，投资者应承担相应的赔偿责任。</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若由于</w:t>
      </w:r>
      <w:r>
        <w:rPr>
          <w:rFonts w:hint="eastAsia" w:ascii="宋体" w:hAnsi="宋体"/>
          <w:sz w:val="24"/>
          <w:highlight w:val="none"/>
          <w:lang w:eastAsia="zh-CN"/>
        </w:rPr>
        <w:t>销售机构</w:t>
      </w:r>
      <w:r>
        <w:rPr>
          <w:rFonts w:hint="eastAsia" w:ascii="宋体" w:hAnsi="宋体"/>
          <w:sz w:val="24"/>
          <w:highlight w:val="none"/>
        </w:rPr>
        <w:t>过错导致理财计划资产发生损失，</w:t>
      </w:r>
      <w:r>
        <w:rPr>
          <w:rFonts w:hint="eastAsia" w:ascii="宋体" w:hAnsi="宋体"/>
          <w:sz w:val="24"/>
          <w:highlight w:val="none"/>
          <w:lang w:eastAsia="zh-CN"/>
        </w:rPr>
        <w:t>销售机构</w:t>
      </w:r>
      <w:r>
        <w:rPr>
          <w:rFonts w:hint="eastAsia" w:ascii="宋体" w:hAnsi="宋体"/>
          <w:sz w:val="24"/>
          <w:highlight w:val="none"/>
        </w:rPr>
        <w:t>应按其过错承担赔偿责任，</w:t>
      </w:r>
      <w:r>
        <w:rPr>
          <w:rFonts w:hint="eastAsia" w:ascii="宋体" w:hAnsi="宋体"/>
          <w:sz w:val="24"/>
          <w:highlight w:val="none"/>
          <w:lang w:eastAsia="zh-CN"/>
        </w:rPr>
        <w:t>销售机构</w:t>
      </w:r>
      <w:r>
        <w:rPr>
          <w:rFonts w:hint="eastAsia" w:ascii="宋体" w:hAnsi="宋体"/>
          <w:sz w:val="24"/>
          <w:highlight w:val="none"/>
        </w:rPr>
        <w:t>赔偿的款项计入理财计划的资产和收益。</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highlight w:val="none"/>
        </w:rPr>
        <w:t>不承担责任；但</w:t>
      </w:r>
      <w:r>
        <w:rPr>
          <w:rFonts w:hint="eastAsia" w:ascii="宋体" w:hAnsi="宋体"/>
          <w:sz w:val="24"/>
          <w:highlight w:val="none"/>
          <w:lang w:eastAsia="zh-CN"/>
        </w:rPr>
        <w:t>销售机构</w:t>
      </w:r>
      <w:r>
        <w:rPr>
          <w:rFonts w:hint="eastAsia" w:ascii="宋体" w:hAnsi="宋体"/>
          <w:sz w:val="24"/>
          <w:highlight w:val="none"/>
        </w:rPr>
        <w:t>应在上述情况发生后在条件允许时及时通知投资者并采取一切必要且可能的措施阻止损失扩大。</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w:t>
      </w:r>
      <w:r>
        <w:rPr>
          <w:rFonts w:hint="eastAsia" w:ascii="宋体" w:hAnsi="宋体"/>
          <w:sz w:val="24"/>
          <w:highlight w:val="none"/>
          <w:lang w:eastAsia="zh-CN"/>
        </w:rPr>
        <w:t>销售机构</w:t>
      </w:r>
      <w:r>
        <w:rPr>
          <w:rFonts w:hint="eastAsia" w:ascii="宋体" w:hAnsi="宋体"/>
          <w:sz w:val="24"/>
          <w:highlight w:val="none"/>
        </w:rPr>
        <w:t>不承担责任。</w:t>
      </w:r>
    </w:p>
    <w:p>
      <w:pPr>
        <w:widowControl/>
        <w:spacing w:line="360" w:lineRule="auto"/>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highlight w:val="none"/>
          <w:lang w:eastAsia="zh-CN"/>
        </w:rPr>
        <w:t>销售机构</w:t>
      </w:r>
      <w:r>
        <w:rPr>
          <w:rFonts w:hint="eastAsia" w:ascii="宋体" w:hAnsi="宋体"/>
          <w:sz w:val="24"/>
          <w:highlight w:val="none"/>
        </w:rPr>
        <w:t>双方应首先协商解决，协商不成的，应提交</w:t>
      </w:r>
      <w:r>
        <w:rPr>
          <w:rFonts w:hint="eastAsia" w:ascii="宋体" w:hAnsi="宋体"/>
          <w:sz w:val="24"/>
          <w:highlight w:val="none"/>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highlight w:val="none"/>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第七条 协议生效和终止</w:t>
      </w:r>
    </w:p>
    <w:p>
      <w:pPr>
        <w:widowControl/>
        <w:numPr>
          <w:ilvl w:val="0"/>
          <w:numId w:val="78"/>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 xml:space="preserve">双方认可本协议可以纸质或电子数据等形式提交、订立或确认。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 xml:space="preserve">各执壹份，具有同等法律效力。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w:t>
      </w:r>
      <w:r>
        <w:rPr>
          <w:rFonts w:hint="eastAsia" w:ascii="宋体" w:hAnsi="宋体"/>
          <w:sz w:val="24"/>
          <w:highlight w:val="none"/>
          <w:lang w:eastAsia="zh-CN"/>
        </w:rPr>
        <w:t>销售机构</w:t>
      </w:r>
      <w:r>
        <w:rPr>
          <w:rFonts w:hint="eastAsia" w:ascii="宋体" w:hAnsi="宋体"/>
          <w:sz w:val="24"/>
          <w:highlight w:val="none"/>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outlineLvl w:val="2"/>
        <w:rPr>
          <w:rFonts w:hint="eastAsia"/>
          <w:b/>
          <w:sz w:val="24"/>
          <w:highlight w:val="none"/>
        </w:rPr>
      </w:pPr>
      <w:r>
        <w:rPr>
          <w:rFonts w:hint="eastAsia"/>
          <w:b/>
          <w:sz w:val="24"/>
          <w:highlight w:val="none"/>
        </w:rPr>
        <w:t xml:space="preserve">    第八条 附则 </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如果投资者与</w:t>
      </w:r>
      <w:r>
        <w:rPr>
          <w:rFonts w:hint="eastAsia" w:ascii="宋体" w:hAnsi="宋体"/>
          <w:sz w:val="24"/>
          <w:highlight w:val="none"/>
          <w:lang w:eastAsia="zh-CN"/>
        </w:rPr>
        <w:t>销售机构</w:t>
      </w:r>
      <w:r>
        <w:rPr>
          <w:rFonts w:hint="eastAsia" w:ascii="宋体" w:hAnsi="宋体"/>
          <w:sz w:val="24"/>
          <w:highlight w:val="none"/>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spacing w:line="360" w:lineRule="auto"/>
        <w:rPr>
          <w:highlight w:val="none"/>
        </w:rPr>
      </w:pPr>
    </w:p>
    <w:p>
      <w:pPr>
        <w:spacing w:line="360" w:lineRule="auto"/>
        <w:rPr>
          <w:highlight w:val="none"/>
        </w:rPr>
      </w:pPr>
    </w:p>
    <w:p>
      <w:pPr>
        <w:widowControl/>
        <w:spacing w:line="360" w:lineRule="auto"/>
        <w:jc w:val="right"/>
        <w:rPr>
          <w:rFonts w:hint="eastAsia" w:ascii="宋体" w:hAnsi="Wingdings" w:cs="宋体"/>
          <w:color w:val="000000"/>
          <w:kern w:val="0"/>
          <w:sz w:val="24"/>
          <w:highlight w:val="none"/>
        </w:rPr>
      </w:pPr>
      <w:r>
        <w:rPr>
          <w:rFonts w:hint="eastAsia" w:ascii="宋体" w:hAnsi="宋体" w:cs="宋体"/>
          <w:kern w:val="0"/>
          <w:sz w:val="24"/>
          <w:highlight w:val="none"/>
        </w:rPr>
        <w:t>杭银理财有限责任公司</w:t>
      </w:r>
    </w:p>
    <w:p>
      <w:pPr>
        <w:spacing w:line="360" w:lineRule="auto"/>
        <w:rPr>
          <w:highlight w:val="none"/>
        </w:rPr>
      </w:pPr>
    </w:p>
    <w:p>
      <w:pPr>
        <w:spacing w:line="360" w:lineRule="auto"/>
        <w:rPr>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eastAsia="zh-CN"/>
        </w:rPr>
        <w:t>销售机构</w:t>
      </w:r>
      <w:r>
        <w:rPr>
          <w:rFonts w:hint="eastAsia" w:ascii="宋体" w:hAnsi="宋体"/>
          <w:b/>
          <w:bCs/>
          <w:sz w:val="24"/>
          <w:highlight w:val="none"/>
        </w:rPr>
        <w:t>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1">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2">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E70DF796"/>
    <w:multiLevelType w:val="singleLevel"/>
    <w:tmpl w:val="E70DF796"/>
    <w:lvl w:ilvl="0" w:tentative="0">
      <w:start w:val="1"/>
      <w:numFmt w:val="decimal"/>
      <w:suff w:val="nothing"/>
      <w:lvlText w:val="（%1）"/>
      <w:lvlJc w:val="left"/>
    </w:lvl>
  </w:abstractNum>
  <w:abstractNum w:abstractNumId="28">
    <w:nsid w:val="EFF37F09"/>
    <w:multiLevelType w:val="singleLevel"/>
    <w:tmpl w:val="EFF37F09"/>
    <w:lvl w:ilvl="0" w:tentative="0">
      <w:start w:val="1"/>
      <w:numFmt w:val="decimal"/>
      <w:suff w:val="nothing"/>
      <w:lvlText w:val="（%1）"/>
      <w:lvlJc w:val="left"/>
      <w:rPr>
        <w:rFonts w:hint="default"/>
        <w:b w:val="0"/>
        <w:bCs w:val="0"/>
      </w:rPr>
    </w:lvl>
  </w:abstractNum>
  <w:abstractNum w:abstractNumId="29">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0">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1">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2">
    <w:nsid w:val="F574F5B6"/>
    <w:multiLevelType w:val="singleLevel"/>
    <w:tmpl w:val="F574F5B6"/>
    <w:lvl w:ilvl="0" w:tentative="0">
      <w:start w:val="1"/>
      <w:numFmt w:val="decimal"/>
      <w:suff w:val="nothing"/>
      <w:lvlText w:val="（%1）"/>
      <w:lvlJc w:val="left"/>
    </w:lvl>
  </w:abstractNum>
  <w:abstractNum w:abstractNumId="33">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4">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5">
    <w:nsid w:val="084A6179"/>
    <w:multiLevelType w:val="singleLevel"/>
    <w:tmpl w:val="084A6179"/>
    <w:lvl w:ilvl="0" w:tentative="0">
      <w:start w:val="1"/>
      <w:numFmt w:val="decimal"/>
      <w:suff w:val="nothing"/>
      <w:lvlText w:val="（%1）"/>
      <w:lvlJc w:val="left"/>
    </w:lvl>
  </w:abstractNum>
  <w:abstractNum w:abstractNumId="36">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7">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8">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0">
    <w:nsid w:val="167B0BB4"/>
    <w:multiLevelType w:val="singleLevel"/>
    <w:tmpl w:val="167B0BB4"/>
    <w:lvl w:ilvl="0" w:tentative="0">
      <w:start w:val="1"/>
      <w:numFmt w:val="decimal"/>
      <w:suff w:val="nothing"/>
      <w:lvlText w:val="（%1）"/>
      <w:lvlJc w:val="left"/>
    </w:lvl>
  </w:abstractNum>
  <w:abstractNum w:abstractNumId="41">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2">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3">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4">
    <w:nsid w:val="2CB63BE6"/>
    <w:multiLevelType w:val="singleLevel"/>
    <w:tmpl w:val="2CB63BE6"/>
    <w:lvl w:ilvl="0" w:tentative="0">
      <w:start w:val="1"/>
      <w:numFmt w:val="decimal"/>
      <w:suff w:val="nothing"/>
      <w:lvlText w:val="（%1）"/>
      <w:lvlJc w:val="left"/>
      <w:rPr>
        <w:rFonts w:hint="default"/>
        <w:b w:val="0"/>
        <w:bCs w:val="0"/>
      </w:rPr>
    </w:lvl>
  </w:abstractNum>
  <w:abstractNum w:abstractNumId="45">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6">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7">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8">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9">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0">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1">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2">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3">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4">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5">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6">
    <w:nsid w:val="5BA91325"/>
    <w:multiLevelType w:val="singleLevel"/>
    <w:tmpl w:val="5BA91325"/>
    <w:lvl w:ilvl="0" w:tentative="0">
      <w:start w:val="1"/>
      <w:numFmt w:val="decimal"/>
      <w:suff w:val="nothing"/>
      <w:lvlText w:val="（%1）"/>
      <w:lvlJc w:val="left"/>
    </w:lvl>
  </w:abstractNum>
  <w:abstractNum w:abstractNumId="57">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8">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9">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0">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1">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2">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3">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4">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5">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6">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7">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8">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9">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0">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1">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2">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3">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4">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5">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6">
    <w:nsid w:val="61F30F62"/>
    <w:multiLevelType w:val="singleLevel"/>
    <w:tmpl w:val="61F30F62"/>
    <w:lvl w:ilvl="0" w:tentative="0">
      <w:start w:val="1"/>
      <w:numFmt w:val="decimal"/>
      <w:suff w:val="nothing"/>
      <w:lvlText w:val="（%1）"/>
      <w:lvlJc w:val="left"/>
      <w:rPr>
        <w:rFonts w:hint="default"/>
        <w:b w:val="0"/>
        <w:bCs w:val="0"/>
      </w:rPr>
    </w:lvl>
  </w:abstractNum>
  <w:abstractNum w:abstractNumId="77">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8">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9">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49"/>
  </w:num>
  <w:num w:numId="4">
    <w:abstractNumId w:val="42"/>
  </w:num>
  <w:num w:numId="5">
    <w:abstractNumId w:val="20"/>
  </w:num>
  <w:num w:numId="6">
    <w:abstractNumId w:val="78"/>
  </w:num>
  <w:num w:numId="7">
    <w:abstractNumId w:val="36"/>
  </w:num>
  <w:num w:numId="8">
    <w:abstractNumId w:val="79"/>
  </w:num>
  <w:num w:numId="9">
    <w:abstractNumId w:val="54"/>
  </w:num>
  <w:num w:numId="10">
    <w:abstractNumId w:val="51"/>
  </w:num>
  <w:num w:numId="11">
    <w:abstractNumId w:val="33"/>
  </w:num>
  <w:num w:numId="12">
    <w:abstractNumId w:val="30"/>
  </w:num>
  <w:num w:numId="13">
    <w:abstractNumId w:val="38"/>
  </w:num>
  <w:num w:numId="14">
    <w:abstractNumId w:val="29"/>
  </w:num>
  <w:num w:numId="15">
    <w:abstractNumId w:val="21"/>
  </w:num>
  <w:num w:numId="16">
    <w:abstractNumId w:val="11"/>
  </w:num>
  <w:num w:numId="17">
    <w:abstractNumId w:val="8"/>
  </w:num>
  <w:num w:numId="18">
    <w:abstractNumId w:val="9"/>
  </w:num>
  <w:num w:numId="19">
    <w:abstractNumId w:val="7"/>
  </w:num>
  <w:num w:numId="20">
    <w:abstractNumId w:val="37"/>
  </w:num>
  <w:num w:numId="21">
    <w:abstractNumId w:val="50"/>
  </w:num>
  <w:num w:numId="22">
    <w:abstractNumId w:val="32"/>
  </w:num>
  <w:num w:numId="23">
    <w:abstractNumId w:val="56"/>
  </w:num>
  <w:num w:numId="24">
    <w:abstractNumId w:val="19"/>
  </w:num>
  <w:num w:numId="25">
    <w:abstractNumId w:val="43"/>
  </w:num>
  <w:num w:numId="26">
    <w:abstractNumId w:val="23"/>
  </w:num>
  <w:num w:numId="27">
    <w:abstractNumId w:val="6"/>
  </w:num>
  <w:num w:numId="28">
    <w:abstractNumId w:val="53"/>
  </w:num>
  <w:num w:numId="29">
    <w:abstractNumId w:val="5"/>
  </w:num>
  <w:num w:numId="30">
    <w:abstractNumId w:val="35"/>
  </w:num>
  <w:num w:numId="31">
    <w:abstractNumId w:val="41"/>
  </w:num>
  <w:num w:numId="32">
    <w:abstractNumId w:val="77"/>
  </w:num>
  <w:num w:numId="33">
    <w:abstractNumId w:val="34"/>
  </w:num>
  <w:num w:numId="34">
    <w:abstractNumId w:val="22"/>
  </w:num>
  <w:num w:numId="35">
    <w:abstractNumId w:val="45"/>
  </w:num>
  <w:num w:numId="36">
    <w:abstractNumId w:val="0"/>
  </w:num>
  <w:num w:numId="37">
    <w:abstractNumId w:val="25"/>
  </w:num>
  <w:num w:numId="38">
    <w:abstractNumId w:val="48"/>
  </w:num>
  <w:num w:numId="39">
    <w:abstractNumId w:val="3"/>
  </w:num>
  <w:num w:numId="40">
    <w:abstractNumId w:val="26"/>
  </w:num>
  <w:num w:numId="41">
    <w:abstractNumId w:val="17"/>
  </w:num>
  <w:num w:numId="42">
    <w:abstractNumId w:val="52"/>
  </w:num>
  <w:num w:numId="43">
    <w:abstractNumId w:val="39"/>
  </w:num>
  <w:num w:numId="44">
    <w:abstractNumId w:val="18"/>
  </w:num>
  <w:num w:numId="45">
    <w:abstractNumId w:val="31"/>
  </w:num>
  <w:num w:numId="46">
    <w:abstractNumId w:val="27"/>
  </w:num>
  <w:num w:numId="47">
    <w:abstractNumId w:val="28"/>
  </w:num>
  <w:num w:numId="48">
    <w:abstractNumId w:val="76"/>
  </w:num>
  <w:num w:numId="49">
    <w:abstractNumId w:val="44"/>
  </w:num>
  <w:num w:numId="50">
    <w:abstractNumId w:val="2"/>
  </w:num>
  <w:num w:numId="51">
    <w:abstractNumId w:val="55"/>
  </w:num>
  <w:num w:numId="52">
    <w:abstractNumId w:val="12"/>
  </w:num>
  <w:num w:numId="53">
    <w:abstractNumId w:val="10"/>
  </w:num>
  <w:num w:numId="54">
    <w:abstractNumId w:val="13"/>
  </w:num>
  <w:num w:numId="55">
    <w:abstractNumId w:val="40"/>
  </w:num>
  <w:num w:numId="56">
    <w:abstractNumId w:val="24"/>
  </w:num>
  <w:num w:numId="57">
    <w:abstractNumId w:val="4"/>
  </w:num>
  <w:num w:numId="58">
    <w:abstractNumId w:val="47"/>
  </w:num>
  <w:num w:numId="59">
    <w:abstractNumId w:val="64"/>
  </w:num>
  <w:num w:numId="60">
    <w:abstractNumId w:val="63"/>
  </w:num>
  <w:num w:numId="61">
    <w:abstractNumId w:val="65"/>
  </w:num>
  <w:num w:numId="62">
    <w:abstractNumId w:val="66"/>
  </w:num>
  <w:num w:numId="63">
    <w:abstractNumId w:val="67"/>
  </w:num>
  <w:num w:numId="64">
    <w:abstractNumId w:val="68"/>
  </w:num>
  <w:num w:numId="65">
    <w:abstractNumId w:val="69"/>
  </w:num>
  <w:num w:numId="66">
    <w:abstractNumId w:val="46"/>
  </w:num>
  <w:num w:numId="67">
    <w:abstractNumId w:val="16"/>
  </w:num>
  <w:num w:numId="68">
    <w:abstractNumId w:val="57"/>
  </w:num>
  <w:num w:numId="69">
    <w:abstractNumId w:val="58"/>
  </w:num>
  <w:num w:numId="70">
    <w:abstractNumId w:val="59"/>
  </w:num>
  <w:num w:numId="71">
    <w:abstractNumId w:val="60"/>
  </w:num>
  <w:num w:numId="72">
    <w:abstractNumId w:val="61"/>
  </w:num>
  <w:num w:numId="73">
    <w:abstractNumId w:val="62"/>
  </w:num>
  <w:num w:numId="74">
    <w:abstractNumId w:val="70"/>
  </w:num>
  <w:num w:numId="75">
    <w:abstractNumId w:val="71"/>
  </w:num>
  <w:num w:numId="76">
    <w:abstractNumId w:val="15"/>
  </w:num>
  <w:num w:numId="77">
    <w:abstractNumId w:val="72"/>
  </w:num>
  <w:num w:numId="78">
    <w:abstractNumId w:val="73"/>
  </w:num>
  <w:num w:numId="79">
    <w:abstractNumId w:val="74"/>
  </w:num>
  <w:num w:numId="8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300DD6"/>
    <w:rsid w:val="0468177F"/>
    <w:rsid w:val="04845B79"/>
    <w:rsid w:val="0521211C"/>
    <w:rsid w:val="05ED7C6F"/>
    <w:rsid w:val="064F42BD"/>
    <w:rsid w:val="06605967"/>
    <w:rsid w:val="068A408A"/>
    <w:rsid w:val="06DF1F61"/>
    <w:rsid w:val="07191548"/>
    <w:rsid w:val="07F57DA4"/>
    <w:rsid w:val="0825466B"/>
    <w:rsid w:val="08C06B57"/>
    <w:rsid w:val="09FB5429"/>
    <w:rsid w:val="0AEF3D0C"/>
    <w:rsid w:val="0B413915"/>
    <w:rsid w:val="0B8251C9"/>
    <w:rsid w:val="0B9C1C2D"/>
    <w:rsid w:val="0B9E090F"/>
    <w:rsid w:val="0CD50D95"/>
    <w:rsid w:val="0E7B6A15"/>
    <w:rsid w:val="0E9E528B"/>
    <w:rsid w:val="0F777231"/>
    <w:rsid w:val="0F8072BB"/>
    <w:rsid w:val="0F866D61"/>
    <w:rsid w:val="0FAD023A"/>
    <w:rsid w:val="10267CF2"/>
    <w:rsid w:val="10D07610"/>
    <w:rsid w:val="10E505B7"/>
    <w:rsid w:val="1141717E"/>
    <w:rsid w:val="11567BF8"/>
    <w:rsid w:val="11C946E2"/>
    <w:rsid w:val="126D33E8"/>
    <w:rsid w:val="127D7AC5"/>
    <w:rsid w:val="132F20ED"/>
    <w:rsid w:val="14233F1C"/>
    <w:rsid w:val="144F2413"/>
    <w:rsid w:val="14CB7308"/>
    <w:rsid w:val="15025C38"/>
    <w:rsid w:val="15507D31"/>
    <w:rsid w:val="155A68E0"/>
    <w:rsid w:val="17F36337"/>
    <w:rsid w:val="18337DCA"/>
    <w:rsid w:val="18A92B8D"/>
    <w:rsid w:val="1BFC63BA"/>
    <w:rsid w:val="1C692544"/>
    <w:rsid w:val="1C79739D"/>
    <w:rsid w:val="1C8F465C"/>
    <w:rsid w:val="1CDE544D"/>
    <w:rsid w:val="1E135651"/>
    <w:rsid w:val="1E544E3F"/>
    <w:rsid w:val="1EF50B96"/>
    <w:rsid w:val="1F7D3106"/>
    <w:rsid w:val="1FDA2F63"/>
    <w:rsid w:val="21A67B64"/>
    <w:rsid w:val="2297514B"/>
    <w:rsid w:val="22B23AF8"/>
    <w:rsid w:val="242D0854"/>
    <w:rsid w:val="247755D9"/>
    <w:rsid w:val="25D26B04"/>
    <w:rsid w:val="25DA3557"/>
    <w:rsid w:val="25E74F4E"/>
    <w:rsid w:val="26B7240F"/>
    <w:rsid w:val="26B84FF0"/>
    <w:rsid w:val="27505FBA"/>
    <w:rsid w:val="2BCD0352"/>
    <w:rsid w:val="2BFB4554"/>
    <w:rsid w:val="2C9B2A75"/>
    <w:rsid w:val="2CA02CA1"/>
    <w:rsid w:val="2CB41CDE"/>
    <w:rsid w:val="2D4B4C9F"/>
    <w:rsid w:val="2E804153"/>
    <w:rsid w:val="2F5B1280"/>
    <w:rsid w:val="2F7A6DFD"/>
    <w:rsid w:val="2FAF3B79"/>
    <w:rsid w:val="2FF60969"/>
    <w:rsid w:val="31750334"/>
    <w:rsid w:val="32485F31"/>
    <w:rsid w:val="34824A12"/>
    <w:rsid w:val="35105209"/>
    <w:rsid w:val="370319F6"/>
    <w:rsid w:val="37501DF6"/>
    <w:rsid w:val="37AE7D0A"/>
    <w:rsid w:val="3888715E"/>
    <w:rsid w:val="389B7D8D"/>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E329DD"/>
    <w:rsid w:val="433D378B"/>
    <w:rsid w:val="434C7FF3"/>
    <w:rsid w:val="44562BBD"/>
    <w:rsid w:val="463B593D"/>
    <w:rsid w:val="46CB2C58"/>
    <w:rsid w:val="48402042"/>
    <w:rsid w:val="48424A1F"/>
    <w:rsid w:val="48975A3F"/>
    <w:rsid w:val="49DD0ED4"/>
    <w:rsid w:val="4A2263FF"/>
    <w:rsid w:val="4A2743FB"/>
    <w:rsid w:val="4A3F6505"/>
    <w:rsid w:val="4ADD3BE3"/>
    <w:rsid w:val="4B841650"/>
    <w:rsid w:val="4BE505DD"/>
    <w:rsid w:val="4C5C40B1"/>
    <w:rsid w:val="4CC53366"/>
    <w:rsid w:val="4D2E049A"/>
    <w:rsid w:val="4D693017"/>
    <w:rsid w:val="4D7F06C0"/>
    <w:rsid w:val="4D8D1273"/>
    <w:rsid w:val="4F1B6F35"/>
    <w:rsid w:val="4F20048B"/>
    <w:rsid w:val="4F212124"/>
    <w:rsid w:val="503B586A"/>
    <w:rsid w:val="508D75C7"/>
    <w:rsid w:val="51803251"/>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A0B1227"/>
    <w:rsid w:val="5A1E2133"/>
    <w:rsid w:val="5B212BB1"/>
    <w:rsid w:val="5BFA606A"/>
    <w:rsid w:val="5C7E7C83"/>
    <w:rsid w:val="5D6E6559"/>
    <w:rsid w:val="5DF93585"/>
    <w:rsid w:val="5E531617"/>
    <w:rsid w:val="5F087411"/>
    <w:rsid w:val="5FE37D04"/>
    <w:rsid w:val="60A362BD"/>
    <w:rsid w:val="60C809E8"/>
    <w:rsid w:val="60DD604A"/>
    <w:rsid w:val="612B3563"/>
    <w:rsid w:val="61AF074A"/>
    <w:rsid w:val="62D35EDA"/>
    <w:rsid w:val="64606D9B"/>
    <w:rsid w:val="66A95B28"/>
    <w:rsid w:val="66B655AC"/>
    <w:rsid w:val="67075395"/>
    <w:rsid w:val="67B46A51"/>
    <w:rsid w:val="68982F49"/>
    <w:rsid w:val="68C43CF2"/>
    <w:rsid w:val="68E6218C"/>
    <w:rsid w:val="697836CF"/>
    <w:rsid w:val="698C75AE"/>
    <w:rsid w:val="69FF60E8"/>
    <w:rsid w:val="6C1A61DA"/>
    <w:rsid w:val="6CB00E61"/>
    <w:rsid w:val="6DCE5B48"/>
    <w:rsid w:val="6E822944"/>
    <w:rsid w:val="6EDC5C5E"/>
    <w:rsid w:val="6F443EC4"/>
    <w:rsid w:val="709F5E89"/>
    <w:rsid w:val="70DE1F58"/>
    <w:rsid w:val="723B4B2B"/>
    <w:rsid w:val="73040C29"/>
    <w:rsid w:val="73366ECA"/>
    <w:rsid w:val="736047B8"/>
    <w:rsid w:val="739F7200"/>
    <w:rsid w:val="74F55397"/>
    <w:rsid w:val="753F4B02"/>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 w:val="7F870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3">
    <w:name w:val="annotation text"/>
    <w:basedOn w:val="1"/>
    <w:link w:val="17"/>
    <w:qFormat/>
    <w:uiPriority w:val="0"/>
    <w:pPr>
      <w:jc w:val="left"/>
    </w:pPr>
    <w:rPr>
      <w:rFonts w:cs="Times New Roman"/>
    </w:rPr>
  </w:style>
  <w:style w:type="paragraph" w:styleId="4">
    <w:name w:val="Balloon Text"/>
    <w:basedOn w:val="1"/>
    <w:link w:val="16"/>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8"/>
    <w:qFormat/>
    <w:uiPriority w:val="0"/>
    <w:rPr>
      <w:rFonts w:cs="Times New Roman"/>
      <w:b/>
      <w:bCs/>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paragraph" w:customStyle="1" w:styleId="15">
    <w:name w:val="List Paragraph"/>
    <w:basedOn w:val="1"/>
    <w:unhideWhenUsed/>
    <w:uiPriority w:val="99"/>
    <w:pPr>
      <w:ind w:firstLine="420" w:firstLineChars="200"/>
    </w:pPr>
  </w:style>
  <w:style w:type="character" w:customStyle="1" w:styleId="16">
    <w:name w:val="批注框文本 Char"/>
    <w:link w:val="4"/>
    <w:qFormat/>
    <w:uiPriority w:val="0"/>
    <w:rPr>
      <w:rFonts w:ascii="Calibri" w:hAnsi="Calibri" w:cs="黑体"/>
      <w:kern w:val="2"/>
      <w:sz w:val="18"/>
      <w:szCs w:val="18"/>
    </w:rPr>
  </w:style>
  <w:style w:type="character" w:customStyle="1" w:styleId="17">
    <w:name w:val="批注文字 Char"/>
    <w:link w:val="3"/>
    <w:qFormat/>
    <w:uiPriority w:val="0"/>
    <w:rPr>
      <w:rFonts w:ascii="Calibri" w:hAnsi="Calibri" w:cs="黑体"/>
      <w:kern w:val="2"/>
      <w:sz w:val="21"/>
      <w:szCs w:val="24"/>
    </w:rPr>
  </w:style>
  <w:style w:type="character" w:customStyle="1" w:styleId="18">
    <w:name w:val="批注主题 Char"/>
    <w:link w:val="8"/>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34037</Words>
  <Characters>35615</Characters>
  <Lines>255</Lines>
  <Paragraphs>71</Paragraphs>
  <TotalTime>11</TotalTime>
  <ScaleCrop>false</ScaleCrop>
  <LinksUpToDate>false</LinksUpToDate>
  <CharactersWithSpaces>36065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2024-08-28T06:40:20Z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