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1453</Words>
  <Characters>8283</Characters>
  <Lines>69</Lines>
  <Paragraphs>19</Paragraphs>
  <TotalTime>1</TotalTime>
  <ScaleCrop>false</ScaleCrop>
  <LinksUpToDate>false</LinksUpToDate>
  <CharactersWithSpaces>9717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2022-05-15T02:23:00Z</dcterms:created>
  <dc:creator>略</dc:creator>
  <cp:lastModifiedBy>孙伯略</cp:lastModifiedBy>
  <dcterms:modified xsi:type="dcterms:W3CDTF">2022-12-08T08:50:36Z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5B77E7CE-EC58-BC6A-FAE8-886BEB80DBEB}" pid="3" name="5B77E7CEEC58BC6AFAE8886BEB80DBEB">
    <vt:lpwstr>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</vt:lpwstr>
  </property>
</Properti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7"/>
        <w:tblW w:w="10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15"/>
        <w:gridCol w:w="1115"/>
        <w:gridCol w:w="1535"/>
        <w:gridCol w:w="50"/>
        <w:gridCol w:w="232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0383" w:type="dxa"/>
            <w:gridSpan w:val="7"/>
            <w:shd w:val="clear" w:color="auto" w:fill="A6A6A6"/>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2230" w:type="dxa"/>
            <w:gridSpan w:val="2"/>
            <w:vAlign w:val="center"/>
          </w:tcPr>
          <w:p>
            <w:pPr>
              <w:spacing w:line="260" w:lineRule="exact"/>
              <w:jc w:val="center"/>
              <w:rPr>
                <w:rFonts w:hint="eastAsia" w:ascii="Times New Roman" w:hAnsi="Times New Roman"/>
                <w:bCs/>
                <w:sz w:val="15"/>
                <w:szCs w:val="15"/>
              </w:rPr>
            </w:pPr>
          </w:p>
        </w:tc>
        <w:tc>
          <w:tcPr>
            <w:tcW w:w="1535"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4999" w:type="dxa"/>
            <w:gridSpan w:val="3"/>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2230" w:type="dxa"/>
            <w:gridSpan w:val="2"/>
            <w:vAlign w:val="center"/>
          </w:tcPr>
          <w:p>
            <w:pPr>
              <w:spacing w:line="260" w:lineRule="exact"/>
              <w:jc w:val="center"/>
              <w:rPr>
                <w:rFonts w:hint="eastAsia" w:ascii="Times New Roman" w:hAnsi="Times New Roman"/>
                <w:bCs/>
                <w:sz w:val="15"/>
                <w:szCs w:val="15"/>
              </w:rPr>
            </w:pPr>
          </w:p>
        </w:tc>
        <w:tc>
          <w:tcPr>
            <w:tcW w:w="1535"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4999" w:type="dxa"/>
            <w:gridSpan w:val="3"/>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230" w:type="dxa"/>
            <w:gridSpan w:val="2"/>
            <w:tcBorders>
              <w:top w:val="nil"/>
            </w:tcBorders>
            <w:vAlign w:val="center"/>
          </w:tcPr>
          <w:p>
            <w:pPr>
              <w:spacing w:line="260" w:lineRule="exact"/>
              <w:jc w:val="center"/>
              <w:rPr>
                <w:rFonts w:hint="eastAsia" w:ascii="Times New Roman" w:hAnsi="Times New Roman"/>
                <w:bCs/>
                <w:sz w:val="15"/>
                <w:szCs w:val="15"/>
              </w:rPr>
            </w:pPr>
          </w:p>
        </w:tc>
        <w:tc>
          <w:tcPr>
            <w:tcW w:w="1535" w:type="dxa"/>
            <w:tcBorders>
              <w:top w:val="nil"/>
            </w:tcBorders>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4999" w:type="dxa"/>
            <w:gridSpan w:val="3"/>
            <w:tcBorders>
              <w:top w:val="nil"/>
            </w:tcBorders>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10383" w:type="dxa"/>
            <w:gridSpan w:val="7"/>
            <w:shd w:val="clear" w:color="auto" w:fill="A6A6A6"/>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2230" w:type="dxa"/>
            <w:gridSpan w:val="2"/>
            <w:vAlign w:val="center"/>
          </w:tcPr>
          <w:p>
            <w:pPr>
              <w:spacing w:line="260" w:lineRule="exact"/>
              <w:jc w:val="center"/>
              <w:rPr>
                <w:rFonts w:hint="eastAsia" w:ascii="Times New Roman" w:hAnsi="Times New Roman"/>
                <w:bCs/>
                <w:sz w:val="15"/>
                <w:szCs w:val="15"/>
              </w:rPr>
            </w:pPr>
          </w:p>
        </w:tc>
        <w:tc>
          <w:tcPr>
            <w:tcW w:w="1535"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4999" w:type="dxa"/>
            <w:gridSpan w:val="3"/>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2230" w:type="dxa"/>
            <w:gridSpan w:val="2"/>
            <w:vAlign w:val="center"/>
          </w:tcPr>
          <w:p>
            <w:pPr>
              <w:spacing w:line="260" w:lineRule="exact"/>
              <w:jc w:val="center"/>
              <w:rPr>
                <w:rFonts w:hint="eastAsia" w:ascii="Times New Roman" w:hAnsi="Times New Roman"/>
                <w:bCs/>
                <w:sz w:val="15"/>
                <w:szCs w:val="15"/>
              </w:rPr>
            </w:pPr>
          </w:p>
        </w:tc>
        <w:tc>
          <w:tcPr>
            <w:tcW w:w="1535"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4999" w:type="dxa"/>
            <w:gridSpan w:val="3"/>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2230" w:type="dxa"/>
            <w:gridSpan w:val="2"/>
            <w:tcBorders>
              <w:top w:val="nil"/>
            </w:tcBorders>
            <w:vAlign w:val="center"/>
          </w:tcPr>
          <w:p>
            <w:pPr>
              <w:spacing w:line="260" w:lineRule="exact"/>
              <w:jc w:val="center"/>
              <w:rPr>
                <w:rFonts w:hint="eastAsia" w:ascii="Times New Roman" w:hAnsi="Times New Roman"/>
                <w:bCs/>
                <w:sz w:val="15"/>
                <w:szCs w:val="15"/>
              </w:rPr>
            </w:pPr>
          </w:p>
        </w:tc>
        <w:tc>
          <w:tcPr>
            <w:tcW w:w="1535" w:type="dxa"/>
            <w:tcBorders>
              <w:top w:val="nil"/>
            </w:tcBorders>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4999" w:type="dxa"/>
            <w:gridSpan w:val="3"/>
            <w:tcBorders>
              <w:top w:val="nil"/>
            </w:tcBorders>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619" w:type="dxa"/>
            <w:tcBorders>
              <w:bottom w:val="single" w:color="auto" w:sz="4" w:space="0"/>
            </w:tcBorders>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2230" w:type="dxa"/>
            <w:gridSpan w:val="2"/>
            <w:tcBorders>
              <w:bottom w:val="single" w:color="auto" w:sz="4" w:space="0"/>
            </w:tcBorders>
            <w:vAlign w:val="center"/>
          </w:tcPr>
          <w:p>
            <w:pPr>
              <w:spacing w:line="260" w:lineRule="exact"/>
              <w:jc w:val="center"/>
              <w:rPr>
                <w:rFonts w:hint="eastAsia" w:ascii="Times New Roman" w:hAnsi="Times New Roman"/>
                <w:bCs/>
                <w:sz w:val="15"/>
                <w:szCs w:val="15"/>
              </w:rPr>
            </w:pPr>
          </w:p>
        </w:tc>
        <w:tc>
          <w:tcPr>
            <w:tcW w:w="1535" w:type="dxa"/>
            <w:tcBorders>
              <w:bottom w:val="single" w:color="auto" w:sz="4" w:space="0"/>
            </w:tcBorders>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4999" w:type="dxa"/>
            <w:gridSpan w:val="3"/>
            <w:tcBorders>
              <w:bottom w:val="single" w:color="auto" w:sz="4" w:space="0"/>
            </w:tcBorders>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619" w:type="dxa"/>
            <w:vMerge w:val="restart"/>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8764" w:type="dxa"/>
            <w:gridSpan w:val="6"/>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619" w:type="dxa"/>
            <w:vMerge w:val="continue"/>
            <w:vAlign w:val="center"/>
          </w:tcPr>
          <w:p>
            <w:pPr>
              <w:rPr>
                <w:rFonts w:hint="eastAsia" w:ascii="Times New Roman" w:hAnsi="Times New Roman"/>
                <w:b/>
                <w:bCs/>
                <w:szCs w:val="24"/>
              </w:rPr>
            </w:pPr>
          </w:p>
        </w:tc>
        <w:tc>
          <w:tcPr>
            <w:tcW w:w="1115" w:type="dxa"/>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2700" w:type="dxa"/>
            <w:gridSpan w:val="3"/>
            <w:vAlign w:val="center"/>
          </w:tcPr>
          <w:p>
            <w:pPr>
              <w:jc w:val="center"/>
              <w:rPr>
                <w:rFonts w:hint="eastAsia" w:ascii="Times New Roman" w:hAnsi="Times New Roman"/>
                <w:b/>
                <w:bCs/>
                <w:sz w:val="15"/>
                <w:szCs w:val="15"/>
              </w:rPr>
            </w:pPr>
          </w:p>
        </w:tc>
        <w:tc>
          <w:tcPr>
            <w:tcW w:w="2322" w:type="dxa"/>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2627" w:type="dxa"/>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619" w:type="dxa"/>
            <w:vMerge w:val="continue"/>
            <w:vAlign w:val="center"/>
          </w:tcPr>
          <w:p>
            <w:pPr>
              <w:rPr>
                <w:rFonts w:hint="eastAsia" w:ascii="Times New Roman" w:hAnsi="Times New Roman"/>
                <w:b/>
                <w:bCs/>
                <w:szCs w:val="24"/>
              </w:rPr>
            </w:pPr>
          </w:p>
        </w:tc>
        <w:tc>
          <w:tcPr>
            <w:tcW w:w="1115" w:type="dxa"/>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2700" w:type="dxa"/>
            <w:gridSpan w:val="3"/>
            <w:vAlign w:val="center"/>
          </w:tcPr>
          <w:p>
            <w:pPr>
              <w:jc w:val="center"/>
              <w:rPr>
                <w:rFonts w:hint="eastAsia" w:ascii="Times New Roman" w:hAnsi="Times New Roman"/>
                <w:b/>
                <w:bCs/>
                <w:sz w:val="15"/>
                <w:szCs w:val="15"/>
              </w:rPr>
            </w:pPr>
          </w:p>
        </w:tc>
        <w:tc>
          <w:tcPr>
            <w:tcW w:w="2322" w:type="dxa"/>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2627" w:type="dxa"/>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0383" w:type="dxa"/>
            <w:gridSpan w:val="7"/>
            <w:tcBorders>
              <w:bottom w:val="single" w:color="auto" w:sz="4" w:space="0"/>
            </w:tcBorders>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2"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2"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2"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2" w:firstLineChars="200"/>
              <w:rPr>
                <w:rFonts w:ascii="Times New Roman" w:hAnsi="Times New Roman"/>
                <w:b/>
                <w:bCs/>
                <w:spacing w:val="-2"/>
                <w:szCs w:val="21"/>
              </w:rPr>
            </w:pPr>
          </w:p>
          <w:p>
            <w:pPr>
              <w:spacing w:line="240" w:lineRule="atLeast"/>
              <w:ind w:firstLine="412"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协议的生效和终止</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协议生效</w:t>
      </w:r>
    </w:p>
    <w:p>
      <w:pPr>
        <w:pStyle w:val="2"/>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9"/>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autoSpaceDE w:val="0"/>
        <w:autoSpaceDN w:val="0"/>
        <w:adjustRightInd w:val="0"/>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en-US" w:eastAsia="zh-CN"/>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en-US" w:eastAsia="zh-CN"/>
      </w:rPr>
      <w:t>10</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val="en-US" w:eastAsia="zh-CN"/>
      </w:rPr>
      <w:pict>
        <v:shape id="WordPictureWatermark367128483" o:spid="_x0000_s1027"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rPr>
        <w:lang w:val="en-US" w:eastAsia="zh-CN"/>
      </w:rPr>
      <w:pict>
        <v:shape id="图片 1" o:spid="_x0000_s1028"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2"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pict>
        <v:shape id="WordPictureWatermark367128482" o:spid="_x0000_s1026"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pict>
        <v:shape id="WordPictureWatermark367128481" o:spid="_x0000_s1025"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sz w:val="24"/>
        <w:szCs w:val="24"/>
      </w:rPr>
    </w:lvl>
  </w:abstractNum>
  <w:abstractNum w:abstractNumId="1">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2">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3">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4">
    <w:nsid w:val="60E6B347"/>
    <w:multiLevelType w:val="singleLevel"/>
    <w:tmpl w:val="60E6B347"/>
    <w:lvl w:ilvl="0" w:tentative="0">
      <w:start w:val="1"/>
      <w:numFmt w:val="decimal"/>
      <w:lvlText w:val="（%1）"/>
      <w:lvlJc w:val="left"/>
      <w:pPr>
        <w:tabs>
          <w:tab w:val="left" w:pos="420"/>
        </w:tabs>
        <w:ind w:left="425" w:hanging="425"/>
      </w:pPr>
      <w:rPr>
        <w:rFonts w:hint="default"/>
      </w:rPr>
    </w:lvl>
  </w:abstractNum>
  <w:abstractNum w:abstractNumId="5">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6">
    <w:nsid w:val="60E6B3B6"/>
    <w:multiLevelType w:val="singleLevel"/>
    <w:tmpl w:val="60E6B3B6"/>
    <w:lvl w:ilvl="0" w:tentative="0">
      <w:start w:val="1"/>
      <w:numFmt w:val="decimal"/>
      <w:suff w:val="nothing"/>
      <w:lvlText w:val="%1．"/>
      <w:lvlJc w:val="left"/>
      <w:pPr>
        <w:ind w:left="0" w:firstLine="400"/>
      </w:pPr>
      <w:rPr>
        <w:rFonts w:hint="default"/>
      </w:rPr>
    </w:lvl>
  </w:abstractNum>
  <w:abstractNum w:abstractNumId="7">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8">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DE"/>
    <w:rsid w:val="00212830"/>
    <w:rsid w:val="006D2D3E"/>
    <w:rsid w:val="00D87BDE"/>
    <w:rsid w:val="00DC259E"/>
    <w:rsid w:val="00DD19AF"/>
    <w:rsid w:val="3308300F"/>
    <w:rsid w:val="387B7034"/>
    <w:rsid w:val="520D3288"/>
    <w:rsid w:val="70F81A82"/>
    <w:rsid w:val="75B57FD1"/>
    <w:rsid w:val="79065527"/>
    <w:rsid w:val="7922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unhideWhenUsed/>
    <w:qFormat/>
    <w:uiPriority w:val="99"/>
    <w:pPr>
      <w:jc w:val="left"/>
    </w:pPr>
  </w:style>
  <w:style w:type="paragraph" w:styleId="3">
    <w:name w:val="Body Text"/>
    <w:basedOn w:val="1"/>
    <w:link w:val="11"/>
    <w:qFormat/>
    <w:uiPriority w:val="1"/>
    <w:pPr>
      <w:autoSpaceDE w:val="0"/>
      <w:autoSpaceDN w:val="0"/>
      <w:adjustRightInd w:val="0"/>
      <w:spacing w:before="162"/>
      <w:ind w:left="120"/>
      <w:jc w:val="left"/>
    </w:pPr>
    <w:rPr>
      <w:rFonts w:ascii="宋体" w:hAnsi="Times New Roman" w:eastAsia="宋体" w:cs="宋体"/>
      <w:kern w:val="0"/>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unhideWhenUsed/>
    <w:qFormat/>
    <w:uiPriority w:val="99"/>
    <w:rPr>
      <w:sz w:val="21"/>
      <w:szCs w:val="21"/>
    </w:rPr>
  </w:style>
  <w:style w:type="character" w:customStyle="1" w:styleId="10">
    <w:name w:val="批注文字 字符1"/>
    <w:link w:val="2"/>
    <w:qFormat/>
    <w:uiPriority w:val="99"/>
  </w:style>
  <w:style w:type="character" w:customStyle="1" w:styleId="11">
    <w:name w:val="正文文本 字符"/>
    <w:link w:val="3"/>
    <w:qFormat/>
    <w:uiPriority w:val="1"/>
    <w:rPr>
      <w:rFonts w:ascii="宋体" w:hAnsi="Times New Roman" w:eastAsia="宋体" w:cs="宋体"/>
      <w:kern w:val="0"/>
      <w:szCs w:val="21"/>
    </w:rPr>
  </w:style>
  <w:style w:type="character" w:customStyle="1" w:styleId="12">
    <w:name w:val="页脚 字符"/>
    <w:link w:val="4"/>
    <w:qFormat/>
    <w:uiPriority w:val="99"/>
    <w:rPr>
      <w:sz w:val="18"/>
      <w:szCs w:val="18"/>
    </w:rPr>
  </w:style>
  <w:style w:type="character" w:customStyle="1" w:styleId="13">
    <w:name w:val="页眉 字符"/>
    <w:link w:val="5"/>
    <w:qFormat/>
    <w:uiPriority w:val="99"/>
    <w:rPr>
      <w:sz w:val="18"/>
      <w:szCs w:val="18"/>
    </w:rPr>
  </w:style>
  <w:style w:type="character" w:customStyle="1" w:styleId="14">
    <w:name w:val="批注文字 字符"/>
    <w:basedOn w:val="8"/>
    <w:semiHidden/>
    <w:qFormat/>
    <w:uiPriority w:val="99"/>
  </w:style>
  <w:style w:type="character" w:customStyle="1" w:styleId="15">
    <w:name w:val="正文文本 字符1"/>
    <w:basedOn w:val="8"/>
    <w:semiHidden/>
    <w:qFormat/>
    <w:uiPriority w:val="99"/>
  </w:style>
  <w:style w:type="character" w:customStyle="1" w:styleId="16">
    <w:name w:val="页脚 字符1"/>
    <w:basedOn w:val="8"/>
    <w:semiHidden/>
    <w:uiPriority w:val="99"/>
    <w:rPr>
      <w:sz w:val="18"/>
      <w:szCs w:val="18"/>
    </w:rPr>
  </w:style>
  <w:style w:type="character" w:customStyle="1" w:styleId="17">
    <w:name w:val="页眉 字符1"/>
    <w:basedOn w:val="8"/>
    <w:semiHidden/>
    <w:qFormat/>
    <w:uiPriority w:val="99"/>
    <w:rPr>
      <w:sz w:val="18"/>
      <w:szCs w:val="18"/>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