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24" w:type="dxa"/>
        <w:jc w:val="center"/>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4"/>
      </w:tblGrid>
      <w:tr w:rsidR="003761E1" w:rsidTr="00C17E17">
        <w:trPr>
          <w:trHeight w:val="1202"/>
          <w:tblHeader/>
          <w:jc w:val="center"/>
        </w:trPr>
        <w:tc>
          <w:tcPr>
            <w:tcW w:w="9924" w:type="dxa"/>
            <w:tcBorders>
              <w:top w:val="nil"/>
              <w:left w:val="nil"/>
              <w:bottom w:val="single" w:sz="4" w:space="0" w:color="auto"/>
              <w:right w:val="nil"/>
            </w:tcBorders>
          </w:tcPr>
          <w:tbl>
            <w:tblPr>
              <w:tblW w:w="96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88"/>
              <w:gridCol w:w="3804"/>
              <w:gridCol w:w="2706"/>
            </w:tblGrid>
            <w:tr w:rsidR="003761E1" w:rsidTr="00C17E17">
              <w:trPr>
                <w:trHeight w:hRule="exact" w:val="891"/>
              </w:trPr>
              <w:tc>
                <w:tcPr>
                  <w:tcW w:w="3188" w:type="dxa"/>
                  <w:tcBorders>
                    <w:top w:val="single" w:sz="4" w:space="0" w:color="auto"/>
                    <w:left w:val="single" w:sz="4" w:space="0" w:color="auto"/>
                    <w:bottom w:val="single" w:sz="4" w:space="0" w:color="auto"/>
                    <w:right w:val="single" w:sz="4" w:space="0" w:color="auto"/>
                  </w:tcBorders>
                  <w:vAlign w:val="center"/>
                </w:tcPr>
                <w:p w:rsidR="003761E1" w:rsidRDefault="003761E1" w:rsidP="00C17E17">
                  <w:pPr>
                    <w:adjustRightInd w:val="0"/>
                    <w:spacing w:line="360" w:lineRule="atLeast"/>
                    <w:jc w:val="center"/>
                    <w:rPr>
                      <w:b/>
                      <w:kern w:val="0"/>
                      <w:sz w:val="52"/>
                      <w:szCs w:val="52"/>
                    </w:rPr>
                  </w:pPr>
                  <w:bookmarkStart w:id="0" w:name="_GoBack"/>
                  <w:bookmarkEnd w:id="0"/>
                  <w:r>
                    <w:rPr>
                      <w:b/>
                      <w:noProof/>
                      <w:kern w:val="0"/>
                      <w:sz w:val="24"/>
                      <w:szCs w:val="21"/>
                    </w:rPr>
                    <w:drawing>
                      <wp:inline distT="0" distB="0" distL="0" distR="0" wp14:anchorId="0EBDBD5C" wp14:editId="20163868">
                        <wp:extent cx="314325" cy="276225"/>
                        <wp:effectExtent l="0" t="0" r="9525" b="9525"/>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314325" cy="276225"/>
                                </a:xfrm>
                                <a:prstGeom prst="rect">
                                  <a:avLst/>
                                </a:prstGeom>
                                <a:noFill/>
                                <a:ln>
                                  <a:noFill/>
                                </a:ln>
                              </pic:spPr>
                            </pic:pic>
                          </a:graphicData>
                        </a:graphic>
                      </wp:inline>
                    </w:drawing>
                  </w:r>
                  <w:r>
                    <w:rPr>
                      <w:rFonts w:eastAsia="仿宋_GB2312" w:hint="eastAsia"/>
                      <w:b/>
                      <w:kern w:val="0"/>
                      <w:sz w:val="24"/>
                      <w:szCs w:val="21"/>
                    </w:rPr>
                    <w:t>新昌农商银行</w:t>
                  </w:r>
                </w:p>
              </w:tc>
              <w:tc>
                <w:tcPr>
                  <w:tcW w:w="3804" w:type="dxa"/>
                  <w:tcBorders>
                    <w:top w:val="single" w:sz="4" w:space="0" w:color="auto"/>
                    <w:left w:val="single" w:sz="4" w:space="0" w:color="auto"/>
                    <w:bottom w:val="single" w:sz="4" w:space="0" w:color="auto"/>
                    <w:right w:val="single" w:sz="4" w:space="0" w:color="auto"/>
                  </w:tcBorders>
                  <w:vAlign w:val="center"/>
                </w:tcPr>
                <w:p w:rsidR="003761E1" w:rsidRDefault="003761E1" w:rsidP="00C17E17">
                  <w:pPr>
                    <w:adjustRightInd w:val="0"/>
                    <w:spacing w:line="360" w:lineRule="atLeast"/>
                    <w:jc w:val="center"/>
                    <w:rPr>
                      <w:b/>
                      <w:kern w:val="0"/>
                      <w:sz w:val="44"/>
                      <w:szCs w:val="44"/>
                    </w:rPr>
                  </w:pPr>
                  <w:r>
                    <w:rPr>
                      <w:rFonts w:hint="eastAsia"/>
                      <w:b/>
                      <w:kern w:val="0"/>
                      <w:sz w:val="44"/>
                      <w:szCs w:val="44"/>
                    </w:rPr>
                    <w:t>理财产品协议书</w:t>
                  </w:r>
                </w:p>
              </w:tc>
              <w:tc>
                <w:tcPr>
                  <w:tcW w:w="2706" w:type="dxa"/>
                  <w:tcBorders>
                    <w:top w:val="single" w:sz="4" w:space="0" w:color="auto"/>
                    <w:left w:val="single" w:sz="4" w:space="0" w:color="auto"/>
                    <w:bottom w:val="single" w:sz="4" w:space="0" w:color="auto"/>
                    <w:right w:val="single" w:sz="4" w:space="0" w:color="auto"/>
                  </w:tcBorders>
                  <w:vAlign w:val="center"/>
                </w:tcPr>
                <w:p w:rsidR="003761E1" w:rsidRDefault="003761E1" w:rsidP="00C17E17">
                  <w:pPr>
                    <w:adjustRightInd w:val="0"/>
                    <w:spacing w:line="360" w:lineRule="atLeast"/>
                    <w:ind w:firstLineChars="200" w:firstLine="360"/>
                    <w:jc w:val="left"/>
                    <w:rPr>
                      <w:b/>
                      <w:kern w:val="0"/>
                      <w:sz w:val="52"/>
                      <w:szCs w:val="52"/>
                    </w:rPr>
                  </w:pPr>
                  <w:r>
                    <w:rPr>
                      <w:rFonts w:hint="eastAsia"/>
                      <w:kern w:val="0"/>
                      <w:sz w:val="18"/>
                      <w:szCs w:val="18"/>
                    </w:rPr>
                    <w:t>协议书编号：</w:t>
                  </w:r>
                </w:p>
              </w:tc>
            </w:tr>
          </w:tbl>
          <w:p w:rsidR="003761E1" w:rsidRDefault="003761E1" w:rsidP="00C17E17">
            <w:pPr>
              <w:widowControl/>
              <w:jc w:val="left"/>
              <w:rPr>
                <w:kern w:val="0"/>
                <w:sz w:val="20"/>
              </w:rPr>
            </w:pPr>
          </w:p>
        </w:tc>
      </w:tr>
      <w:tr w:rsidR="003761E1" w:rsidTr="00C17E17">
        <w:trPr>
          <w:trHeight w:val="473"/>
          <w:jc w:val="center"/>
        </w:trPr>
        <w:tc>
          <w:tcPr>
            <w:tcW w:w="9924" w:type="dxa"/>
            <w:tcBorders>
              <w:top w:val="single" w:sz="4" w:space="0" w:color="auto"/>
              <w:left w:val="single" w:sz="4" w:space="0" w:color="auto"/>
              <w:bottom w:val="single" w:sz="4" w:space="0" w:color="auto"/>
              <w:right w:val="single" w:sz="4" w:space="0" w:color="auto"/>
            </w:tcBorders>
            <w:shd w:val="clear" w:color="auto" w:fill="666666"/>
            <w:vAlign w:val="center"/>
          </w:tcPr>
          <w:p w:rsidR="003761E1" w:rsidRDefault="003761E1" w:rsidP="00C17E17">
            <w:pPr>
              <w:adjustRightInd w:val="0"/>
              <w:spacing w:line="360" w:lineRule="atLeast"/>
              <w:jc w:val="center"/>
              <w:rPr>
                <w:b/>
                <w:color w:val="FFFFFF"/>
                <w:kern w:val="0"/>
                <w:sz w:val="24"/>
              </w:rPr>
            </w:pPr>
            <w:r>
              <w:rPr>
                <w:rFonts w:hint="eastAsia"/>
                <w:b/>
                <w:color w:val="FFFFFF"/>
                <w:kern w:val="0"/>
                <w:sz w:val="24"/>
              </w:rPr>
              <w:t>交易内容</w:t>
            </w:r>
          </w:p>
        </w:tc>
      </w:tr>
    </w:tbl>
    <w:p w:rsidR="003761E1" w:rsidRDefault="003761E1" w:rsidP="003761E1">
      <w:pPr>
        <w:adjustRightInd w:val="0"/>
        <w:spacing w:line="360" w:lineRule="atLeast"/>
        <w:jc w:val="left"/>
        <w:rPr>
          <w:vanish/>
          <w:kern w:val="0"/>
          <w:sz w:val="18"/>
          <w:szCs w:val="18"/>
        </w:rPr>
      </w:pPr>
    </w:p>
    <w:tbl>
      <w:tblPr>
        <w:tblpPr w:leftFromText="180" w:rightFromText="180" w:vertAnchor="text" w:horzAnchor="margin" w:tblpXSpec="center" w:tblpY="30"/>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3"/>
      </w:tblGrid>
      <w:tr w:rsidR="003761E1" w:rsidTr="00C17E17">
        <w:trPr>
          <w:trHeight w:val="1865"/>
        </w:trPr>
        <w:tc>
          <w:tcPr>
            <w:tcW w:w="9923" w:type="dxa"/>
            <w:tcBorders>
              <w:top w:val="single" w:sz="4" w:space="0" w:color="auto"/>
              <w:left w:val="single" w:sz="4" w:space="0" w:color="auto"/>
              <w:bottom w:val="single" w:sz="4" w:space="0" w:color="auto"/>
              <w:right w:val="single" w:sz="4" w:space="0" w:color="auto"/>
            </w:tcBorders>
            <w:vAlign w:val="center"/>
          </w:tcPr>
          <w:p w:rsidR="003761E1" w:rsidRDefault="003761E1" w:rsidP="00C17E17">
            <w:pPr>
              <w:adjustRightInd w:val="0"/>
              <w:spacing w:line="360" w:lineRule="atLeast"/>
              <w:jc w:val="left"/>
              <w:rPr>
                <w:b/>
                <w:kern w:val="0"/>
                <w:sz w:val="24"/>
              </w:rPr>
            </w:pPr>
          </w:p>
          <w:p w:rsidR="003761E1" w:rsidRDefault="003761E1" w:rsidP="00C17E17">
            <w:pPr>
              <w:adjustRightInd w:val="0"/>
              <w:spacing w:line="360" w:lineRule="atLeast"/>
              <w:jc w:val="left"/>
              <w:rPr>
                <w:b/>
                <w:kern w:val="0"/>
                <w:sz w:val="24"/>
              </w:rPr>
            </w:pPr>
          </w:p>
          <w:p w:rsidR="003761E1" w:rsidRDefault="003761E1" w:rsidP="00C17E17">
            <w:pPr>
              <w:adjustRightInd w:val="0"/>
              <w:spacing w:line="360" w:lineRule="atLeast"/>
              <w:jc w:val="left"/>
              <w:rPr>
                <w:b/>
                <w:kern w:val="0"/>
                <w:sz w:val="24"/>
              </w:rPr>
            </w:pPr>
          </w:p>
          <w:p w:rsidR="003761E1" w:rsidRDefault="003761E1" w:rsidP="00C17E17">
            <w:pPr>
              <w:adjustRightInd w:val="0"/>
              <w:spacing w:line="360" w:lineRule="atLeast"/>
              <w:jc w:val="left"/>
              <w:rPr>
                <w:b/>
                <w:kern w:val="0"/>
                <w:sz w:val="24"/>
              </w:rPr>
            </w:pPr>
          </w:p>
        </w:tc>
      </w:tr>
      <w:tr w:rsidR="003761E1" w:rsidTr="00C17E17">
        <w:trPr>
          <w:trHeight w:val="369"/>
        </w:trPr>
        <w:tc>
          <w:tcPr>
            <w:tcW w:w="9923" w:type="dxa"/>
            <w:tcBorders>
              <w:top w:val="single" w:sz="4" w:space="0" w:color="auto"/>
              <w:left w:val="single" w:sz="4" w:space="0" w:color="auto"/>
              <w:bottom w:val="single" w:sz="4" w:space="0" w:color="auto"/>
              <w:right w:val="single" w:sz="4" w:space="0" w:color="auto"/>
            </w:tcBorders>
            <w:shd w:val="clear" w:color="auto" w:fill="606060"/>
            <w:vAlign w:val="center"/>
          </w:tcPr>
          <w:p w:rsidR="003761E1" w:rsidRDefault="003761E1" w:rsidP="00C17E17">
            <w:pPr>
              <w:adjustRightInd w:val="0"/>
              <w:spacing w:line="360" w:lineRule="atLeast"/>
              <w:jc w:val="center"/>
              <w:rPr>
                <w:b/>
                <w:color w:val="FFFFFF"/>
                <w:kern w:val="0"/>
                <w:sz w:val="24"/>
              </w:rPr>
            </w:pPr>
            <w:r>
              <w:rPr>
                <w:rFonts w:hint="eastAsia"/>
                <w:b/>
                <w:color w:val="FFFFFF"/>
                <w:kern w:val="0"/>
                <w:sz w:val="24"/>
              </w:rPr>
              <w:t>合约签约栏</w:t>
            </w:r>
          </w:p>
        </w:tc>
      </w:tr>
      <w:tr w:rsidR="003761E1" w:rsidTr="00C17E17">
        <w:trPr>
          <w:trHeight w:val="7254"/>
        </w:trPr>
        <w:tc>
          <w:tcPr>
            <w:tcW w:w="9923" w:type="dxa"/>
            <w:tcBorders>
              <w:top w:val="single" w:sz="4" w:space="0" w:color="auto"/>
              <w:left w:val="single" w:sz="4" w:space="0" w:color="auto"/>
              <w:bottom w:val="single" w:sz="4" w:space="0" w:color="auto"/>
              <w:right w:val="single" w:sz="4" w:space="0" w:color="auto"/>
            </w:tcBorders>
          </w:tcPr>
          <w:p w:rsidR="003761E1" w:rsidRDefault="003761E1" w:rsidP="00C17E17">
            <w:pPr>
              <w:adjustRightInd w:val="0"/>
              <w:spacing w:line="360" w:lineRule="atLeast"/>
              <w:jc w:val="left"/>
              <w:rPr>
                <w:b/>
                <w:kern w:val="0"/>
                <w:sz w:val="24"/>
              </w:rPr>
            </w:pPr>
            <w:r>
              <w:rPr>
                <w:rFonts w:hint="eastAsia"/>
                <w:b/>
                <w:kern w:val="0"/>
                <w:sz w:val="24"/>
              </w:rPr>
              <w:t>特别提示：</w:t>
            </w:r>
          </w:p>
          <w:p w:rsidR="003761E1" w:rsidRDefault="003761E1" w:rsidP="00C17E17">
            <w:pPr>
              <w:adjustRightInd w:val="0"/>
              <w:spacing w:line="360" w:lineRule="atLeast"/>
              <w:jc w:val="left"/>
              <w:rPr>
                <w:kern w:val="0"/>
                <w:sz w:val="18"/>
                <w:szCs w:val="18"/>
              </w:rPr>
            </w:pPr>
            <w:r>
              <w:rPr>
                <w:rFonts w:hint="eastAsia"/>
                <w:kern w:val="0"/>
                <w:sz w:val="18"/>
                <w:szCs w:val="18"/>
              </w:rPr>
              <w:t>●本协议书与交易内容中所记载的产品说明书共同构成客户与发行银行之间的银行理财产品交易合同（以下简称：本合同），客户在认真阅读上述文件后签署本合同。</w:t>
            </w:r>
          </w:p>
          <w:p w:rsidR="003761E1" w:rsidRDefault="003761E1" w:rsidP="00C17E17">
            <w:pPr>
              <w:adjustRightInd w:val="0"/>
              <w:spacing w:line="360" w:lineRule="atLeast"/>
              <w:jc w:val="left"/>
              <w:rPr>
                <w:kern w:val="0"/>
                <w:sz w:val="18"/>
                <w:szCs w:val="18"/>
              </w:rPr>
            </w:pPr>
            <w:r>
              <w:rPr>
                <w:rFonts w:hint="eastAsia"/>
                <w:kern w:val="0"/>
                <w:sz w:val="18"/>
                <w:szCs w:val="18"/>
              </w:rPr>
              <w:t>●客户按交易内容认购银行理财产品（以下简称：本产品），并授权发行银行按照本合同约定投资方向和方式，进行投资和资产管理，投资收益和风险由客户与发行银行按照本合同约定方式承担。客户与销售银行双方一经签署本协议书，本合同即于下述载明的协议书签署日期发生法律效力。</w:t>
            </w:r>
          </w:p>
          <w:p w:rsidR="003761E1" w:rsidRDefault="003761E1" w:rsidP="00C17E17">
            <w:pPr>
              <w:adjustRightInd w:val="0"/>
              <w:spacing w:line="360" w:lineRule="atLeast"/>
              <w:jc w:val="left"/>
              <w:rPr>
                <w:kern w:val="0"/>
                <w:sz w:val="18"/>
                <w:szCs w:val="18"/>
              </w:rPr>
            </w:pPr>
            <w:r>
              <w:rPr>
                <w:rFonts w:hint="eastAsia"/>
                <w:kern w:val="0"/>
                <w:sz w:val="18"/>
                <w:szCs w:val="18"/>
              </w:rPr>
              <w:t>●客户签署本协议书则被视为已详细阅读过本协议书及交易内容中记载的新产品说明书，并充分理解相关的收益和潜在风险。自愿购买，并遵守本合同项下的各项规定。</w:t>
            </w:r>
          </w:p>
          <w:p w:rsidR="003761E1" w:rsidRDefault="003761E1" w:rsidP="00C17E17">
            <w:pPr>
              <w:adjustRightInd w:val="0"/>
              <w:spacing w:line="280" w:lineRule="exact"/>
              <w:jc w:val="left"/>
              <w:rPr>
                <w:b/>
                <w:kern w:val="0"/>
                <w:sz w:val="20"/>
              </w:rPr>
            </w:pPr>
          </w:p>
          <w:p w:rsidR="003761E1" w:rsidRDefault="003761E1" w:rsidP="00C17E17">
            <w:pPr>
              <w:adjustRightInd w:val="0"/>
              <w:spacing w:line="280" w:lineRule="exact"/>
              <w:jc w:val="left"/>
              <w:rPr>
                <w:b/>
                <w:kern w:val="0"/>
                <w:sz w:val="20"/>
              </w:rPr>
            </w:pPr>
            <w:r>
              <w:rPr>
                <w:rFonts w:hint="eastAsia"/>
                <w:b/>
                <w:kern w:val="0"/>
                <w:sz w:val="20"/>
              </w:rPr>
              <w:t>□本人已阅读本协议书及相应的产品说明书中条款及相应的风险提示，充分了解并清楚知晓本产品的风险，认可本产品信息披露方式，愿意承担相关风险。</w:t>
            </w:r>
          </w:p>
          <w:p w:rsidR="003761E1" w:rsidRDefault="003761E1" w:rsidP="00C17E17">
            <w:pPr>
              <w:adjustRightInd w:val="0"/>
              <w:spacing w:line="280" w:lineRule="exact"/>
              <w:jc w:val="left"/>
              <w:rPr>
                <w:b/>
                <w:kern w:val="0"/>
                <w:sz w:val="20"/>
              </w:rPr>
            </w:pPr>
          </w:p>
          <w:p w:rsidR="003761E1" w:rsidRDefault="003761E1" w:rsidP="003761E1">
            <w:pPr>
              <w:numPr>
                <w:ilvl w:val="0"/>
                <w:numId w:val="1"/>
              </w:numPr>
              <w:adjustRightInd w:val="0"/>
              <w:spacing w:line="280" w:lineRule="exact"/>
              <w:jc w:val="left"/>
              <w:rPr>
                <w:b/>
                <w:kern w:val="0"/>
                <w:sz w:val="20"/>
              </w:rPr>
            </w:pPr>
            <w:r>
              <w:rPr>
                <w:rFonts w:hint="eastAsia"/>
                <w:b/>
                <w:kern w:val="0"/>
                <w:sz w:val="20"/>
              </w:rPr>
              <w:t>经销售银行测评，本人的风险承受能力适合购买本产品。</w:t>
            </w:r>
          </w:p>
          <w:p w:rsidR="003761E1" w:rsidRDefault="003761E1" w:rsidP="00C17E17">
            <w:pPr>
              <w:adjustRightInd w:val="0"/>
              <w:spacing w:line="360" w:lineRule="atLeast"/>
              <w:jc w:val="left"/>
              <w:rPr>
                <w:kern w:val="0"/>
                <w:sz w:val="18"/>
                <w:szCs w:val="18"/>
              </w:rPr>
            </w:pPr>
          </w:p>
          <w:p w:rsidR="003761E1" w:rsidRDefault="003761E1" w:rsidP="00C17E17">
            <w:pPr>
              <w:adjustRightInd w:val="0"/>
              <w:spacing w:line="360" w:lineRule="atLeast"/>
              <w:jc w:val="left"/>
              <w:rPr>
                <w:kern w:val="0"/>
                <w:sz w:val="18"/>
                <w:szCs w:val="18"/>
              </w:rPr>
            </w:pPr>
          </w:p>
          <w:p w:rsidR="003761E1" w:rsidRDefault="003761E1" w:rsidP="00C17E17">
            <w:pPr>
              <w:adjustRightInd w:val="0"/>
              <w:spacing w:line="360" w:lineRule="atLeast"/>
              <w:jc w:val="left"/>
              <w:rPr>
                <w:kern w:val="0"/>
                <w:sz w:val="18"/>
                <w:szCs w:val="18"/>
              </w:rPr>
            </w:pPr>
          </w:p>
          <w:p w:rsidR="003761E1" w:rsidRDefault="003761E1" w:rsidP="00C17E17">
            <w:pPr>
              <w:adjustRightInd w:val="0"/>
              <w:spacing w:line="360" w:lineRule="atLeast"/>
              <w:jc w:val="left"/>
              <w:rPr>
                <w:b/>
                <w:kern w:val="0"/>
                <w:sz w:val="24"/>
                <w:szCs w:val="18"/>
              </w:rPr>
            </w:pPr>
            <w:r>
              <w:rPr>
                <w:rFonts w:hint="eastAsia"/>
                <w:b/>
                <w:kern w:val="0"/>
                <w:sz w:val="24"/>
                <w:szCs w:val="18"/>
              </w:rPr>
              <w:t>甲方：乙方：</w:t>
            </w:r>
          </w:p>
          <w:p w:rsidR="003761E1" w:rsidRDefault="003761E1" w:rsidP="00C17E17">
            <w:pPr>
              <w:adjustRightInd w:val="0"/>
              <w:spacing w:line="360" w:lineRule="atLeast"/>
              <w:jc w:val="left"/>
              <w:rPr>
                <w:kern w:val="0"/>
                <w:sz w:val="24"/>
              </w:rPr>
            </w:pPr>
            <w:r>
              <w:rPr>
                <w:rFonts w:hint="eastAsia"/>
                <w:kern w:val="0"/>
                <w:sz w:val="24"/>
              </w:rPr>
              <w:t>客户签章（个人）：销售银行签章（机构）：</w:t>
            </w:r>
          </w:p>
          <w:p w:rsidR="003761E1" w:rsidRDefault="003761E1" w:rsidP="00C17E17">
            <w:pPr>
              <w:adjustRightInd w:val="0"/>
              <w:spacing w:line="360" w:lineRule="atLeast"/>
              <w:jc w:val="left"/>
              <w:rPr>
                <w:kern w:val="0"/>
                <w:sz w:val="24"/>
              </w:rPr>
            </w:pPr>
            <w:r>
              <w:rPr>
                <w:rFonts w:hint="eastAsia"/>
                <w:kern w:val="0"/>
                <w:sz w:val="24"/>
              </w:rPr>
              <w:t>日期：（加盖经办行“业务公章”）</w:t>
            </w:r>
          </w:p>
          <w:p w:rsidR="003761E1" w:rsidRDefault="003761E1" w:rsidP="00C17E17">
            <w:pPr>
              <w:adjustRightInd w:val="0"/>
              <w:spacing w:line="360" w:lineRule="atLeast"/>
              <w:jc w:val="left"/>
              <w:rPr>
                <w:kern w:val="0"/>
                <w:sz w:val="24"/>
              </w:rPr>
            </w:pPr>
            <w:r>
              <w:rPr>
                <w:rFonts w:hint="eastAsia"/>
                <w:kern w:val="0"/>
                <w:sz w:val="24"/>
              </w:rPr>
              <w:t>客户签章（机构）：日期：</w:t>
            </w:r>
          </w:p>
          <w:p w:rsidR="003761E1" w:rsidRDefault="003761E1" w:rsidP="00C17E17">
            <w:pPr>
              <w:adjustRightInd w:val="0"/>
              <w:spacing w:line="360" w:lineRule="atLeast"/>
              <w:jc w:val="left"/>
              <w:rPr>
                <w:kern w:val="0"/>
                <w:sz w:val="24"/>
              </w:rPr>
            </w:pPr>
            <w:r>
              <w:rPr>
                <w:rFonts w:hint="eastAsia"/>
                <w:kern w:val="0"/>
                <w:sz w:val="24"/>
              </w:rPr>
              <w:t>法定代表人（或授权代理人）：经办行经办人员：</w:t>
            </w:r>
          </w:p>
          <w:p w:rsidR="003761E1" w:rsidRDefault="003761E1" w:rsidP="00C17E17">
            <w:pPr>
              <w:adjustRightInd w:val="0"/>
              <w:spacing w:line="360" w:lineRule="atLeast"/>
              <w:jc w:val="left"/>
              <w:rPr>
                <w:kern w:val="0"/>
                <w:sz w:val="24"/>
              </w:rPr>
            </w:pPr>
            <w:r>
              <w:rPr>
                <w:rFonts w:hint="eastAsia"/>
                <w:kern w:val="0"/>
                <w:sz w:val="24"/>
              </w:rPr>
              <w:t>日期：（加盖个人名章或签章）：</w:t>
            </w:r>
          </w:p>
        </w:tc>
      </w:tr>
    </w:tbl>
    <w:p w:rsidR="003761E1" w:rsidRDefault="003761E1" w:rsidP="00F479D2">
      <w:pPr>
        <w:adjustRightInd w:val="0"/>
        <w:snapToGrid w:val="0"/>
        <w:spacing w:line="360" w:lineRule="auto"/>
        <w:jc w:val="center"/>
        <w:rPr>
          <w:rFonts w:ascii="宋体" w:hAnsi="宋体"/>
          <w:b/>
          <w:bCs/>
          <w:sz w:val="28"/>
          <w:szCs w:val="32"/>
        </w:rPr>
      </w:pPr>
    </w:p>
    <w:p w:rsidR="003761E1" w:rsidRDefault="003761E1" w:rsidP="00F479D2">
      <w:pPr>
        <w:adjustRightInd w:val="0"/>
        <w:snapToGrid w:val="0"/>
        <w:spacing w:line="360" w:lineRule="auto"/>
        <w:jc w:val="center"/>
        <w:rPr>
          <w:rFonts w:ascii="宋体" w:hAnsi="宋体"/>
          <w:b/>
          <w:bCs/>
          <w:sz w:val="28"/>
          <w:szCs w:val="32"/>
        </w:rPr>
      </w:pPr>
    </w:p>
    <w:p w:rsidR="003761E1" w:rsidRDefault="003761E1" w:rsidP="00F479D2">
      <w:pPr>
        <w:adjustRightInd w:val="0"/>
        <w:snapToGrid w:val="0"/>
        <w:spacing w:line="360" w:lineRule="auto"/>
        <w:jc w:val="center"/>
        <w:rPr>
          <w:rFonts w:ascii="宋体" w:hAnsi="宋体"/>
          <w:b/>
          <w:bCs/>
          <w:sz w:val="28"/>
          <w:szCs w:val="32"/>
        </w:rPr>
      </w:pPr>
    </w:p>
    <w:p w:rsidR="003761E1" w:rsidRDefault="003761E1" w:rsidP="00F479D2">
      <w:pPr>
        <w:adjustRightInd w:val="0"/>
        <w:snapToGrid w:val="0"/>
        <w:spacing w:line="360" w:lineRule="auto"/>
        <w:jc w:val="center"/>
        <w:rPr>
          <w:rFonts w:ascii="宋体" w:hAnsi="宋体"/>
          <w:b/>
          <w:bCs/>
          <w:sz w:val="28"/>
          <w:szCs w:val="32"/>
        </w:rPr>
      </w:pPr>
    </w:p>
    <w:p w:rsidR="00F479D2" w:rsidRPr="00B5797B" w:rsidRDefault="00F479D2" w:rsidP="00F479D2">
      <w:pPr>
        <w:adjustRightInd w:val="0"/>
        <w:snapToGrid w:val="0"/>
        <w:spacing w:line="360" w:lineRule="auto"/>
        <w:jc w:val="center"/>
        <w:rPr>
          <w:rFonts w:ascii="宋体" w:hAnsi="宋体"/>
          <w:sz w:val="40"/>
          <w:szCs w:val="44"/>
        </w:rPr>
      </w:pPr>
      <w:r w:rsidRPr="00471B77">
        <w:rPr>
          <w:rFonts w:ascii="宋体" w:hAnsi="宋体" w:hint="eastAsia"/>
          <w:b/>
          <w:bCs/>
          <w:sz w:val="28"/>
          <w:szCs w:val="32"/>
        </w:rPr>
        <w:lastRenderedPageBreak/>
        <w:t>新昌农商银行</w:t>
      </w:r>
      <w:r w:rsidRPr="00B5797B">
        <w:rPr>
          <w:rFonts w:ascii="宋体" w:hAnsi="宋体" w:hint="eastAsia"/>
          <w:b/>
          <w:bCs/>
          <w:sz w:val="28"/>
          <w:szCs w:val="32"/>
        </w:rPr>
        <w:t>“</w:t>
      </w:r>
      <w:r w:rsidR="00BC3FF8">
        <w:rPr>
          <w:rFonts w:ascii="宋体" w:hAnsi="宋体" w:hint="eastAsia"/>
          <w:b/>
          <w:bCs/>
          <w:sz w:val="28"/>
          <w:szCs w:val="32"/>
        </w:rPr>
        <w:t>丰收信福5号</w:t>
      </w:r>
      <w:r w:rsidRPr="00B5797B">
        <w:rPr>
          <w:rFonts w:ascii="宋体" w:hAnsi="宋体" w:hint="eastAsia"/>
          <w:b/>
          <w:bCs/>
          <w:sz w:val="28"/>
          <w:szCs w:val="32"/>
        </w:rPr>
        <w:t>”人民币理财产品协议书</w:t>
      </w:r>
    </w:p>
    <w:p w:rsidR="00F479D2" w:rsidRPr="00B5797B" w:rsidRDefault="00F479D2" w:rsidP="00F479D2">
      <w:pPr>
        <w:spacing w:line="360" w:lineRule="auto"/>
        <w:ind w:firstLineChars="200" w:firstLine="422"/>
        <w:rPr>
          <w:rFonts w:ascii="宋体" w:hAnsi="宋体" w:cs="楷体_GB2312"/>
          <w:sz w:val="22"/>
          <w:szCs w:val="28"/>
        </w:rPr>
      </w:pPr>
      <w:r w:rsidRPr="00B5797B">
        <w:rPr>
          <w:rFonts w:ascii="宋体" w:hAnsi="宋体" w:hint="eastAsia"/>
          <w:b/>
          <w:bCs/>
        </w:rPr>
        <w:t>《新昌农商银行“</w:t>
      </w:r>
      <w:r w:rsidR="00BC3FF8">
        <w:rPr>
          <w:rFonts w:ascii="宋体" w:hAnsi="宋体" w:hint="eastAsia"/>
          <w:b/>
          <w:bCs/>
        </w:rPr>
        <w:t>丰收信福5号</w:t>
      </w:r>
      <w:r w:rsidRPr="00B5797B">
        <w:rPr>
          <w:rFonts w:ascii="宋体" w:hAnsi="宋体" w:hint="eastAsia"/>
          <w:b/>
          <w:bCs/>
        </w:rPr>
        <w:t>”人民币理财产品风险揭示书》、《新昌农商银行“</w:t>
      </w:r>
      <w:r w:rsidR="00BC3FF8">
        <w:rPr>
          <w:rFonts w:ascii="宋体" w:hAnsi="宋体" w:hint="eastAsia"/>
          <w:b/>
          <w:bCs/>
        </w:rPr>
        <w:t>丰收信福5号</w:t>
      </w:r>
      <w:r w:rsidRPr="00B5797B">
        <w:rPr>
          <w:rFonts w:ascii="宋体" w:hAnsi="宋体" w:hint="eastAsia"/>
          <w:b/>
          <w:bCs/>
        </w:rPr>
        <w:t>”人民币理财产品客户权益须知》、《新昌农商银行</w:t>
      </w:r>
      <w:r w:rsidR="005E520C">
        <w:rPr>
          <w:rFonts w:ascii="宋体" w:hAnsi="宋体" w:hint="eastAsia"/>
          <w:b/>
          <w:bCs/>
        </w:rPr>
        <w:t>丰收信福</w:t>
      </w:r>
      <w:r w:rsidR="007D766C">
        <w:rPr>
          <w:rFonts w:ascii="宋体" w:hAnsi="宋体" w:hint="eastAsia"/>
          <w:b/>
          <w:bCs/>
        </w:rPr>
        <w:t>5号</w:t>
      </w:r>
      <w:r w:rsidR="00D214B2">
        <w:rPr>
          <w:rFonts w:ascii="宋体" w:hAnsi="宋体" w:hint="eastAsia"/>
          <w:b/>
          <w:bCs/>
        </w:rPr>
        <w:t>2024年第20期</w:t>
      </w:r>
      <w:r w:rsidRPr="00B5797B">
        <w:rPr>
          <w:rFonts w:ascii="宋体" w:hAnsi="宋体" w:hint="eastAsia"/>
          <w:b/>
          <w:bCs/>
        </w:rPr>
        <w:t>人民币理财产品说明书》、《新昌农商银行“</w:t>
      </w:r>
      <w:r w:rsidR="00BC3FF8">
        <w:rPr>
          <w:rFonts w:ascii="宋体" w:hAnsi="宋体" w:hint="eastAsia"/>
          <w:b/>
          <w:bCs/>
        </w:rPr>
        <w:t>丰收信福5号</w:t>
      </w:r>
      <w:r w:rsidRPr="00B5797B">
        <w:rPr>
          <w:rFonts w:ascii="宋体" w:hAnsi="宋体" w:hint="eastAsia"/>
          <w:b/>
          <w:bCs/>
        </w:rPr>
        <w:t>”人民币理财产品协议书》</w:t>
      </w:r>
      <w:r w:rsidRPr="00B5797B">
        <w:rPr>
          <w:rFonts w:ascii="宋体" w:hAnsi="宋体" w:cs="楷体_GB2312" w:hint="eastAsia"/>
          <w:sz w:val="22"/>
          <w:szCs w:val="28"/>
        </w:rPr>
        <w:t>共同构成甲、乙双方之间的理财产品交易协议（以下简称“本协议”）。</w:t>
      </w:r>
    </w:p>
    <w:p w:rsidR="00F479D2" w:rsidRPr="00B5797B" w:rsidRDefault="00F479D2" w:rsidP="00F479D2">
      <w:pPr>
        <w:spacing w:line="360" w:lineRule="auto"/>
        <w:ind w:firstLineChars="200" w:firstLine="440"/>
        <w:rPr>
          <w:rFonts w:ascii="宋体" w:hAnsi="宋体" w:cs="楷体_GB2312"/>
          <w:sz w:val="22"/>
          <w:szCs w:val="28"/>
        </w:rPr>
      </w:pPr>
      <w:r w:rsidRPr="00B5797B">
        <w:rPr>
          <w:rFonts w:ascii="宋体" w:hAnsi="宋体" w:cs="楷体_GB2312" w:hint="eastAsia"/>
          <w:sz w:val="22"/>
          <w:szCs w:val="28"/>
        </w:rPr>
        <w:t>根据相关法律法规和监管规定，甲乙双方经友好协商，本着平等自愿、诚实信用的原则，就甲方向乙方购买人民币理财产品，达成协议如下：</w:t>
      </w:r>
    </w:p>
    <w:p w:rsidR="00F479D2" w:rsidRPr="00470929" w:rsidRDefault="00F479D2" w:rsidP="00F479D2">
      <w:pPr>
        <w:spacing w:line="360" w:lineRule="auto"/>
        <w:ind w:firstLineChars="200" w:firstLine="440"/>
        <w:rPr>
          <w:rFonts w:ascii="宋体" w:hAnsi="宋体" w:cs="楷体_GB2312"/>
          <w:sz w:val="22"/>
          <w:szCs w:val="28"/>
        </w:rPr>
      </w:pPr>
      <w:r w:rsidRPr="00B5797B">
        <w:rPr>
          <w:rFonts w:ascii="宋体" w:hAnsi="宋体" w:cs="楷体_GB2312" w:hint="eastAsia"/>
          <w:sz w:val="22"/>
          <w:szCs w:val="28"/>
        </w:rPr>
        <w:t>一、</w:t>
      </w:r>
      <w:r w:rsidRPr="00B5797B">
        <w:rPr>
          <w:rFonts w:ascii="宋体" w:hAnsi="宋体" w:hint="eastAsia"/>
          <w:b/>
          <w:bCs/>
        </w:rPr>
        <w:t>《新昌农商银行“</w:t>
      </w:r>
      <w:r w:rsidR="00BC3FF8">
        <w:rPr>
          <w:rFonts w:ascii="宋体" w:hAnsi="宋体" w:hint="eastAsia"/>
          <w:b/>
          <w:bCs/>
        </w:rPr>
        <w:t>丰收信福5号</w:t>
      </w:r>
      <w:r w:rsidRPr="00B5797B">
        <w:rPr>
          <w:rFonts w:ascii="宋体" w:hAnsi="宋体" w:hint="eastAsia"/>
          <w:b/>
          <w:bCs/>
        </w:rPr>
        <w:t>”人民币理财产品风险揭示书》、《新昌农商银行“</w:t>
      </w:r>
      <w:r w:rsidR="00BC3FF8">
        <w:rPr>
          <w:rFonts w:ascii="宋体" w:hAnsi="宋体" w:hint="eastAsia"/>
          <w:b/>
          <w:bCs/>
        </w:rPr>
        <w:t>丰收信福5号</w:t>
      </w:r>
      <w:r w:rsidRPr="00B5797B">
        <w:rPr>
          <w:rFonts w:ascii="宋体" w:hAnsi="宋体" w:hint="eastAsia"/>
          <w:b/>
          <w:bCs/>
        </w:rPr>
        <w:t>”人民币理财产品客户权益须知》、《新昌农商银行</w:t>
      </w:r>
      <w:r w:rsidR="005E520C">
        <w:rPr>
          <w:rFonts w:ascii="宋体" w:hAnsi="宋体" w:hint="eastAsia"/>
          <w:b/>
          <w:bCs/>
        </w:rPr>
        <w:t>丰收信福</w:t>
      </w:r>
      <w:r w:rsidR="007D766C">
        <w:rPr>
          <w:rFonts w:ascii="宋体" w:hAnsi="宋体" w:hint="eastAsia"/>
          <w:b/>
          <w:bCs/>
        </w:rPr>
        <w:t>5号</w:t>
      </w:r>
      <w:r w:rsidR="00D214B2">
        <w:rPr>
          <w:rFonts w:ascii="宋体" w:hAnsi="宋体" w:hint="eastAsia"/>
          <w:b/>
          <w:bCs/>
        </w:rPr>
        <w:t>2024年第20期</w:t>
      </w:r>
      <w:r w:rsidRPr="00B5797B">
        <w:rPr>
          <w:rFonts w:ascii="宋体" w:hAnsi="宋体" w:hint="eastAsia"/>
          <w:b/>
          <w:bCs/>
        </w:rPr>
        <w:t>人民币理财产品说明书》、《浙江新昌农村商业银行股份有限公司理财产品协议书》</w:t>
      </w:r>
      <w:r w:rsidRPr="00B5797B">
        <w:rPr>
          <w:rFonts w:ascii="宋体" w:hAnsi="宋体" w:cs="楷体_GB2312" w:hint="eastAsia"/>
          <w:sz w:val="22"/>
          <w:szCs w:val="28"/>
        </w:rPr>
        <w:t>以及业务凭证共同构成一份完整的、关于甲方所购某一理财产品的理财产</w:t>
      </w:r>
      <w:r w:rsidRPr="00470929">
        <w:rPr>
          <w:rFonts w:ascii="宋体" w:hAnsi="宋体" w:cs="楷体_GB2312" w:hint="eastAsia"/>
          <w:sz w:val="22"/>
          <w:szCs w:val="28"/>
        </w:rPr>
        <w:t xml:space="preserve">品法律文件（以下简称“理财产品文件”）。 </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二、甲方声明和保证：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（一）个人投资者声明和保证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1、甲方具有完全民事行为能力；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2、甲方以本人合法所有的资金购买理财产品；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3、甲方已如实向乙方披露其风险承受能力状况及相关信息；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4、甲方清楚知晓、接受并承诺遵守理财产品文件相关条款，对有关条款不存在任何疑问或异议，清楚了解所购买理财产品的收益类型、适用客户类别、投资方向、流动性、主要风险等内容，完全知晓理财产品可能出现的各种风险，愿意并能够承担这些风险；乙方向甲方提供的市场分析和预测仅供参考，甲方据此做出的任何决策出于甲方自己的判断，乙方不承担任何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（二）机构投资者声明和保证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1、甲方为依法设立并合法存续的企业法人、事业法人、社会团体或其他组织，具有依据法律法规投资理财产品的资格；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2、签署和履行本协议系基于甲方的真实意思表示，已经按照其章程或者其它内部管理文件的要求取得合法、有效的授权，且不会违反对甲方有约束力的任何协议、合同和其他法律文件；甲方已经或将会取得签订和履行本协议所需的一切有关批准、许可、备案或者登记；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lastRenderedPageBreak/>
        <w:t xml:space="preserve">3、甲方用于购买理财产品的资金为其合法所有并具有完全的占有、使用、收益、处分权，该资金可合法地投资于理财产品而不存在任何禁止或限制情形；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4、甲方已如实、完整向乙方披露其风险承受能力状况及相关信息；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5、甲方之授权签字人已得到签署理财产品文件的充分有效授权。甲方的法定代表人或授权签字人具有完全的民事行为能力并已详细阅读本协议书、《理财产品说明书》等理财产品文件，清楚知晓、接受并承诺遵守理财产品文件，对有关条款不存在任何疑问或异议，清楚了解所购买理财产品的收益类型、适用客户类别、投资方向、流动性、主要风险等内容，完全知晓理财产品可能出现的各种风险，甲方愿意并能够承担这些风险；乙方向甲方提供的市场分析和预测仅供参考，甲方据此做出的任何决策出于甲方自己的判断，投资决策风险由甲方自行承担，乙方不承担任何责任。</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三、双方权利与义务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（一）甲方有权依照理财产品文件约定获取投资收益，在约定的投资期内，投资本金不另计存款利息。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（二）甲方有义务保证投资资金的来源合法，投资行为及资金投向符合法律、法规及相关监管部门的规定。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（三）甲方有义务保证所提供的信息、资料真实有效，如变更，应及时到乙方办理变更登记，因甲方未及时办理相关变更手续而造成的损失，乙方不承担责任。</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四）甲方有义务在其资金账户中预留足额的认/申购资金，并按照理财产品文件和乙方业务规定办理认/申购、赎回、转换理财产品，缴纳认/申购、赎回、转换理财产品的资金和费用等理财款项。如因甲方原因导致理财款项不能从其资金账户足额划转的，认/申购、赎回、转换等行为无效，乙方不承担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（五）乙方有权依据理财产品文件根据管理、运用和处分理财产品财产的需要，独立对理财资金进行投资管理。乙方可委托经相关监管机构批准或认可的其他金融机构对理财资金进行投资管理。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（六）乙方有权从甲方资金账户扣划本协议项下理财产品相应认/申购资金等理财款项，或将相应资金币种转换后进行境外投资。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（七）乙方有权依据理财产品文件决定投资本金和收益分配方案；乙方有权向甲方收取一定的理财产品管理费，具体收费方式和标准在《产品说明书》中载明。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（八）认购期满，募集资金未达到《产品说明书》所规定的规模，乙方有权终止理财产品的销售或相应延长认购期。如认购期内提前达到《产品说明书》所规定的募集金</w:t>
      </w:r>
      <w:r w:rsidRPr="00470929">
        <w:rPr>
          <w:rFonts w:ascii="宋体" w:hAnsi="宋体" w:cs="楷体_GB2312" w:hint="eastAsia"/>
          <w:sz w:val="22"/>
          <w:szCs w:val="28"/>
        </w:rPr>
        <w:lastRenderedPageBreak/>
        <w:t xml:space="preserve">额，乙方有权提前结束认购期并相应调整投资收益起算日和理财产品到期日。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九）乙方依约定将须支付的本金及收益划入甲方资金账户后，即视为向甲方完成支付义务。因甲方资金账户冻结、挂失、换卡、销户、长期不动户等原因造成甲方资金账户变更或异常以及甲方因办理质押导致甲方指定资金账户变更，甲方应及时到乙方办理变更手续，如因甲方未及时办理变更手续而造成投资本金误扣划以及投资本金与收益无法入账，甲方承担全部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（十）乙方有义务根据恪守信用、勤勉尽责的原则管理和运用理财产品财产，维护甲方利益。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（十一）除另有约定外，乙方不负责代扣代缴甲方应缴纳的税款。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（十二）甲、乙双方对本协议及其条款负有保密义务。除法律法规、监管部门另有规定外，未经一方书面认可，另一方不得向任何组织、个人提供或泄漏与对方有关的资料和信息。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（十三）法律法规和理财产品文件规定的其他权利和义务。</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四、违约及争议解决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（一）一方不能履行或者不能完全履行理财产品文件的，应承担违约责任。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因法律、法规、监管规定、监管部门政策变化、自然灾害、意外事故、战争、系统故障、通讯故障等乙方不能控制或不可归责于乙方的因素，导致乙方无法或延后履行本协议及其他理财产品文件的，乙方不承担责任，但乙方应在条件允许的情况下采取必要的补救措施，以减少损失。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三）非因乙方原因（包括但不限于本协议遗失或被盗、甲方资金账户及相关交易账户被有权机关冻结或扣划、甲方私下将本协议中所指卡、折等重要私人物品交由乙方人员保管等原因）造成的甲方损失，乙方不承担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（四）本协议及理财产品文件均适用中华人民共和国法律。本协议项下的任何争议，双方应通过友好协商解决；若协商不成，应向乙方所在地人民法院诉讼解决。</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 五、协议生效、终止及其他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（一）甲方为个人投资者的，本协议经甲方签字，乙方盖章后生效；甲方为机构投资者的，本协议经甲方授权签字人签字并加盖法人公章，乙方盖章后生效；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（二）除《产品说明书》约定的提前终止情形外，甲方有违约行为或甲方资金账户被有权机关冻结、扣划时，乙方有权提前终止本协议。</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（三）如甲方与乙方之间存在多份产品协议书，则每一份产品协议书之间相互独立，</w:t>
      </w:r>
      <w:r w:rsidRPr="00470929">
        <w:rPr>
          <w:rFonts w:ascii="宋体" w:hAnsi="宋体" w:cs="楷体_GB2312" w:hint="eastAsia"/>
          <w:sz w:val="22"/>
          <w:szCs w:val="28"/>
        </w:rPr>
        <w:lastRenderedPageBreak/>
        <w:t>每一份产品协议书的效力及履行情况均独立于其他产品协议书。</w:t>
      </w:r>
    </w:p>
    <w:p w:rsidR="00F479D2" w:rsidRPr="00471B77"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（四）本产品协议书一式二份，经双方签字或盖章且产品协议书项下的认购资金存入理财账户后生效，双方各执一份，具有同等法律效力。</w:t>
      </w:r>
    </w:p>
    <w:p w:rsidR="00F7775A" w:rsidRPr="00F479D2" w:rsidRDefault="00F7775A"/>
    <w:sectPr w:rsidR="00F7775A" w:rsidRPr="00F479D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3E0B" w:rsidRDefault="00A83E0B" w:rsidP="00F479D2">
      <w:r>
        <w:separator/>
      </w:r>
    </w:p>
  </w:endnote>
  <w:endnote w:type="continuationSeparator" w:id="0">
    <w:p w:rsidR="00A83E0B" w:rsidRDefault="00A83E0B" w:rsidP="00F479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仿宋_GB2312">
    <w:panose1 w:val="02010609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3E0B" w:rsidRDefault="00A83E0B" w:rsidP="00F479D2">
      <w:r>
        <w:separator/>
      </w:r>
    </w:p>
  </w:footnote>
  <w:footnote w:type="continuationSeparator" w:id="0">
    <w:p w:rsidR="00A83E0B" w:rsidRDefault="00A83E0B" w:rsidP="00F479D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320103"/>
    <w:multiLevelType w:val="multilevel"/>
    <w:tmpl w:val="4F320103"/>
    <w:lvl w:ilvl="0">
      <w:numFmt w:val="bullet"/>
      <w:lvlText w:val="□"/>
      <w:lvlJc w:val="left"/>
      <w:pPr>
        <w:tabs>
          <w:tab w:val="left" w:pos="360"/>
        </w:tabs>
        <w:ind w:left="360" w:hanging="360"/>
      </w:pPr>
      <w:rPr>
        <w:rFonts w:ascii="仿宋_GB2312" w:eastAsia="仿宋_GB2312" w:hAnsi="Times New Roman" w:hint="eastAsia"/>
        <w:b/>
      </w:rPr>
    </w:lvl>
    <w:lvl w:ilvl="1">
      <w:start w:val="1"/>
      <w:numFmt w:val="decimal"/>
      <w:lvlText w:val="%2."/>
      <w:lvlJc w:val="left"/>
      <w:pPr>
        <w:tabs>
          <w:tab w:val="left" w:pos="1440"/>
        </w:tabs>
        <w:ind w:left="1440" w:hanging="360"/>
      </w:pPr>
      <w:rPr>
        <w:rFonts w:cs="Times New Roman"/>
      </w:rPr>
    </w:lvl>
    <w:lvl w:ilvl="2">
      <w:start w:val="1"/>
      <w:numFmt w:val="decimal"/>
      <w:lvlText w:val="%3."/>
      <w:lvlJc w:val="left"/>
      <w:pPr>
        <w:tabs>
          <w:tab w:val="left" w:pos="2160"/>
        </w:tabs>
        <w:ind w:left="2160" w:hanging="360"/>
      </w:pPr>
      <w:rPr>
        <w:rFonts w:cs="Times New Roman"/>
      </w:rPr>
    </w:lvl>
    <w:lvl w:ilvl="3">
      <w:start w:val="1"/>
      <w:numFmt w:val="decimal"/>
      <w:lvlText w:val="%4."/>
      <w:lvlJc w:val="left"/>
      <w:pPr>
        <w:tabs>
          <w:tab w:val="left" w:pos="2880"/>
        </w:tabs>
        <w:ind w:left="2880" w:hanging="360"/>
      </w:pPr>
      <w:rPr>
        <w:rFonts w:cs="Times New Roman"/>
      </w:rPr>
    </w:lvl>
    <w:lvl w:ilvl="4">
      <w:start w:val="1"/>
      <w:numFmt w:val="decimal"/>
      <w:lvlText w:val="%5."/>
      <w:lvlJc w:val="left"/>
      <w:pPr>
        <w:tabs>
          <w:tab w:val="left" w:pos="3600"/>
        </w:tabs>
        <w:ind w:left="3600" w:hanging="360"/>
      </w:pPr>
      <w:rPr>
        <w:rFonts w:cs="Times New Roman"/>
      </w:rPr>
    </w:lvl>
    <w:lvl w:ilvl="5">
      <w:start w:val="1"/>
      <w:numFmt w:val="decimal"/>
      <w:lvlText w:val="%6."/>
      <w:lvlJc w:val="left"/>
      <w:pPr>
        <w:tabs>
          <w:tab w:val="left" w:pos="4320"/>
        </w:tabs>
        <w:ind w:left="4320" w:hanging="360"/>
      </w:pPr>
      <w:rPr>
        <w:rFonts w:cs="Times New Roman"/>
      </w:rPr>
    </w:lvl>
    <w:lvl w:ilvl="6">
      <w:start w:val="1"/>
      <w:numFmt w:val="decimal"/>
      <w:lvlText w:val="%7."/>
      <w:lvlJc w:val="left"/>
      <w:pPr>
        <w:tabs>
          <w:tab w:val="left" w:pos="5040"/>
        </w:tabs>
        <w:ind w:left="5040" w:hanging="360"/>
      </w:pPr>
      <w:rPr>
        <w:rFonts w:cs="Times New Roman"/>
      </w:rPr>
    </w:lvl>
    <w:lvl w:ilvl="7">
      <w:start w:val="1"/>
      <w:numFmt w:val="decimal"/>
      <w:lvlText w:val="%8."/>
      <w:lvlJc w:val="left"/>
      <w:pPr>
        <w:tabs>
          <w:tab w:val="left" w:pos="5760"/>
        </w:tabs>
        <w:ind w:left="5760" w:hanging="360"/>
      </w:pPr>
      <w:rPr>
        <w:rFonts w:cs="Times New Roman"/>
      </w:rPr>
    </w:lvl>
    <w:lvl w:ilvl="8">
      <w:start w:val="1"/>
      <w:numFmt w:val="decimal"/>
      <w:lvlText w:val="%9."/>
      <w:lvlJc w:val="left"/>
      <w:pPr>
        <w:tabs>
          <w:tab w:val="left" w:pos="6480"/>
        </w:tabs>
        <w:ind w:left="6480" w:hanging="360"/>
      </w:pPr>
      <w:rPr>
        <w:rFonts w:cs="Times New Roman"/>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694B"/>
    <w:rsid w:val="00002E47"/>
    <w:rsid w:val="0007311A"/>
    <w:rsid w:val="000C3945"/>
    <w:rsid w:val="000E01C3"/>
    <w:rsid w:val="000E0B63"/>
    <w:rsid w:val="00124536"/>
    <w:rsid w:val="001555E0"/>
    <w:rsid w:val="001B40CC"/>
    <w:rsid w:val="001C7191"/>
    <w:rsid w:val="001D67A9"/>
    <w:rsid w:val="001F034C"/>
    <w:rsid w:val="001F6257"/>
    <w:rsid w:val="002136CB"/>
    <w:rsid w:val="0021546E"/>
    <w:rsid w:val="00235E97"/>
    <w:rsid w:val="002A4287"/>
    <w:rsid w:val="00315680"/>
    <w:rsid w:val="00315AEF"/>
    <w:rsid w:val="00351F6D"/>
    <w:rsid w:val="003761E1"/>
    <w:rsid w:val="003777B1"/>
    <w:rsid w:val="003D3A7F"/>
    <w:rsid w:val="00414820"/>
    <w:rsid w:val="00446057"/>
    <w:rsid w:val="00452EFB"/>
    <w:rsid w:val="004658BF"/>
    <w:rsid w:val="004B4BF6"/>
    <w:rsid w:val="004E31EC"/>
    <w:rsid w:val="0051182B"/>
    <w:rsid w:val="005269E9"/>
    <w:rsid w:val="00547FF4"/>
    <w:rsid w:val="00565D53"/>
    <w:rsid w:val="005678BC"/>
    <w:rsid w:val="00586EE6"/>
    <w:rsid w:val="005E520C"/>
    <w:rsid w:val="00621117"/>
    <w:rsid w:val="006557B3"/>
    <w:rsid w:val="00666108"/>
    <w:rsid w:val="006D4BFF"/>
    <w:rsid w:val="00704DF3"/>
    <w:rsid w:val="00750104"/>
    <w:rsid w:val="007A17FF"/>
    <w:rsid w:val="007B4E5A"/>
    <w:rsid w:val="007D766C"/>
    <w:rsid w:val="007E35B6"/>
    <w:rsid w:val="007E4E39"/>
    <w:rsid w:val="007F2A13"/>
    <w:rsid w:val="007F73FC"/>
    <w:rsid w:val="007F7D8A"/>
    <w:rsid w:val="008415B5"/>
    <w:rsid w:val="008A3F57"/>
    <w:rsid w:val="008D6974"/>
    <w:rsid w:val="009011DE"/>
    <w:rsid w:val="00953079"/>
    <w:rsid w:val="009703DA"/>
    <w:rsid w:val="009A0776"/>
    <w:rsid w:val="009C203F"/>
    <w:rsid w:val="009C7D5D"/>
    <w:rsid w:val="009D34C3"/>
    <w:rsid w:val="009E22BF"/>
    <w:rsid w:val="00A034E9"/>
    <w:rsid w:val="00A05E54"/>
    <w:rsid w:val="00A2715B"/>
    <w:rsid w:val="00A43DBA"/>
    <w:rsid w:val="00A52E41"/>
    <w:rsid w:val="00A81C48"/>
    <w:rsid w:val="00A83E0B"/>
    <w:rsid w:val="00AA1CAA"/>
    <w:rsid w:val="00B32E4A"/>
    <w:rsid w:val="00B5797B"/>
    <w:rsid w:val="00B96228"/>
    <w:rsid w:val="00BA694B"/>
    <w:rsid w:val="00BC3FF8"/>
    <w:rsid w:val="00C004DB"/>
    <w:rsid w:val="00C10F4E"/>
    <w:rsid w:val="00C17E17"/>
    <w:rsid w:val="00C83A99"/>
    <w:rsid w:val="00CA05C5"/>
    <w:rsid w:val="00CB2ACE"/>
    <w:rsid w:val="00CB5BCA"/>
    <w:rsid w:val="00CF1779"/>
    <w:rsid w:val="00CF180E"/>
    <w:rsid w:val="00CF5A9E"/>
    <w:rsid w:val="00CF78E7"/>
    <w:rsid w:val="00D214B2"/>
    <w:rsid w:val="00D36280"/>
    <w:rsid w:val="00D412EA"/>
    <w:rsid w:val="00D4331E"/>
    <w:rsid w:val="00D84C3A"/>
    <w:rsid w:val="00DA6C72"/>
    <w:rsid w:val="00DC5F72"/>
    <w:rsid w:val="00DD0F41"/>
    <w:rsid w:val="00DE0D14"/>
    <w:rsid w:val="00DE6EB0"/>
    <w:rsid w:val="00DF77A7"/>
    <w:rsid w:val="00E23C7B"/>
    <w:rsid w:val="00E628C0"/>
    <w:rsid w:val="00E85F0A"/>
    <w:rsid w:val="00EA280D"/>
    <w:rsid w:val="00EE386E"/>
    <w:rsid w:val="00F12CFF"/>
    <w:rsid w:val="00F31F0F"/>
    <w:rsid w:val="00F479D2"/>
    <w:rsid w:val="00F7775A"/>
    <w:rsid w:val="00FB37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79D2"/>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479D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479D2"/>
    <w:rPr>
      <w:sz w:val="18"/>
      <w:szCs w:val="18"/>
    </w:rPr>
  </w:style>
  <w:style w:type="paragraph" w:styleId="a4">
    <w:name w:val="footer"/>
    <w:basedOn w:val="a"/>
    <w:link w:val="Char0"/>
    <w:uiPriority w:val="99"/>
    <w:unhideWhenUsed/>
    <w:rsid w:val="00F479D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479D2"/>
    <w:rPr>
      <w:sz w:val="18"/>
      <w:szCs w:val="18"/>
    </w:rPr>
  </w:style>
  <w:style w:type="paragraph" w:styleId="a5">
    <w:name w:val="Balloon Text"/>
    <w:basedOn w:val="a"/>
    <w:link w:val="Char1"/>
    <w:uiPriority w:val="99"/>
    <w:semiHidden/>
    <w:unhideWhenUsed/>
    <w:rsid w:val="003761E1"/>
    <w:rPr>
      <w:sz w:val="18"/>
      <w:szCs w:val="18"/>
    </w:rPr>
  </w:style>
  <w:style w:type="character" w:customStyle="1" w:styleId="Char1">
    <w:name w:val="批注框文本 Char"/>
    <w:basedOn w:val="a0"/>
    <w:link w:val="a5"/>
    <w:uiPriority w:val="99"/>
    <w:semiHidden/>
    <w:rsid w:val="003761E1"/>
    <w:rPr>
      <w:rFonts w:ascii="Calibri" w:eastAsia="宋体" w:hAnsi="Calibr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79D2"/>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479D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479D2"/>
    <w:rPr>
      <w:sz w:val="18"/>
      <w:szCs w:val="18"/>
    </w:rPr>
  </w:style>
  <w:style w:type="paragraph" w:styleId="a4">
    <w:name w:val="footer"/>
    <w:basedOn w:val="a"/>
    <w:link w:val="Char0"/>
    <w:uiPriority w:val="99"/>
    <w:unhideWhenUsed/>
    <w:rsid w:val="00F479D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479D2"/>
    <w:rPr>
      <w:sz w:val="18"/>
      <w:szCs w:val="18"/>
    </w:rPr>
  </w:style>
  <w:style w:type="paragraph" w:styleId="a5">
    <w:name w:val="Balloon Text"/>
    <w:basedOn w:val="a"/>
    <w:link w:val="Char1"/>
    <w:uiPriority w:val="99"/>
    <w:semiHidden/>
    <w:unhideWhenUsed/>
    <w:rsid w:val="003761E1"/>
    <w:rPr>
      <w:sz w:val="18"/>
      <w:szCs w:val="18"/>
    </w:rPr>
  </w:style>
  <w:style w:type="character" w:customStyle="1" w:styleId="Char1">
    <w:name w:val="批注框文本 Char"/>
    <w:basedOn w:val="a0"/>
    <w:link w:val="a5"/>
    <w:uiPriority w:val="99"/>
    <w:semiHidden/>
    <w:rsid w:val="003761E1"/>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154</TotalTime>
  <Pages>5</Pages>
  <Words>503</Words>
  <Characters>2871</Characters>
  <Application>Microsoft Office Word</Application>
  <DocSecurity>0</DocSecurity>
  <Lines>23</Lines>
  <Paragraphs>6</Paragraphs>
  <ScaleCrop>false</ScaleCrop>
  <Company/>
  <LinksUpToDate>false</LinksUpToDate>
  <CharactersWithSpaces>3368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王晓莉</cp:lastModifiedBy>
  <cp:revision>102</cp:revision>
  <dcterms:created xsi:type="dcterms:W3CDTF">2020-04-28T03:12:00Z</dcterms:created>
  <dcterms:modified xsi:type="dcterms:W3CDTF">2024-08-16T02:13:00Z</dcterms:modified>
</cp:coreProperties>
</file>