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丰裕固收24116期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丰裕固收24116期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FYG24116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Z7002224000143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2024年5月15日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16,235.8582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2024年5月16日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