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兴业银行天天万利宝稳利6号Q款净值型理财产品</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兴业银行天天万利宝稳利6号Q款净值型理财产品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9K209210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Z7002021000172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3,615,099,723.66份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稳利月月增利D款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3,400,462,703.31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稳利月月增利D款B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156,253,716.40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稳利月月增利D款C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9K20921C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2,985,528.68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稳利月月增利D款D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9K20921D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55,397,775.27</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产品9K20921A自成立日以来，累计净值增长率为4.9340%，年化累计净值增长率为3.2803%。</w:t>
            </w:r>
            <w:r>
              <w:rPr>
                <w:rFonts w:ascii="宋体" w:hAnsi="宋体" w:eastAsia="宋体" w:cs="宋体"/>
                <w:color w:val="000000"/>
                <w:sz w:val="21"/>
              </w:rPr>
              <w:br w:type="textWrapping"/>
            </w:r>
            <w:r>
              <w:rPr>
                <w:rFonts w:ascii="宋体" w:hAnsi="宋体" w:eastAsia="宋体" w:cs="宋体"/>
                <w:color w:val="000000"/>
                <w:sz w:val="21"/>
              </w:rPr>
              <w:t>产品9K20921B自成立日以来，累计净值增长率为3.9040%，年化累计净值增长率为2.8904%。</w:t>
            </w:r>
            <w:r>
              <w:rPr>
                <w:rFonts w:ascii="宋体" w:hAnsi="宋体" w:eastAsia="宋体" w:cs="宋体"/>
                <w:color w:val="000000"/>
                <w:sz w:val="21"/>
              </w:rPr>
              <w:br w:type="textWrapping"/>
            </w:r>
            <w:r>
              <w:rPr>
                <w:rFonts w:ascii="宋体" w:hAnsi="宋体" w:eastAsia="宋体" w:cs="宋体"/>
                <w:color w:val="000000"/>
                <w:sz w:val="21"/>
              </w:rPr>
              <w:t>产品9K20921C自成立日以来，累计净值增长率为1.1918%，年化累计净值增长率为2.3515%。</w:t>
            </w:r>
            <w:r>
              <w:rPr>
                <w:rFonts w:ascii="宋体" w:hAnsi="宋体" w:eastAsia="宋体" w:cs="宋体"/>
                <w:color w:val="000000"/>
                <w:sz w:val="21"/>
              </w:rPr>
              <w:br w:type="textWrapping"/>
            </w:r>
            <w:r>
              <w:rPr>
                <w:rFonts w:ascii="宋体" w:hAnsi="宋体" w:eastAsia="宋体" w:cs="宋体"/>
                <w:color w:val="000000"/>
                <w:sz w:val="21"/>
              </w:rPr>
              <w:t>产品9K20921D自成立日以来，累计净值增长率为1.9370%，年化累计净值增长率为2.6381%。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3,782,285,036.21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3,558,880,638.09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162,353,881.05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3,122,897.77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57,927,619.30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张宸先生，中山大学西方经济学硕士，中山大学经济学学士，8年资深投研经验，5年固收产品管理经验，曾任职于广发银行股份有限公司、广发证券股份有限公司。2019年加入兴银理财有限责任公司，任固定收益投资部高级投资经理。投资经验丰富，产品业绩稳健，擅长宏观基本面研究、利率债交易以及信用债套利挖掘。</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一、2022年四季度投资策略与运作回顾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兴业银行天天万利宝稳利6号Q款净值型理财产品2022年第四季度报告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年末，相比9</w:t>
            </w:r>
            <w:bookmarkStart w:id="7" w:name="_GoBack"/>
            <w:bookmarkEnd w:id="7"/>
            <w:r>
              <w:rPr>
                <w:rFonts w:ascii="宋体" w:hAnsi="宋体" w:eastAsia="宋体" w:cs="宋体"/>
                <w:color w:val="000000"/>
                <w:sz w:val="21"/>
              </w:rPr>
              <w:t>月底，10年国债上行8bp，同业存单上行43bp，3年AAA中票上行50bp，3年AA+中票上行74bp。</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t>二、2023一季度投资策略展望</w:t>
            </w:r>
            <w:r>
              <w:rPr>
                <w:rFonts w:ascii="宋体" w:hAnsi="宋体" w:eastAsia="宋体" w:cs="宋体"/>
                <w:color w:val="000000"/>
                <w:sz w:val="21"/>
              </w:rPr>
              <w:br w:type="textWrapping"/>
            </w:r>
            <w:r>
              <w:rPr>
                <w:rFonts w:ascii="宋体" w:hAnsi="宋体" w:eastAsia="宋体" w:cs="宋体"/>
                <w:color w:val="000000"/>
                <w:sz w:val="21"/>
              </w:rP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63.26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35.11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768,008,474.58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新华资产-明鑫七号资产管理产品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740,873,948.97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中国工商银行杭州分行大额存单02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499,534,000.00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中国工商银行杭州分行大额存单01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499,534,000.00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20株高F1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89,656,650.00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19武侯01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69,905,220.00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22聚盈建发ABN002优先</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67,972,038.00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20启国01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59,908,260.00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50,331,532.34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21常德经建MTN002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21胶州城投MTN001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21武商贸集MTN002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22高速地产CP001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22靖江城投CP001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22聚盈建发ABN002优先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8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051010100101200323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兴业银行天天万利宝稳利6号Q款净值型理财产品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tcPr>
            <w:gridSpan w:val="4"/>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78E913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2023-01-17T02:17:10Z</dcterms:created>
  <dc:creator>cib</dc:creator>
  <cp:lastModifiedBy>cib</cp:lastModifiedBy>
  <dcterms:modified xsi:type="dcterms:W3CDTF">2023-01-17T02:17:53Z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