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兴银理财天天万利宝稳利恒盈7号封闭式净值型理财产品第16期2022年半年度报告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兴银理财天天万利宝稳利恒盈7号封闭式净值型理财产品第16期</w:t>
            </w:r>
            <w:r>
              <w:rPr>
                <w:rFonts w:ascii="宋体" w:hAnsi="宋体" w:eastAsia="宋体" w:cs="宋体"/>
                <w:b/>
                <w:color w:val="000000"/>
                <w:sz w:val="32"/>
              </w:rPr>
              <w:br w:type="textWrapping"/>
            </w:r>
            <w:r>
              <w:rPr>
                <w:rFonts w:ascii="宋体" w:hAnsi="宋体" w:eastAsia="宋体" w:cs="宋体"/>
                <w:b/>
                <w:color w:val="000000"/>
                <w:sz w:val="32"/>
              </w:rPr>
              <w:t>2022年半年度报告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报告送出日期：2022年9月21日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兴银理财天天万利宝稳利恒盈7号封闭式净值型理财产品第16期2022年半年度报告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理财托管机构报告</w:t>
            </w:r>
            <w:r>
              <w:rPr>
                <w:rFonts w:ascii="宋体" w:hAnsi="宋体" w:eastAsia="宋体" w:cs="宋体"/>
                <w:color w:val="000000"/>
                <w:sz w:val="21"/>
              </w:rPr>
              <w:br w:type="textWrapping"/>
            </w:r>
            <w:r>
              <w:rPr>
                <w:rFonts w:ascii="宋体" w:hAnsi="宋体" w:eastAsia="宋体" w:cs="宋体"/>
                <w:color w:val="000000"/>
                <w:sz w:val="21"/>
              </w:rPr>
              <w:t>§ 七.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兴银理财天天万利宝稳利恒盈7号封闭式净值型理财产品第16期2022年半年度报告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兴银理财天天万利宝稳利恒盈7号封闭式净值型理财产品第16期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9N213160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Z7002021000243</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1,263,631,661.54份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4.50%--5.00%/5.00%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稳利恒盈7号16期 3年季分红A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9N21316A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278,061,262.90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稳利恒盈7号16期 3年季分红B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9N21316B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787,970,000.00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稳利恒盈7号16期 3年季分红C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9N21316C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9,517,856.92</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兴银理财天天万利宝稳利恒盈7号封闭式净值型理财产品第16期2022年半年度报告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稳利恒盈7号16期 3年乡村振兴</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9N21316D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188,082,541.72</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产品9N21316A自成立日以来，累计净值增长率为1.6580%，年化累计净值增长率为5.0431%。</w:t>
            </w:r>
            <w:r>
              <w:rPr>
                <w:rFonts w:ascii="宋体" w:hAnsi="宋体" w:eastAsia="宋体" w:cs="宋体"/>
                <w:color w:val="000000"/>
                <w:sz w:val="21"/>
              </w:rPr>
              <w:br w:type="textWrapping"/>
            </w:r>
            <w:r>
              <w:rPr>
                <w:rFonts w:ascii="宋体" w:hAnsi="宋体" w:eastAsia="宋体" w:cs="宋体"/>
                <w:color w:val="000000"/>
                <w:sz w:val="21"/>
              </w:rPr>
              <w:t>产品9N21316B自成立日以来，累计净值增长率为1.6910%，年化累计净值增长率为5.1435%。</w:t>
            </w:r>
            <w:r>
              <w:rPr>
                <w:rFonts w:ascii="宋体" w:hAnsi="宋体" w:eastAsia="宋体" w:cs="宋体"/>
                <w:color w:val="000000"/>
                <w:sz w:val="21"/>
              </w:rPr>
              <w:br w:type="textWrapping"/>
            </w:r>
            <w:r>
              <w:rPr>
                <w:rFonts w:ascii="宋体" w:hAnsi="宋体" w:eastAsia="宋体" w:cs="宋体"/>
                <w:color w:val="000000"/>
                <w:sz w:val="21"/>
              </w:rPr>
              <w:t>产品9N21316C自成立日以来，累计净值增长率为1.6240%，年化累计净值增长率为4.9397%。</w:t>
            </w:r>
            <w:r>
              <w:rPr>
                <w:rFonts w:ascii="宋体" w:hAnsi="宋体" w:eastAsia="宋体" w:cs="宋体"/>
                <w:color w:val="000000"/>
                <w:sz w:val="21"/>
              </w:rPr>
              <w:br w:type="textWrapping"/>
            </w:r>
            <w:r>
              <w:rPr>
                <w:rFonts w:ascii="宋体" w:hAnsi="宋体" w:eastAsia="宋体" w:cs="宋体"/>
                <w:color w:val="000000"/>
                <w:sz w:val="21"/>
              </w:rPr>
              <w:t>产品9N21316D自成立日以来，累计净值增长率为1.6910%，年化累计净值增长率为5.1435%。</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1.01683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1.01683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1,284,897,972.03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282,670,407.27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801,292,556.93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9,672,471.37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191,262,536.46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一、2022年上半年投资策略与运作回顾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兴银理财天天万利宝稳利恒盈7号封闭式净值型理财产品第16期2022年半年度报告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6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左右。3</w:t>
            </w:r>
            <w:bookmarkStart w:id="8" w:name="_GoBack"/>
            <w:bookmarkEnd w:id="8"/>
            <w:r>
              <w:rPr>
                <w:rFonts w:ascii="宋体" w:hAnsi="宋体" w:eastAsia="宋体" w:cs="宋体"/>
                <w:color w:val="000000"/>
                <w:sz w:val="21"/>
              </w:rPr>
              <w:t>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r>
            <w:r>
              <w:rPr>
                <w:rFonts w:ascii="宋体" w:hAnsi="宋体" w:eastAsia="宋体" w:cs="宋体"/>
                <w:color w:val="000000"/>
                <w:sz w:val="21"/>
              </w:rPr>
              <w:br w:type="textWrapping"/>
            </w:r>
            <w:r>
              <w:rPr>
                <w:rFonts w:ascii="宋体" w:hAnsi="宋体" w:eastAsia="宋体" w:cs="宋体"/>
                <w:color w:val="000000"/>
                <w:sz w:val="21"/>
              </w:rPr>
              <w:t xml:space="preserve">    二、下半年投资策略</w:t>
            </w:r>
            <w:r>
              <w:rPr>
                <w:rFonts w:ascii="宋体" w:hAnsi="宋体" w:eastAsia="宋体" w:cs="宋体"/>
                <w:color w:val="000000"/>
                <w:sz w:val="21"/>
              </w:rPr>
              <w:br w:type="textWrapping"/>
            </w:r>
            <w:r>
              <w:rPr>
                <w:rFonts w:ascii="宋体" w:hAnsi="宋体" w:eastAsia="宋体" w:cs="宋体"/>
                <w:color w:val="000000"/>
                <w:sz w:val="21"/>
              </w:rP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r>
            <w:r>
              <w:rPr>
                <w:rFonts w:ascii="宋体" w:hAnsi="宋体" w:eastAsia="宋体" w:cs="宋体"/>
                <w:color w:val="000000"/>
                <w:sz w:val="21"/>
              </w:rPr>
              <w:br w:type="textWrapping"/>
            </w:r>
            <w:r>
              <w:rPr>
                <w:rFonts w:ascii="宋体" w:hAnsi="宋体" w:eastAsia="宋体" w:cs="宋体"/>
                <w:color w:val="000000"/>
                <w:sz w:val="21"/>
              </w:rP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r>
            <w:r>
              <w:rPr>
                <w:rFonts w:ascii="宋体" w:hAnsi="宋体" w:eastAsia="宋体" w:cs="宋体"/>
                <w:color w:val="000000"/>
                <w:sz w:val="21"/>
              </w:rPr>
              <w:br w:type="textWrapping"/>
            </w:r>
            <w:r>
              <w:rPr>
                <w:rFonts w:ascii="宋体" w:hAnsi="宋体" w:eastAsia="宋体" w:cs="宋体"/>
                <w:color w:val="000000"/>
                <w:sz w:val="21"/>
              </w:rPr>
              <w:t xml:space="preserve">    利率估值方面，当前绝对水平并不高，考虑到利率中枢下降，有其合理性。各投资机构的久期位于中位数，显示投资者情绪并不极端。</w:t>
            </w:r>
            <w:r>
              <w:rPr>
                <w:rFonts w:ascii="宋体" w:hAnsi="宋体" w:eastAsia="宋体" w:cs="宋体"/>
                <w:color w:val="000000"/>
                <w:sz w:val="21"/>
              </w:rPr>
              <w:br w:type="textWrapping"/>
            </w:r>
            <w:r>
              <w:rPr>
                <w:rFonts w:ascii="宋体" w:hAnsi="宋体" w:eastAsia="宋体" w:cs="宋体"/>
                <w:color w:val="000000"/>
                <w:sz w:val="21"/>
              </w:rP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理财托管机构报告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00" w:hRule="atLeast"/>
        </w:trPr>
        <w:tc>
          <w:p>
            <w:pPr>
              <w:pStyle w:val="4"/>
            </w:pPr>
          </w:p>
        </w:tc>
        <w:tc>
          <w:p>
            <w:pPr>
              <w:pStyle w:val="4"/>
            </w:pPr>
          </w:p>
        </w:tc>
        <w:tc>
          <w:tcPr>
            <w:gridSpan w:val="16"/>
            <w:tcMar>
              <w:top w:w="0" w:type="dxa"/>
              <w:left w:w="0" w:type="dxa"/>
              <w:bottom w:w="0" w:type="dxa"/>
              <w:right w:w="0" w:type="dxa"/>
            </w:tcMar>
            <w:vAlign w:val="top"/>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报告期内，托管人严格遵守《商业银行理财业务监督管理办法》及相关法律法规规定、理财产品托管协议约定，诚实信用、谨慎勤勉地履行了托管人义务，不存在损害理财产品投资者利益的行为。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托管人认真复核了本报告中的净值表现、投资组合报告等内容，认为其真实、准确和完整，不存在虚假记载、误导性陈述或者重大遗漏。</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七.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7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兴银理财天天万利宝稳利恒盈7号封闭式净值型理财产品第16期2022年半年度报告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45.57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54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22湖北科投01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140,161,840.00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10.91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22扬州龙川03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134,182,240.00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22淄博城运05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120,165,960.00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22滇能源投资ZR001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95,131,860.00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22赣州发展投资ZR001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92,124,844.00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19空港兴城MTN001B</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72,606,170.00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21成都兴城MTN001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71,774,990.00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21大悦城MTN001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71,006,250.00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兴银理财天天万利宝稳利恒盈7号封闭式净值型理财产品第16期2022年半年度报告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20南部新城MTN001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51,630,550.00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20陕有色MTN001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50,991,650.00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9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17徐州高新MTN001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20汾湖投资MTN001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20南部新城MTN001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20陕有色MTN001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20漳州交运MTN002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21成都兴城MTN001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21山东金融MTN001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21夏商MTN001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21新余城建MTN001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22滇能源投资ZR001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22赣州发展投资ZR001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22湖北科投01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22江津城建01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22扬州龙川03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134,000,000.00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9N213160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22淄博城运05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兴银理财天天万利宝稳利恒盈7号封闭式净值型理财产品第16期2022年半年度报告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051010100101342552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兴银理财天天万利宝稳利恒盈7号封闭式净值型理财产品第16期</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2022年9月21日</w:t>
            </w:r>
          </w:p>
        </w:tc>
        <w:tc>
          <w:tcPr>
            <w:gridSpan w:val="4"/>
          </w:tcPr>
          <w:p>
            <w:pPr>
              <w:pStyle w:val="4"/>
            </w:pPr>
          </w:p>
        </w:tc>
        <w:tc>
          <w:p>
            <w:pPr>
              <w:pStyle w:val="4"/>
            </w:pPr>
          </w:p>
        </w:tc>
      </w:tr>
      <w:tr>
        <w:tblPrEx>
          <w:tblCellMar>
            <w:top w:w="0" w:type="dxa"/>
            <w:left w:w="10" w:type="dxa"/>
            <w:bottom w:w="0" w:type="dxa"/>
            <w:right w:w="10" w:type="dxa"/>
          </w:tblCellMar>
        </w:tblPrEx>
        <w:trPr>
          <w:trHeight w:val="100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documentProtection w:enforcement="0"/>
  <w:defaultTabStop w:val="800"/>
  <w:compat>
    <w:useFELayout/>
    <w:splitPgBreakAndParaMark/>
    <w:compatSetting w:name="compatibilityMode" w:uri="http://schemas.microsoft.com/office/word" w:val="12"/>
  </w:compat>
  <w:docVars>
    <w:docVar w:name="commondata" w:val="eyJoZGlkIjoiZTcxYWVjY2FhZGEzYzllMjU0YTc0ZWEzZWQ4ZDJlMDkifQ=="/>
  </w:docVars>
  <w:rsids>
    <w:rsidRoot w:val="00000000"/>
    <w:rsid w:val="707648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3807</Words>
  <Characters>4949</Characters>
  <TotalTime>0</TotalTime>
  <ScaleCrop>false</ScaleCrop>
  <LinksUpToDate>false</LinksUpToDate>
  <CharactersWithSpaces>5094</CharactersWithSpaces>
  <Application>WPS Office_11.1.0.12302_F1E327BC-269C-435d-A152-05C5408002CA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2022-09-16T06:16:16Z</dcterms:created>
  <dc:creator>lzy</dc:creator>
  <cp:lastModifiedBy>lzy</cp:lastModifiedBy>
  <dcterms:modified xsi:type="dcterms:W3CDTF">2022-09-16T06:16:28Z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78F33EED6DD742EAA987F4301EA9BD81</vt:lpwstr>
  </property>
</Properties>
</file>