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cs="宋体"/>
          <w:b/>
          <w:bCs/>
          <w:sz w:val="32"/>
          <w:szCs w:val="32"/>
        </w:rPr>
      </w:pPr>
      <w:r>
        <w:rPr>
          <w:rFonts w:hint="eastAsia" w:ascii="宋体" w:hAnsi="宋体" w:cs="宋体"/>
          <w:b/>
          <w:bCs/>
          <w:sz w:val="32"/>
          <w:szCs w:val="32"/>
        </w:rPr>
        <w:t>新昌农商银行丰收信福5号2024年第9期人民币理财产品说明书</w:t>
      </w:r>
    </w:p>
    <w:p>
      <w:pPr>
        <w:spacing w:line="360" w:lineRule="exact"/>
        <w:jc w:val="center"/>
        <w:rPr>
          <w:rFonts w:ascii="宋体" w:hAnsi="宋体"/>
          <w:b/>
          <w:bCs/>
          <w:sz w:val="32"/>
          <w:szCs w:val="32"/>
        </w:rPr>
      </w:pP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重要提示</w:t>
      </w:r>
    </w:p>
    <w:p>
      <w:pPr>
        <w:pStyle w:val="15"/>
        <w:adjustRightInd/>
        <w:spacing w:line="360" w:lineRule="exact"/>
        <w:ind w:firstLine="422" w:firstLineChars="200"/>
        <w:rPr>
          <w:rFonts w:ascii="宋体" w:hAnsi="宋体" w:cs="宋体"/>
          <w:b/>
          <w:sz w:val="21"/>
          <w:szCs w:val="21"/>
        </w:rPr>
      </w:pPr>
      <w:r>
        <w:rPr>
          <w:rFonts w:hint="eastAsia" w:ascii="宋体" w:hAnsi="宋体" w:cs="宋体"/>
          <w:b/>
          <w:sz w:val="21"/>
          <w:szCs w:val="21"/>
        </w:rPr>
        <w:t>1. 本产品不等同于银行存款和预期收益型理财产品。理财非存款、产品有风险、投资需谨慎。</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2. 本产品仅向依据中华人民共和国有关法律法规及本产品说明书规定可以购买本理财计划的投资者发售。</w:t>
      </w:r>
    </w:p>
    <w:p>
      <w:pPr>
        <w:pStyle w:val="15"/>
        <w:adjustRightInd/>
        <w:spacing w:line="360" w:lineRule="exact"/>
        <w:ind w:firstLine="422" w:firstLineChars="200"/>
        <w:rPr>
          <w:rFonts w:ascii="宋体" w:hAnsi="宋体" w:cs="宋体"/>
          <w:b/>
          <w:sz w:val="21"/>
          <w:szCs w:val="21"/>
        </w:rPr>
      </w:pPr>
      <w:r>
        <w:rPr>
          <w:rFonts w:hint="eastAsia" w:ascii="宋体" w:hAnsi="宋体" w:cs="宋体"/>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本理财产品说明书中对本理财产品的测算收益不等于实际收益，投资须谨慎。请投资者基于自身的独立判断进行投资决策。</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hint="eastAsia" w:ascii="宋体" w:hAnsi="宋体" w:cs="宋体"/>
          <w:b/>
          <w:color w:val="auto"/>
          <w:sz w:val="21"/>
          <w:szCs w:val="21"/>
        </w:rPr>
        <w:t>。</w:t>
      </w:r>
      <w:r>
        <w:rPr>
          <w:rFonts w:hint="eastAsia" w:ascii="宋体" w:hAnsi="宋体"/>
          <w:b/>
          <w:bCs/>
          <w:color w:val="auto"/>
          <w:sz w:val="21"/>
          <w:szCs w:val="21"/>
        </w:rPr>
        <w:t>《新昌农商银行“丰收信福5号”人民币理财产品风险揭示书》、《新昌农商银行“丰收信福5号”人民币理财产品客户权益须知》、《新昌农商银行丰收信福5号2024年第9期人民币理财产品说明书》、《新昌农商行“丰收信福5号”人民币理财产品协议书》及业务凭证</w:t>
      </w:r>
      <w:r>
        <w:rPr>
          <w:rFonts w:hint="eastAsia" w:ascii="宋体" w:hAnsi="宋体" w:cs="宋体"/>
          <w:b/>
          <w:sz w:val="21"/>
          <w:szCs w:val="21"/>
        </w:rPr>
        <w:t>，将共同构成客户与新昌农商银行之间的理财计划交易合同。</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6. 投资者在认购本产品后，应随时关注本产品的信息披露情况，及时获取相关信息。如对本产品有任何疑问、异议或意见，请联系新昌农商银行客户经理或反馈至银行营业网点。</w:t>
      </w:r>
    </w:p>
    <w:p>
      <w:pPr>
        <w:pStyle w:val="15"/>
        <w:adjustRightInd/>
        <w:spacing w:line="360" w:lineRule="exact"/>
        <w:ind w:firstLine="422" w:firstLineChars="200"/>
        <w:rPr>
          <w:rFonts w:ascii="宋体" w:hAnsi="宋体" w:cs="Times New Roman"/>
          <w:b/>
          <w:sz w:val="21"/>
          <w:szCs w:val="21"/>
        </w:rPr>
      </w:pPr>
      <w:r>
        <w:rPr>
          <w:rFonts w:hint="eastAsia" w:ascii="宋体" w:hAnsi="宋体" w:cs="宋体"/>
          <w:b/>
          <w:sz w:val="21"/>
          <w:szCs w:val="21"/>
        </w:rPr>
        <w:t>7. 新昌农商银行有权依法对本产品说明书进行解释。</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释义</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15"/>
        <w:adjustRightInd/>
        <w:spacing w:line="360" w:lineRule="exact"/>
        <w:ind w:firstLine="420" w:firstLineChars="200"/>
        <w:rPr>
          <w:rFonts w:ascii="宋体" w:hAnsi="宋体" w:cs="Times New Roman"/>
          <w:color w:val="auto"/>
          <w:sz w:val="21"/>
          <w:szCs w:val="21"/>
        </w:rPr>
      </w:pPr>
      <w:r>
        <w:rPr>
          <w:rFonts w:hint="eastAsia" w:ascii="宋体" w:hAnsi="宋体" w:cs="宋体"/>
          <w:sz w:val="21"/>
          <w:szCs w:val="21"/>
        </w:rPr>
        <w:t>产品/理</w:t>
      </w:r>
      <w:r>
        <w:rPr>
          <w:rFonts w:hint="eastAsia" w:ascii="宋体" w:hAnsi="宋体" w:cs="宋体"/>
          <w:color w:val="auto"/>
          <w:sz w:val="21"/>
          <w:szCs w:val="21"/>
        </w:rPr>
        <w:t>财计划：指新昌农商银行“丰收信福5号”人民币理财产品。</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发行银行：指浙江新昌农村商业银行股份有限公司。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销售银行：指浙江新昌农村商业银行股份有限公司。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产品管理人：指浙江新昌农村商业银行股份有限公司。</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产品托管人：指兴业银行股份有限公司杭州分行。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估值外包机构：指兴业银行股份有限公司杭州分行。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托管机构主要职责：为每只理财产品开设独立的托管账户，不同托管账户中的资产应当相互独立；根据合同及法律法规规定对投资运作进行监督等职责。</w:t>
      </w:r>
    </w:p>
    <w:p>
      <w:pPr>
        <w:pStyle w:val="15"/>
        <w:adjustRightInd/>
        <w:spacing w:line="360" w:lineRule="exact"/>
        <w:ind w:firstLine="420" w:firstLineChars="200"/>
        <w:rPr>
          <w:rFonts w:ascii="宋体" w:hAnsi="宋体" w:cs="宋体"/>
          <w:sz w:val="21"/>
          <w:szCs w:val="21"/>
        </w:rPr>
      </w:pPr>
      <w:r>
        <w:rPr>
          <w:rFonts w:hint="eastAsia" w:ascii="宋体" w:hAnsi="宋体" w:cs="宋体"/>
          <w:sz w:val="21"/>
          <w:szCs w:val="21"/>
        </w:rPr>
        <w:t>估值机构主要职责：按时提供银行理财产品估值服务，对理财产品进行估值核算；保证估值业务在账册记录等方面的独立性和完整性等法律法规、监管机构和合同约定的相关职责。</w:t>
      </w:r>
    </w:p>
    <w:p>
      <w:pPr>
        <w:pStyle w:val="15"/>
        <w:spacing w:line="360" w:lineRule="exact"/>
        <w:ind w:firstLine="420" w:firstLineChars="200"/>
        <w:rPr>
          <w:rFonts w:ascii="宋体" w:hAnsi="宋体" w:cs="宋体"/>
          <w:sz w:val="21"/>
          <w:szCs w:val="21"/>
        </w:rPr>
      </w:pPr>
      <w:r>
        <w:rPr>
          <w:rFonts w:hint="eastAsia" w:ascii="宋体" w:hAnsi="宋体" w:cs="宋体"/>
          <w:sz w:val="21"/>
          <w:szCs w:val="21"/>
        </w:rPr>
        <w:t>投资合作机构：申万宏源证券资产管理有限公司。</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理财产品认购期：是指银行接受客户认购本理财产品的起止期限。</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工作日：除双休日和国家法定假日外的法定工作日。</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投资周期：本理财产品投资周期是指产品成立日（含）至产品到期日（不含）之间的时间。</w:t>
      </w:r>
    </w:p>
    <w:p>
      <w:pPr>
        <w:pStyle w:val="5"/>
        <w:numPr>
          <w:ilvl w:val="0"/>
          <w:numId w:val="1"/>
        </w:numPr>
        <w:spacing w:before="0" w:after="0" w:line="360" w:lineRule="exact"/>
        <w:jc w:val="both"/>
        <w:outlineLvl w:val="9"/>
        <w:rPr>
          <w:rFonts w:ascii="宋体" w:hAnsi="宋体"/>
          <w:sz w:val="28"/>
          <w:szCs w:val="28"/>
        </w:rPr>
      </w:pPr>
      <w:r>
        <w:rPr>
          <w:rFonts w:hint="eastAsia" w:ascii="宋体" w:hAnsi="宋体" w:cs="宋体"/>
          <w:sz w:val="28"/>
          <w:szCs w:val="28"/>
        </w:rPr>
        <w:t>产品风险等级：P</w:t>
      </w:r>
      <w:r>
        <w:rPr>
          <w:rFonts w:ascii="宋体" w:hAnsi="宋体"/>
          <w:sz w:val="28"/>
          <w:szCs w:val="28"/>
        </w:rPr>
        <w:t>R2</w:t>
      </w:r>
    </w:p>
    <w:p>
      <w:pPr>
        <w:pStyle w:val="12"/>
        <w:spacing w:line="360" w:lineRule="exact"/>
        <w:ind w:firstLine="0" w:firstLineChars="0"/>
        <w:rPr>
          <w:rFonts w:ascii="宋体" w:hAnsi="宋体" w:cs="宋体"/>
          <w:color w:val="000000"/>
          <w:kern w:val="0"/>
          <w:szCs w:val="21"/>
        </w:rPr>
      </w:pPr>
      <w:r>
        <w:rPr>
          <w:rFonts w:hint="eastAsia" w:ascii="宋体" w:hAnsi="宋体" w:cs="宋体"/>
          <w:color w:val="000000"/>
          <w:kern w:val="0"/>
          <w:szCs w:val="21"/>
        </w:rPr>
        <w:t>浙江新昌农村商业银行股份有限公司理财产品风险评级说明：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5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风险等级</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评级说明</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适合投资者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PR1级（低风险）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理财本金没有风险，理财投资收益随投资表现变动，总体风险程度很低。</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保守型、谨慎型、稳健型、进取型、激进型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PR2级（中低风险）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理财本金遭受损失的可能性较低，在本金未遭受损失的前提下，实现理财投资收益的可能性较高。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谨慎型、稳健型、进取型、激进型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PR3级（中等风险）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不承诺理财本金的保障，理财投资收益随投资表现变动，总体风险保持适中水平。</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稳健型、进取型、激进型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PR4级（中高风险）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理财本金和理财投资收益都面临较大的不确定性，总体风险程度较高。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5"/>
              <w:spacing w:line="280" w:lineRule="exact"/>
              <w:rPr>
                <w:rFonts w:ascii="宋体" w:hAnsi="宋体" w:cs="Times New Roman"/>
                <w:sz w:val="22"/>
                <w:szCs w:val="22"/>
              </w:rPr>
            </w:pPr>
            <w:r>
              <w:rPr>
                <w:rFonts w:hint="eastAsia" w:ascii="宋体" w:hAnsi="宋体" w:cs="Times New Roman"/>
                <w:sz w:val="22"/>
                <w:szCs w:val="22"/>
              </w:rPr>
              <w:t>PR5级（高风险）</w:t>
            </w:r>
          </w:p>
        </w:tc>
        <w:tc>
          <w:tcPr>
            <w:tcW w:w="3588" w:type="dxa"/>
          </w:tcPr>
          <w:p>
            <w:pPr>
              <w:pStyle w:val="15"/>
              <w:spacing w:line="280" w:lineRule="exact"/>
              <w:rPr>
                <w:rFonts w:ascii="宋体" w:hAnsi="宋体" w:cs="Times New Roman"/>
                <w:sz w:val="22"/>
                <w:szCs w:val="22"/>
              </w:rPr>
            </w:pPr>
            <w:r>
              <w:rPr>
                <w:rFonts w:hint="eastAsia" w:ascii="宋体" w:hAnsi="宋体" w:cs="Times New Roman"/>
                <w:sz w:val="22"/>
                <w:szCs w:val="22"/>
              </w:rPr>
              <w:t>理财本金可能出现重大损失，投资收益面临很大的不确定性，总体风险程度高。</w:t>
            </w:r>
          </w:p>
        </w:tc>
        <w:tc>
          <w:tcPr>
            <w:tcW w:w="2841" w:type="dxa"/>
          </w:tcPr>
          <w:p>
            <w:pPr>
              <w:pStyle w:val="15"/>
              <w:spacing w:line="280" w:lineRule="exact"/>
              <w:rPr>
                <w:rFonts w:ascii="宋体" w:hAnsi="宋体" w:cs="Times New Roman"/>
                <w:sz w:val="22"/>
                <w:szCs w:val="22"/>
              </w:rPr>
            </w:pPr>
            <w:r>
              <w:rPr>
                <w:rFonts w:hint="eastAsia" w:ascii="宋体" w:hAnsi="宋体" w:cs="Times New Roman"/>
                <w:sz w:val="22"/>
                <w:szCs w:val="22"/>
              </w:rPr>
              <w:t>激进型</w:t>
            </w:r>
          </w:p>
        </w:tc>
      </w:tr>
    </w:tbl>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产品投资</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（一）投资范围</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本理财产品为固定收益类产品，本金主要投资于以下符合监管要求的各类资产：</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（二）投资比例</w:t>
      </w:r>
    </w:p>
    <w:tbl>
      <w:tblPr>
        <w:tblStyle w:val="6"/>
        <w:tblW w:w="6847" w:type="dxa"/>
        <w:jc w:val="center"/>
        <w:tblLayout w:type="autofit"/>
        <w:tblCellMar>
          <w:top w:w="0" w:type="dxa"/>
          <w:left w:w="108" w:type="dxa"/>
          <w:bottom w:w="0" w:type="dxa"/>
          <w:right w:w="108" w:type="dxa"/>
        </w:tblCellMar>
      </w:tblPr>
      <w:tblGrid>
        <w:gridCol w:w="1227"/>
        <w:gridCol w:w="2880"/>
        <w:gridCol w:w="2740"/>
      </w:tblGrid>
      <w:tr>
        <w:tblPrEx>
          <w:tblCellMar>
            <w:top w:w="0" w:type="dxa"/>
            <w:left w:w="108" w:type="dxa"/>
            <w:bottom w:w="0" w:type="dxa"/>
            <w:right w:w="108" w:type="dxa"/>
          </w:tblCellMar>
        </w:tblPrEx>
        <w:trPr>
          <w:trHeight w:val="270"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资产类别</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资产种类</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投资比例</w:t>
            </w:r>
          </w:p>
        </w:tc>
      </w:tr>
      <w:tr>
        <w:tblPrEx>
          <w:tblCellMar>
            <w:top w:w="0" w:type="dxa"/>
            <w:left w:w="108" w:type="dxa"/>
            <w:bottom w:w="0" w:type="dxa"/>
            <w:right w:w="108" w:type="dxa"/>
          </w:tblCellMar>
        </w:tblPrEx>
        <w:trPr>
          <w:trHeight w:val="270" w:hRule="atLeast"/>
          <w:jc w:val="center"/>
        </w:trPr>
        <w:tc>
          <w:tcPr>
            <w:tcW w:w="12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固定收益类</w:t>
            </w: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现金等货币市场工具类</w:t>
            </w:r>
          </w:p>
        </w:tc>
        <w:tc>
          <w:tcPr>
            <w:tcW w:w="2740" w:type="dxa"/>
            <w:tcBorders>
              <w:top w:val="nil"/>
              <w:left w:val="nil"/>
              <w:bottom w:val="single" w:color="auto" w:sz="4" w:space="0"/>
              <w:right w:val="single" w:color="auto" w:sz="4" w:space="0"/>
            </w:tcBorders>
            <w:shd w:val="clear" w:color="auto" w:fill="auto"/>
            <w:noWrap/>
            <w:vAlign w:val="bottom"/>
          </w:tcPr>
          <w:p>
            <w:pPr>
              <w:widowControl/>
              <w:spacing w:line="280" w:lineRule="exact"/>
              <w:jc w:val="center"/>
              <w:rPr>
                <w:rFonts w:ascii="宋体" w:hAnsi="宋体" w:cs="宋体"/>
                <w:color w:val="000000"/>
                <w:kern w:val="0"/>
                <w:sz w:val="20"/>
              </w:rPr>
            </w:pPr>
            <w:r>
              <w:rPr>
                <w:rFonts w:hint="eastAsia" w:ascii="宋体" w:hAnsi="宋体" w:cs="宋体"/>
                <w:color w:val="000000"/>
                <w:kern w:val="0"/>
                <w:sz w:val="20"/>
              </w:rPr>
              <w:t>0-20%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债券类</w:t>
            </w:r>
          </w:p>
        </w:tc>
        <w:tc>
          <w:tcPr>
            <w:tcW w:w="274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0"/>
                <w:szCs w:val="18"/>
              </w:rPr>
            </w:pPr>
            <w:r>
              <w:rPr>
                <w:rFonts w:hint="eastAsia" w:ascii="宋体" w:hAnsi="宋体" w:cs="宋体"/>
                <w:color w:val="000000"/>
                <w:kern w:val="0"/>
                <w:sz w:val="20"/>
                <w:szCs w:val="18"/>
              </w:rPr>
              <w:t>80%-100%</w:t>
            </w:r>
          </w:p>
        </w:tc>
      </w:tr>
      <w:tr>
        <w:tblPrEx>
          <w:tblCellMar>
            <w:top w:w="0" w:type="dxa"/>
            <w:left w:w="108" w:type="dxa"/>
            <w:bottom w:w="0" w:type="dxa"/>
            <w:right w:w="108" w:type="dxa"/>
          </w:tblCellMar>
        </w:tblPrEx>
        <w:trPr>
          <w:trHeight w:val="27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c>
          <w:tcPr>
            <w:tcW w:w="288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符合监管要求的债权类资产、资产管理产品</w:t>
            </w:r>
          </w:p>
        </w:tc>
        <w:tc>
          <w:tcPr>
            <w:tcW w:w="274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宋体" w:hAnsi="宋体" w:cs="宋体"/>
                <w:color w:val="000000"/>
                <w:kern w:val="0"/>
                <w:sz w:val="18"/>
                <w:szCs w:val="18"/>
              </w:rPr>
            </w:pPr>
          </w:p>
        </w:tc>
      </w:tr>
    </w:tbl>
    <w:p>
      <w:pPr>
        <w:pStyle w:val="15"/>
        <w:adjustRightInd/>
        <w:spacing w:line="360" w:lineRule="exact"/>
        <w:ind w:firstLine="420" w:firstLineChars="200"/>
        <w:rPr>
          <w:rFonts w:ascii="宋体" w:hAnsi="宋体" w:cs="Times New Roman"/>
          <w:sz w:val="21"/>
          <w:szCs w:val="21"/>
        </w:rPr>
      </w:pPr>
      <w:r>
        <w:rPr>
          <w:rFonts w:hint="eastAsia" w:ascii="宋体" w:hAnsi="宋体" w:cs="宋体"/>
          <w:sz w:val="21"/>
          <w:szCs w:val="21"/>
        </w:rPr>
        <w:t>（三）投资策略</w:t>
      </w:r>
    </w:p>
    <w:p>
      <w:pPr>
        <w:pStyle w:val="15"/>
        <w:spacing w:line="360" w:lineRule="exact"/>
        <w:ind w:firstLine="420" w:firstLineChars="200"/>
        <w:rPr>
          <w:rFonts w:ascii="宋体" w:hAnsi="宋体" w:cs="Times New Roman"/>
          <w:sz w:val="21"/>
          <w:szCs w:val="21"/>
        </w:rPr>
      </w:pPr>
      <w:r>
        <w:rPr>
          <w:rFonts w:hint="eastAsia" w:ascii="宋体" w:hAns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产品概述</w:t>
      </w:r>
    </w:p>
    <w:tbl>
      <w:tblPr>
        <w:tblStyle w:val="6"/>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3"/>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产品名称</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新昌农商银行丰收信福5号2024年第9期人民币理财产品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产品编号</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ascii="宋体" w:hAnsi="宋体"/>
                <w:kern w:val="0"/>
                <w:sz w:val="18"/>
                <w:szCs w:val="18"/>
              </w:rPr>
              <w:t>SXXCFSXF05202409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产品登记编码</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该产品在全国银行业理财信息登记系统的登记编码是</w:t>
            </w:r>
            <w:r>
              <w:rPr>
                <w:rFonts w:ascii="宋体" w:hAnsi="宋体" w:cs="宋体"/>
                <w:kern w:val="0"/>
                <w:sz w:val="18"/>
                <w:szCs w:val="18"/>
              </w:rPr>
              <w:t>C112512</w:t>
            </w:r>
            <w:r>
              <w:rPr>
                <w:rFonts w:hint="eastAsia" w:ascii="宋体" w:hAnsi="宋体" w:cs="宋体"/>
                <w:kern w:val="0"/>
                <w:sz w:val="18"/>
                <w:szCs w:val="18"/>
              </w:rPr>
              <w:t>4000024，客户可依据该编码在“中国理财网（</w:t>
            </w:r>
            <w:r>
              <w:rPr>
                <w:rFonts w:ascii="宋体" w:hAnsi="宋体" w:cs="宋体"/>
                <w:kern w:val="0"/>
                <w:sz w:val="18"/>
                <w:szCs w:val="18"/>
              </w:rPr>
              <w:t>www.chinawealth.com.cn</w:t>
            </w:r>
            <w:r>
              <w:rPr>
                <w:rFonts w:hint="eastAsia" w:ascii="宋体" w:hAnsi="宋体" w:cs="宋体"/>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适用客户</w:t>
            </w:r>
          </w:p>
        </w:tc>
        <w:tc>
          <w:tcPr>
            <w:tcW w:w="7332" w:type="dxa"/>
            <w:tcMar>
              <w:top w:w="15" w:type="dxa"/>
              <w:left w:w="15" w:type="dxa"/>
              <w:bottom w:w="0" w:type="dxa"/>
              <w:right w:w="15" w:type="dxa"/>
            </w:tcMar>
            <w:vAlign w:val="center"/>
          </w:tcPr>
          <w:p>
            <w:pPr>
              <w:widowControl/>
              <w:spacing w:line="280" w:lineRule="exact"/>
              <w:jc w:val="left"/>
              <w:rPr>
                <w:rFonts w:ascii="宋体" w:hAnsi="宋体" w:cs="宋体"/>
                <w:b/>
                <w:kern w:val="0"/>
                <w:sz w:val="18"/>
                <w:szCs w:val="18"/>
              </w:rPr>
            </w:pPr>
            <w:r>
              <w:rPr>
                <w:rFonts w:hint="eastAsia" w:ascii="宋体" w:hAnsi="宋体" w:cs="宋体"/>
                <w:kern w:val="0"/>
                <w:sz w:val="18"/>
                <w:szCs w:val="18"/>
              </w:rPr>
              <w:t>本理财产品适合机构投资者及谨慎型</w:t>
            </w:r>
            <w:r>
              <w:rPr>
                <w:rFonts w:hint="eastAsia" w:ascii="宋体" w:hAnsi="宋体" w:cs="宋体"/>
                <w:b/>
                <w:kern w:val="0"/>
                <w:sz w:val="18"/>
                <w:szCs w:val="18"/>
              </w:rPr>
              <w:t>、</w:t>
            </w:r>
            <w:r>
              <w:rPr>
                <w:rFonts w:hint="eastAsia" w:ascii="宋体" w:hAnsi="宋体" w:cs="宋体"/>
                <w:kern w:val="0"/>
                <w:sz w:val="18"/>
                <w:szCs w:val="18"/>
              </w:rPr>
              <w:t>稳健型、进取型、激进型的个人投资者。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销售渠道</w:t>
            </w:r>
          </w:p>
        </w:tc>
        <w:tc>
          <w:tcPr>
            <w:tcW w:w="7332" w:type="dxa"/>
            <w:tcMar>
              <w:top w:w="15" w:type="dxa"/>
              <w:left w:w="15" w:type="dxa"/>
              <w:bottom w:w="0" w:type="dxa"/>
              <w:right w:w="15" w:type="dxa"/>
            </w:tcMar>
            <w:vAlign w:val="center"/>
          </w:tcPr>
          <w:p>
            <w:pPr>
              <w:spacing w:line="280" w:lineRule="exact"/>
              <w:rPr>
                <w:rFonts w:ascii="宋体" w:hAnsi="宋体"/>
                <w:kern w:val="0"/>
                <w:sz w:val="18"/>
                <w:szCs w:val="18"/>
              </w:rPr>
            </w:pPr>
            <w:r>
              <w:rPr>
                <w:rFonts w:hint="eastAsia" w:ascii="宋体" w:hAnsi="宋体" w:cs="宋体"/>
                <w:kern w:val="0"/>
                <w:sz w:val="18"/>
                <w:szCs w:val="18"/>
              </w:rPr>
              <w:t>个人客户可通过新昌农商银行的营业网点、手机银行等渠道购买。</w:t>
            </w:r>
          </w:p>
          <w:p>
            <w:pPr>
              <w:spacing w:line="280" w:lineRule="exact"/>
              <w:rPr>
                <w:rFonts w:ascii="宋体" w:hAnsi="宋体"/>
                <w:kern w:val="0"/>
              </w:rPr>
            </w:pPr>
            <w:r>
              <w:rPr>
                <w:rFonts w:hint="eastAsia" w:ascii="宋体" w:hAnsi="宋体" w:cs="宋体"/>
                <w:kern w:val="0"/>
                <w:sz w:val="18"/>
                <w:szCs w:val="18"/>
              </w:rPr>
              <w:t>机构客户可通过新昌农商银行的营业网点渠道购买。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交易币种</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起点认购金额</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认购起点金额</w:t>
            </w:r>
            <w:r>
              <w:rPr>
                <w:rFonts w:ascii="宋体" w:hAnsi="宋体" w:cs="宋体"/>
                <w:kern w:val="0"/>
                <w:sz w:val="18"/>
                <w:szCs w:val="18"/>
              </w:rPr>
              <w:t>1万元</w:t>
            </w:r>
            <w:r>
              <w:rPr>
                <w:rFonts w:hint="eastAsia" w:ascii="宋体" w:hAnsi="宋体" w:cs="宋体"/>
                <w:kern w:val="0"/>
                <w:sz w:val="18"/>
                <w:szCs w:val="18"/>
              </w:rPr>
              <w:t>整，超过起点部分，应为</w:t>
            </w:r>
            <w:r>
              <w:rPr>
                <w:rFonts w:ascii="宋体" w:hAnsi="宋体" w:cs="宋体"/>
                <w:kern w:val="0"/>
                <w:sz w:val="18"/>
                <w:szCs w:val="18"/>
              </w:rPr>
              <w:t>1000</w:t>
            </w:r>
            <w:r>
              <w:rPr>
                <w:rFonts w:hint="eastAsia" w:ascii="宋体" w:hAnsi="宋体" w:cs="宋体"/>
                <w:kern w:val="0"/>
                <w:sz w:val="18"/>
                <w:szCs w:val="18"/>
              </w:rPr>
              <w:t>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产品类型</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投资性质</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产品规模</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规模下限为</w:t>
            </w:r>
            <w:r>
              <w:rPr>
                <w:rFonts w:ascii="宋体" w:hAnsi="宋体" w:cs="宋体"/>
                <w:kern w:val="0"/>
                <w:sz w:val="18"/>
                <w:szCs w:val="18"/>
              </w:rPr>
              <w:t>30</w:t>
            </w:r>
            <w:r>
              <w:rPr>
                <w:rFonts w:hint="eastAsia" w:ascii="宋体" w:hAnsi="宋体" w:cs="宋体"/>
                <w:kern w:val="0"/>
                <w:sz w:val="18"/>
                <w:szCs w:val="18"/>
              </w:rPr>
              <w:t>万元，规模上限为5000万元。若认购金额未达规模下限则产品不成立，发行银行有权根据市场行情暂停接受认购申请。新昌农商银行有权对本理财产品规模上限进行调整。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产品认购期</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2024年4月2日至2024年4月7日。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kern w:val="0"/>
              </w:rPr>
            </w:pPr>
            <w:r>
              <w:rPr>
                <w:rFonts w:hint="eastAsia" w:ascii="宋体" w:hAnsi="宋体" w:cs="宋体"/>
                <w:kern w:val="0"/>
                <w:sz w:val="18"/>
                <w:szCs w:val="18"/>
              </w:rPr>
              <w:t>产品成立日</w:t>
            </w:r>
          </w:p>
        </w:tc>
        <w:tc>
          <w:tcPr>
            <w:tcW w:w="7332" w:type="dxa"/>
            <w:tcMar>
              <w:top w:w="15" w:type="dxa"/>
              <w:left w:w="15" w:type="dxa"/>
              <w:bottom w:w="0" w:type="dxa"/>
              <w:right w:w="15" w:type="dxa"/>
            </w:tcMar>
            <w:vAlign w:val="center"/>
          </w:tcPr>
          <w:p>
            <w:pPr>
              <w:spacing w:line="280" w:lineRule="exact"/>
              <w:rPr>
                <w:rFonts w:ascii="宋体" w:hAnsi="宋体"/>
                <w:kern w:val="0"/>
              </w:rPr>
            </w:pPr>
            <w:r>
              <w:rPr>
                <w:rFonts w:ascii="宋体" w:hAnsi="宋体" w:cs="宋体"/>
                <w:kern w:val="0"/>
                <w:sz w:val="18"/>
                <w:szCs w:val="18"/>
              </w:rPr>
              <w:t>20</w:t>
            </w:r>
            <w:r>
              <w:rPr>
                <w:rFonts w:hint="eastAsia" w:ascii="宋体" w:hAnsi="宋体" w:cs="宋体"/>
                <w:kern w:val="0"/>
                <w:sz w:val="18"/>
                <w:szCs w:val="18"/>
              </w:rPr>
              <w:t>24年4月8日。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产品到期日</w:t>
            </w:r>
          </w:p>
        </w:tc>
        <w:tc>
          <w:tcPr>
            <w:tcW w:w="7332"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24年7月1</w:t>
            </w:r>
            <w:r>
              <w:rPr>
                <w:rFonts w:hint="eastAsia" w:ascii="宋体" w:hAnsi="宋体" w:cs="宋体"/>
                <w:kern w:val="0"/>
                <w:sz w:val="18"/>
                <w:szCs w:val="18"/>
                <w:lang w:val="en-US" w:eastAsia="zh-CN"/>
              </w:rPr>
              <w:t>6</w:t>
            </w:r>
            <w:r>
              <w:rPr>
                <w:rFonts w:hint="eastAsia" w:ascii="宋体" w:hAnsi="宋体"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1993"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理财期限</w:t>
            </w:r>
          </w:p>
        </w:tc>
        <w:tc>
          <w:tcPr>
            <w:tcW w:w="7332" w:type="dxa"/>
            <w:tcMar>
              <w:top w:w="15" w:type="dxa"/>
              <w:left w:w="15" w:type="dxa"/>
              <w:bottom w:w="0" w:type="dxa"/>
              <w:right w:w="15" w:type="dxa"/>
            </w:tcMar>
            <w:vAlign w:val="center"/>
          </w:tcPr>
          <w:p>
            <w:pPr>
              <w:spacing w:line="280" w:lineRule="exact"/>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9</w:t>
            </w:r>
            <w:bookmarkStart w:id="0" w:name="_GoBack"/>
            <w:bookmarkEnd w:id="0"/>
            <w:r>
              <w:rPr>
                <w:rFonts w:hint="eastAsia" w:ascii="宋体" w:hAnsi="宋体" w:cs="宋体"/>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资金到账</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bCs/>
                <w:color w:val="000000"/>
                <w:kern w:val="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单位净值</w:t>
            </w:r>
          </w:p>
        </w:tc>
        <w:tc>
          <w:tcPr>
            <w:tcW w:w="7332" w:type="dxa"/>
            <w:tcMar>
              <w:top w:w="15" w:type="dxa"/>
              <w:left w:w="15" w:type="dxa"/>
              <w:bottom w:w="0" w:type="dxa"/>
              <w:right w:w="15" w:type="dxa"/>
            </w:tcMar>
            <w:vAlign w:val="center"/>
          </w:tcPr>
          <w:p>
            <w:pPr>
              <w:spacing w:line="280" w:lineRule="exact"/>
              <w:rPr>
                <w:rFonts w:ascii="宋体" w:hAnsi="宋体" w:cs="宋体"/>
                <w:color w:val="FF0000"/>
                <w:kern w:val="0"/>
                <w:sz w:val="18"/>
                <w:szCs w:val="18"/>
              </w:rPr>
            </w:pPr>
            <w:r>
              <w:rPr>
                <w:rFonts w:hint="eastAsia" w:ascii="宋体" w:hAnsi="宋体" w:cs="宋体"/>
                <w:color w:val="000000"/>
                <w:kern w:val="0"/>
                <w:sz w:val="18"/>
                <w:szCs w:val="18"/>
              </w:rPr>
              <w:t>单位净值为提取相关税费后，单位理财计划份额的净值。</w:t>
            </w:r>
            <w:r>
              <w:rPr>
                <w:rFonts w:hint="eastAsia" w:ascii="宋体" w:hAnsi="宋体" w:cs="宋体"/>
                <w:kern w:val="0"/>
                <w:sz w:val="18"/>
                <w:szCs w:val="18"/>
              </w:rPr>
              <w:t>理财计划单位净值保留至小数点后第8位，小数点8位以后去尾。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认购份额</w:t>
            </w:r>
          </w:p>
        </w:tc>
        <w:tc>
          <w:tcPr>
            <w:tcW w:w="7332"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认购价格=1.00元/份。认购份额=认购金额/1元。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color w:val="000000"/>
                <w:kern w:val="0"/>
                <w:sz w:val="18"/>
                <w:szCs w:val="18"/>
              </w:rPr>
              <w:t>业绩比较基准区间</w:t>
            </w:r>
          </w:p>
        </w:tc>
        <w:tc>
          <w:tcPr>
            <w:tcW w:w="7332" w:type="dxa"/>
            <w:tcMar>
              <w:top w:w="15" w:type="dxa"/>
              <w:left w:w="15" w:type="dxa"/>
              <w:bottom w:w="0" w:type="dxa"/>
              <w:right w:w="15" w:type="dxa"/>
            </w:tcMar>
            <w:vAlign w:val="center"/>
          </w:tcPr>
          <w:p>
            <w:pPr>
              <w:widowControl/>
              <w:spacing w:line="280" w:lineRule="exact"/>
              <w:rPr>
                <w:rFonts w:ascii="宋体" w:hAnsi="宋体"/>
                <w:color w:val="000000"/>
              </w:rPr>
            </w:pPr>
            <w:r>
              <w:rPr>
                <w:rFonts w:hint="eastAsia" w:ascii="宋体" w:hAnsi="宋体" w:cs="宋体"/>
                <w:color w:val="000000"/>
                <w:kern w:val="0"/>
                <w:sz w:val="18"/>
                <w:szCs w:val="18"/>
              </w:rPr>
              <w:t>本理财产品业绩比较基准区间为年化2.0%-2.7%。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本金和理财收益</w:t>
            </w:r>
          </w:p>
        </w:tc>
        <w:tc>
          <w:tcPr>
            <w:tcW w:w="7332" w:type="dxa"/>
            <w:tcMar>
              <w:top w:w="15" w:type="dxa"/>
              <w:left w:w="15" w:type="dxa"/>
              <w:bottom w:w="0" w:type="dxa"/>
              <w:right w:w="15" w:type="dxa"/>
            </w:tcMar>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本产品为净值型理财产品，没有预期收益率。本理财产品不保障本金和收益。</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投资者理财收益＝理财产品投资份额×产品期末单位净值（扣减托管费、估值外包费、固定管理费、浮动管理费（如有）及相关税费后）</w:t>
            </w:r>
            <w:r>
              <w:rPr>
                <w:rFonts w:ascii="宋体" w:hAnsi="宋体" w:cs="宋体"/>
                <w:color w:val="000000"/>
                <w:kern w:val="0"/>
                <w:sz w:val="18"/>
                <w:szCs w:val="18"/>
              </w:rPr>
              <w:t>-</w:t>
            </w:r>
            <w:r>
              <w:rPr>
                <w:rFonts w:hint="eastAsia" w:ascii="宋体" w:hAnsi="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相关费用</w:t>
            </w:r>
          </w:p>
        </w:tc>
        <w:tc>
          <w:tcPr>
            <w:tcW w:w="7332" w:type="dxa"/>
            <w:tcMar>
              <w:top w:w="15" w:type="dxa"/>
              <w:left w:w="15" w:type="dxa"/>
              <w:bottom w:w="0" w:type="dxa"/>
              <w:right w:w="15" w:type="dxa"/>
            </w:tcMar>
            <w:vAlign w:val="center"/>
          </w:tcPr>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1．本产品不收取认购费。</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2．本产品管理人按照产品资产净值收取年化0.3%的固定管理费。每日计提，于产品到期支付。</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3．本产品托管人按照产品资产净值收取年化0.01%的托管费,年化0.005%的估值外包服务费。以上费用每日计提，于产品到期支付。</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60%作为浮动管理费，由此造成到期日产品份额净值调整的，以调整后的产品份额净值为准进行收益分配和资金兑付。</w:t>
            </w:r>
          </w:p>
          <w:p>
            <w:pPr>
              <w:spacing w:line="280" w:lineRule="exact"/>
              <w:rPr>
                <w:rFonts w:ascii="宋体" w:hAnsi="宋体"/>
                <w:color w:val="000000"/>
                <w:kern w:val="0"/>
              </w:rPr>
            </w:pPr>
            <w:r>
              <w:rPr>
                <w:rFonts w:hint="eastAsia" w:ascii="宋体" w:hAnsi="宋体" w:cs="宋体"/>
                <w:color w:val="000000"/>
                <w:kern w:val="0"/>
                <w:sz w:val="18"/>
                <w:szCs w:val="18"/>
              </w:rPr>
              <w:t>5．新昌农商银行保留变更上述理财产品收取费率标准的权利，如有变更，将提前一个工作日在新昌农商银行网站或新昌农商银行营业网点公告。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提前终止权</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理财计划存续期内，客户无提前终止权；新昌农商银行有权宣布终止本理财计划。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融资服务</w:t>
            </w:r>
          </w:p>
        </w:tc>
        <w:tc>
          <w:tcPr>
            <w:tcW w:w="7332"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本理财产品不能办理质押和转让业务。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税费规定</w:t>
            </w:r>
          </w:p>
        </w:tc>
        <w:tc>
          <w:tcPr>
            <w:tcW w:w="7332" w:type="dxa"/>
            <w:tcMar>
              <w:top w:w="15" w:type="dxa"/>
              <w:left w:w="15" w:type="dxa"/>
              <w:bottom w:w="0" w:type="dxa"/>
              <w:right w:w="15" w:type="dxa"/>
            </w:tcMar>
            <w:vAlign w:val="center"/>
          </w:tcPr>
          <w:p>
            <w:pPr>
              <w:spacing w:line="280" w:lineRule="exact"/>
              <w:rPr>
                <w:rFonts w:ascii="宋体" w:hAnsi="宋体"/>
                <w:color w:val="000000"/>
                <w:kern w:val="0"/>
                <w:sz w:val="18"/>
                <w:szCs w:val="18"/>
              </w:rPr>
            </w:pPr>
            <w:r>
              <w:rPr>
                <w:rFonts w:hint="eastAsia" w:ascii="宋体" w:hAnsi="宋体" w:cs="宋体"/>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pPr>
              <w:spacing w:line="280" w:lineRule="exact"/>
              <w:rPr>
                <w:rFonts w:ascii="宋体" w:hAnsi="宋体"/>
                <w:color w:val="000000"/>
                <w:kern w:val="0"/>
              </w:rPr>
            </w:pPr>
            <w:r>
              <w:rPr>
                <w:rFonts w:hint="eastAsia" w:ascii="宋体" w:hAnsi="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993" w:type="dxa"/>
            <w:tcMar>
              <w:top w:w="15" w:type="dxa"/>
              <w:left w:w="15" w:type="dxa"/>
              <w:bottom w:w="0" w:type="dxa"/>
              <w:right w:w="15" w:type="dxa"/>
            </w:tcMar>
            <w:vAlign w:val="center"/>
          </w:tcPr>
          <w:p>
            <w:pPr>
              <w:spacing w:line="280" w:lineRule="exact"/>
              <w:rPr>
                <w:rFonts w:ascii="宋体" w:hAnsi="宋体"/>
                <w:color w:val="000000"/>
                <w:kern w:val="0"/>
              </w:rPr>
            </w:pPr>
            <w:r>
              <w:rPr>
                <w:rFonts w:hint="eastAsia" w:ascii="宋体" w:hAnsi="宋体" w:cs="宋体"/>
                <w:color w:val="000000"/>
                <w:kern w:val="0"/>
                <w:sz w:val="18"/>
                <w:szCs w:val="18"/>
              </w:rPr>
              <w:t>其他规定</w:t>
            </w:r>
          </w:p>
        </w:tc>
        <w:tc>
          <w:tcPr>
            <w:tcW w:w="7332" w:type="dxa"/>
            <w:tcMar>
              <w:top w:w="15" w:type="dxa"/>
              <w:left w:w="15" w:type="dxa"/>
              <w:bottom w:w="0" w:type="dxa"/>
              <w:right w:w="15" w:type="dxa"/>
            </w:tcMar>
            <w:vAlign w:val="center"/>
          </w:tcPr>
          <w:p>
            <w:pPr>
              <w:spacing w:line="280" w:lineRule="exact"/>
              <w:rPr>
                <w:rFonts w:ascii="宋体" w:hAnsi="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认购期内，客户认购资金按当时实行的活期利率计息，募集期内的利息所得不计入认购金额。</w:t>
            </w:r>
          </w:p>
          <w:p>
            <w:pPr>
              <w:autoSpaceDE w:val="0"/>
              <w:autoSpaceDN w:val="0"/>
              <w:adjustRightInd w:val="0"/>
              <w:spacing w:line="280" w:lineRule="exact"/>
              <w:rPr>
                <w:rFonts w:ascii="宋体" w:hAnsi="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spacing w:line="280" w:lineRule="exact"/>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新昌农商银行有权根据市场情况和本产品运作情况，对本理财计划的收费项目、条件、标准和方式进行调整。</w:t>
            </w:r>
          </w:p>
          <w:p>
            <w:pPr>
              <w:autoSpaceDE w:val="0"/>
              <w:autoSpaceDN w:val="0"/>
              <w:adjustRightInd w:val="0"/>
              <w:spacing w:line="280" w:lineRule="exact"/>
              <w:rPr>
                <w:rFonts w:ascii="宋体" w:hAnsi="宋体"/>
                <w:color w:val="000000"/>
                <w:kern w:val="0"/>
              </w:rPr>
            </w:pPr>
            <w:r>
              <w:rPr>
                <w:rFonts w:hint="eastAsia" w:ascii="宋体" w:hAnsi="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exact"/>
        <w:rPr>
          <w:rFonts w:ascii="宋体" w:hAnsi="宋体"/>
          <w:b/>
          <w:bCs/>
        </w:rPr>
      </w:pPr>
      <w:r>
        <w:rPr>
          <w:rFonts w:hint="eastAsia" w:ascii="宋体" w:hAnsi="宋体" w:cs="宋体"/>
          <w:b/>
          <w:bCs/>
        </w:rPr>
        <w:t>特别说明：本理财产品属于净值型理财产品，无预期收益率，投资须谨慎。新昌农商银行对理财本金及收益不提供保证承诺，请客户基于自身的独立判断进行投资决策。</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理财产品估值</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（一）估值日 </w:t>
      </w:r>
    </w:p>
    <w:p>
      <w:pPr>
        <w:spacing w:line="360" w:lineRule="exact"/>
        <w:ind w:firstLine="420" w:firstLineChars="200"/>
        <w:rPr>
          <w:rFonts w:ascii="宋体" w:hAnsi="宋体"/>
          <w:color w:val="000000"/>
          <w:kern w:val="0"/>
        </w:rPr>
      </w:pPr>
      <w:r>
        <w:rPr>
          <w:rFonts w:hint="eastAsia" w:ascii="宋体" w:hAnsi="宋体" w:cs="宋体"/>
          <w:color w:val="000000"/>
          <w:kern w:val="0"/>
        </w:rPr>
        <w:t>本产品估值日为每周最后一个工作日，于下一周最新一个工作日公告。</w:t>
      </w:r>
    </w:p>
    <w:p>
      <w:pPr>
        <w:spacing w:line="360" w:lineRule="exact"/>
        <w:ind w:firstLine="420" w:firstLineChars="200"/>
        <w:rPr>
          <w:rFonts w:ascii="宋体" w:hAnsi="宋体"/>
          <w:color w:val="000000"/>
          <w:kern w:val="0"/>
        </w:rPr>
      </w:pPr>
      <w:r>
        <w:rPr>
          <w:rFonts w:hint="eastAsia" w:ascii="宋体" w:hAnsi="宋体" w:cs="宋体"/>
          <w:color w:val="000000"/>
          <w:kern w:val="0"/>
        </w:rPr>
        <w:t>（二）估值对象</w:t>
      </w:r>
    </w:p>
    <w:p>
      <w:pPr>
        <w:spacing w:line="360" w:lineRule="exact"/>
        <w:rPr>
          <w:rFonts w:ascii="宋体" w:hAnsi="宋体"/>
          <w:color w:val="000000"/>
          <w:kern w:val="0"/>
        </w:rPr>
      </w:pPr>
      <w:r>
        <w:rPr>
          <w:rFonts w:hint="eastAsia" w:ascii="宋体" w:hAnsi="宋体" w:cs="宋体"/>
          <w:color w:val="000000"/>
          <w:kern w:val="0"/>
        </w:rPr>
        <w:t xml:space="preserve">    本理财产品所拥有的所有金融资产及金融负债。</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（三）估值目的 </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 xml:space="preserve">客观、准确反映理财产品的价值。 </w:t>
      </w:r>
    </w:p>
    <w:p>
      <w:pPr>
        <w:pStyle w:val="12"/>
        <w:numPr>
          <w:ilvl w:val="0"/>
          <w:numId w:val="2"/>
        </w:numPr>
        <w:spacing w:line="360" w:lineRule="exact"/>
        <w:ind w:firstLineChars="0"/>
        <w:rPr>
          <w:rFonts w:ascii="宋体" w:hAnsi="宋体" w:cs="Times New Roman"/>
          <w:color w:val="000000"/>
          <w:kern w:val="0"/>
        </w:rPr>
      </w:pPr>
      <w:r>
        <w:rPr>
          <w:rFonts w:hint="eastAsia" w:ascii="宋体" w:hAnsi="宋体" w:cs="宋体"/>
          <w:color w:val="000000"/>
          <w:kern w:val="0"/>
        </w:rPr>
        <w:t>估值方式</w:t>
      </w:r>
    </w:p>
    <w:p>
      <w:pPr>
        <w:pStyle w:val="14"/>
        <w:spacing w:line="360" w:lineRule="exact"/>
        <w:rPr>
          <w:rFonts w:ascii="宋体" w:hAnsi="宋体" w:cs="Times New Roman"/>
          <w:color w:val="000000"/>
          <w:kern w:val="0"/>
        </w:rPr>
      </w:pPr>
      <w:r>
        <w:rPr>
          <w:rFonts w:hint="eastAsia" w:ascii="宋体" w:hAnsi="宋体" w:cs="宋体"/>
          <w:color w:val="000000"/>
          <w:kern w:val="0"/>
        </w:rPr>
        <w:t>1.根据监管规定，可以使用摊余成本法估值的债券类资产使用摊余成本法估值；根据监管规定，应使用市值法估值的债券类资产，按照市值法估值；</w:t>
      </w:r>
    </w:p>
    <w:p>
      <w:pPr>
        <w:pStyle w:val="14"/>
        <w:spacing w:line="360" w:lineRule="exact"/>
        <w:rPr>
          <w:rFonts w:ascii="宋体" w:hAnsi="宋体" w:cs="Times New Roman"/>
          <w:color w:val="000000"/>
          <w:kern w:val="0"/>
        </w:rPr>
      </w:pPr>
      <w:r>
        <w:rPr>
          <w:rFonts w:hint="eastAsia" w:ascii="宋体" w:hAnsi="宋体" w:cs="宋体"/>
          <w:color w:val="000000"/>
          <w:kern w:val="0"/>
        </w:rPr>
        <w:t>2.存放同业、回购、拆借等同业资产按照账面成本加上最近一次付息日至估值日止的应计利息估值；</w:t>
      </w:r>
    </w:p>
    <w:p>
      <w:pPr>
        <w:pStyle w:val="14"/>
        <w:spacing w:line="360" w:lineRule="exact"/>
        <w:rPr>
          <w:rFonts w:ascii="宋体" w:hAnsi="宋体" w:cs="Times New Roman"/>
          <w:color w:val="000000"/>
          <w:kern w:val="0"/>
        </w:rPr>
      </w:pPr>
      <w:r>
        <w:rPr>
          <w:rFonts w:hint="eastAsia" w:ascii="宋体" w:hAnsi="宋体" w:cs="宋体"/>
          <w:color w:val="000000"/>
          <w:kern w:val="0"/>
        </w:rPr>
        <w:t>3.银行存款以本金列示，逐日计提利息；</w:t>
      </w:r>
    </w:p>
    <w:p>
      <w:pPr>
        <w:pStyle w:val="14"/>
        <w:spacing w:line="360" w:lineRule="exact"/>
        <w:rPr>
          <w:rFonts w:ascii="宋体" w:hAnsi="宋体" w:cs="Times New Roman"/>
          <w:color w:val="000000"/>
          <w:kern w:val="0"/>
        </w:rPr>
      </w:pPr>
      <w:r>
        <w:rPr>
          <w:rFonts w:hint="eastAsia" w:ascii="宋体" w:hAnsi="宋体" w:cs="宋体"/>
          <w:color w:val="000000"/>
          <w:kern w:val="0"/>
        </w:rPr>
        <w:t>4.货币基金以按基金管理公司公布的估值日前一交易日的每万份收益计提红利；</w:t>
      </w:r>
    </w:p>
    <w:p>
      <w:pPr>
        <w:pStyle w:val="14"/>
        <w:spacing w:line="360" w:lineRule="exact"/>
        <w:rPr>
          <w:rFonts w:ascii="宋体" w:hAnsi="宋体" w:cs="Times New Roman"/>
          <w:color w:val="000000"/>
          <w:kern w:val="0"/>
        </w:rPr>
      </w:pPr>
      <w:r>
        <w:rPr>
          <w:rFonts w:hint="eastAsia" w:ascii="宋体" w:hAnsi="宋体" w:cs="Times New Roman"/>
          <w:color w:val="000000"/>
          <w:kern w:val="0"/>
        </w:rPr>
        <w:t>5.</w:t>
      </w:r>
      <w:r>
        <w:rPr>
          <w:rFonts w:ascii="宋体" w:hAnsi="宋体" w:cs="Times New Roman"/>
          <w:color w:val="000000"/>
          <w:kern w:val="0"/>
        </w:rPr>
        <w:t>资产管理产品</w:t>
      </w:r>
      <w:r>
        <w:rPr>
          <w:rFonts w:hint="eastAsia" w:ascii="宋体" w:hAnsi="宋体" w:cs="Times New Roman"/>
          <w:color w:val="000000"/>
          <w:kern w:val="0"/>
        </w:rPr>
        <w:t>或其它特殊目的载体</w:t>
      </w:r>
      <w:r>
        <w:rPr>
          <w:rFonts w:ascii="宋体" w:hAnsi="宋体" w:cs="Times New Roman"/>
          <w:color w:val="000000"/>
          <w:kern w:val="0"/>
        </w:rPr>
        <w:t>等披露</w:t>
      </w:r>
      <w:r>
        <w:rPr>
          <w:rFonts w:hint="eastAsia" w:ascii="宋体" w:hAnsi="宋体" w:cs="Times New Roman"/>
          <w:color w:val="000000"/>
          <w:kern w:val="0"/>
        </w:rPr>
        <w:t>份额</w:t>
      </w:r>
      <w:r>
        <w:rPr>
          <w:rFonts w:ascii="宋体" w:hAnsi="宋体" w:cs="Times New Roman"/>
          <w:color w:val="000000"/>
          <w:kern w:val="0"/>
        </w:rPr>
        <w:t>净值的，按最近一日的份额净值</w:t>
      </w:r>
      <w:r>
        <w:rPr>
          <w:rFonts w:hint="eastAsia" w:ascii="宋体" w:hAnsi="宋体" w:cs="Times New Roman"/>
          <w:color w:val="000000"/>
          <w:kern w:val="0"/>
        </w:rPr>
        <w:t>估值</w:t>
      </w:r>
      <w:r>
        <w:rPr>
          <w:rFonts w:ascii="宋体" w:hAnsi="宋体" w:cs="Times New Roman"/>
          <w:color w:val="000000"/>
          <w:kern w:val="0"/>
        </w:rPr>
        <w:t>。</w:t>
      </w:r>
      <w:r>
        <w:rPr>
          <w:rFonts w:hint="eastAsia" w:ascii="宋体" w:hAnsi="宋体" w:cs="Times New Roman"/>
          <w:color w:val="000000"/>
          <w:kern w:val="0"/>
        </w:rPr>
        <w:t>资产管理产品或其它特殊目的载体</w:t>
      </w:r>
      <w:r>
        <w:rPr>
          <w:rFonts w:ascii="宋体" w:hAnsi="宋体" w:cs="Times New Roman"/>
          <w:color w:val="000000"/>
          <w:kern w:val="0"/>
        </w:rPr>
        <w:t>等披露</w:t>
      </w:r>
      <w:r>
        <w:rPr>
          <w:rFonts w:hint="eastAsia" w:ascii="宋体" w:hAnsi="宋体" w:cs="Times New Roman"/>
          <w:color w:val="000000"/>
          <w:kern w:val="0"/>
        </w:rPr>
        <w:t>收益率的</w:t>
      </w:r>
      <w:r>
        <w:rPr>
          <w:rFonts w:ascii="宋体" w:hAnsi="宋体" w:cs="Times New Roman"/>
          <w:color w:val="000000"/>
          <w:kern w:val="0"/>
        </w:rPr>
        <w:t>，按成本估值，按收益率计提收益。</w:t>
      </w:r>
    </w:p>
    <w:p>
      <w:pPr>
        <w:pStyle w:val="14"/>
        <w:spacing w:line="360" w:lineRule="exact"/>
        <w:rPr>
          <w:rFonts w:ascii="宋体" w:hAnsi="宋体" w:cs="Times New Roman"/>
          <w:color w:val="000000"/>
          <w:kern w:val="0"/>
        </w:rPr>
      </w:pPr>
      <w:r>
        <w:rPr>
          <w:rFonts w:hint="eastAsia" w:ascii="宋体" w:hAnsi="宋体" w:cs="宋体"/>
          <w:color w:val="000000"/>
          <w:kern w:val="0"/>
        </w:rPr>
        <w:t>6.其他资产的估值方法:在监管许可的范围内，可以使用成本法估值的资产，按取得时的成本用成本法进行估值；根据监管规定，应使用市值法估值的资产，按照市值法估值；</w:t>
      </w:r>
    </w:p>
    <w:p>
      <w:pPr>
        <w:pStyle w:val="14"/>
        <w:spacing w:line="360" w:lineRule="exact"/>
        <w:rPr>
          <w:rFonts w:ascii="宋体" w:hAnsi="宋体" w:cs="Times New Roman"/>
          <w:color w:val="000000"/>
          <w:kern w:val="0"/>
        </w:rPr>
      </w:pPr>
      <w:r>
        <w:rPr>
          <w:rFonts w:hint="eastAsia" w:ascii="宋体" w:hAnsi="宋体" w:cs="宋体"/>
          <w:color w:val="000000"/>
          <w:kern w:val="0"/>
        </w:rPr>
        <w:t>7.国家有最新规定的按其规定进行估值。</w:t>
      </w:r>
    </w:p>
    <w:p>
      <w:pPr>
        <w:spacing w:line="360" w:lineRule="exact"/>
        <w:ind w:firstLine="420" w:firstLineChars="200"/>
        <w:rPr>
          <w:rFonts w:ascii="宋体" w:hAnsi="宋体"/>
          <w:sz w:val="18"/>
          <w:szCs w:val="18"/>
        </w:rPr>
      </w:pPr>
      <w:r>
        <w:rPr>
          <w:rFonts w:hint="eastAsia" w:ascii="宋体" w:hAnsi="宋体" w:cs="宋体"/>
          <w:color w:val="000000"/>
          <w:kern w:val="0"/>
        </w:rPr>
        <w:t>当理财产品管理人或托管人认为按上述方法对理财产品进行估值不能客观反映其公允价值的，可以在协商一致后变更估值方法，并自协商一致日后执行。</w:t>
      </w:r>
    </w:p>
    <w:p>
      <w:pPr>
        <w:spacing w:line="360" w:lineRule="exact"/>
        <w:ind w:firstLine="420" w:firstLineChars="200"/>
        <w:rPr>
          <w:rFonts w:ascii="宋体" w:hAnsi="宋体"/>
          <w:color w:val="000000"/>
          <w:kern w:val="0"/>
        </w:rPr>
      </w:pPr>
      <w:r>
        <w:rPr>
          <w:rFonts w:hint="eastAsia" w:ascii="宋体" w:hAnsi="宋体" w:cs="宋体"/>
          <w:color w:val="000000"/>
          <w:kern w:val="0"/>
        </w:rPr>
        <w:t>（五）偏离度管理</w:t>
      </w:r>
    </w:p>
    <w:p>
      <w:pPr>
        <w:spacing w:line="360" w:lineRule="exact"/>
        <w:ind w:firstLine="420" w:firstLineChars="200"/>
        <w:rPr>
          <w:rFonts w:ascii="宋体" w:hAnsi="宋体"/>
          <w:color w:val="000000"/>
          <w:kern w:val="0"/>
        </w:rPr>
      </w:pPr>
      <w:r>
        <w:rPr>
          <w:rFonts w:hint="eastAsia" w:ascii="宋体" w:hAnsi="宋体" w:cs="宋体"/>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pStyle w:val="5"/>
        <w:numPr>
          <w:ilvl w:val="0"/>
          <w:numId w:val="1"/>
        </w:numPr>
        <w:spacing w:before="0" w:after="0" w:line="360" w:lineRule="exact"/>
        <w:jc w:val="both"/>
        <w:outlineLvl w:val="9"/>
        <w:rPr>
          <w:rFonts w:ascii="宋体" w:hAnsi="宋体" w:cs="Times New Roman"/>
          <w:sz w:val="28"/>
          <w:szCs w:val="28"/>
        </w:rPr>
      </w:pPr>
      <w:r>
        <w:rPr>
          <w:rFonts w:hint="eastAsia" w:ascii="宋体" w:hAnsi="宋体" w:cs="宋体"/>
          <w:sz w:val="28"/>
          <w:szCs w:val="28"/>
        </w:rPr>
        <w:t>理财计划收益和相关费用</w:t>
      </w:r>
    </w:p>
    <w:p>
      <w:pPr>
        <w:spacing w:line="360" w:lineRule="exact"/>
        <w:ind w:firstLine="420" w:firstLineChars="200"/>
        <w:rPr>
          <w:rFonts w:ascii="宋体" w:hAnsi="宋体"/>
          <w:kern w:val="0"/>
        </w:rPr>
      </w:pPr>
      <w:r>
        <w:rPr>
          <w:rFonts w:hint="eastAsia" w:ascii="宋体" w:hAnsi="宋体" w:cs="宋体"/>
          <w:kern w:val="0"/>
        </w:rPr>
        <w:t>（一）收益计算公式</w:t>
      </w:r>
    </w:p>
    <w:p>
      <w:pPr>
        <w:spacing w:line="360" w:lineRule="exact"/>
        <w:ind w:firstLine="420" w:firstLineChars="200"/>
        <w:rPr>
          <w:rFonts w:ascii="宋体" w:hAnsi="宋体"/>
          <w:kern w:val="0"/>
        </w:rPr>
      </w:pPr>
      <w:r>
        <w:rPr>
          <w:rFonts w:hint="eastAsia" w:ascii="宋体" w:hAnsi="宋体" w:cs="宋体"/>
          <w:kern w:val="0"/>
        </w:rPr>
        <w:t>投资者理财收益＝理财产品投资份额×产品期末单位净值（提取浮动管理费（如有）后单位净值）</w:t>
      </w:r>
      <w:r>
        <w:rPr>
          <w:rFonts w:ascii="宋体" w:hAnsi="宋体" w:cs="宋体"/>
          <w:kern w:val="0"/>
        </w:rPr>
        <w:t>-</w:t>
      </w:r>
      <w:r>
        <w:rPr>
          <w:rFonts w:hint="eastAsia" w:ascii="宋体" w:hAnsi="宋体" w:cs="宋体"/>
          <w:kern w:val="0"/>
        </w:rPr>
        <w:t>客户投资本金。</w:t>
      </w:r>
    </w:p>
    <w:p>
      <w:pPr>
        <w:spacing w:line="360" w:lineRule="exact"/>
        <w:ind w:firstLine="420" w:firstLineChars="200"/>
        <w:rPr>
          <w:rFonts w:ascii="宋体" w:hAnsi="宋体" w:cs="宋体"/>
          <w:kern w:val="0"/>
        </w:rPr>
      </w:pPr>
      <w:r>
        <w:rPr>
          <w:rFonts w:hint="eastAsia" w:ascii="宋体" w:hAnsi="宋体" w:cs="宋体"/>
          <w:kern w:val="0"/>
        </w:rPr>
        <w:t>理财产品单位净值为提取相关费用后的净值，客户按该单位净值进行到期、提前终止时的分配。</w:t>
      </w:r>
    </w:p>
    <w:p>
      <w:pPr>
        <w:spacing w:line="360" w:lineRule="exact"/>
        <w:ind w:firstLine="420" w:firstLineChars="200"/>
        <w:rPr>
          <w:rFonts w:ascii="宋体" w:hAnsi="宋体"/>
          <w:kern w:val="0"/>
          <w:sz w:val="24"/>
          <w:szCs w:val="24"/>
        </w:rPr>
      </w:pPr>
      <w:r>
        <w:rPr>
          <w:rFonts w:hint="eastAsia" w:ascii="宋体" w:hAnsi="宋体" w:cs="宋体"/>
          <w:kern w:val="0"/>
        </w:rPr>
        <w:t>（二）本理财计划的各相关费用</w:t>
      </w:r>
    </w:p>
    <w:p>
      <w:pPr>
        <w:spacing w:line="360" w:lineRule="exact"/>
        <w:ind w:firstLine="420" w:firstLineChars="200"/>
        <w:rPr>
          <w:rFonts w:ascii="宋体" w:hAnsi="宋体" w:cs="宋体"/>
          <w:kern w:val="0"/>
          <w:szCs w:val="21"/>
        </w:rPr>
      </w:pPr>
      <w:r>
        <w:rPr>
          <w:rFonts w:hint="eastAsia" w:ascii="宋体" w:hAnsi="宋体" w:cs="宋体"/>
          <w:kern w:val="0"/>
          <w:szCs w:val="21"/>
        </w:rPr>
        <w:t>1．理财管理人的固定管理费</w:t>
      </w:r>
    </w:p>
    <w:p>
      <w:pPr>
        <w:spacing w:line="360" w:lineRule="exact"/>
        <w:ind w:firstLine="420" w:firstLineChars="200"/>
        <w:rPr>
          <w:rFonts w:ascii="宋体" w:hAnsi="宋体" w:cs="宋体"/>
          <w:kern w:val="0"/>
          <w:szCs w:val="21"/>
        </w:rPr>
      </w:pPr>
      <w:r>
        <w:rPr>
          <w:rFonts w:hint="eastAsia" w:ascii="宋体" w:hAnsi="宋体" w:cs="宋体"/>
          <w:kern w:val="0"/>
          <w:szCs w:val="21"/>
        </w:rPr>
        <w:t>本理财计划按照年化0.3%的固定费率收取固定管理费。本产品每日计提的固定管理费为：前一日资产净值×0.3%／365。固定管理费按日计提，于产品结束后收取。</w:t>
      </w:r>
    </w:p>
    <w:p>
      <w:pPr>
        <w:spacing w:line="360" w:lineRule="exact"/>
        <w:ind w:firstLine="420" w:firstLineChars="200"/>
        <w:rPr>
          <w:rFonts w:ascii="宋体" w:hAnsi="宋体" w:cs="宋体"/>
          <w:kern w:val="0"/>
        </w:rPr>
      </w:pPr>
      <w:r>
        <w:rPr>
          <w:rFonts w:hint="eastAsia" w:ascii="宋体" w:hAnsi="宋体" w:cs="宋体"/>
          <w:kern w:val="0"/>
        </w:rPr>
        <w:t>2.理财托管人的托管费</w:t>
      </w:r>
    </w:p>
    <w:p>
      <w:pPr>
        <w:spacing w:line="360" w:lineRule="exact"/>
        <w:ind w:firstLine="420" w:firstLineChars="200"/>
        <w:rPr>
          <w:rFonts w:ascii="宋体" w:hAnsi="宋体"/>
          <w:kern w:val="0"/>
        </w:rPr>
      </w:pPr>
      <w:r>
        <w:rPr>
          <w:rFonts w:hint="eastAsia" w:ascii="宋体" w:hAnsi="宋体" w:cs="宋体"/>
          <w:kern w:val="0"/>
        </w:rPr>
        <w:t>本理财计划按照年化0.01%的固定费率收取托管费。本产品每日计提的托管费计算方式为：该前一日资产净值×0.01%／365。</w:t>
      </w:r>
    </w:p>
    <w:p>
      <w:pPr>
        <w:spacing w:line="360" w:lineRule="exact"/>
        <w:ind w:firstLine="420" w:firstLineChars="200"/>
        <w:rPr>
          <w:rFonts w:ascii="宋体" w:hAnsi="宋体" w:cs="宋体"/>
          <w:kern w:val="0"/>
        </w:rPr>
      </w:pPr>
      <w:r>
        <w:rPr>
          <w:rFonts w:hint="eastAsia" w:ascii="宋体" w:hAnsi="宋体" w:cs="宋体"/>
          <w:kern w:val="0"/>
        </w:rPr>
        <w:t>托管费按日计提，于产品结束时收取。</w:t>
      </w:r>
    </w:p>
    <w:p>
      <w:pPr>
        <w:pStyle w:val="14"/>
        <w:spacing w:line="360" w:lineRule="exact"/>
        <w:ind w:firstLineChars="0"/>
        <w:rPr>
          <w:rFonts w:ascii="宋体" w:hAnsi="宋体" w:cs="宋体"/>
          <w:kern w:val="0"/>
        </w:rPr>
      </w:pPr>
      <w:r>
        <w:rPr>
          <w:rFonts w:hint="eastAsia" w:ascii="宋体" w:hAnsi="宋体" w:cs="宋体"/>
          <w:kern w:val="0"/>
        </w:rPr>
        <w:t>3.估值外包费</w:t>
      </w:r>
    </w:p>
    <w:p>
      <w:pPr>
        <w:spacing w:line="360" w:lineRule="exact"/>
        <w:ind w:firstLine="420" w:firstLineChars="200"/>
        <w:rPr>
          <w:rFonts w:ascii="宋体" w:hAnsi="宋体"/>
          <w:kern w:val="0"/>
        </w:rPr>
      </w:pPr>
      <w:r>
        <w:rPr>
          <w:rFonts w:hint="eastAsia" w:ascii="宋体" w:hAnsi="宋体" w:cs="宋体"/>
          <w:kern w:val="0"/>
        </w:rPr>
        <w:t>本理财计划按照年化0.005%的固定费率收取外包服务费。本产品每日计提的外包服务费计算方式为：该前一日资产净值×0.005%／365。</w:t>
      </w:r>
    </w:p>
    <w:p>
      <w:pPr>
        <w:spacing w:line="360" w:lineRule="exact"/>
        <w:ind w:firstLine="420" w:firstLineChars="200"/>
        <w:rPr>
          <w:rFonts w:ascii="宋体" w:hAnsi="宋体" w:cs="宋体"/>
          <w:kern w:val="0"/>
        </w:rPr>
      </w:pPr>
      <w:r>
        <w:rPr>
          <w:rFonts w:hint="eastAsia" w:ascii="宋体" w:hAnsi="宋体" w:cs="宋体"/>
          <w:kern w:val="0"/>
        </w:rPr>
        <w:t>外包服务费按日计提，于产品结束时收取。</w:t>
      </w:r>
    </w:p>
    <w:p>
      <w:pPr>
        <w:spacing w:line="360" w:lineRule="exact"/>
        <w:ind w:firstLine="420" w:firstLineChars="200"/>
        <w:rPr>
          <w:rFonts w:ascii="宋体" w:hAnsi="宋体" w:cs="宋体"/>
          <w:kern w:val="0"/>
        </w:rPr>
      </w:pPr>
      <w:r>
        <w:rPr>
          <w:rFonts w:hint="eastAsia" w:ascii="宋体" w:hAnsi="宋体" w:cs="宋体"/>
          <w:kern w:val="0"/>
        </w:rPr>
        <w:t>4.浮动管理费</w:t>
      </w:r>
    </w:p>
    <w:p>
      <w:pPr>
        <w:spacing w:line="360" w:lineRule="exact"/>
        <w:ind w:firstLine="420" w:firstLineChars="200"/>
        <w:rPr>
          <w:rFonts w:ascii="宋体" w:hAnsi="宋体" w:cs="宋体"/>
          <w:kern w:val="0"/>
          <w:szCs w:val="21"/>
        </w:rPr>
      </w:pPr>
      <w:r>
        <w:rPr>
          <w:rFonts w:hint="eastAsia" w:ascii="宋体" w:hAnsi="宋体" w:cs="宋体"/>
          <w:kern w:val="0"/>
          <w:szCs w:val="21"/>
        </w:rPr>
        <w:t>理财管理人根据理财计划投资情况计算浮动管理费，本理财产品到期年化收益率超过业绩比较基准上限的部分提取60%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pPr>
        <w:spacing w:line="360" w:lineRule="exact"/>
        <w:ind w:firstLine="420" w:firstLineChars="200"/>
        <w:rPr>
          <w:rFonts w:ascii="宋体" w:hAnsi="宋体"/>
          <w:kern w:val="0"/>
        </w:rPr>
      </w:pPr>
      <w:r>
        <w:rPr>
          <w:rFonts w:hint="eastAsia" w:ascii="宋体" w:hAnsi="宋体" w:cs="宋体"/>
          <w:kern w:val="0"/>
        </w:rPr>
        <w:t>（三）收益示例说明</w:t>
      </w:r>
    </w:p>
    <w:p>
      <w:pPr>
        <w:spacing w:line="360" w:lineRule="exact"/>
        <w:ind w:firstLine="413" w:firstLineChars="196"/>
        <w:rPr>
          <w:rFonts w:ascii="宋体" w:hAnsi="宋体"/>
          <w:b/>
          <w:bCs/>
          <w:kern w:val="0"/>
        </w:rPr>
      </w:pPr>
      <w:r>
        <w:rPr>
          <w:rFonts w:hint="eastAsia" w:ascii="宋体" w:hAnsi="宋体" w:cs="宋体"/>
          <w:b/>
          <w:bCs/>
          <w:kern w:val="0"/>
        </w:rPr>
        <w:t>示例一：扣除托管费、固定管理费后，投资收益率超越业绩比较基准</w:t>
      </w:r>
    </w:p>
    <w:p>
      <w:pPr>
        <w:spacing w:line="360" w:lineRule="exact"/>
        <w:ind w:firstLine="411" w:firstLineChars="196"/>
        <w:rPr>
          <w:rFonts w:ascii="宋体" w:hAnsi="宋体"/>
          <w:b/>
          <w:bCs/>
          <w:kern w:val="0"/>
        </w:rPr>
      </w:pPr>
      <w:r>
        <w:rPr>
          <w:rFonts w:hint="eastAsia" w:ascii="宋体" w:hAnsi="宋体"/>
        </w:rPr>
        <w:t>以某客户投资10万元为例，假设购买时产品净值为1.00元，折算份额为100,000.00份,投资本理财产品362天后，到期份额100000.00份。假设管理人提取超过业绩基准部分60%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pPr>
        <w:widowControl/>
        <w:spacing w:line="360" w:lineRule="exact"/>
        <w:ind w:firstLine="420" w:firstLineChars="200"/>
        <w:contextualSpacing/>
        <w:rPr>
          <w:rFonts w:ascii="宋体" w:hAnsi="宋体"/>
        </w:rPr>
      </w:pPr>
      <w:r>
        <w:rPr>
          <w:rFonts w:hint="eastAsia" w:ascii="宋体" w:hAnsi="宋体"/>
        </w:rPr>
        <w:t>100,000.00×1.00×(6.20%-5.60%)×60%×362÷365=357.04（元）</w:t>
      </w:r>
    </w:p>
    <w:p>
      <w:pPr>
        <w:widowControl/>
        <w:spacing w:line="360" w:lineRule="exact"/>
        <w:ind w:firstLine="420" w:firstLineChars="200"/>
        <w:contextualSpacing/>
        <w:rPr>
          <w:rFonts w:ascii="宋体" w:hAnsi="宋体"/>
        </w:rPr>
      </w:pPr>
      <w:r>
        <w:rPr>
          <w:rFonts w:hint="eastAsia" w:ascii="宋体" w:hAnsi="宋体"/>
        </w:rPr>
        <w:t>扣除浮动管理费后，客户最终收益为：</w:t>
      </w:r>
    </w:p>
    <w:p>
      <w:pPr>
        <w:spacing w:line="360" w:lineRule="exact"/>
        <w:ind w:firstLine="411" w:firstLineChars="196"/>
        <w:rPr>
          <w:rFonts w:ascii="宋体" w:hAnsi="宋体"/>
        </w:rPr>
      </w:pPr>
      <w:r>
        <w:rPr>
          <w:rFonts w:hint="eastAsia" w:ascii="宋体" w:hAnsi="宋体"/>
        </w:rPr>
        <w:t>100,000.00×（1.0615-1.00）-357.04=5792.96（元），产品到期时，客户获得的实际收益相当于达到年化收益率水平为：5792.96/100,000.00×365/362=5.84%。</w:t>
      </w:r>
    </w:p>
    <w:p>
      <w:pPr>
        <w:spacing w:line="360" w:lineRule="exact"/>
        <w:ind w:firstLine="413" w:firstLineChars="196"/>
        <w:rPr>
          <w:rFonts w:ascii="宋体" w:hAnsi="宋体"/>
          <w:b/>
          <w:bCs/>
          <w:kern w:val="0"/>
        </w:rPr>
      </w:pPr>
      <w:r>
        <w:rPr>
          <w:rFonts w:hint="eastAsia" w:ascii="宋体" w:hAnsi="宋体" w:cs="宋体"/>
          <w:b/>
          <w:bCs/>
          <w:kern w:val="0"/>
        </w:rPr>
        <w:t>示例二：扣除托管费、固定管理费后，投资收益率未达到业绩比较基准</w:t>
      </w:r>
    </w:p>
    <w:p>
      <w:pPr>
        <w:widowControl/>
        <w:spacing w:line="360" w:lineRule="exact"/>
        <w:ind w:firstLine="420" w:firstLineChars="200"/>
        <w:contextualSpacing/>
        <w:rPr>
          <w:rFonts w:ascii="宋体" w:hAnsi="宋体"/>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hAns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。到期时扣除增值税、托管费、固定管理费等各类税费后，</w:t>
      </w:r>
      <w:r>
        <w:rPr>
          <w:rFonts w:hint="eastAsia" w:ascii="宋体" w:hAnsi="宋体"/>
        </w:rPr>
        <w:t>如产品净值为1.0496，此时，(1.0496/1.00-1)×365/362=5.00%&lt;5.60%，即投资收益未达到业绩比较基准，则投资管理人不收取浮动管理费，客户最终收益为：100,000.00×(1.0496-1.00）=4,960.00（元）。</w:t>
      </w:r>
    </w:p>
    <w:p>
      <w:pPr>
        <w:spacing w:line="360" w:lineRule="exact"/>
        <w:ind w:firstLine="422" w:firstLineChars="200"/>
        <w:rPr>
          <w:rFonts w:ascii="宋体" w:hAnsi="宋体"/>
          <w:b/>
          <w:bCs/>
          <w:kern w:val="0"/>
        </w:rPr>
      </w:pPr>
      <w:r>
        <w:rPr>
          <w:rFonts w:hint="eastAsia" w:ascii="宋体" w:hAnsi="宋体" w:cs="宋体"/>
          <w:b/>
          <w:bCs/>
          <w:kern w:val="0"/>
        </w:rPr>
        <w:t>示例三：扣除托管费、固定管理费后，投资发生亏损</w:t>
      </w:r>
    </w:p>
    <w:p>
      <w:pPr>
        <w:spacing w:line="360" w:lineRule="exact"/>
        <w:ind w:firstLine="420" w:firstLineChars="200"/>
        <w:rPr>
          <w:rFonts w:ascii="宋体" w:hAnsi="宋体" w:cs="宋体"/>
          <w:kern w:val="0"/>
        </w:rPr>
      </w:pPr>
      <w:r>
        <w:rPr>
          <w:rFonts w:hint="eastAsia" w:ascii="宋体" w:hAnsi="宋体" w:cs="宋体"/>
          <w:kern w:val="0"/>
        </w:rPr>
        <w:t>以某客户投资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2天后，到期份额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管理人提取超过业绩基准部分作为浮动管理费，</w:t>
      </w:r>
      <w:r>
        <w:rPr>
          <w:rFonts w:hint="eastAsia" w:ascii="宋体" w:hAnsi="宋体" w:cs="宋体"/>
          <w:kern w:val="0"/>
        </w:rPr>
        <w:t>产品业绩比较基准为5.60</w:t>
      </w:r>
      <w:r>
        <w:rPr>
          <w:rFonts w:ascii="宋体" w:hAnsi="宋体" w:cs="宋体"/>
          <w:kern w:val="0"/>
        </w:rPr>
        <w:t>%</w:t>
      </w:r>
      <w:r>
        <w:rPr>
          <w:rFonts w:hint="eastAsia" w:ascii="宋体" w:hAnsi="宋体"/>
        </w:rPr>
        <w:t>。到期</w:t>
      </w:r>
      <w:r>
        <w:rPr>
          <w:rFonts w:hint="eastAsia" w:ascii="宋体" w:hAnsi="宋体" w:cs="宋体"/>
          <w:kern w:val="0"/>
        </w:rPr>
        <w:t>时扣除增值税、托管费、固定管理费等各类税费后，如产品净值为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客户最终收益为：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360" w:lineRule="exact"/>
        <w:ind w:firstLine="420" w:firstLineChars="200"/>
        <w:rPr>
          <w:rFonts w:ascii="宋体" w:hAnsi="宋体"/>
        </w:rPr>
      </w:pPr>
      <w:r>
        <w:rPr>
          <w:rFonts w:hint="eastAsia" w:ascii="宋体" w:hAnsi="宋体" w:cs="宋体"/>
        </w:rPr>
        <w:t>（四）最不利情况分析</w:t>
      </w:r>
    </w:p>
    <w:p>
      <w:pPr>
        <w:spacing w:line="360" w:lineRule="exact"/>
        <w:ind w:firstLine="420" w:firstLineChars="200"/>
        <w:rPr>
          <w:rFonts w:ascii="宋体" w:hAnsi="宋体"/>
        </w:rPr>
      </w:pPr>
      <w:r>
        <w:rPr>
          <w:rFonts w:hint="eastAsia" w:ascii="宋体" w:hAnsi="宋体" w:cs="宋体"/>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产品终止</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终止权的行使：本理财产品发生全部终止时，新昌农商银行可以通过公告通知客户全部兑付本理财产品，并按约定将可兑付款项支付给客户。</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资金清算：终止日（实际到期日）后</w:t>
      </w:r>
      <w:r>
        <w:rPr>
          <w:rFonts w:ascii="宋体" w:hAnsi="宋体" w:cs="宋体"/>
          <w:color w:val="000000"/>
          <w:kern w:val="0"/>
        </w:rPr>
        <w:t>2</w:t>
      </w:r>
      <w:r>
        <w:rPr>
          <w:rFonts w:hint="eastAsia" w:ascii="宋体" w:hAnsi="宋体" w:cs="宋体"/>
          <w:color w:val="000000"/>
          <w:kern w:val="0"/>
        </w:rPr>
        <w:t>个工作日为资金清算期，该期间不计付利息。</w:t>
      </w:r>
    </w:p>
    <w:p>
      <w:pPr>
        <w:pStyle w:val="14"/>
        <w:numPr>
          <w:ilvl w:val="0"/>
          <w:numId w:val="3"/>
        </w:numPr>
        <w:spacing w:line="360" w:lineRule="exact"/>
        <w:ind w:left="0" w:firstLineChars="0"/>
        <w:rPr>
          <w:rFonts w:ascii="宋体" w:hAnsi="宋体" w:cs="宋体"/>
          <w:color w:val="000000"/>
          <w:kern w:val="0"/>
        </w:rPr>
      </w:pPr>
      <w:r>
        <w:rPr>
          <w:rFonts w:hint="eastAsia" w:ascii="宋体" w:hAnsi="宋体" w:cs="宋体"/>
          <w:color w:val="000000"/>
          <w:kern w:val="0"/>
        </w:rPr>
        <w:t>终止事项</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发生以下事项时，新昌农商银行可对本理财产品行使全部终止权：</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（1）如因本理财产品资产运作模式等与相关政策、法律法规、规章的规定或者监管机构的要求等存在冲突导致理财产品必须提前终止的；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（2）国家有关法律、法规、规章、政策的改变、紧急措施的出台、理财市场环境发生重大变化等导致理财产品必须提前终止的；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（3）因地震、火灾、战争、罢工等不可抗力因素导致本理财产品必须提前终止的；</w:t>
      </w:r>
    </w:p>
    <w:p>
      <w:pPr>
        <w:pStyle w:val="14"/>
        <w:spacing w:line="360" w:lineRule="exact"/>
        <w:ind w:firstLine="0" w:firstLineChars="0"/>
        <w:rPr>
          <w:rFonts w:ascii="宋体" w:hAnsi="宋体" w:cs="Times New Roman"/>
          <w:color w:val="000000"/>
          <w:kern w:val="0"/>
        </w:rPr>
      </w:pPr>
      <w:r>
        <w:rPr>
          <w:rFonts w:hint="eastAsia" w:ascii="宋体" w:hAnsi="宋体" w:cs="宋体"/>
          <w:color w:val="000000"/>
          <w:kern w:val="0"/>
        </w:rPr>
        <w:t>（4）新昌农商银行认为应该提前终止本理财产品的其他情况。</w:t>
      </w:r>
    </w:p>
    <w:p>
      <w:pPr>
        <w:pStyle w:val="14"/>
        <w:numPr>
          <w:ilvl w:val="0"/>
          <w:numId w:val="3"/>
        </w:numPr>
        <w:spacing w:line="360" w:lineRule="exact"/>
        <w:ind w:left="0" w:firstLineChars="0"/>
        <w:rPr>
          <w:rFonts w:ascii="宋体" w:hAnsi="宋体" w:cs="Times New Roman"/>
          <w:color w:val="000000"/>
          <w:kern w:val="0"/>
        </w:rPr>
      </w:pPr>
      <w:r>
        <w:rPr>
          <w:rFonts w:hint="eastAsia" w:ascii="宋体" w:hAnsi="宋体" w:cs="宋体"/>
          <w:color w:val="000000"/>
          <w:kern w:val="0"/>
        </w:rPr>
        <w:t>终止的信息公告</w:t>
      </w:r>
    </w:p>
    <w:p>
      <w:pPr>
        <w:pStyle w:val="14"/>
        <w:spacing w:line="360" w:lineRule="exact"/>
        <w:ind w:firstLine="0" w:firstLineChars="0"/>
        <w:rPr>
          <w:rFonts w:ascii="宋体" w:hAnsi="宋体" w:cs="宋体"/>
          <w:color w:val="000000"/>
          <w:kern w:val="0"/>
        </w:rPr>
      </w:pPr>
      <w:r>
        <w:rPr>
          <w:rFonts w:hint="eastAsia" w:ascii="宋体" w:hAnsi="宋体" w:cs="宋体"/>
          <w:color w:val="000000"/>
          <w:kern w:val="0"/>
        </w:rPr>
        <w:t>如遇本理财产品终止事项，新昌农商银行将提前1个工作日通过新昌农商银行网站及时公告相关信息，敬请予以关注。</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Times New Roman"/>
          <w:sz w:val="28"/>
          <w:szCs w:val="28"/>
        </w:rPr>
        <w:t>税费规定</w:t>
      </w:r>
    </w:p>
    <w:p>
      <w:pPr>
        <w:pStyle w:val="14"/>
        <w:spacing w:line="360" w:lineRule="exact"/>
        <w:rPr>
          <w:rFonts w:ascii="宋体" w:hAnsi="宋体" w:cs="Times New Roman"/>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pPr>
        <w:pStyle w:val="5"/>
        <w:numPr>
          <w:ilvl w:val="0"/>
          <w:numId w:val="1"/>
        </w:numPr>
        <w:spacing w:before="0" w:after="0" w:line="360" w:lineRule="exact"/>
        <w:ind w:hanging="420"/>
        <w:jc w:val="both"/>
        <w:outlineLvl w:val="9"/>
        <w:rPr>
          <w:rFonts w:ascii="宋体" w:hAnsi="宋体" w:cs="Times New Roman"/>
          <w:sz w:val="28"/>
          <w:szCs w:val="28"/>
        </w:rPr>
      </w:pPr>
      <w:r>
        <w:rPr>
          <w:rFonts w:hint="eastAsia" w:ascii="宋体" w:hAnsi="宋体" w:cs="宋体"/>
          <w:sz w:val="28"/>
          <w:szCs w:val="28"/>
        </w:rPr>
        <w:t>信息披露</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本理财计划信息披露通过新昌农商银行网站公告或其他形式进行披露。</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理财计划成立后，新昌农商银行会在每周第一个工作日披露本理财上周最后一个工作日的产品净值。</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pPr>
        <w:pStyle w:val="15"/>
        <w:numPr>
          <w:ilvl w:val="0"/>
          <w:numId w:val="4"/>
        </w:numPr>
        <w:tabs>
          <w:tab w:val="left" w:pos="0"/>
        </w:tabs>
        <w:adjustRightInd/>
        <w:spacing w:line="360" w:lineRule="exact"/>
        <w:ind w:left="0" w:firstLine="424" w:firstLineChars="202"/>
        <w:rPr>
          <w:rFonts w:ascii="宋体" w:hAnsi="宋体" w:cs="Times New Roman"/>
          <w:sz w:val="21"/>
          <w:szCs w:val="21"/>
        </w:rPr>
      </w:pPr>
      <w:r>
        <w:rPr>
          <w:rFonts w:hint="eastAsia" w:ascii="宋体" w:hAnsi="宋体" w:cs="宋体"/>
          <w:sz w:val="21"/>
          <w:szCs w:val="21"/>
        </w:rPr>
        <w:t>新昌农商银行如在特定情况下终止本产品，将于实际终止日前至少1个工作日，在新昌农商银行网站发布相关信息公告。</w:t>
      </w:r>
    </w:p>
    <w:p>
      <w:pPr>
        <w:pStyle w:val="15"/>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新昌农商银行将在理财期内在新昌农商银行网站对本产品说明书予以公示，若客户持有的销售文件与网站公示的产品说明书不一致，应以网站公示为准。</w:t>
      </w:r>
    </w:p>
    <w:p>
      <w:pPr>
        <w:pStyle w:val="15"/>
        <w:numPr>
          <w:ilvl w:val="0"/>
          <w:numId w:val="4"/>
        </w:numPr>
        <w:tabs>
          <w:tab w:val="left" w:pos="0"/>
        </w:tabs>
        <w:adjustRightInd/>
        <w:spacing w:line="360" w:lineRule="exact"/>
        <w:ind w:left="0" w:firstLine="424" w:firstLineChars="202"/>
        <w:rPr>
          <w:rFonts w:ascii="宋体" w:hAnsi="宋体" w:cs="宋体"/>
          <w:sz w:val="21"/>
          <w:szCs w:val="21"/>
        </w:rPr>
      </w:pPr>
      <w:r>
        <w:rPr>
          <w:rFonts w:hint="eastAsia" w:ascii="宋体" w:hAnsi="宋体" w:cs="宋体"/>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pPr>
        <w:pStyle w:val="5"/>
        <w:numPr>
          <w:ilvl w:val="0"/>
          <w:numId w:val="1"/>
        </w:numPr>
        <w:spacing w:before="0" w:after="0" w:line="360" w:lineRule="exact"/>
        <w:ind w:hanging="420"/>
        <w:jc w:val="both"/>
        <w:outlineLvl w:val="9"/>
        <w:rPr>
          <w:rFonts w:ascii="宋体" w:hAnsi="宋体" w:cs="宋体"/>
          <w:color w:val="000000"/>
          <w:kern w:val="0"/>
        </w:rPr>
      </w:pPr>
      <w:r>
        <w:rPr>
          <w:rFonts w:hint="eastAsia" w:ascii="宋体" w:hAnsi="宋体" w:cs="宋体"/>
          <w:color w:val="000000"/>
          <w:kern w:val="0"/>
        </w:rPr>
        <w:t xml:space="preserve">特别申明 </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2、本《产品说明书》是投资者与新昌农商银行所签订的理财产品文件的一部分，请认真阅读。</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3、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pPr>
        <w:spacing w:line="360" w:lineRule="exact"/>
        <w:ind w:firstLine="424" w:firstLineChars="202"/>
        <w:rPr>
          <w:rFonts w:ascii="宋体" w:hAnsi="宋体" w:cs="宋体"/>
          <w:color w:val="000000"/>
          <w:kern w:val="0"/>
        </w:rPr>
      </w:pPr>
      <w:r>
        <w:rPr>
          <w:rFonts w:hint="eastAsia" w:ascii="宋体" w:hAnsi="宋体" w:cs="宋体"/>
          <w:color w:val="000000"/>
          <w:kern w:val="0"/>
        </w:rPr>
        <w:t>4、本理财产品说明书在法律许可的范围内由银行负责解释。若客户对本理财说明书的内容有任何疑问或异议，请致电客户服务热线0575-86266991咨询、投诉。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225D6F4E"/>
    <w:multiLevelType w:val="multilevel"/>
    <w:tmpl w:val="225D6F4E"/>
    <w:lvl w:ilvl="0" w:tentative="0">
      <w:start w:val="1"/>
      <w:numFmt w:val="chineseCountingThousand"/>
      <w:suff w:val="nothing"/>
      <w:lvlText w:val="（%1）"/>
      <w:lvlJc w:val="left"/>
      <w:pPr>
        <w:ind w:left="6597"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40D15568"/>
    <w:multiLevelType w:val="multilevel"/>
    <w:tmpl w:val="40D15568"/>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FE7B6D"/>
    <w:multiLevelType w:val="multilevel"/>
    <w:tmpl w:val="4CFE7B6D"/>
    <w:lvl w:ilvl="0" w:tentative="0">
      <w:start w:val="4"/>
      <w:numFmt w:val="japaneseCounting"/>
      <w:lvlText w:val="（%1）"/>
      <w:lvlJc w:val="left"/>
      <w:pPr>
        <w:ind w:left="1140" w:hanging="72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ZTg5ZjdhNTg1NGY0MDIyZWU3Nzc2NjJhYjE5YTUifQ=="/>
  </w:docVars>
  <w:rsids>
    <w:rsidRoot w:val="00A0472D"/>
    <w:rsid w:val="000028FB"/>
    <w:rsid w:val="000378E8"/>
    <w:rsid w:val="00040B3D"/>
    <w:rsid w:val="0004486C"/>
    <w:rsid w:val="00050261"/>
    <w:rsid w:val="00054E6D"/>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 w:val="7352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cs="Cambria"/>
      <w:b/>
      <w:bCs/>
      <w:kern w:val="28"/>
      <w:sz w:val="32"/>
      <w:szCs w:val="32"/>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列出段落 Char"/>
    <w:link w:val="12"/>
    <w:locked/>
    <w:uiPriority w:val="0"/>
    <w:rPr>
      <w:rFonts w:ascii="Calibri" w:hAnsi="Calibri" w:cs="Calibri"/>
      <w:sz w:val="22"/>
    </w:rPr>
  </w:style>
  <w:style w:type="paragraph" w:styleId="12">
    <w:name w:val="List Paragraph"/>
    <w:basedOn w:val="1"/>
    <w:link w:val="11"/>
    <w:qFormat/>
    <w:uiPriority w:val="0"/>
    <w:pPr>
      <w:ind w:firstLine="420" w:firstLineChars="200"/>
    </w:pPr>
    <w:rPr>
      <w:rFonts w:cs="Calibri" w:eastAsiaTheme="minorEastAsia"/>
      <w:sz w:val="22"/>
    </w:rPr>
  </w:style>
  <w:style w:type="character" w:customStyle="1" w:styleId="13">
    <w:name w:val="副标题 Char"/>
    <w:basedOn w:val="8"/>
    <w:link w:val="5"/>
    <w:qFormat/>
    <w:uiPriority w:val="99"/>
    <w:rPr>
      <w:rFonts w:ascii="Cambria" w:hAnsi="Cambria" w:eastAsia="宋体" w:cs="Cambria"/>
      <w:b/>
      <w:bCs/>
      <w:kern w:val="28"/>
      <w:sz w:val="32"/>
      <w:szCs w:val="32"/>
    </w:rPr>
  </w:style>
  <w:style w:type="paragraph" w:customStyle="1" w:styleId="14">
    <w:name w:val="List Paragraph1"/>
    <w:basedOn w:val="1"/>
    <w:qFormat/>
    <w:uiPriority w:val="99"/>
    <w:pPr>
      <w:ind w:firstLine="420" w:firstLineChars="200"/>
    </w:pPr>
    <w:rPr>
      <w:rFonts w:cs="Calibri"/>
      <w:szCs w:val="21"/>
    </w:rPr>
  </w:style>
  <w:style w:type="paragraph" w:customStyle="1" w:styleId="15">
    <w:name w:val="Default"/>
    <w:qFormat/>
    <w:uiPriority w:val="99"/>
    <w:pPr>
      <w:widowControl w:val="0"/>
      <w:autoSpaceDE w:val="0"/>
      <w:autoSpaceDN w:val="0"/>
      <w:adjustRightInd w:val="0"/>
    </w:pPr>
    <w:rPr>
      <w:rFonts w:ascii="Wingdings" w:hAnsi="Wingdings" w:eastAsia="宋体" w:cs="Wingdings"/>
      <w:color w:val="000000"/>
      <w:kern w:val="0"/>
      <w:sz w:val="24"/>
      <w:szCs w:val="24"/>
      <w:lang w:val="en-US" w:eastAsia="zh-CN" w:bidi="ar-SA"/>
    </w:rPr>
  </w:style>
  <w:style w:type="character" w:customStyle="1" w:styleId="16">
    <w:name w:val="批注框文本 Char"/>
    <w:basedOn w:val="8"/>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FC77-04C5-40C8-88AF-E49245D228E3}">
  <ds:schemaRefs/>
</ds:datastoreItem>
</file>

<file path=docProps/app.xml><?xml version="1.0" encoding="utf-8"?>
<Properties xmlns="http://schemas.openxmlformats.org/officeDocument/2006/extended-properties" xmlns:vt="http://schemas.openxmlformats.org/officeDocument/2006/docPropsVTypes">
  <Template>Normal</Template>
  <Pages>8</Pages>
  <Words>1323</Words>
  <Characters>7543</Characters>
  <Lines>62</Lines>
  <Paragraphs>17</Paragraphs>
  <TotalTime>482</TotalTime>
  <ScaleCrop>false</ScaleCrop>
  <LinksUpToDate>false</LinksUpToDate>
  <CharactersWithSpaces>8849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2020-04-28T03:10:00Z</dcterms:created>
  <dc:creator>丁琳滢</dc:creator>
  <cp:lastModifiedBy>王小</cp:lastModifiedBy>
  <cp:lastPrinted>2021-01-26T00:36:00Z</cp:lastPrinted>
  <dcterms:modified xsi:type="dcterms:W3CDTF">2024-04-03T07:01:16Z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E299BA3606534D14BF46F8B23527803B_12</vt:lpwstr>
  </property>
</Properties>
</file>