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20" w:firstLineChars="0"/>
        <w:rPr>
          <w:rFonts w:ascii="Times New Roman" w:hAnsi="Times New Roman"/>
          <w:b/>
          <w:szCs w:val="21"/>
        </w:rPr>
      </w:pP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渝农商理财有限责任公司</w:t>
      </w:r>
    </w:p>
    <w:p>
      <w:pPr>
        <w:spacing w:line="276" w:lineRule="auto"/>
        <w:jc w:val="center"/>
        <w:rPr>
          <w:rFonts w:hint="eastAsia" w:ascii="Times New Roman" w:hAnsi="Times New Roman" w:eastAsia="宋体"/>
          <w:b/>
          <w:sz w:val="32"/>
          <w:szCs w:val="32"/>
          <w:highlight w:val="none"/>
          <w:lang w:eastAsia="zh-CN"/>
        </w:rPr>
      </w:pPr>
      <w:r>
        <w:rPr>
          <w:rFonts w:hint="eastAsia" w:ascii="Times New Roman" w:hAnsi="Times New Roman"/>
          <w:b/>
          <w:sz w:val="32"/>
          <w:szCs w:val="32"/>
          <w:highlight w:val="none"/>
        </w:rPr>
        <w:t>渝农商理财</w:t>
      </w:r>
      <w:r>
        <w:rPr>
          <w:rFonts w:hint="eastAsia" w:ascii="Times New Roman" w:hAnsi="Times New Roman"/>
          <w:b/>
          <w:sz w:val="32"/>
          <w:szCs w:val="32"/>
          <w:highlight w:val="none"/>
          <w:lang w:eastAsia="zh-CN"/>
        </w:rPr>
        <w:t>益进丰收封闭式2024年第41404期</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理财产品说明书</w:t>
      </w:r>
    </w:p>
    <w:p>
      <w:pPr>
        <w:tabs>
          <w:tab w:val="center" w:pos="4434"/>
        </w:tabs>
        <w:spacing w:line="276" w:lineRule="auto"/>
        <w:jc w:val="center"/>
        <w:rPr>
          <w:rFonts w:ascii="Times New Roman" w:hAnsi="Times New Roman"/>
          <w:b/>
          <w:bCs/>
          <w:sz w:val="28"/>
          <w:szCs w:val="28"/>
          <w:highlight w:val="none"/>
        </w:rPr>
      </w:pPr>
      <w:r>
        <w:rPr>
          <w:rFonts w:hint="eastAsia" w:ascii="Times New Roman" w:hAnsi="Times New Roman"/>
          <w:b/>
          <w:bCs/>
          <w:sz w:val="28"/>
          <w:szCs w:val="28"/>
          <w:highlight w:val="none"/>
        </w:rPr>
        <w:t>（2</w:t>
      </w:r>
      <w:r>
        <w:rPr>
          <w:rFonts w:hint="eastAsia" w:ascii="Times New Roman" w:hAnsi="Times New Roman"/>
          <w:b/>
          <w:bCs/>
          <w:sz w:val="28"/>
          <w:szCs w:val="28"/>
          <w:highlight w:val="none"/>
          <w:lang w:val="en-US" w:eastAsia="zh-CN"/>
        </w:rPr>
        <w:t>4</w:t>
      </w:r>
      <w:r>
        <w:rPr>
          <w:rFonts w:hint="eastAsia" w:ascii="Times New Roman" w:hAnsi="Times New Roman"/>
          <w:b/>
          <w:bCs/>
          <w:sz w:val="28"/>
          <w:szCs w:val="28"/>
          <w:highlight w:val="none"/>
        </w:rPr>
        <w:t>GSGF</w:t>
      </w:r>
      <w:r>
        <w:rPr>
          <w:rFonts w:hint="eastAsia" w:ascii="Times New Roman" w:hAnsi="Times New Roman"/>
          <w:b/>
          <w:bCs/>
          <w:sz w:val="28"/>
          <w:szCs w:val="28"/>
          <w:highlight w:val="none"/>
          <w:lang w:val="en-US" w:eastAsia="zh-CN"/>
        </w:rPr>
        <w:t>41404</w:t>
      </w:r>
      <w:r>
        <w:rPr>
          <w:rFonts w:hint="eastAsia" w:ascii="Times New Roman" w:hAnsi="Times New Roman"/>
          <w:b/>
          <w:bCs/>
          <w:sz w:val="28"/>
          <w:szCs w:val="28"/>
          <w:highlight w:val="none"/>
        </w:rPr>
        <w:t>）</w:t>
      </w:r>
    </w:p>
    <w:p>
      <w:pPr>
        <w:spacing w:line="276" w:lineRule="auto"/>
        <w:rPr>
          <w:rFonts w:ascii="Times New Roman" w:hAnsi="Times New Roman" w:cs="Arial"/>
          <w:bCs/>
          <w:szCs w:val="21"/>
          <w:highlight w:val="none"/>
        </w:rPr>
      </w:pPr>
      <w:r>
        <w:rPr>
          <w:rFonts w:hint="eastAsia" w:ascii="Times New Roman" w:hAnsi="Times New Roman" w:cs="Arial"/>
          <w:bCs/>
          <w:szCs w:val="21"/>
          <w:highlight w:val="none"/>
        </w:rPr>
        <w:t>重要提示：</w:t>
      </w:r>
    </w:p>
    <w:p>
      <w:pPr>
        <w:pStyle w:val="21"/>
        <w:tabs>
          <w:tab w:val="left" w:pos="420"/>
        </w:tabs>
        <w:spacing w:line="276" w:lineRule="auto"/>
        <w:ind w:firstLine="0" w:firstLineChars="0"/>
        <w:jc w:val="left"/>
        <w:rPr>
          <w:rFonts w:ascii="Times New Roman" w:hAnsi="Times New Roman"/>
          <w:szCs w:val="21"/>
          <w:highlight w:val="none"/>
        </w:rPr>
      </w:pPr>
      <w:r>
        <w:rPr>
          <w:rFonts w:hint="eastAsia" w:ascii="Times New Roman" w:hAnsi="Times New Roman"/>
          <w:szCs w:val="21"/>
          <w:highlight w:val="none"/>
        </w:rPr>
        <w:t>一、本《理财产品说明书》与《理财产品投资协议书》、《销售（代理销售）协议书》、《风险揭示书》、《投资者权益须知》共同构成完整的不可分割的理财产品销售文件，具有同等的法律效力；</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二、本产品是由渝农商理财有限责任公司自主设计、投资与运作的理财产品；</w:t>
      </w:r>
    </w:p>
    <w:p>
      <w:pPr>
        <w:tabs>
          <w:tab w:val="left" w:pos="420"/>
        </w:tabs>
        <w:spacing w:line="276" w:lineRule="auto"/>
        <w:jc w:val="left"/>
        <w:rPr>
          <w:rFonts w:ascii="Times New Roman" w:hAnsi="Times New Roman"/>
          <w:bCs/>
          <w:szCs w:val="21"/>
          <w:highlight w:val="none"/>
        </w:rPr>
      </w:pPr>
      <w:r>
        <w:rPr>
          <w:rFonts w:hint="eastAsia" w:ascii="Times New Roman" w:hAnsi="Times New Roman"/>
          <w:szCs w:val="21"/>
          <w:highlight w:val="none"/>
        </w:rPr>
        <w:t>三、渝农商理财有限责任公司</w:t>
      </w:r>
      <w:r>
        <w:rPr>
          <w:rFonts w:hint="eastAsia" w:ascii="Times New Roman" w:hAnsi="Times New Roman"/>
          <w:bCs/>
          <w:szCs w:val="21"/>
          <w:highlight w:val="none"/>
        </w:rPr>
        <w:t>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四、本理财产品不保证一定盈利，也不保证最低收益和本金安全。理财产品过往业绩不代表其未来表现，不等于理财产品实际收益，投资须谨慎。</w:t>
      </w:r>
    </w:p>
    <w:p>
      <w:pPr>
        <w:spacing w:line="276" w:lineRule="auto"/>
        <w:jc w:val="left"/>
        <w:rPr>
          <w:rFonts w:ascii="Times New Roman" w:hAnsi="Times New Roman"/>
          <w:b/>
          <w:bCs/>
          <w:szCs w:val="21"/>
          <w:highlight w:val="none"/>
        </w:rPr>
      </w:pPr>
      <w:r>
        <w:rPr>
          <w:rFonts w:hint="eastAsia" w:ascii="Times New Roman" w:hAnsi="Times New Roman"/>
          <w:szCs w:val="21"/>
          <w:highlight w:val="none"/>
        </w:rPr>
        <w:t>五、</w:t>
      </w:r>
      <w:r>
        <w:rPr>
          <w:rFonts w:hint="eastAsia" w:ascii="Times New Roman" w:hAnsi="Times New Roman" w:cs="宋体"/>
          <w:bCs/>
          <w:szCs w:val="21"/>
          <w:highlight w:val="none"/>
        </w:rPr>
        <w:t>在购买理财产品后，投资者应随时关注该理财产品的信息披露情况，及时获取相关信息。</w:t>
      </w:r>
    </w:p>
    <w:p>
      <w:pPr>
        <w:spacing w:line="276" w:lineRule="auto"/>
        <w:jc w:val="left"/>
        <w:rPr>
          <w:rFonts w:ascii="Times New Roman" w:hAnsi="Times New Roman"/>
          <w:b/>
          <w:bCs/>
          <w:szCs w:val="21"/>
          <w:highlight w:val="none"/>
        </w:rPr>
      </w:pPr>
      <w:r>
        <w:rPr>
          <w:rFonts w:hint="eastAsia" w:ascii="Times New Roman" w:hAnsi="Times New Roman"/>
          <w:b/>
          <w:bCs/>
          <w:szCs w:val="21"/>
          <w:highlight w:val="none"/>
        </w:rPr>
        <w:t>一、产品概述</w:t>
      </w:r>
    </w:p>
    <w:tbl>
      <w:tblPr>
        <w:tblStyle w:val="9"/>
        <w:tblW w:w="818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75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产品名称</w:t>
            </w:r>
          </w:p>
        </w:tc>
        <w:tc>
          <w:tcPr>
            <w:tcW w:w="6415" w:type="dxa"/>
          </w:tcPr>
          <w:p>
            <w:pPr>
              <w:spacing w:line="276" w:lineRule="auto"/>
              <w:rPr>
                <w:rFonts w:hint="eastAsia" w:ascii="Times New Roman" w:hAnsi="Times New Roman" w:eastAsia="宋体"/>
                <w:bCs/>
                <w:szCs w:val="21"/>
                <w:highlight w:val="none"/>
                <w:lang w:eastAsia="zh-CN"/>
              </w:rPr>
            </w:pPr>
            <w:r>
              <w:rPr>
                <w:rFonts w:hint="eastAsia" w:ascii="Times New Roman" w:hAnsi="Times New Roman" w:cs="宋体"/>
                <w:bCs/>
                <w:szCs w:val="21"/>
                <w:highlight w:val="none"/>
              </w:rPr>
              <w:t>渝农商理财</w:t>
            </w:r>
            <w:r>
              <w:rPr>
                <w:rFonts w:hint="eastAsia" w:ascii="Times New Roman" w:hAnsi="Times New Roman"/>
                <w:bCs/>
                <w:szCs w:val="21"/>
                <w:highlight w:val="none"/>
                <w:lang w:eastAsia="zh-CN"/>
              </w:rPr>
              <w:t>益进丰收封闭式2024年第41404期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产品编号</w:t>
            </w:r>
          </w:p>
        </w:tc>
        <w:tc>
          <w:tcPr>
            <w:tcW w:w="6415" w:type="dxa"/>
          </w:tcPr>
          <w:p>
            <w:pPr>
              <w:spacing w:line="276" w:lineRule="auto"/>
              <w:rPr>
                <w:rFonts w:hint="default" w:ascii="Times New Roman" w:hAnsi="Times New Roman" w:eastAsia="宋体"/>
                <w:szCs w:val="21"/>
                <w:highlight w:val="none"/>
                <w:lang w:val="en-US" w:eastAsia="zh-CN"/>
              </w:rPr>
            </w:pPr>
            <w:r>
              <w:rPr>
                <w:rFonts w:hint="eastAsia" w:ascii="Times New Roman" w:hAnsi="Times New Roman"/>
                <w:szCs w:val="21"/>
                <w:highlight w:val="none"/>
              </w:rPr>
              <w:t>2</w:t>
            </w:r>
            <w:r>
              <w:rPr>
                <w:rFonts w:hint="eastAsia" w:ascii="Times New Roman" w:hAnsi="Times New Roman"/>
                <w:szCs w:val="21"/>
                <w:highlight w:val="none"/>
                <w:lang w:val="en-US" w:eastAsia="zh-CN"/>
              </w:rPr>
              <w:t>4</w:t>
            </w:r>
            <w:r>
              <w:rPr>
                <w:rFonts w:hint="eastAsia" w:ascii="Times New Roman" w:hAnsi="Times New Roman"/>
                <w:szCs w:val="21"/>
                <w:highlight w:val="none"/>
              </w:rPr>
              <w:t>GSGF</w:t>
            </w:r>
            <w:r>
              <w:rPr>
                <w:rFonts w:hint="eastAsia" w:ascii="Times New Roman" w:hAnsi="Times New Roman"/>
                <w:szCs w:val="21"/>
                <w:highlight w:val="none"/>
                <w:lang w:val="en-US" w:eastAsia="zh-CN"/>
              </w:rPr>
              <w:t>41404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理财信息系统登记编码</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Z700272</w:t>
            </w:r>
            <w:r>
              <w:rPr>
                <w:rFonts w:hint="eastAsia" w:ascii="Times New Roman" w:hAnsi="Times New Roman"/>
                <w:szCs w:val="21"/>
                <w:highlight w:val="none"/>
                <w:lang w:val="en-US" w:eastAsia="zh-CN"/>
              </w:rPr>
              <w:t>4</w:t>
            </w:r>
            <w:r>
              <w:rPr>
                <w:rFonts w:hint="eastAsia" w:ascii="Times New Roman" w:hAnsi="Times New Roman"/>
                <w:szCs w:val="21"/>
                <w:highlight w:val="none"/>
              </w:rPr>
              <w:t>000</w:t>
            </w:r>
            <w:r>
              <w:rPr>
                <w:rFonts w:hint="eastAsia" w:ascii="Times New Roman" w:hAnsi="Times New Roman"/>
                <w:szCs w:val="21"/>
                <w:highlight w:val="none"/>
                <w:lang w:val="en-US" w:eastAsia="zh-CN"/>
              </w:rPr>
              <w:t>092</w:t>
            </w:r>
            <w:r>
              <w:rPr>
                <w:rFonts w:hint="eastAsia" w:ascii="Times New Roman" w:hAnsi="Times New Roman"/>
                <w:bCs w:val="0"/>
                <w:szCs w:val="21"/>
                <w:highlight w:val="none"/>
              </w:rPr>
              <w:t>。</w:t>
            </w:r>
            <w:r>
              <w:rPr>
                <w:rFonts w:hint="eastAsia" w:ascii="Times New Roman" w:hAnsi="Times New Roman"/>
                <w:bCs/>
                <w:szCs w:val="21"/>
                <w:highlight w:val="none"/>
              </w:rPr>
              <w:t>投资者可依据本产品理财信息系统登记编码在“中国理财网（www.chinawealth.com.cn）”上查询产品信息。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产品风险评级</w:t>
            </w:r>
          </w:p>
        </w:tc>
        <w:tc>
          <w:tcPr>
            <w:tcW w:w="6415" w:type="dxa"/>
          </w:tcPr>
          <w:p>
            <w:pPr>
              <w:spacing w:line="276" w:lineRule="auto"/>
              <w:rPr>
                <w:rFonts w:ascii="Times New Roman" w:hAnsi="Times New Roman"/>
                <w:szCs w:val="21"/>
                <w:highlight w:val="none"/>
              </w:rPr>
            </w:pPr>
            <w:r>
              <w:rPr>
                <w:rFonts w:hint="eastAsia" w:ascii="Times New Roman" w:hAnsi="Times New Roman"/>
                <w:b/>
                <w:bCs/>
                <w:szCs w:val="21"/>
                <w:highlight w:val="none"/>
              </w:rPr>
              <w:t>二级（</w:t>
            </w:r>
            <w:r>
              <w:rPr>
                <w:rFonts w:ascii="Times New Roman" w:hAnsi="Times New Roman"/>
                <w:b/>
                <w:bCs/>
                <w:szCs w:val="21"/>
                <w:highlight w:val="none"/>
              </w:rPr>
              <w:t>本产品的风险评级仅是</w:t>
            </w:r>
            <w:r>
              <w:rPr>
                <w:rFonts w:hint="eastAsia" w:ascii="Times New Roman" w:hAnsi="Times New Roman"/>
                <w:b/>
                <w:bCs/>
                <w:szCs w:val="21"/>
                <w:highlight w:val="none"/>
              </w:rPr>
              <w:t>渝农商理财有限责任公司</w:t>
            </w:r>
            <w:r>
              <w:rPr>
                <w:rFonts w:ascii="Times New Roman" w:hAnsi="Times New Roman"/>
                <w:b/>
                <w:bCs/>
                <w:szCs w:val="21"/>
                <w:highlight w:val="none"/>
              </w:rPr>
              <w:t>内部测评结果，仅供</w:t>
            </w:r>
            <w:r>
              <w:rPr>
                <w:rFonts w:hint="eastAsia" w:ascii="Times New Roman" w:hAnsi="Times New Roman"/>
                <w:b/>
                <w:bCs/>
                <w:szCs w:val="21"/>
                <w:highlight w:val="none"/>
              </w:rPr>
              <w:t>投资者</w:t>
            </w:r>
            <w:r>
              <w:rPr>
                <w:rFonts w:ascii="Times New Roman" w:hAnsi="Times New Roman"/>
                <w:b/>
                <w:bCs/>
                <w:szCs w:val="21"/>
                <w:highlight w:val="none"/>
              </w:rPr>
              <w:t>参考</w:t>
            </w:r>
            <w:r>
              <w:rPr>
                <w:rFonts w:hint="eastAsia" w:ascii="Times New Roman" w:hAnsi="Times New Roman"/>
                <w:b/>
                <w:bCs/>
                <w:szCs w:val="21"/>
                <w:highlight w:val="none"/>
              </w:rPr>
              <w:t>，若</w:t>
            </w:r>
            <w:r>
              <w:rPr>
                <w:rFonts w:hint="eastAsia"/>
                <w:b/>
                <w:bCs/>
                <w:highlight w:val="none"/>
              </w:rPr>
              <w:t>本产品通过代理销售机构渠道销售的，理财产品评级应当以代理销售机构最终披露的评级结果为准。</w:t>
            </w:r>
            <w:r>
              <w:rPr>
                <w:rFonts w:hint="eastAsia" w:ascii="Times New Roman" w:hAnsi="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Pr>
        <w:tc>
          <w:tcPr>
            <w:tcW w:w="175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理财产品份额类别</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pPr>
              <w:spacing w:line="276" w:lineRule="auto"/>
              <w:rPr>
                <w:rFonts w:ascii="Times New Roman" w:hAnsi="Times New Roman" w:cs="宋体"/>
                <w:szCs w:val="21"/>
                <w:highlight w:val="none"/>
              </w:rPr>
            </w:pPr>
            <w:r>
              <w:rPr>
                <w:rFonts w:hint="eastAsia" w:ascii="Times New Roman" w:hAnsi="Times New Roman" w:cs="宋体"/>
                <w:szCs w:val="21"/>
                <w:highlight w:val="none"/>
              </w:rPr>
              <w:t>A份额：份额代码2</w:t>
            </w:r>
            <w:r>
              <w:rPr>
                <w:rFonts w:hint="eastAsia" w:ascii="Times New Roman" w:hAnsi="Times New Roman" w:cs="宋体"/>
                <w:szCs w:val="21"/>
                <w:highlight w:val="none"/>
                <w:lang w:val="en-US" w:eastAsia="zh-CN"/>
              </w:rPr>
              <w:t>4</w:t>
            </w:r>
            <w:r>
              <w:rPr>
                <w:rFonts w:hint="eastAsia" w:ascii="Times New Roman" w:hAnsi="Times New Roman" w:cs="宋体"/>
                <w:szCs w:val="21"/>
                <w:highlight w:val="none"/>
              </w:rPr>
              <w:t>GSGF</w:t>
            </w:r>
            <w:r>
              <w:rPr>
                <w:rFonts w:hint="eastAsia" w:ascii="Times New Roman" w:hAnsi="Times New Roman"/>
                <w:szCs w:val="21"/>
                <w:highlight w:val="none"/>
                <w:lang w:val="en-US" w:eastAsia="zh-CN"/>
              </w:rPr>
              <w:t>41404</w:t>
            </w:r>
            <w:r>
              <w:rPr>
                <w:rFonts w:hint="eastAsia" w:ascii="Times New Roman" w:hAnsi="Times New Roman" w:cs="宋体"/>
                <w:szCs w:val="21"/>
                <w:highlight w:val="none"/>
                <w:lang w:val="en-US" w:eastAsia="zh-CN"/>
              </w:rPr>
              <w:t>A</w:t>
            </w:r>
          </w:p>
          <w:p>
            <w:pPr>
              <w:spacing w:line="276" w:lineRule="auto"/>
              <w:rPr>
                <w:rFonts w:hint="eastAsia" w:ascii="Times New Roman" w:hAnsi="Times New Roman" w:cs="宋体"/>
                <w:szCs w:val="21"/>
                <w:highlight w:val="none"/>
                <w:lang w:val="en-US" w:eastAsia="zh-CN"/>
              </w:rPr>
            </w:pPr>
            <w:r>
              <w:rPr>
                <w:rFonts w:hint="eastAsia" w:ascii="Times New Roman" w:hAnsi="Times New Roman" w:cs="宋体"/>
                <w:szCs w:val="21"/>
                <w:highlight w:val="none"/>
              </w:rPr>
              <w:t>B份额：份额代码2</w:t>
            </w:r>
            <w:r>
              <w:rPr>
                <w:rFonts w:hint="eastAsia" w:ascii="Times New Roman" w:hAnsi="Times New Roman" w:cs="宋体"/>
                <w:szCs w:val="21"/>
                <w:highlight w:val="none"/>
                <w:lang w:val="en-US" w:eastAsia="zh-CN"/>
              </w:rPr>
              <w:t>4</w:t>
            </w:r>
            <w:r>
              <w:rPr>
                <w:rFonts w:hint="eastAsia" w:ascii="Times New Roman" w:hAnsi="Times New Roman" w:cs="宋体"/>
                <w:szCs w:val="21"/>
                <w:highlight w:val="none"/>
              </w:rPr>
              <w:t>GSGF</w:t>
            </w:r>
            <w:r>
              <w:rPr>
                <w:rFonts w:hint="eastAsia" w:ascii="Times New Roman" w:hAnsi="Times New Roman"/>
                <w:szCs w:val="21"/>
                <w:highlight w:val="none"/>
                <w:lang w:val="en-US" w:eastAsia="zh-CN"/>
              </w:rPr>
              <w:t>41404</w:t>
            </w:r>
            <w:r>
              <w:rPr>
                <w:rFonts w:hint="eastAsia" w:ascii="Times New Roman" w:hAnsi="Times New Roman" w:cs="宋体"/>
                <w:szCs w:val="21"/>
                <w:highlight w:val="none"/>
                <w:lang w:val="en-US" w:eastAsia="zh-CN"/>
              </w:rPr>
              <w:t>B</w:t>
            </w:r>
          </w:p>
          <w:p>
            <w:pPr>
              <w:spacing w:line="276" w:lineRule="auto"/>
              <w:rPr>
                <w:rFonts w:ascii="Times New Roman" w:hAnsi="Times New Roman" w:cs="宋体"/>
                <w:szCs w:val="21"/>
                <w:highlight w:val="none"/>
              </w:rPr>
            </w:pPr>
            <w:r>
              <w:rPr>
                <w:rFonts w:hint="eastAsia" w:ascii="Times New Roman" w:hAnsi="Times New Roman" w:cs="宋体"/>
                <w:szCs w:val="21"/>
                <w:highlight w:val="none"/>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投资者未在变更生效前提出赎回申请的，视为同意接受变更后条款，产品管理人有权按照变更后的约定内容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hint="eastAsia"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销售对象</w:t>
            </w:r>
          </w:p>
        </w:tc>
        <w:tc>
          <w:tcPr>
            <w:tcW w:w="6415" w:type="dxa"/>
          </w:tcPr>
          <w:p>
            <w:pPr>
              <w:spacing w:line="276" w:lineRule="auto"/>
              <w:rPr>
                <w:rFonts w:hint="eastAsia" w:ascii="Times New Roman" w:hAnsi="Times New Roman" w:eastAsia="宋体" w:cs="宋体"/>
                <w:szCs w:val="21"/>
                <w:highlight w:val="none"/>
                <w:lang w:val="en-US" w:eastAsia="zh-CN"/>
              </w:rPr>
            </w:pPr>
            <w:r>
              <w:rPr>
                <w:rFonts w:hint="eastAsia" w:ascii="Times New Roman" w:hAnsi="Times New Roman" w:cs="宋体"/>
                <w:szCs w:val="21"/>
                <w:highlight w:val="none"/>
                <w:lang w:val="en-US" w:eastAsia="zh-CN"/>
              </w:rPr>
              <w:t>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hint="default"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适合投资者类型</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本产品适合稳健型、平衡型、积极型、激进型的个人投资者，机构投资者</w:t>
            </w:r>
            <w:r>
              <w:rPr>
                <w:rFonts w:hint="eastAsia" w:ascii="Times New Roman" w:hAnsi="Times New Roman" w:cs="宋体"/>
                <w:szCs w:val="21"/>
                <w:highlight w:val="none"/>
                <w:lang w:eastAsia="zh-CN"/>
              </w:rPr>
              <w:t>。</w:t>
            </w:r>
          </w:p>
          <w:p>
            <w:pPr>
              <w:spacing w:line="276" w:lineRule="auto"/>
              <w:rPr>
                <w:rFonts w:ascii="Times New Roman" w:hAnsi="Times New Roman"/>
                <w:b/>
                <w:bCs/>
                <w:szCs w:val="21"/>
                <w:highlight w:val="none"/>
              </w:rPr>
            </w:pPr>
            <w:r>
              <w:rPr>
                <w:rFonts w:hint="eastAsia" w:ascii="Times New Roman" w:hAnsi="Times New Roman" w:cs="宋体"/>
                <w:szCs w:val="21"/>
                <w:highlight w:val="none"/>
              </w:rPr>
              <w:t>本“适合投资者类型”的划分与表述为产品管理人内部设置的标准，仅供参考。若本产品通过代理销售机构渠道销售的，代理销售机构对“适合投资者类型”的划分标准与表述可能与产品管理人存在差异。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销售范围</w:t>
            </w:r>
          </w:p>
        </w:tc>
        <w:tc>
          <w:tcPr>
            <w:tcW w:w="6415" w:type="dxa"/>
          </w:tcPr>
          <w:p>
            <w:pPr>
              <w:spacing w:line="276" w:lineRule="auto"/>
              <w:rPr>
                <w:rFonts w:ascii="Times New Roman" w:hAnsi="Times New Roman"/>
                <w:b/>
                <w:bCs/>
                <w:szCs w:val="21"/>
                <w:highlight w:val="none"/>
              </w:rPr>
            </w:pPr>
            <w:r>
              <w:rPr>
                <w:rFonts w:hint="eastAsia" w:ascii="Times New Roman" w:hAnsi="Times New Roman" w:cs="宋体"/>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cs="宋体"/>
                <w:bCs/>
                <w:szCs w:val="21"/>
                <w:highlight w:val="none"/>
              </w:rPr>
            </w:pPr>
            <w:r>
              <w:rPr>
                <w:rFonts w:hint="eastAsia" w:ascii="Times New Roman" w:hAnsi="Times New Roman"/>
                <w:bCs/>
                <w:szCs w:val="21"/>
                <w:highlight w:val="none"/>
              </w:rPr>
              <w:t>投资及收益币种</w:t>
            </w:r>
          </w:p>
        </w:tc>
        <w:tc>
          <w:tcPr>
            <w:tcW w:w="6415" w:type="dxa"/>
          </w:tcPr>
          <w:p>
            <w:pPr>
              <w:spacing w:line="276" w:lineRule="auto"/>
              <w:rPr>
                <w:rFonts w:ascii="Times New Roman" w:hAnsi="Times New Roman" w:cs="宋体"/>
                <w:szCs w:val="21"/>
                <w:highlight w:val="none"/>
              </w:rPr>
            </w:pPr>
            <w:r>
              <w:rPr>
                <w:rFonts w:hint="eastAsia" w:ascii="Times New Roman" w:hAnsi="Times New Roman"/>
                <w:bCs/>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产品类型</w:t>
            </w:r>
          </w:p>
        </w:tc>
        <w:tc>
          <w:tcPr>
            <w:tcW w:w="6415" w:type="dxa"/>
          </w:tcPr>
          <w:p>
            <w:pPr>
              <w:spacing w:line="276" w:lineRule="auto"/>
              <w:rPr>
                <w:rFonts w:ascii="Times New Roman" w:hAnsi="Times New Roman"/>
                <w:b/>
                <w:bCs/>
                <w:szCs w:val="21"/>
                <w:highlight w:val="none"/>
              </w:rPr>
            </w:pPr>
            <w:r>
              <w:rPr>
                <w:rFonts w:hint="eastAsia" w:ascii="Times New Roman" w:hAnsi="Times New Roman"/>
                <w:b/>
                <w:bCs/>
                <w:szCs w:val="21"/>
                <w:highlight w:val="none"/>
              </w:rPr>
              <w:t>公募、固定收益类、非保本浮动收益型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tcPr>
          <w:p>
            <w:pPr>
              <w:spacing w:line="276" w:lineRule="auto"/>
              <w:jc w:val="center"/>
              <w:rPr>
                <w:rFonts w:ascii="Times New Roman" w:hAnsi="Times New Roman"/>
                <w:bCs/>
                <w:szCs w:val="21"/>
                <w:highlight w:val="none"/>
              </w:rPr>
            </w:pPr>
            <w:r>
              <w:rPr>
                <w:rFonts w:hint="eastAsia" w:ascii="Times New Roman" w:hAnsi="Times New Roman"/>
                <w:szCs w:val="21"/>
                <w:highlight w:val="none"/>
              </w:rPr>
              <w:t>产品运作方式</w:t>
            </w:r>
          </w:p>
        </w:tc>
        <w:tc>
          <w:tcPr>
            <w:tcW w:w="6415" w:type="dxa"/>
          </w:tcPr>
          <w:p>
            <w:pPr>
              <w:spacing w:line="276" w:lineRule="auto"/>
              <w:jc w:val="left"/>
              <w:rPr>
                <w:rFonts w:ascii="Times New Roman" w:hAnsi="Times New Roman"/>
                <w:bCs/>
                <w:szCs w:val="21"/>
                <w:highlight w:val="none"/>
              </w:rPr>
            </w:pPr>
            <w:r>
              <w:rPr>
                <w:rFonts w:hint="eastAsia" w:ascii="Times New Roman" w:hAnsi="Times New Roman"/>
                <w:szCs w:val="21"/>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产品期限</w:t>
            </w:r>
          </w:p>
        </w:tc>
        <w:tc>
          <w:tcPr>
            <w:tcW w:w="6415" w:type="dxa"/>
          </w:tcPr>
          <w:p>
            <w:pPr>
              <w:spacing w:line="276" w:lineRule="auto"/>
              <w:jc w:val="left"/>
              <w:rPr>
                <w:rFonts w:ascii="Times New Roman" w:hAnsi="Times New Roman"/>
                <w:bCs/>
                <w:szCs w:val="21"/>
                <w:highlight w:val="none"/>
              </w:rPr>
            </w:pPr>
            <w:r>
              <w:rPr>
                <w:rFonts w:hint="eastAsia" w:ascii="Times New Roman" w:hAnsi="Times New Roman"/>
                <w:b/>
                <w:bCs/>
                <w:szCs w:val="21"/>
                <w:highlight w:val="none"/>
                <w:lang w:val="en-US" w:eastAsia="zh-CN"/>
              </w:rPr>
              <w:t>188</w:t>
            </w:r>
            <w:r>
              <w:rPr>
                <w:rFonts w:hint="eastAsia" w:ascii="Times New Roman" w:hAnsi="Times New Roman"/>
                <w:b/>
                <w:bCs/>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产品规模</w:t>
            </w:r>
          </w:p>
        </w:tc>
        <w:tc>
          <w:tcPr>
            <w:tcW w:w="6415" w:type="dxa"/>
            <w:vAlign w:val="center"/>
          </w:tcPr>
          <w:p>
            <w:pPr>
              <w:spacing w:line="276" w:lineRule="auto"/>
              <w:jc w:val="left"/>
              <w:rPr>
                <w:rFonts w:ascii="Times New Roman" w:hAnsi="Times New Roman"/>
                <w:bCs/>
                <w:szCs w:val="21"/>
                <w:highlight w:val="none"/>
              </w:rPr>
            </w:pPr>
            <w:r>
              <w:rPr>
                <w:rFonts w:hint="eastAsia" w:ascii="Times New Roman" w:hAnsi="Times New Roman"/>
                <w:bCs/>
                <w:szCs w:val="21"/>
                <w:highlight w:val="none"/>
              </w:rPr>
              <w:t>产品规模上限为</w:t>
            </w:r>
            <w:r>
              <w:rPr>
                <w:rFonts w:hint="eastAsia" w:ascii="Times New Roman" w:hAnsi="Times New Roman"/>
                <w:bCs/>
                <w:szCs w:val="21"/>
                <w:highlight w:val="none"/>
                <w:lang w:val="en-US" w:eastAsia="zh-CN"/>
              </w:rPr>
              <w:t>27000万</w:t>
            </w:r>
            <w:r>
              <w:rPr>
                <w:rFonts w:hint="eastAsia" w:ascii="Times New Roman" w:hAnsi="Times New Roman"/>
                <w:bCs/>
                <w:szCs w:val="21"/>
                <w:highlight w:val="none"/>
              </w:rPr>
              <w:t>元，产品规模下限为</w:t>
            </w:r>
            <w:r>
              <w:rPr>
                <w:rFonts w:hint="eastAsia" w:ascii="Times New Roman" w:hAnsi="Times New Roman"/>
                <w:bCs/>
                <w:szCs w:val="21"/>
                <w:highlight w:val="none"/>
                <w:lang w:val="en-US" w:eastAsia="zh-CN"/>
              </w:rPr>
              <w:t>30万</w:t>
            </w:r>
            <w:r>
              <w:rPr>
                <w:rFonts w:hint="eastAsia" w:ascii="Times New Roman" w:hAnsi="Times New Roman"/>
                <w:bCs/>
                <w:szCs w:val="21"/>
                <w:highlight w:val="none"/>
              </w:rPr>
              <w:t>元（产品管理人有权根据产品实际运作情况调整产品规模）。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 xml:space="preserve">募集期    </w:t>
            </w:r>
          </w:p>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（认购期）</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2024年3月14日至2024年3月20日</w:t>
            </w:r>
            <w:r>
              <w:rPr>
                <w:rFonts w:hint="eastAsia" w:ascii="Times New Roman" w:hAnsi="Times New Roman"/>
                <w:bCs/>
                <w:szCs w:val="21"/>
                <w:highlight w:val="none"/>
              </w:rPr>
              <w:t>（产品管理人有权根据市场变化情况缩短或延长募集期，并进行信息披露）。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产品成立日</w:t>
            </w:r>
          </w:p>
        </w:tc>
        <w:tc>
          <w:tcPr>
            <w:tcW w:w="6415" w:type="dxa"/>
          </w:tcPr>
          <w:p>
            <w:pPr>
              <w:spacing w:line="276" w:lineRule="auto"/>
              <w:rPr>
                <w:rFonts w:ascii="Times New Roman" w:hAnsi="Times New Roman"/>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3</w:t>
            </w:r>
            <w:r>
              <w:rPr>
                <w:rFonts w:hint="eastAsia" w:ascii="Times New Roman" w:hAnsi="Times New Roman"/>
                <w:szCs w:val="21"/>
                <w:highlight w:val="none"/>
              </w:rPr>
              <w:t>月</w:t>
            </w:r>
            <w:r>
              <w:rPr>
                <w:rFonts w:hint="eastAsia" w:ascii="Times New Roman" w:hAnsi="Times New Roman"/>
                <w:szCs w:val="21"/>
                <w:highlight w:val="none"/>
                <w:lang w:val="en-US" w:eastAsia="zh-CN"/>
              </w:rPr>
              <w:t>21</w:t>
            </w:r>
            <w:r>
              <w:rPr>
                <w:rFonts w:hint="eastAsia" w:ascii="Times New Roman" w:hAnsi="Times New Roman"/>
                <w:szCs w:val="21"/>
                <w:highlight w:val="none"/>
              </w:rPr>
              <w:t>日（如遇非工作日顺延到下一个工作日）。</w:t>
            </w:r>
          </w:p>
          <w:p>
            <w:pPr>
              <w:spacing w:line="276" w:lineRule="auto"/>
              <w:rPr>
                <w:rFonts w:ascii="Times New Roman" w:hAnsi="Times New Roman"/>
                <w:szCs w:val="21"/>
                <w:highlight w:val="none"/>
              </w:rPr>
            </w:pPr>
            <w:r>
              <w:rPr>
                <w:rFonts w:hint="eastAsia" w:ascii="Times New Roman" w:hAnsi="Times New Roman"/>
                <w:szCs w:val="21"/>
                <w:highlight w:val="none"/>
              </w:rPr>
              <w:t>若产品募集期缩短或延长，产品成立日以公告为准。</w:t>
            </w:r>
          </w:p>
          <w:p>
            <w:pPr>
              <w:spacing w:line="276" w:lineRule="auto"/>
              <w:rPr>
                <w:rFonts w:ascii="Times New Roman" w:hAnsi="Times New Roman"/>
                <w:bCs/>
                <w:szCs w:val="21"/>
                <w:highlight w:val="none"/>
              </w:rPr>
            </w:pPr>
            <w:r>
              <w:rPr>
                <w:rFonts w:hint="eastAsia" w:ascii="Times New Roman" w:hAnsi="Times New Roman"/>
                <w:szCs w:val="21"/>
                <w:highlight w:val="none"/>
              </w:rPr>
              <w:t>若在认购期届满之日未达到产品规模下限，渝农商理财有限责任公司有权宣布本产品不能成立，认购资金将在认购期结束后</w:t>
            </w:r>
            <w:r>
              <w:rPr>
                <w:rFonts w:hint="eastAsia" w:ascii="Times New Roman" w:hAnsi="Times New Roman"/>
                <w:szCs w:val="21"/>
                <w:highlight w:val="none"/>
                <w:lang w:val="en-US" w:eastAsia="zh-CN"/>
              </w:rPr>
              <w:t>2</w:t>
            </w:r>
            <w:r>
              <w:rPr>
                <w:rFonts w:hint="eastAsia" w:ascii="Times New Roman" w:hAnsi="Times New Roman"/>
                <w:szCs w:val="21"/>
                <w:highlight w:val="none"/>
              </w:rPr>
              <w:t>个工作日内返还至投资者账户</w:t>
            </w:r>
            <w:r>
              <w:rPr>
                <w:rFonts w:hint="eastAsia"/>
                <w:bCs/>
                <w:sz w:val="24"/>
                <w:szCs w:val="21"/>
                <w:highlight w:val="none"/>
              </w:rPr>
              <w:t>，</w:t>
            </w:r>
            <w:r>
              <w:rPr>
                <w:rFonts w:hint="eastAsia" w:ascii="Times New Roman" w:hAnsi="Times New Roman"/>
                <w:bCs w:val="0"/>
                <w:sz w:val="21"/>
                <w:szCs w:val="21"/>
                <w:highlight w:val="none"/>
              </w:rPr>
              <w:t>若</w:t>
            </w:r>
            <w:r>
              <w:rPr>
                <w:rFonts w:hint="eastAsia" w:ascii="Times New Roman" w:hAnsi="Times New Roman" w:cs="Times New Roman"/>
                <w:szCs w:val="21"/>
                <w:highlight w:val="none"/>
              </w:rPr>
              <w:t>本产品通过代理销售机构渠道销售的，具体到账时间以投资者与代理销售机构的约定为准</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产品到期日</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9</w:t>
            </w:r>
            <w:r>
              <w:rPr>
                <w:rFonts w:hint="eastAsia" w:ascii="Times New Roman" w:hAnsi="Times New Roman"/>
                <w:szCs w:val="21"/>
                <w:highlight w:val="none"/>
              </w:rPr>
              <w:t>月</w:t>
            </w:r>
            <w:r>
              <w:rPr>
                <w:rFonts w:hint="eastAsia" w:ascii="Times New Roman" w:hAnsi="Times New Roman"/>
                <w:szCs w:val="21"/>
                <w:highlight w:val="none"/>
                <w:lang w:val="en-US" w:eastAsia="zh-CN"/>
              </w:rPr>
              <w:t>25</w:t>
            </w:r>
            <w:r>
              <w:rPr>
                <w:rFonts w:hint="eastAsia" w:ascii="Times New Roman" w:hAnsi="Times New Roman"/>
                <w:szCs w:val="21"/>
                <w:highlight w:val="none"/>
              </w:rPr>
              <w:t>日（若遇非工作日则顺延到下一工作日）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资金</w:t>
            </w:r>
            <w:r>
              <w:rPr>
                <w:rFonts w:ascii="Times New Roman" w:hAnsi="Times New Roman"/>
                <w:bCs/>
                <w:szCs w:val="21"/>
                <w:highlight w:val="none"/>
              </w:rPr>
              <w:t>到账</w:t>
            </w:r>
            <w:r>
              <w:rPr>
                <w:rFonts w:hint="eastAsia" w:ascii="Times New Roman" w:hAnsi="Times New Roman"/>
                <w:bCs/>
                <w:szCs w:val="21"/>
                <w:highlight w:val="none"/>
              </w:rPr>
              <w:t>日</w:t>
            </w:r>
          </w:p>
        </w:tc>
        <w:tc>
          <w:tcPr>
            <w:tcW w:w="6415" w:type="dxa"/>
          </w:tcPr>
          <w:p>
            <w:pPr>
              <w:pStyle w:val="3"/>
              <w:rPr>
                <w:rFonts w:ascii="Times New Roman" w:hAnsi="Times New Roman"/>
                <w:bCs/>
                <w:szCs w:val="21"/>
                <w:highlight w:val="none"/>
              </w:rPr>
            </w:pPr>
            <w:r>
              <w:rPr>
                <w:rFonts w:hint="eastAsia" w:ascii="Times New Roman" w:hAnsi="Times New Roman"/>
                <w:bCs/>
                <w:szCs w:val="21"/>
                <w:highlight w:val="none"/>
              </w:rPr>
              <w:t>产品到期日或提前终止日后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w:t>
            </w:r>
            <w:r>
              <w:rPr>
                <w:rFonts w:hint="eastAsia" w:ascii="Times New Roman" w:hAnsi="Times New Roman"/>
                <w:bCs/>
                <w:sz w:val="21"/>
                <w:szCs w:val="21"/>
                <w:highlight w:val="none"/>
              </w:rPr>
              <w:t>若</w:t>
            </w:r>
            <w:r>
              <w:rPr>
                <w:rFonts w:hint="eastAsia" w:ascii="Times New Roman" w:hAnsi="Times New Roman" w:cs="Times New Roman"/>
                <w:bCs/>
                <w:szCs w:val="21"/>
                <w:highlight w:val="none"/>
              </w:rPr>
              <w:t>本产品通过代理销售机构渠道销售的，具体到账时间以投资者与代理销售机构的约定为准。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w:t>
            </w:r>
          </w:p>
        </w:tc>
        <w:tc>
          <w:tcPr>
            <w:tcW w:w="6415" w:type="dxa"/>
          </w:tcPr>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认购是指投资者在产品募集期申请购买该理财产品。</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认购资金将于认购申请当日实时冻结，并于产品成立日进行扣划。</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认购交易将于产品成立日进行确认，并按照产品初始单位净值折算认购份额。</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如新增认购使得单一投资者持有份额比例超过</w:t>
            </w:r>
            <w:r>
              <w:rPr>
                <w:rFonts w:ascii="Times New Roman" w:hAnsi="Times New Roman"/>
                <w:bCs/>
                <w:szCs w:val="21"/>
                <w:highlight w:val="none"/>
              </w:rPr>
              <w:t>50</w:t>
            </w:r>
            <w:r>
              <w:rPr>
                <w:rFonts w:hint="eastAsia" w:ascii="Times New Roman" w:hAnsi="Times New Roman"/>
                <w:bCs/>
                <w:szCs w:val="21"/>
                <w:highlight w:val="none"/>
              </w:rPr>
              <w:t>％，产品管理人将不再接受该投资者超出部分的认购申请。非因产品管理人主观因素导致突破前款规定比例限制的，在单一投资者持有比例降至</w:t>
            </w:r>
            <w:r>
              <w:rPr>
                <w:rFonts w:ascii="Times New Roman" w:hAnsi="Times New Roman"/>
                <w:bCs/>
                <w:szCs w:val="21"/>
                <w:highlight w:val="none"/>
              </w:rPr>
              <w:t>50</w:t>
            </w:r>
            <w:r>
              <w:rPr>
                <w:rFonts w:hint="eastAsia" w:ascii="Times New Roman" w:hAnsi="Times New Roman"/>
                <w:bCs/>
                <w:szCs w:val="21"/>
                <w:highlight w:val="none"/>
              </w:rPr>
              <w:t>％以下之前，产品管理人将不再接受该投资者对该理财产品的认购申请。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业绩比较基准</w:t>
            </w:r>
          </w:p>
        </w:tc>
        <w:tc>
          <w:tcPr>
            <w:tcW w:w="6415" w:type="dxa"/>
          </w:tcPr>
          <w:p>
            <w:pPr>
              <w:widowControl/>
              <w:spacing w:line="276" w:lineRule="auto"/>
              <w:ind w:right="-107" w:rightChars="-51"/>
              <w:jc w:val="left"/>
              <w:rPr>
                <w:rFonts w:hint="eastAsia" w:ascii="Times New Roman" w:hAnsi="Times New Roman" w:eastAsia="宋体" w:cs="Times New Roman"/>
                <w:bCs/>
                <w:kern w:val="2"/>
                <w:szCs w:val="21"/>
                <w:highlight w:val="none"/>
              </w:rPr>
            </w:pPr>
            <w:r>
              <w:rPr>
                <w:rFonts w:hint="eastAsia" w:ascii="Times New Roman" w:hAnsi="Times New Roman" w:eastAsia="宋体" w:cs="Times New Roman"/>
                <w:bCs/>
                <w:kern w:val="2"/>
                <w:szCs w:val="21"/>
                <w:highlight w:val="none"/>
              </w:rPr>
              <w:t>A份额业绩比较基准为</w:t>
            </w:r>
            <w:r>
              <w:rPr>
                <w:rFonts w:hint="eastAsia" w:ascii="Times New Roman" w:hAnsi="Times New Roman"/>
                <w:bCs/>
                <w:szCs w:val="21"/>
                <w:highlight w:val="none"/>
              </w:rPr>
              <w:t>3.00%-3.80%</w:t>
            </w:r>
            <w:r>
              <w:rPr>
                <w:rFonts w:hint="eastAsia" w:ascii="Times New Roman" w:hAnsi="Times New Roman" w:eastAsia="宋体" w:cs="Times New Roman"/>
                <w:bCs/>
                <w:kern w:val="2"/>
                <w:szCs w:val="21"/>
                <w:highlight w:val="none"/>
              </w:rPr>
              <w:t>；</w:t>
            </w:r>
          </w:p>
          <w:p>
            <w:pPr>
              <w:widowControl/>
              <w:spacing w:line="276" w:lineRule="auto"/>
              <w:ind w:right="-107" w:rightChars="-51"/>
              <w:jc w:val="left"/>
              <w:rPr>
                <w:rFonts w:hint="eastAsia" w:ascii="Times New Roman" w:hAnsi="Times New Roman" w:eastAsia="宋体" w:cs="Times New Roman"/>
                <w:bCs/>
                <w:kern w:val="2"/>
                <w:szCs w:val="21"/>
                <w:highlight w:val="none"/>
                <w:lang w:eastAsia="zh-CN"/>
              </w:rPr>
            </w:pPr>
            <w:r>
              <w:rPr>
                <w:rFonts w:hint="eastAsia" w:ascii="Times New Roman" w:hAnsi="Times New Roman" w:eastAsia="宋体" w:cs="Times New Roman"/>
                <w:bCs/>
                <w:kern w:val="2"/>
                <w:szCs w:val="21"/>
                <w:highlight w:val="none"/>
                <w:lang w:val="en-US" w:eastAsia="zh-CN"/>
              </w:rPr>
              <w:t>B</w:t>
            </w:r>
            <w:r>
              <w:rPr>
                <w:rFonts w:hint="eastAsia" w:ascii="Times New Roman" w:hAnsi="Times New Roman" w:eastAsia="宋体" w:cs="Times New Roman"/>
                <w:bCs/>
                <w:kern w:val="2"/>
                <w:szCs w:val="21"/>
                <w:highlight w:val="none"/>
              </w:rPr>
              <w:t>份额业绩比较基准为</w:t>
            </w:r>
            <w:r>
              <w:rPr>
                <w:rFonts w:hint="eastAsia" w:ascii="Times New Roman" w:hAnsi="Times New Roman"/>
                <w:bCs/>
                <w:szCs w:val="21"/>
                <w:highlight w:val="none"/>
              </w:rPr>
              <w:t>3.15%-3.95%</w:t>
            </w:r>
            <w:r>
              <w:rPr>
                <w:rFonts w:hint="eastAsia" w:ascii="Times New Roman" w:hAnsi="Times New Roman" w:eastAsia="宋体" w:cs="Times New Roman"/>
                <w:bCs/>
                <w:kern w:val="2"/>
                <w:szCs w:val="21"/>
                <w:highlight w:val="none"/>
                <w:lang w:eastAsia="zh-CN"/>
              </w:rPr>
              <w:t>。</w:t>
            </w:r>
          </w:p>
          <w:p>
            <w:pPr>
              <w:autoSpaceDE w:val="0"/>
              <w:autoSpaceDN w:val="0"/>
              <w:adjustRightInd w:val="0"/>
              <w:spacing w:line="276" w:lineRule="auto"/>
              <w:jc w:val="left"/>
              <w:rPr>
                <w:rFonts w:ascii="Times New Roman" w:hAnsi="Times New Roman"/>
                <w:bCs/>
                <w:szCs w:val="21"/>
                <w:highlight w:val="none"/>
              </w:rPr>
            </w:pPr>
            <w:r>
              <w:rPr>
                <w:rFonts w:hint="eastAsia"/>
                <w:highlight w:val="none"/>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w:t>
            </w:r>
            <w:r>
              <w:rPr>
                <w:rFonts w:hint="eastAsia" w:ascii="Times New Roman" w:hAnsi="Times New Roman"/>
                <w:bCs/>
                <w:szCs w:val="21"/>
                <w:highlight w:val="none"/>
              </w:rPr>
              <w:t>（以上均为年化收益率）。本产品为净值型产品，其业绩表现将随市场波动，具有不确定性。本业绩比较基准仅作为参考，不具有法律约束力，</w:t>
            </w:r>
            <w:r>
              <w:rPr>
                <w:rFonts w:hint="eastAsia" w:ascii="Times New Roman" w:hAnsi="Times New Roman"/>
                <w:bCs/>
                <w:szCs w:val="21"/>
                <w:highlight w:val="none"/>
                <w:lang w:val="en-US" w:eastAsia="zh-CN"/>
              </w:rPr>
              <w:t>不是预期收益率，</w:t>
            </w:r>
            <w:r>
              <w:rPr>
                <w:rFonts w:hint="eastAsia" w:ascii="Times New Roman" w:hAnsi="Times New Roman"/>
                <w:bCs/>
                <w:szCs w:val="21"/>
                <w:highlight w:val="none"/>
              </w:rPr>
              <w:t>不代表本产品的未来表现和实际收益，不构成对本产品的任何收益承诺。</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在法律法规允许的情况下，产品管理人有权根据市场变动及产品运作情况调整业绩比较基准并进行信息披露。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初始单位净值</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1.0000元/份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
                <w:szCs w:val="21"/>
                <w:highlight w:val="none"/>
              </w:rPr>
            </w:pPr>
            <w:r>
              <w:rPr>
                <w:rFonts w:hint="eastAsia" w:ascii="Times New Roman" w:hAnsi="Times New Roman"/>
                <w:b/>
                <w:szCs w:val="21"/>
                <w:highlight w:val="none"/>
              </w:rPr>
              <w:t>理财产品费用</w:t>
            </w:r>
          </w:p>
        </w:tc>
        <w:tc>
          <w:tcPr>
            <w:tcW w:w="6415" w:type="dxa"/>
          </w:tcPr>
          <w:p>
            <w:pPr>
              <w:autoSpaceDE w:val="0"/>
              <w:autoSpaceDN w:val="0"/>
              <w:adjustRightInd w:val="0"/>
              <w:spacing w:line="276" w:lineRule="auto"/>
              <w:jc w:val="left"/>
              <w:rPr>
                <w:rFonts w:ascii="Times New Roman" w:hAnsi="Times New Roman"/>
                <w:b/>
                <w:szCs w:val="21"/>
                <w:highlight w:val="none"/>
              </w:rPr>
            </w:pPr>
            <w:r>
              <w:rPr>
                <w:rFonts w:hint="eastAsia" w:ascii="Times New Roman" w:hAnsi="Times New Roman"/>
                <w:b/>
                <w:szCs w:val="21"/>
                <w:highlight w:val="none"/>
              </w:rPr>
              <w:t>理财产品费用包含销售服务费、固定管理费、托管费等相关费用，各费用率均为年化数值。</w:t>
            </w:r>
          </w:p>
          <w:p>
            <w:pPr>
              <w:autoSpaceDE w:val="0"/>
              <w:autoSpaceDN w:val="0"/>
              <w:adjustRightInd w:val="0"/>
              <w:spacing w:line="276" w:lineRule="auto"/>
              <w:jc w:val="left"/>
              <w:rPr>
                <w:rFonts w:hint="eastAsia" w:ascii="Times New Roman" w:hAnsi="Times New Roman" w:eastAsia="宋体"/>
                <w:b/>
                <w:szCs w:val="21"/>
                <w:highlight w:val="none"/>
                <w:lang w:val="en-US" w:eastAsia="zh-CN"/>
              </w:rPr>
            </w:pPr>
            <w:r>
              <w:rPr>
                <w:rFonts w:ascii="Times New Roman" w:hAnsi="Times New Roman"/>
                <w:b/>
                <w:szCs w:val="21"/>
                <w:highlight w:val="none"/>
              </w:rPr>
              <w:t>1</w:t>
            </w:r>
            <w:r>
              <w:rPr>
                <w:rFonts w:hint="eastAsia" w:ascii="Times New Roman" w:hAnsi="Times New Roman"/>
                <w:b/>
                <w:szCs w:val="21"/>
                <w:highlight w:val="none"/>
              </w:rPr>
              <w:t>、销售服务费率：A份额为0.</w:t>
            </w:r>
            <w:r>
              <w:rPr>
                <w:rFonts w:hint="eastAsia" w:ascii="Times New Roman" w:hAnsi="Times New Roman"/>
                <w:b/>
                <w:szCs w:val="21"/>
                <w:highlight w:val="none"/>
                <w:lang w:val="en-US" w:eastAsia="zh-CN"/>
              </w:rPr>
              <w:t>25</w:t>
            </w:r>
            <w:r>
              <w:rPr>
                <w:rFonts w:hint="eastAsia" w:ascii="Times New Roman" w:hAnsi="Times New Roman"/>
                <w:b/>
                <w:szCs w:val="21"/>
                <w:highlight w:val="none"/>
              </w:rPr>
              <w:t>%，B份额为0.</w:t>
            </w:r>
            <w:r>
              <w:rPr>
                <w:rFonts w:hint="eastAsia" w:ascii="Times New Roman" w:hAnsi="Times New Roman"/>
                <w:b/>
                <w:szCs w:val="21"/>
                <w:highlight w:val="none"/>
                <w:lang w:val="en-US" w:eastAsia="zh-CN"/>
              </w:rPr>
              <w:t>1</w:t>
            </w:r>
            <w:r>
              <w:rPr>
                <w:rFonts w:hint="eastAsia" w:ascii="Times New Roman" w:hAnsi="Times New Roman"/>
                <w:b/>
                <w:szCs w:val="21"/>
                <w:highlight w:val="none"/>
              </w:rPr>
              <w:t>0%</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hint="eastAsia" w:ascii="Times New Roman" w:hAnsi="Times New Roman" w:eastAsia="宋体"/>
                <w:b/>
                <w:szCs w:val="21"/>
                <w:highlight w:val="none"/>
                <w:lang w:val="en-US" w:eastAsia="zh-CN"/>
              </w:rPr>
            </w:pPr>
            <w:r>
              <w:rPr>
                <w:rFonts w:ascii="Times New Roman" w:hAnsi="Times New Roman"/>
                <w:b/>
                <w:szCs w:val="21"/>
                <w:highlight w:val="none"/>
              </w:rPr>
              <w:t>2</w:t>
            </w:r>
            <w:r>
              <w:rPr>
                <w:rFonts w:hint="eastAsia" w:ascii="Times New Roman" w:hAnsi="Times New Roman"/>
                <w:b/>
                <w:szCs w:val="21"/>
                <w:highlight w:val="none"/>
              </w:rPr>
              <w:t>、固定管理费率：A份额为0.</w:t>
            </w:r>
            <w:r>
              <w:rPr>
                <w:rFonts w:hint="eastAsia" w:ascii="Times New Roman" w:hAnsi="Times New Roman"/>
                <w:b/>
                <w:szCs w:val="21"/>
                <w:highlight w:val="none"/>
                <w:lang w:val="en-US" w:eastAsia="zh-CN"/>
              </w:rPr>
              <w:t>10</w:t>
            </w:r>
            <w:r>
              <w:rPr>
                <w:rFonts w:hint="eastAsia" w:ascii="Times New Roman" w:hAnsi="Times New Roman"/>
                <w:b/>
                <w:szCs w:val="21"/>
                <w:highlight w:val="none"/>
              </w:rPr>
              <w:t>%，B份额为0.</w:t>
            </w:r>
            <w:r>
              <w:rPr>
                <w:rFonts w:hint="eastAsia" w:ascii="Times New Roman" w:hAnsi="Times New Roman"/>
                <w:b/>
                <w:szCs w:val="21"/>
                <w:highlight w:val="none"/>
                <w:lang w:val="en-US" w:eastAsia="zh-CN"/>
              </w:rPr>
              <w:t>10</w:t>
            </w:r>
            <w:r>
              <w:rPr>
                <w:rFonts w:hint="eastAsia" w:ascii="Times New Roman" w:hAnsi="Times New Roman"/>
                <w:b/>
                <w:szCs w:val="21"/>
                <w:highlight w:val="none"/>
              </w:rPr>
              <w:t>%</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3</w:t>
            </w:r>
            <w:r>
              <w:rPr>
                <w:rFonts w:hint="eastAsia" w:ascii="Times New Roman" w:hAnsi="Times New Roman"/>
                <w:b/>
                <w:szCs w:val="21"/>
                <w:highlight w:val="none"/>
              </w:rPr>
              <w:t>、托管费率为</w:t>
            </w:r>
            <w:r>
              <w:rPr>
                <w:rFonts w:hint="eastAsia" w:ascii="Times New Roman" w:hAnsi="Times New Roman"/>
                <w:b/>
                <w:szCs w:val="21"/>
                <w:highlight w:val="none"/>
                <w:lang w:val="en-US" w:eastAsia="zh-CN"/>
              </w:rPr>
              <w:t>0.007</w:t>
            </w:r>
            <w:r>
              <w:rPr>
                <w:rFonts w:ascii="Times New Roman" w:hAnsi="Times New Roman"/>
                <w:b/>
                <w:szCs w:val="21"/>
                <w:highlight w:val="none"/>
              </w:rPr>
              <w:t>%</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4</w:t>
            </w:r>
            <w:r>
              <w:rPr>
                <w:rFonts w:hint="eastAsia" w:ascii="Times New Roman" w:hAnsi="Times New Roman"/>
                <w:b/>
                <w:szCs w:val="21"/>
                <w:highlight w:val="none"/>
              </w:rPr>
              <w:t>、其他费用。</w:t>
            </w:r>
          </w:p>
          <w:p>
            <w:pPr>
              <w:spacing w:line="276" w:lineRule="auto"/>
              <w:ind w:right="-107" w:rightChars="-51"/>
              <w:rPr>
                <w:rFonts w:ascii="Times New Roman" w:hAnsi="Times New Roman"/>
                <w:b/>
                <w:szCs w:val="21"/>
                <w:highlight w:val="none"/>
              </w:rPr>
            </w:pPr>
            <w:r>
              <w:rPr>
                <w:rFonts w:hint="eastAsia" w:ascii="Times New Roman" w:hAnsi="Times New Roman"/>
                <w:b/>
                <w:szCs w:val="21"/>
                <w:highlight w:val="none"/>
              </w:rPr>
              <w:t>详细内容见以下“产品费用”条款。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认购费率</w:t>
            </w:r>
          </w:p>
        </w:tc>
        <w:tc>
          <w:tcPr>
            <w:tcW w:w="6415" w:type="dxa"/>
            <w:vAlign w:val="center"/>
          </w:tcPr>
          <w:p>
            <w:pPr>
              <w:spacing w:line="276" w:lineRule="auto"/>
              <w:ind w:right="-107" w:rightChars="-51"/>
              <w:rPr>
                <w:rFonts w:ascii="Times New Roman" w:hAnsi="Times New Roman"/>
                <w:bCs/>
                <w:szCs w:val="21"/>
                <w:highlight w:val="none"/>
              </w:rPr>
            </w:pPr>
            <w:r>
              <w:rPr>
                <w:rFonts w:ascii="Times New Roman" w:hAnsi="Times New Roman"/>
                <w:bCs/>
                <w:szCs w:val="21"/>
                <w:highlight w:val="none"/>
              </w:rPr>
              <w:t>0</w:t>
            </w:r>
            <w:r>
              <w:rPr>
                <w:rFonts w:hint="eastAsia" w:ascii="Times New Roman" w:hAnsi="Times New Roman"/>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ascii="Times New Roman" w:hAnsi="Times New Roman"/>
                <w:bCs/>
                <w:szCs w:val="21"/>
                <w:highlight w:val="none"/>
              </w:rPr>
              <w:t>认购</w:t>
            </w:r>
            <w:r>
              <w:rPr>
                <w:rFonts w:hint="eastAsia" w:ascii="Times New Roman" w:hAnsi="Times New Roman"/>
                <w:bCs/>
                <w:szCs w:val="21"/>
                <w:highlight w:val="none"/>
              </w:rPr>
              <w:t>起点金额</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A份额认购起点金额为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hint="eastAsia" w:ascii="Times New Roman" w:hAnsi="Times New Roman"/>
                <w:bCs/>
                <w:szCs w:val="21"/>
                <w:highlight w:val="none"/>
              </w:rPr>
            </w:pPr>
            <w:r>
              <w:rPr>
                <w:rFonts w:hint="eastAsia" w:ascii="Times New Roman" w:hAnsi="Times New Roman"/>
                <w:bCs/>
                <w:szCs w:val="21"/>
                <w:highlight w:val="none"/>
              </w:rPr>
              <w:t>B份额认购起点金额为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ascii="Times New Roman" w:hAnsi="Times New Roman"/>
                <w:bCs/>
                <w:szCs w:val="21"/>
                <w:highlight w:val="none"/>
              </w:rPr>
            </w:pPr>
            <w:r>
              <w:rPr>
                <w:rFonts w:hint="eastAsia" w:ascii="Times New Roman" w:hAnsi="Times New Roman"/>
                <w:bCs/>
                <w:szCs w:val="21"/>
                <w:highlight w:val="none"/>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产品管理人</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渝农商理财有限责任公司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销售（代理销售）机构</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A份额的销售机构为浙江临安农村商业银行股份有限公司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浙江新昌农村商业银行股份有限公司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 xml:space="preserve">浙江衢州柯城农村商业银行股份有限公司 </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浙江永康农村商业银行股份有限公司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浙江衢州衢江农村商业银行股份有限公司；</w:t>
            </w:r>
          </w:p>
          <w:p>
            <w:pPr>
              <w:spacing w:line="276" w:lineRule="auto"/>
              <w:rPr>
                <w:rFonts w:hint="default" w:ascii="Times New Roman" w:hAnsi="Times New Roman" w:eastAsia="宋体" w:cs="宋体"/>
                <w:szCs w:val="21"/>
                <w:highlight w:val="none"/>
                <w:lang w:val="en-US" w:eastAsia="zh-CN"/>
              </w:rPr>
            </w:pPr>
            <w:r>
              <w:rPr>
                <w:rFonts w:hint="eastAsia" w:ascii="Times New Roman" w:hAnsi="Times New Roman" w:cs="宋体"/>
                <w:szCs w:val="21"/>
                <w:highlight w:val="none"/>
              </w:rPr>
              <w:t>B份额的销售机构为浙江瑞安农村商业银行股份有限公司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浙江安吉农村商业银行股份有限公司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浙江长兴农村商业银行股份有限公司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浙江舟山定海海洋农村商业银行股份有限公司</w:t>
            </w:r>
            <w:r>
              <w:rPr>
                <w:rFonts w:hint="eastAsia" w:ascii="Times New Roman" w:hAnsi="Times New Roman" w:cs="宋体"/>
                <w:szCs w:val="21"/>
                <w:highlight w:val="none"/>
                <w:lang w:eastAsia="zh-CN"/>
              </w:rPr>
              <w:t>。</w:t>
            </w:r>
          </w:p>
          <w:p>
            <w:pPr>
              <w:spacing w:line="276" w:lineRule="auto"/>
              <w:rPr>
                <w:rFonts w:ascii="Times New Roman" w:hAnsi="Times New Roman"/>
                <w:bCs/>
                <w:szCs w:val="21"/>
                <w:highlight w:val="none"/>
              </w:rPr>
            </w:pPr>
            <w:r>
              <w:rPr>
                <w:rFonts w:hint="eastAsia" w:ascii="Times New Roman" w:hAnsi="Times New Roman" w:cs="宋体"/>
                <w:szCs w:val="21"/>
                <w:highlight w:val="none"/>
              </w:rPr>
              <w:t>销售（代理销售）机构负责</w:t>
            </w:r>
            <w:r>
              <w:rPr>
                <w:rFonts w:hint="eastAsia"/>
                <w:sz w:val="22"/>
                <w:highlight w:val="none"/>
              </w:rPr>
              <w:t>产品销售渠道维护、投资者适当性管理和风险承受能力评估、</w:t>
            </w:r>
            <w:bookmarkStart w:id="0" w:name="_Hlk90486093"/>
            <w:r>
              <w:rPr>
                <w:rFonts w:hint="eastAsia"/>
                <w:sz w:val="22"/>
                <w:highlight w:val="none"/>
              </w:rPr>
              <w:t>提供产品申购赎回（如有）等服务</w:t>
            </w:r>
            <w:bookmarkEnd w:id="0"/>
            <w:r>
              <w:rPr>
                <w:rFonts w:hint="eastAsia"/>
                <w:sz w:val="22"/>
                <w:highlight w:val="none"/>
              </w:rPr>
              <w:t>，并协助开展合同签署、信息披露、客户咨询等销售服务。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szCs w:val="21"/>
                <w:highlight w:val="none"/>
              </w:rPr>
              <w:t>理财产品托管人</w:t>
            </w:r>
          </w:p>
        </w:tc>
        <w:tc>
          <w:tcPr>
            <w:tcW w:w="6415" w:type="dxa"/>
          </w:tcPr>
          <w:p>
            <w:pPr>
              <w:spacing w:line="276" w:lineRule="auto"/>
              <w:rPr>
                <w:rFonts w:ascii="Times New Roman" w:hAnsi="Times New Roman"/>
                <w:bCs/>
                <w:szCs w:val="21"/>
                <w:highlight w:val="none"/>
              </w:rPr>
            </w:pPr>
            <w:r>
              <w:rPr>
                <w:rFonts w:hint="eastAsia" w:ascii="Times New Roman" w:hAnsi="Times New Roman" w:cs="宋体"/>
                <w:szCs w:val="21"/>
                <w:highlight w:val="none"/>
              </w:rPr>
              <w:t>招商银行股份有限公司。</w:t>
            </w:r>
            <w:r>
              <w:rPr>
                <w:rFonts w:ascii="Times New Roman" w:hAnsi="Times New Roman" w:cs="宋体"/>
                <w:szCs w:val="21"/>
                <w:highlight w:val="none"/>
              </w:rPr>
              <w:t>托管人负责指令处理、资金清算、证券结算、会计核算、资产估值等职责。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cs="宋体"/>
                <w:szCs w:val="21"/>
                <w:highlight w:val="none"/>
              </w:rPr>
            </w:pPr>
            <w:r>
              <w:rPr>
                <w:rFonts w:hint="eastAsia" w:ascii="Times New Roman" w:hAnsi="Times New Roman" w:cs="宋体"/>
                <w:szCs w:val="21"/>
                <w:highlight w:val="none"/>
              </w:rPr>
              <w:t>投资合作机构</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华西证券股份有限公司，具体以后续信息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提前终止权</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投资者无权提前终止该产品；在产品运作期间内，</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有权视产品运行情况提前终止本理财产品，详细内容见以下“</w:t>
            </w:r>
            <w:r>
              <w:rPr>
                <w:rFonts w:hint="eastAsia" w:ascii="Times New Roman" w:hAnsi="Times New Roman"/>
                <w:b/>
                <w:szCs w:val="21"/>
                <w:highlight w:val="none"/>
              </w:rPr>
              <w:t>产品提前终止</w:t>
            </w:r>
            <w:r>
              <w:rPr>
                <w:rFonts w:hint="eastAsia" w:ascii="Times New Roman" w:hAnsi="Times New Roman"/>
                <w:bCs/>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工作日</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中华人民共和国国家法定工作日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税款</w:t>
            </w:r>
          </w:p>
        </w:tc>
        <w:tc>
          <w:tcPr>
            <w:tcW w:w="6415" w:type="dxa"/>
          </w:tcPr>
          <w:p>
            <w:pPr>
              <w:spacing w:line="276" w:lineRule="auto"/>
              <w:rPr>
                <w:rFonts w:ascii="Times New Roman" w:hAnsi="Times New Roman"/>
                <w:bCs/>
                <w:szCs w:val="21"/>
                <w:highlight w:val="none"/>
              </w:rPr>
            </w:pPr>
            <w:r>
              <w:rPr>
                <w:rFonts w:hint="eastAsia"/>
                <w:highlight w:val="none"/>
              </w:rPr>
              <w:t>本产品运作过程中涉及的各纳税主体的纳税义务按国家税收法律、法规执行。</w:t>
            </w:r>
            <w:r>
              <w:rPr>
                <w:rFonts w:hint="eastAsia" w:ascii="Times New Roman" w:hAnsi="Times New Roman"/>
                <w:bCs/>
                <w:szCs w:val="21"/>
                <w:highlight w:val="none"/>
              </w:rPr>
              <w:t>理财产品运营过程中产生的相关税费，由理财产品承担，</w:t>
            </w:r>
            <w:r>
              <w:rPr>
                <w:rFonts w:hint="eastAsia" w:ascii="Times New Roman" w:hAnsi="Times New Roman"/>
                <w:szCs w:val="21"/>
                <w:highlight w:val="none"/>
              </w:rPr>
              <w:t>渝农商理财有限责任公司作为产品管理人以理财资金予以缴纳。</w:t>
            </w:r>
            <w:r>
              <w:rPr>
                <w:rFonts w:ascii="Times New Roman" w:hAnsi="Times New Roman"/>
                <w:bCs/>
                <w:szCs w:val="21"/>
                <w:highlight w:val="none"/>
              </w:rPr>
              <w:t>除法律法规特别要求外，</w:t>
            </w:r>
            <w:r>
              <w:rPr>
                <w:rFonts w:hint="eastAsia" w:ascii="Times New Roman" w:hAnsi="Times New Roman"/>
                <w:bCs/>
                <w:szCs w:val="21"/>
                <w:highlight w:val="none"/>
              </w:rPr>
              <w:t>投资者取得理财收益的应纳税款由投资者自行申报及缴纳</w:t>
            </w:r>
            <w:r>
              <w:rPr>
                <w:rFonts w:hint="eastAsia" w:ascii="Times New Roman" w:hAnsi="Times New Roman"/>
                <w:kern w:val="0"/>
                <w:szCs w:val="21"/>
                <w:highlight w:val="none"/>
              </w:rPr>
              <w:t>，理财</w:t>
            </w:r>
            <w:r>
              <w:rPr>
                <w:rFonts w:ascii="Times New Roman" w:hAnsi="Times New Roman"/>
                <w:kern w:val="0"/>
                <w:szCs w:val="21"/>
                <w:highlight w:val="none"/>
              </w:rPr>
              <w:t>产品管理人不承担代扣代缴或纳税的义务</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其他规定</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产品到期日或提前终止日至资金到账日期间投资者资金不计息。</w:t>
            </w:r>
          </w:p>
        </w:tc>
      </w:tr>
    </w:tbl>
    <w:p>
      <w:pPr>
        <w:numPr>
          <w:ilvl w:val="0"/>
          <w:numId w:val="1"/>
        </w:num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投资范围及比例</w:t>
      </w:r>
    </w:p>
    <w:p>
      <w:pPr>
        <w:snapToGrid w:val="0"/>
        <w:spacing w:line="276" w:lineRule="auto"/>
        <w:ind w:firstLine="420"/>
        <w:rPr>
          <w:rFonts w:ascii="Times New Roman" w:hAnsi="Times New Roman"/>
          <w:bCs/>
          <w:szCs w:val="21"/>
          <w:highlight w:val="none"/>
        </w:rPr>
      </w:pPr>
      <w:r>
        <w:rPr>
          <w:rFonts w:hint="eastAsia" w:ascii="Times New Roman" w:hAnsi="Times New Roman"/>
          <w:bCs/>
          <w:szCs w:val="21"/>
          <w:highlight w:val="none"/>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w:t>
      </w:r>
      <w:r>
        <w:rPr>
          <w:rFonts w:hint="eastAsia" w:ascii="Times New Roman" w:hAnsi="Times New Roman"/>
          <w:bCs/>
          <w:szCs w:val="21"/>
          <w:highlight w:val="none"/>
          <w:lang w:eastAsia="zh-CN"/>
        </w:rPr>
        <w:t>；</w:t>
      </w:r>
      <w:r>
        <w:rPr>
          <w:rFonts w:hint="eastAsia" w:ascii="Times New Roman" w:hAnsi="Times New Roman"/>
          <w:bCs/>
          <w:szCs w:val="21"/>
          <w:highlight w:val="none"/>
        </w:rPr>
        <w:t>依法发行上市的股票（包括打新、定增、配股、融资融券等投融资形式，不含新三板），其他符合监管规定可参与的权益类资产等。各类资产投资比例范围如下：</w:t>
      </w:r>
    </w:p>
    <w:tbl>
      <w:tblPr>
        <w:tblStyle w:val="9"/>
        <w:tblW w:w="8290" w:type="dxa"/>
        <w:tblInd w:w="5" w:type="dxa"/>
        <w:tblLayout w:type="fixed"/>
        <w:tblCellMar>
          <w:top w:w="0" w:type="dxa"/>
          <w:left w:w="0" w:type="dxa"/>
          <w:bottom w:w="0" w:type="dxa"/>
          <w:right w:w="0" w:type="dxa"/>
        </w:tblCellMar>
      </w:tblPr>
      <w:tblGrid>
        <w:gridCol w:w="5819"/>
        <w:gridCol w:w="2471"/>
      </w:tblGrid>
      <w:tr>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ascii="Times New Roman" w:hAnsi="Times New Roman" w:eastAsia="宋体" w:cs="宋体"/>
                <w:sz w:val="21"/>
                <w:szCs w:val="21"/>
                <w:highlight w:val="none"/>
              </w:rPr>
            </w:pPr>
            <w:r>
              <w:rPr>
                <w:rFonts w:ascii="Times New Roman" w:hAnsi="Times New Roman" w:eastAsia="宋体" w:cs="宋体"/>
                <w:sz w:val="21"/>
                <w:szCs w:val="21"/>
                <w:highlight w:val="none"/>
              </w:rPr>
              <w:t>投资品种</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right="-5"/>
              <w:jc w:val="center"/>
              <w:rPr>
                <w:rFonts w:ascii="Times New Roman" w:hAnsi="Times New Roman" w:eastAsia="宋体" w:cs="宋体"/>
                <w:sz w:val="21"/>
                <w:szCs w:val="21"/>
                <w:highlight w:val="none"/>
                <w:lang w:eastAsia="zh-CN"/>
              </w:rPr>
            </w:pPr>
            <w:r>
              <w:rPr>
                <w:rFonts w:hint="eastAsia" w:ascii="Times New Roman" w:hAnsi="Times New Roman" w:eastAsia="宋体" w:cs="宋体"/>
                <w:spacing w:val="-9"/>
                <w:sz w:val="21"/>
                <w:szCs w:val="21"/>
                <w:highlight w:val="none"/>
                <w:lang w:eastAsia="zh-CN"/>
              </w:rPr>
              <w:t>投资比例</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ascii="Times New Roman" w:hAnsi="Times New Roman" w:eastAsia="宋体" w:cs="宋体"/>
                <w:sz w:val="21"/>
                <w:szCs w:val="21"/>
                <w:highlight w:val="none"/>
              </w:rPr>
            </w:pPr>
            <w:r>
              <w:rPr>
                <w:rFonts w:hint="eastAsia" w:ascii="宋体" w:hAnsi="宋体" w:eastAsia="宋体" w:cs="宋体"/>
                <w:sz w:val="21"/>
                <w:szCs w:val="21"/>
                <w:highlight w:val="none"/>
              </w:rPr>
              <w:t>固定收益类资产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80%-100%</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权益类资产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0%-20%</w:t>
            </w:r>
          </w:p>
        </w:tc>
      </w:tr>
    </w:tbl>
    <w:p>
      <w:pPr>
        <w:spacing w:line="276" w:lineRule="auto"/>
        <w:ind w:firstLine="420" w:firstLineChars="200"/>
        <w:rPr>
          <w:rFonts w:ascii="Times New Roman" w:hAnsi="Times New Roman"/>
          <w:bCs/>
          <w:szCs w:val="21"/>
          <w:highlight w:val="none"/>
        </w:rPr>
      </w:pPr>
      <w:r>
        <w:rPr>
          <w:rFonts w:hint="eastAsia" w:ascii="Times New Roman" w:hAnsi="Times New Roman"/>
          <w:bCs/>
          <w:szCs w:val="21"/>
          <w:highlight w:val="none"/>
        </w:rPr>
        <w:t>渝农商理财有限责任公司有权根据市场情况调整投资范围、投资资产种类或投资比例，并进行相应披露。</w:t>
      </w:r>
      <w:r>
        <w:rPr>
          <w:rStyle w:val="13"/>
          <w:rFonts w:hint="eastAsia"/>
          <w:highlight w:val="none"/>
        </w:rPr>
        <w:t>高风险资产类型超出以上投资比例范围的，将先取得投资者同意。</w:t>
      </w:r>
      <w:r>
        <w:rPr>
          <w:rFonts w:ascii="Times New Roman" w:hAnsi="Times New Roman"/>
          <w:bCs/>
          <w:szCs w:val="21"/>
          <w:highlight w:val="none"/>
        </w:rPr>
        <w:t>非因</w:t>
      </w:r>
      <w:r>
        <w:rPr>
          <w:rFonts w:hint="eastAsia" w:ascii="Times New Roman" w:hAnsi="Times New Roman"/>
          <w:bCs/>
          <w:szCs w:val="21"/>
          <w:highlight w:val="none"/>
        </w:rPr>
        <w:t>渝农商理财有限责任公司</w:t>
      </w:r>
      <w:r>
        <w:rPr>
          <w:rFonts w:ascii="Times New Roman" w:hAnsi="Times New Roman"/>
          <w:bCs/>
          <w:szCs w:val="21"/>
          <w:highlight w:val="none"/>
        </w:rPr>
        <w:t>主观因素导致突破前述比例限制的，</w:t>
      </w:r>
      <w:r>
        <w:rPr>
          <w:rFonts w:hint="eastAsia" w:ascii="Times New Roman" w:hAnsi="Times New Roman"/>
          <w:bCs/>
          <w:szCs w:val="21"/>
          <w:highlight w:val="none"/>
        </w:rPr>
        <w:t>渝农商理财有限责任公司</w:t>
      </w:r>
      <w:r>
        <w:rPr>
          <w:rFonts w:ascii="Times New Roman" w:hAnsi="Times New Roman"/>
          <w:bCs/>
          <w:szCs w:val="21"/>
          <w:highlight w:val="none"/>
        </w:rPr>
        <w:t>将在流动性受限资产可出售、可转让或者恢复交易的15个交易日内调整至符合相关要求。</w:t>
      </w:r>
    </w:p>
    <w:p>
      <w:pPr>
        <w:spacing w:line="276" w:lineRule="auto"/>
        <w:ind w:firstLine="422" w:firstLineChars="200"/>
        <w:rPr>
          <w:rFonts w:ascii="Times New Roman" w:hAnsi="Times New Roman"/>
          <w:b/>
          <w:szCs w:val="21"/>
          <w:highlight w:val="none"/>
        </w:rPr>
      </w:pPr>
      <w:r>
        <w:rPr>
          <w:rFonts w:hint="eastAsia" w:ascii="Times New Roman" w:hAnsi="Times New Roman"/>
          <w:b/>
          <w:szCs w:val="21"/>
          <w:highlight w:val="none"/>
        </w:rPr>
        <w:t>特别提示：</w:t>
      </w:r>
    </w:p>
    <w:p>
      <w:pPr>
        <w:spacing w:line="276" w:lineRule="auto"/>
        <w:ind w:firstLine="422" w:firstLineChars="200"/>
        <w:rPr>
          <w:rFonts w:ascii="Times New Roman" w:hAnsi="Times New Roman"/>
          <w:b/>
          <w:bCs/>
          <w:szCs w:val="21"/>
          <w:highlight w:val="none"/>
        </w:rPr>
      </w:pPr>
      <w:r>
        <w:rPr>
          <w:rFonts w:hint="eastAsia" w:ascii="Times New Roman" w:hAnsi="Times New Roman"/>
          <w:b/>
          <w:szCs w:val="21"/>
          <w:highlight w:val="none"/>
        </w:rPr>
        <w:t>渝农商理财有限责任公司</w:t>
      </w:r>
      <w:r>
        <w:rPr>
          <w:rFonts w:hint="eastAsia" w:ascii="Times New Roman" w:hAnsi="Times New Roman"/>
          <w:b/>
          <w:bCs/>
          <w:szCs w:val="21"/>
          <w:highlight w:val="none"/>
        </w:rPr>
        <w:t>将本着诚实信用、谨慎勤勉的原则，在规定的范围内运用理财资金进行投资，本产品投资的资产面临各类市场风险（详见风险揭示书），渝农商理财有限责任公司不保证理财本金的安全及理财收益的实现。</w:t>
      </w:r>
    </w:p>
    <w:p>
      <w:pPr>
        <w:spacing w:line="276" w:lineRule="auto"/>
        <w:ind w:firstLine="422" w:firstLineChars="200"/>
        <w:jc w:val="left"/>
        <w:outlineLvl w:val="0"/>
        <w:rPr>
          <w:rFonts w:ascii="Times New Roman" w:hAnsi="Times New Roman"/>
          <w:b/>
          <w:szCs w:val="21"/>
          <w:highlight w:val="none"/>
        </w:rPr>
      </w:pPr>
      <w:r>
        <w:rPr>
          <w:rFonts w:hint="eastAsia" w:ascii="Times New Roman" w:hAnsi="Times New Roman"/>
          <w:b/>
          <w:bCs/>
          <w:szCs w:val="21"/>
          <w:highlight w:val="none"/>
        </w:rPr>
        <w:t>三、理财产品认购</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1、认购费率为</w:t>
      </w:r>
      <w:r>
        <w:rPr>
          <w:rFonts w:ascii="Times New Roman" w:hAnsi="Times New Roman"/>
          <w:bCs/>
          <w:szCs w:val="21"/>
          <w:highlight w:val="none"/>
        </w:rPr>
        <w:t>0</w:t>
      </w:r>
      <w:r>
        <w:rPr>
          <w:rFonts w:hint="eastAsia" w:ascii="Times New Roman" w:hAnsi="Times New Roman"/>
          <w:bCs/>
          <w:szCs w:val="21"/>
          <w:highlight w:val="none"/>
        </w:rPr>
        <w:t>％。</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2、认购份额＝认购金额</w:t>
      </w:r>
      <w:r>
        <w:rPr>
          <w:rFonts w:ascii="Times New Roman" w:hAnsi="Times New Roman"/>
          <w:bCs/>
          <w:szCs w:val="21"/>
          <w:highlight w:val="none"/>
        </w:rPr>
        <w:t>/</w:t>
      </w:r>
      <w:r>
        <w:rPr>
          <w:rFonts w:hint="eastAsia" w:ascii="Times New Roman" w:hAnsi="Times New Roman"/>
          <w:bCs/>
          <w:szCs w:val="21"/>
          <w:highlight w:val="none"/>
        </w:rPr>
        <w:t>（</w:t>
      </w:r>
      <w:r>
        <w:rPr>
          <w:rFonts w:ascii="Times New Roman" w:hAnsi="Times New Roman"/>
          <w:bCs/>
          <w:szCs w:val="21"/>
          <w:highlight w:val="none"/>
        </w:rPr>
        <w:t>1+认购费率）</w:t>
      </w:r>
      <w:r>
        <w:rPr>
          <w:rFonts w:hint="eastAsia" w:ascii="Times New Roman" w:hAnsi="Times New Roman"/>
          <w:bCs/>
          <w:szCs w:val="21"/>
          <w:highlight w:val="none"/>
        </w:rPr>
        <w:t>/初始单位净值。认购份额保留至</w:t>
      </w:r>
      <w:r>
        <w:rPr>
          <w:rFonts w:ascii="Times New Roman" w:hAnsi="Times New Roman"/>
          <w:bCs/>
          <w:szCs w:val="21"/>
          <w:highlight w:val="none"/>
        </w:rPr>
        <w:t>0.01</w:t>
      </w:r>
      <w:r>
        <w:rPr>
          <w:rFonts w:hint="eastAsia" w:ascii="Times New Roman" w:hAnsi="Times New Roman"/>
          <w:bCs/>
          <w:szCs w:val="21"/>
          <w:highlight w:val="none"/>
        </w:rPr>
        <w:t>份，小数点后两位以下四舍五入。</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认购资金冻结日至产品成立日前一日，产品管理人不向投资者计付利息。若本产品通过代理销售机构渠道销售的，代理销售机构是否计付利息以代理销售机构为准。产品成立当天资金不计活期利息。如产品不成立，产品认购期结束日至资金到账日之间，投资者资金不计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、认购情况举例：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假定某投资者在募集期投资50,000.00元认购本产品A份额，则其可得到的认购份额计算如下：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认购份额＝50,000.00/（1+</w:t>
      </w:r>
      <w:r>
        <w:rPr>
          <w:rFonts w:ascii="Times New Roman" w:hAnsi="Times New Roman"/>
          <w:bCs/>
          <w:szCs w:val="21"/>
          <w:highlight w:val="none"/>
        </w:rPr>
        <w:t>0</w:t>
      </w:r>
      <w:r>
        <w:rPr>
          <w:rFonts w:hint="eastAsia" w:ascii="Times New Roman" w:hAnsi="Times New Roman"/>
          <w:bCs/>
          <w:szCs w:val="21"/>
          <w:highlight w:val="none"/>
        </w:rPr>
        <w:t>%）/1.00</w:t>
      </w:r>
      <w:r>
        <w:rPr>
          <w:rFonts w:ascii="Times New Roman" w:hAnsi="Times New Roman"/>
          <w:bCs/>
          <w:szCs w:val="21"/>
          <w:highlight w:val="none"/>
        </w:rPr>
        <w:t>00</w:t>
      </w:r>
      <w:r>
        <w:rPr>
          <w:rFonts w:hint="eastAsia" w:ascii="Times New Roman" w:hAnsi="Times New Roman"/>
          <w:bCs/>
          <w:szCs w:val="21"/>
          <w:highlight w:val="none"/>
        </w:rPr>
        <w:t>＝50,000.00份。</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 xml:space="preserve">四、理财产品提前终止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在理财产品投资运作期间内，</w:t>
      </w:r>
      <w:r>
        <w:rPr>
          <w:rFonts w:hint="eastAsia" w:ascii="Times New Roman" w:hAnsi="Times New Roman" w:cs="宋体"/>
          <w:szCs w:val="21"/>
          <w:highlight w:val="none"/>
        </w:rPr>
        <w:t>投资者</w:t>
      </w:r>
      <w:r>
        <w:rPr>
          <w:rFonts w:hint="eastAsia" w:ascii="Times New Roman" w:hAnsi="Times New Roman"/>
          <w:bCs/>
          <w:szCs w:val="21"/>
          <w:highlight w:val="none"/>
        </w:rPr>
        <w:t>无权要求提前终止该理财产品；当相关政策出现重大调整、市场出现剧烈波动、投资标的提前到期或发生其他</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认为需要提前终止本理财产品或本理财产品某一份额类别等情况，</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有权部分或全部提前终止本理财产品或本理财产品某一份额类别。如本产品或某一份额类别提前终止，</w:t>
      </w:r>
      <w:r>
        <w:rPr>
          <w:rFonts w:hint="eastAsia" w:ascii="Times New Roman" w:hAnsi="Times New Roman"/>
          <w:szCs w:val="21"/>
          <w:highlight w:val="none"/>
        </w:rPr>
        <w:t>渝农商理财有限责任公司</w:t>
      </w:r>
      <w:r>
        <w:rPr>
          <w:rFonts w:hint="eastAsia" w:ascii="Times New Roman" w:hAnsi="Times New Roman"/>
          <w:bCs/>
          <w:szCs w:val="21"/>
          <w:highlight w:val="none"/>
        </w:rPr>
        <w:t>将在提前终止日前</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个工作日，通过</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Times New Roman" w:hAnsi="Times New Roman"/>
          <w:bCs/>
          <w:szCs w:val="21"/>
          <w:highlight w:val="none"/>
        </w:rPr>
        <w:t>约定的信息披露渠道发布相关信息，并于提前终止日后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个工作日内将</w:t>
      </w:r>
      <w:r>
        <w:rPr>
          <w:rFonts w:hint="eastAsia" w:ascii="Times New Roman" w:hAnsi="Times New Roman" w:cs="宋体"/>
          <w:szCs w:val="21"/>
          <w:highlight w:val="none"/>
        </w:rPr>
        <w:t>投资者资金划转至投资者账</w:t>
      </w:r>
      <w:r>
        <w:rPr>
          <w:rFonts w:hint="eastAsia" w:ascii="Times New Roman" w:hAnsi="Times New Roman"/>
          <w:bCs/>
          <w:szCs w:val="21"/>
          <w:highlight w:val="none"/>
        </w:rPr>
        <w:t>户，若本产品通过代理销售机构渠道销售的，具体到账时间以投资者与代理销售机构的约定为准。提前终止日至资金到账日之间，投资者资金不计息。</w:t>
      </w:r>
    </w:p>
    <w:p>
      <w:pPr>
        <w:autoSpaceDE w:val="0"/>
        <w:autoSpaceDN w:val="0"/>
        <w:adjustRightInd w:val="0"/>
        <w:spacing w:line="27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五、理财产品收益计算</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（一）产品净值</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1、理财产品总净值= 理财产品认购总金额+理财产品所获总收益-理财产品总费用（包括但不限于销售服务费、托管费和固定管理费等）-理财产品累计终止和分红总金额。</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2、理财产品单位净值=理财产品总净值/理财产品总存续份额。单位净值保留至小数点后四位（小数点四位以下舍位）。</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（二）产品费用</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1、本产品收取销售服务费、固定管理费和托管费，各费用自产品成立日起每日计提。具体计提方式如下：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（1）销售服务费：A份额为0.</w:t>
      </w:r>
      <w:r>
        <w:rPr>
          <w:rFonts w:hint="eastAsia" w:ascii="Times New Roman" w:hAnsi="Times New Roman"/>
          <w:bCs/>
          <w:szCs w:val="21"/>
          <w:highlight w:val="none"/>
          <w:lang w:val="en-US" w:eastAsia="zh-CN"/>
        </w:rPr>
        <w:t>25</w:t>
      </w:r>
      <w:r>
        <w:rPr>
          <w:rFonts w:hint="eastAsia" w:ascii="Times New Roman" w:hAnsi="Times New Roman"/>
          <w:bCs/>
          <w:szCs w:val="21"/>
          <w:highlight w:val="none"/>
        </w:rPr>
        <w:t>%，B份额为0.</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0%</w:t>
      </w:r>
      <w:r>
        <w:rPr>
          <w:rFonts w:hint="eastAsia" w:ascii="Times New Roman" w:hAnsi="Times New Roman"/>
          <w:bCs/>
          <w:szCs w:val="21"/>
          <w:highlight w:val="none"/>
          <w:lang w:eastAsia="zh-CN"/>
        </w:rPr>
        <w:t>，</w:t>
      </w:r>
      <w:r>
        <w:rPr>
          <w:rFonts w:hint="eastAsia" w:ascii="Times New Roman" w:hAnsi="Times New Roman"/>
          <w:bCs/>
          <w:szCs w:val="21"/>
          <w:highlight w:val="none"/>
        </w:rPr>
        <w:t>各费用率均为年化数值。以A份额为例，A份额每日应计提的销售服务费=A份额前一自然日资产净值*</w:t>
      </w:r>
      <w:r>
        <w:rPr>
          <w:rFonts w:hint="eastAsia" w:ascii="Times New Roman" w:hAnsi="Times New Roman"/>
          <w:bCs/>
          <w:szCs w:val="21"/>
          <w:highlight w:val="none"/>
          <w:lang w:val="en-US" w:eastAsia="zh-CN"/>
        </w:rPr>
        <w:t>0.25</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（2）固定管理费：A份额为0.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%，B份额为0.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w:t>
      </w:r>
      <w:r>
        <w:rPr>
          <w:rFonts w:hint="eastAsia" w:ascii="Times New Roman" w:hAnsi="Times New Roman"/>
          <w:bCs/>
          <w:szCs w:val="21"/>
          <w:highlight w:val="none"/>
          <w:lang w:eastAsia="zh-CN"/>
        </w:rPr>
        <w:t>，</w:t>
      </w:r>
      <w:r>
        <w:rPr>
          <w:rFonts w:hint="eastAsia" w:ascii="Times New Roman" w:hAnsi="Times New Roman"/>
          <w:bCs/>
          <w:szCs w:val="21"/>
          <w:highlight w:val="none"/>
        </w:rPr>
        <w:t>各费用率均为年化数值。以A份额为例，A份额每日应计提的固定管理费=A份额前一自然日资产净值*</w:t>
      </w:r>
      <w:r>
        <w:rPr>
          <w:rFonts w:hint="eastAsia" w:ascii="Times New Roman" w:hAnsi="Times New Roman"/>
          <w:bCs/>
          <w:szCs w:val="21"/>
          <w:highlight w:val="none"/>
          <w:lang w:val="en-US" w:eastAsia="zh-CN"/>
        </w:rPr>
        <w:t>0.10</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（3）托管费：</w:t>
      </w:r>
      <w:r>
        <w:rPr>
          <w:rFonts w:hint="eastAsia" w:ascii="Times New Roman" w:hAnsi="Times New Roman"/>
          <w:bCs/>
          <w:szCs w:val="21"/>
          <w:highlight w:val="none"/>
          <w:lang w:val="en-US" w:eastAsia="zh-CN"/>
        </w:rPr>
        <w:t>0.007</w:t>
      </w:r>
      <w:r>
        <w:rPr>
          <w:rFonts w:hint="eastAsia" w:ascii="Times New Roman" w:hAnsi="Times New Roman"/>
          <w:bCs/>
          <w:szCs w:val="21"/>
          <w:highlight w:val="none"/>
        </w:rPr>
        <w:t>%，该费用率为年化数值。每日应计提的托管费=理财产品前一自然日资产净值*</w:t>
      </w:r>
      <w:r>
        <w:rPr>
          <w:rFonts w:hint="eastAsia" w:ascii="Times New Roman" w:hAnsi="Times New Roman"/>
          <w:bCs/>
          <w:szCs w:val="21"/>
          <w:highlight w:val="none"/>
          <w:lang w:val="en-US" w:eastAsia="zh-CN"/>
        </w:rPr>
        <w:t>0.007</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、其他费用，包括但不限于交易手续费、账户服务费、审计费、律师费、诉讼费、信息披露费、清算费、执行费用等应由产品承担的费用，具体按照实际发生列支。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（三）投资者收益计算示例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（以A份额业绩比较基准4.85%，期限368天，浮动管理费收取80%为例）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情景1： 以某投资者投资10万元A份额为例，购买时单位净值为1.000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，折算份额为100,000.00份。产品到期时，若投资者持有的份额依然为100,000.00份（即存续中未发生提前终止），扣除销售服务费、固定管理费、托管费等相关税费后，单位净值为1.051</w:t>
      </w:r>
      <w:r>
        <w:rPr>
          <w:rFonts w:ascii="Times New Roman" w:hAnsi="Times New Roman" w:cs="仿宋_GB2312"/>
          <w:szCs w:val="21"/>
          <w:highlight w:val="none"/>
        </w:rPr>
        <w:t>0</w:t>
      </w:r>
      <w:r>
        <w:rPr>
          <w:rFonts w:hint="eastAsia" w:ascii="Times New Roman" w:hAnsi="Times New Roman" w:cs="仿宋_GB2312"/>
          <w:szCs w:val="21"/>
          <w:highlight w:val="none"/>
        </w:rPr>
        <w:t>，此时，（1.051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-1）×365/368=5.06%&gt;4.85%，即折算的年化收益率超过</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的业绩比较基准，则产品管理人对超过业绩比较基准的部分收取浮动管理费，浮动管理费为：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×(1+4.85%×368/365)]×80%=168.11元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扣除浮动管理费后，</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）-168.11=4,931.89元，产品到期时，</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投资者获得的实际收益相当于达到年化收益率水平为：4,931.89/100,000.00×365/368=4.89%。</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情景2： 以某投资者投资10万元</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，折算份额为100,000.00份。产品到期时，若投资者持有的份额依然为100,000.00份（即存续期中未发生提前终止或提前赎回），扣除销售服务费、固定管理费、托管费等相关税费后，单位净值为1.0476，此时，(1.0476/1.00</w:t>
      </w:r>
      <w:r>
        <w:rPr>
          <w:rFonts w:ascii="Times New Roman" w:hAnsi="Times New Roman" w:cs="仿宋_GB2312"/>
          <w:szCs w:val="21"/>
          <w:highlight w:val="none"/>
        </w:rPr>
        <w:t>00</w:t>
      </w:r>
      <w:r>
        <w:rPr>
          <w:rFonts w:hint="eastAsia" w:ascii="Times New Roman" w:hAnsi="Times New Roman" w:cs="仿宋_GB2312"/>
          <w:szCs w:val="21"/>
          <w:highlight w:val="none"/>
        </w:rPr>
        <w:t>-1)×365/368=4.72%&lt;4.85%，即折算的年化收益率未达到</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的业绩比较基准，则产品管理人不收取浮动管理费，</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100,000.00×(1.0476-1.00</w:t>
      </w:r>
      <w:r>
        <w:rPr>
          <w:rFonts w:ascii="Times New Roman" w:hAnsi="Times New Roman" w:cs="仿宋_GB2312"/>
          <w:szCs w:val="21"/>
          <w:highlight w:val="none"/>
        </w:rPr>
        <w:t>00</w:t>
      </w:r>
      <w:r>
        <w:rPr>
          <w:rFonts w:hint="eastAsia" w:ascii="Times New Roman" w:hAnsi="Times New Roman" w:cs="仿宋_GB2312"/>
          <w:szCs w:val="21"/>
          <w:highlight w:val="none"/>
        </w:rPr>
        <w:t>）=4,760.00元。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情景3： 以某投资者投资10万元</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0.9975，则产品管理人不收取浮动管理费，</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100,000.00×（0.9975-1.00</w:t>
      </w:r>
      <w:r>
        <w:rPr>
          <w:rFonts w:ascii="Times New Roman" w:hAnsi="Times New Roman" w:cs="仿宋_GB2312"/>
          <w:szCs w:val="21"/>
          <w:highlight w:val="none"/>
        </w:rPr>
        <w:t>00</w:t>
      </w:r>
      <w:r>
        <w:rPr>
          <w:rFonts w:hint="eastAsia" w:ascii="Times New Roman" w:hAnsi="Times New Roman" w:cs="仿宋_GB2312"/>
          <w:szCs w:val="21"/>
          <w:highlight w:val="none"/>
        </w:rPr>
        <w:t>）=-250.00元。</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（上述示例采用假设数据计算，测算收益不等于实际收益，不代表以上的所有情形或某一情形一定会发生，投资者所能获得的收益以渝农商理财有限责任公司的实际支付为准。）</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cs="宋体"/>
          <w:bCs/>
          <w:szCs w:val="21"/>
          <w:highlight w:val="none"/>
        </w:rPr>
        <w:t>（四）</w:t>
      </w:r>
      <w:r>
        <w:rPr>
          <w:rFonts w:hint="eastAsia" w:ascii="Times New Roman" w:hAnsi="Times New Roman"/>
          <w:bCs/>
          <w:szCs w:val="21"/>
          <w:highlight w:val="none"/>
        </w:rPr>
        <w:t>产品到期日或提前终止日至资金到账日期间投资者资金不计息。</w:t>
      </w:r>
    </w:p>
    <w:p>
      <w:pPr>
        <w:spacing w:line="276" w:lineRule="auto"/>
        <w:ind w:firstLine="422" w:firstLineChars="200"/>
        <w:outlineLvl w:val="0"/>
        <w:rPr>
          <w:rFonts w:ascii="Times New Roman" w:hAnsi="Times New Roman" w:cs="宋体"/>
          <w:b/>
          <w:szCs w:val="21"/>
          <w:highlight w:val="none"/>
        </w:rPr>
      </w:pPr>
      <w:r>
        <w:rPr>
          <w:rFonts w:hint="eastAsia" w:ascii="Times New Roman" w:hAnsi="Times New Roman" w:cs="宋体"/>
          <w:b/>
          <w:szCs w:val="21"/>
          <w:highlight w:val="none"/>
        </w:rPr>
        <w:t>六</w:t>
      </w:r>
      <w:r>
        <w:rPr>
          <w:rFonts w:ascii="Times New Roman" w:hAnsi="Times New Roman" w:cs="宋体"/>
          <w:b/>
          <w:szCs w:val="21"/>
          <w:highlight w:val="none"/>
        </w:rPr>
        <w:t>、</w:t>
      </w:r>
      <w:r>
        <w:rPr>
          <w:rFonts w:hint="eastAsia" w:ascii="Times New Roman" w:hAnsi="Times New Roman" w:cs="宋体"/>
          <w:b/>
          <w:szCs w:val="21"/>
          <w:highlight w:val="none"/>
        </w:rPr>
        <w:t>理财产品</w:t>
      </w:r>
      <w:r>
        <w:rPr>
          <w:rFonts w:ascii="Times New Roman" w:hAnsi="Times New Roman" w:cs="宋体"/>
          <w:b/>
          <w:szCs w:val="21"/>
          <w:highlight w:val="none"/>
        </w:rPr>
        <w:t>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（一）估值原则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本产品估值的目的是公允、合理地反映理财产品的价值，估值中坚持公允价值计量原则。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（二）估值日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本理财产品估值日为每周五（如遇非工作日顺延到下一工作日）及理财产品到期日或提前终止日。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（三）估值对象</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理财产品所持有的各类有价证券、银行存款、应收款项、其它投资等资产及负债。</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（四）估值方法</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1、债券类资产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原则上按照公允价值计量进行估值。其中，符合会计准则和相关监管政策规定的债券类资产可以使用摊余成本进行计量。</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公允价值的处理方法如下：</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（1）对在交易所市场实行净价交易的债券，采用第三方估值机构（中证指数有限公司）提供的估值价格。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（3）对银行间市场交易的债券，选取第三方估值机构（中央国债登记结算有限责任公司）提供的相应品种当日的估值净价估值。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2、银行存款（含证券交易保证金）及回购（包含正、逆回购）以买入成本列示，按商定利率在实际持有期间内逐日计提利息。</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3、股票类资产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4、投资于信托计划、资产管理计划等的资产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按合同约定的估值方案，以信托计划的受托人、资产管理计划的管理人等和资产托管人共同确认的净值或投资收益情况进行估值。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5、证券投资基金</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（1）非上市基金估值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理财产品投资的境内非货币市场基金，按所投资基金估值日的份额净值估值；理财产品投资的境内货币市场基金，按所投资基金前一估值日后至估值日期间（含节假日）的万份收益计提估值日基金收益。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（3）特殊情况处理</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如遇所投资基金不公布基金份额净值、进行折算或拆分、估值日无交易等特殊情况，理财产品管理人根据以下原则进行估值：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（a）以所投资基金的基金份额净值估值的，若所投资基金与理财产品估值频率一致但未公布估值日基金份额净值，按其最近公布的基金份额净值为基础估值。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（c）如果所投资基金前一估值日至估值日期间发生分红除权、折算或拆分，理财产品管理人应根据基金份额净值或收盘价、单位基金份额分红金额、折算拆分比例、持仓份额等因素合理确定公允价值。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（d）当理财产品管理人认为所投资基金按上述（a）（b）（c）进行估值存在不公允时，在法律法规允许的范围内，应与托管人协商一致采用合理的估值技术或估值标准确定其公允价值。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6、若理财产品存续期间持有其他投资品种，以理财产品管理人和理财产品托管人共同认可的方法计算其价值。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7、国家有最新规定的，按其规定进行估值。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（五）估值错误的处理</w:t>
      </w:r>
    </w:p>
    <w:p>
      <w:pPr>
        <w:pStyle w:val="7"/>
        <w:spacing w:before="0" w:beforeAutospacing="0" w:after="0" w:afterAutospacing="0" w:line="276" w:lineRule="auto"/>
        <w:ind w:firstLine="420" w:firstLineChars="200"/>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理财产品管理人和理财产品托管人将采取必要、适当、合理的措施确保理财产品估值的准确性、及时性。当理财产品单位净值小数点后4位以内（含第4位）发生估值错误时，视为理财产品单位净值错误。</w:t>
      </w:r>
    </w:p>
    <w:p>
      <w:pPr>
        <w:pStyle w:val="7"/>
        <w:spacing w:before="0" w:beforeAutospacing="0" w:after="0" w:afterAutospacing="0" w:line="276" w:lineRule="auto"/>
        <w:ind w:firstLine="420"/>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w:t>
      </w:r>
      <w:r>
        <w:rPr>
          <w:rFonts w:hint="eastAsia" w:ascii="Times New Roman" w:hAnsi="Times New Roman" w:cs="Times New Roman"/>
          <w:bCs/>
          <w:kern w:val="2"/>
          <w:sz w:val="21"/>
          <w:szCs w:val="21"/>
          <w:highlight w:val="none"/>
        </w:rPr>
        <w:t>、估值错误处理原则</w:t>
      </w:r>
    </w:p>
    <w:p>
      <w:pPr>
        <w:pStyle w:val="7"/>
        <w:spacing w:before="0" w:beforeAutospacing="0" w:after="0" w:afterAutospacing="0" w:line="276" w:lineRule="auto"/>
        <w:ind w:firstLine="424"/>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（1）由于理财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管理人或理财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托管人自身的过错造成估值错误，导致投资者遭受损失的，由估值错误责任方按照各自过错程度对该估值错误导致投资者遭受的直接损失给予赔偿，承担赔偿责任。</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（4）当估值出现错误时，因估值错误而获得不当得利的投资者负有及时返还不当得利的义务。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（5）按法律法规规定的其他原则处理估值错误。</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 xml:space="preserve"> </w:t>
      </w:r>
      <w:r>
        <w:rPr>
          <w:rFonts w:ascii="Times New Roman" w:hAnsi="Times New Roman" w:cs="Times New Roman"/>
          <w:bCs/>
          <w:kern w:val="2"/>
          <w:sz w:val="21"/>
          <w:szCs w:val="21"/>
          <w:highlight w:val="none"/>
        </w:rPr>
        <w:t>2</w:t>
      </w:r>
      <w:r>
        <w:rPr>
          <w:rFonts w:hint="eastAsia" w:ascii="Times New Roman" w:hAnsi="Times New Roman" w:cs="Times New Roman"/>
          <w:bCs/>
          <w:kern w:val="2"/>
          <w:sz w:val="21"/>
          <w:szCs w:val="21"/>
          <w:highlight w:val="none"/>
        </w:rPr>
        <w:t>、估值错误处理程序</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估值错误被发现后，理财产品管理人和理财产品托管人应当及时进行处理，处理的程序如下：</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（1）查明估值错误发生的原因，列明所有的管理人和托管人并根据估值错误发生的原因确定估值错误的责任方；</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（2）根据估值错误处理原则对因估值错误造成的损失进行评估；</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（3）根据理财产品管理人和理财产品托管人协商的方法，由理财产品管理人和理财产品托管人共同进行更正，由估值错误的责任方进行赔偿损失。</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（六）暂停估值</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当产品资产的估值因不可抗力或其它情形致使产品管理人、托管人无法准确评估产品资产价值时或监管机构认定的其它情形，产品管理人可暂停产品的估值直至另行通知。</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七、信息披露</w:t>
      </w:r>
    </w:p>
    <w:p>
      <w:pPr>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（一）信息披露渠道</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本理财产品的公开信息披露将通过</w:t>
      </w:r>
      <w:r>
        <w:rPr>
          <w:rFonts w:ascii="Times New Roman" w:hAnsi="Times New Roman"/>
          <w:szCs w:val="21"/>
          <w:highlight w:val="none"/>
        </w:rPr>
        <w:fldChar w:fldCharType="begin"/>
      </w:r>
      <w:r>
        <w:rPr>
          <w:rFonts w:ascii="Times New Roman" w:hAnsi="Times New Roman"/>
          <w:szCs w:val="21"/>
          <w:highlight w:val="none"/>
        </w:rPr>
        <w:instrText xml:space="preserve"> HYPERLINK "http://" </w:instrText>
      </w:r>
      <w:r>
        <w:rPr>
          <w:rFonts w:ascii="Times New Roman" w:hAnsi="Times New Roman"/>
          <w:szCs w:val="21"/>
          <w:highlight w:val="none"/>
        </w:rPr>
        <w:fldChar w:fldCharType="end"/>
      </w:r>
      <w:r>
        <w:rPr>
          <w:rFonts w:hint="eastAsia" w:ascii="Times New Roman" w:hAnsi="Times New Roman"/>
          <w:szCs w:val="21"/>
          <w:highlight w:val="none"/>
        </w:rPr>
        <w:t>渝农商理财有限责任公司网站（</w:t>
      </w:r>
      <w:r>
        <w:rPr>
          <w:rFonts w:ascii="Times New Roman" w:hAnsi="Times New Roman"/>
          <w:szCs w:val="21"/>
          <w:highlight w:val="none"/>
        </w:rPr>
        <w:t>wm.cqrcb.com</w:t>
      </w:r>
      <w:r>
        <w:rPr>
          <w:rFonts w:hint="eastAsia" w:ascii="Times New Roman" w:hAnsi="Times New Roman"/>
          <w:szCs w:val="21"/>
          <w:highlight w:val="none"/>
        </w:rPr>
        <w:t>）、</w:t>
      </w:r>
      <w:r>
        <w:rPr>
          <w:rFonts w:hint="eastAsia" w:ascii="Times New Roman" w:hAnsi="Times New Roman"/>
          <w:szCs w:val="21"/>
          <w:highlight w:val="none"/>
          <w:lang w:val="en-US" w:eastAsia="zh-CN"/>
        </w:rPr>
        <w:t>代理</w:t>
      </w:r>
      <w:r>
        <w:rPr>
          <w:rFonts w:hint="eastAsia" w:ascii="Times New Roman" w:hAnsi="Times New Roman"/>
          <w:szCs w:val="21"/>
          <w:highlight w:val="none"/>
        </w:rPr>
        <w:t>销售机构相关渠道（包括但不限于代理销售机构的网站、</w:t>
      </w:r>
      <w:r>
        <w:rPr>
          <w:rFonts w:hint="eastAsia" w:ascii="Times New Roman" w:hAnsi="Times New Roman"/>
          <w:szCs w:val="21"/>
          <w:highlight w:val="none"/>
          <w:lang w:val="en-US" w:eastAsia="zh-CN"/>
        </w:rPr>
        <w:t>电子销售渠道</w:t>
      </w:r>
      <w:r>
        <w:rPr>
          <w:rFonts w:hint="eastAsia" w:ascii="Times New Roman" w:hAnsi="Times New Roman"/>
          <w:szCs w:val="21"/>
          <w:highlight w:val="none"/>
        </w:rPr>
        <w:t>等）进行。</w:t>
      </w:r>
      <w:r>
        <w:rPr>
          <w:rFonts w:hint="eastAsia" w:ascii="Times New Roman" w:hAnsi="Times New Roman"/>
          <w:bCs/>
          <w:szCs w:val="21"/>
          <w:highlight w:val="none"/>
        </w:rPr>
        <w:t>该等披露视为</w:t>
      </w:r>
      <w:r>
        <w:rPr>
          <w:rFonts w:hint="eastAsia" w:ascii="Times New Roman" w:hAnsi="Times New Roman"/>
          <w:szCs w:val="21"/>
          <w:highlight w:val="none"/>
        </w:rPr>
        <w:t>渝农商理财有限责任公司</w:t>
      </w:r>
      <w:r>
        <w:rPr>
          <w:rFonts w:hint="eastAsia" w:ascii="Times New Roman" w:hAnsi="Times New Roman"/>
          <w:bCs/>
          <w:szCs w:val="21"/>
          <w:highlight w:val="none"/>
        </w:rPr>
        <w:t>已向投资者完全履行信息披露义务。</w:t>
      </w:r>
      <w:r>
        <w:rPr>
          <w:rFonts w:hint="eastAsia" w:ascii="Times New Roman" w:hAnsi="Times New Roman"/>
          <w:szCs w:val="21"/>
          <w:highlight w:val="none"/>
        </w:rPr>
        <w:t>投资者应充分关注并及时主动查询渝农商理财有限责任公司披露的本产品相关信息。投资者预留的有效联系方式发生变更的，亦应及时通知销售（代理销售）机构。如果投资者未及时查询相关信息，或预留联系方式变更未及时通知销售（代理销售）机构，或由于通讯故障、系统故障以及其他不可抗力等因素的影响使得投资者无法及时了解产品信息，可能会影响投资者的投资决策，因此而产生的全部责任和风险由投资者自行承担。</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（二）理财产品信息披露内容和时间</w:t>
      </w:r>
    </w:p>
    <w:p>
      <w:pPr>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、发行公告：渝农商理财有限责任公司在本产品成立后5个工作日内公布本产品发行公告。</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、到期公告：</w:t>
      </w:r>
      <w:r>
        <w:rPr>
          <w:rFonts w:hint="eastAsia" w:ascii="Times New Roman" w:hAnsi="Times New Roman"/>
          <w:szCs w:val="21"/>
          <w:highlight w:val="none"/>
        </w:rPr>
        <w:t>渝农商理财有限责任公司在</w:t>
      </w:r>
      <w:r>
        <w:rPr>
          <w:rFonts w:hint="eastAsia" w:ascii="Times New Roman" w:hAnsi="Times New Roman"/>
          <w:bCs/>
          <w:szCs w:val="21"/>
          <w:highlight w:val="none"/>
        </w:rPr>
        <w:t>本产品到期后5个工作日内公布本产品到期公告。</w:t>
      </w:r>
    </w:p>
    <w:p>
      <w:pPr>
        <w:autoSpaceDE w:val="0"/>
        <w:autoSpaceDN w:val="0"/>
        <w:adjustRightInd w:val="0"/>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、净值公告：渝农商理财有限责任公司在每周五（如遇非工作日顺延到下一工作日）后的</w:t>
      </w:r>
      <w:r>
        <w:rPr>
          <w:rFonts w:ascii="Times New Roman" w:hAnsi="Times New Roman"/>
          <w:szCs w:val="21"/>
          <w:highlight w:val="none"/>
        </w:rPr>
        <w:t>2</w:t>
      </w:r>
      <w:r>
        <w:rPr>
          <w:rFonts w:hint="eastAsia" w:ascii="Times New Roman" w:hAnsi="Times New Roman"/>
          <w:szCs w:val="21"/>
          <w:highlight w:val="none"/>
        </w:rPr>
        <w:t xml:space="preserve">工作日内披露本理财产品的单位净值等。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、定期报告：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在每季度结束之日起15个工作日内公布上季度末产品的季度报告，在</w:t>
      </w:r>
      <w:r>
        <w:rPr>
          <w:rFonts w:ascii="Times New Roman" w:hAnsi="Times New Roman"/>
          <w:bCs/>
          <w:szCs w:val="21"/>
          <w:highlight w:val="none"/>
        </w:rPr>
        <w:t>上半年结束之日起60个工作日内</w:t>
      </w:r>
      <w:r>
        <w:rPr>
          <w:rFonts w:hint="eastAsia" w:ascii="Times New Roman" w:hAnsi="Times New Roman"/>
          <w:bCs/>
          <w:szCs w:val="21"/>
          <w:highlight w:val="none"/>
        </w:rPr>
        <w:t>公布产品半年度报告，在每年</w:t>
      </w:r>
      <w:r>
        <w:rPr>
          <w:rFonts w:ascii="Times New Roman" w:hAnsi="Times New Roman"/>
          <w:bCs/>
          <w:szCs w:val="21"/>
          <w:highlight w:val="none"/>
        </w:rPr>
        <w:t>结束之日起90个工作日内</w:t>
      </w:r>
      <w:r>
        <w:rPr>
          <w:rFonts w:hint="eastAsia" w:ascii="Times New Roman" w:hAnsi="Times New Roman"/>
          <w:bCs/>
          <w:szCs w:val="21"/>
          <w:highlight w:val="none"/>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可以不编制理财产品当期的季度、半年和年度报告。</w:t>
      </w:r>
    </w:p>
    <w:p>
      <w:pPr>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5</w:t>
      </w:r>
      <w:r>
        <w:rPr>
          <w:rFonts w:hint="eastAsia" w:ascii="Times New Roman" w:hAnsi="Times New Roman"/>
          <w:bCs/>
          <w:szCs w:val="21"/>
          <w:highlight w:val="none"/>
        </w:rPr>
        <w:t>、重大事项公告：在发生可能对本理财产品投资者或者理财产品收益产生重大影响的事件后2个工作日内发布重大事项公告。</w:t>
      </w:r>
    </w:p>
    <w:p>
      <w:pPr>
        <w:spacing w:line="276" w:lineRule="auto"/>
        <w:ind w:firstLine="420" w:firstLineChars="200"/>
        <w:rPr>
          <w:rFonts w:ascii="Times New Roman" w:hAnsi="Times New Roman"/>
          <w:szCs w:val="21"/>
          <w:highlight w:val="none"/>
        </w:rPr>
      </w:pPr>
      <w:r>
        <w:rPr>
          <w:rFonts w:ascii="Times New Roman" w:hAnsi="Times New Roman"/>
          <w:bCs/>
          <w:szCs w:val="21"/>
          <w:highlight w:val="none"/>
        </w:rPr>
        <w:t>6</w:t>
      </w:r>
      <w:r>
        <w:rPr>
          <w:rFonts w:hint="eastAsia" w:ascii="Times New Roman" w:hAnsi="Times New Roman"/>
          <w:bCs/>
          <w:szCs w:val="21"/>
          <w:highlight w:val="none"/>
        </w:rPr>
        <w:t>、临时性信息披露：若发生理财产品不成立、变更募集期、提前终止、规模调整</w:t>
      </w:r>
      <w:r>
        <w:rPr>
          <w:rFonts w:ascii="Times New Roman" w:hAnsi="Times New Roman"/>
          <w:bCs/>
          <w:szCs w:val="21"/>
          <w:highlight w:val="none"/>
        </w:rPr>
        <w:t>等经</w:t>
      </w:r>
      <w:r>
        <w:rPr>
          <w:rFonts w:hint="eastAsia" w:ascii="Times New Roman" w:hAnsi="Times New Roman"/>
          <w:szCs w:val="21"/>
          <w:highlight w:val="none"/>
        </w:rPr>
        <w:t>渝农商理财有限责任公司</w:t>
      </w:r>
      <w:r>
        <w:rPr>
          <w:rFonts w:ascii="Times New Roman" w:hAnsi="Times New Roman"/>
          <w:bCs/>
          <w:szCs w:val="21"/>
          <w:highlight w:val="none"/>
        </w:rPr>
        <w:t>判断可能对</w:t>
      </w:r>
      <w:r>
        <w:rPr>
          <w:rFonts w:hint="eastAsia" w:ascii="Times New Roman" w:hAnsi="Times New Roman"/>
          <w:bCs/>
          <w:szCs w:val="21"/>
          <w:highlight w:val="none"/>
        </w:rPr>
        <w:t>投资者</w:t>
      </w:r>
      <w:r>
        <w:rPr>
          <w:rFonts w:ascii="Times New Roman" w:hAnsi="Times New Roman"/>
          <w:bCs/>
          <w:szCs w:val="21"/>
          <w:highlight w:val="none"/>
        </w:rPr>
        <w:t>产生影响的事项时，或按法律法规</w:t>
      </w:r>
      <w:r>
        <w:rPr>
          <w:rFonts w:hint="eastAsia" w:ascii="Times New Roman" w:hAnsi="Times New Roman"/>
          <w:bCs/>
          <w:szCs w:val="21"/>
          <w:highlight w:val="none"/>
        </w:rPr>
        <w:t>、</w:t>
      </w:r>
      <w:r>
        <w:rPr>
          <w:rFonts w:ascii="Times New Roman" w:hAnsi="Times New Roman"/>
          <w:bCs/>
          <w:szCs w:val="21"/>
          <w:highlight w:val="none"/>
        </w:rPr>
        <w:t>监管政策规定必须披露的</w:t>
      </w:r>
      <w:r>
        <w:rPr>
          <w:rFonts w:hint="eastAsia" w:ascii="Times New Roman" w:hAnsi="Times New Roman"/>
          <w:bCs/>
          <w:szCs w:val="21"/>
          <w:highlight w:val="none"/>
        </w:rPr>
        <w:t>，</w:t>
      </w:r>
      <w:r>
        <w:rPr>
          <w:rFonts w:hint="eastAsia" w:ascii="Times New Roman" w:hAnsi="Times New Roman"/>
          <w:szCs w:val="21"/>
          <w:highlight w:val="none"/>
        </w:rPr>
        <w:t>渝农商理财有限责任公司</w:t>
      </w:r>
      <w:r>
        <w:rPr>
          <w:rFonts w:ascii="Times New Roman" w:hAnsi="Times New Roman"/>
          <w:bCs/>
          <w:szCs w:val="21"/>
          <w:highlight w:val="none"/>
        </w:rPr>
        <w:t>将及时进行临时信息披露。</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八、其他事项</w:t>
      </w:r>
    </w:p>
    <w:p>
      <w:pPr>
        <w:spacing w:line="276" w:lineRule="auto"/>
        <w:ind w:firstLine="420"/>
        <w:rPr>
          <w:rFonts w:ascii="Times New Roman" w:hAnsi="Times New Roman"/>
          <w:bCs/>
          <w:szCs w:val="21"/>
          <w:highlight w:val="none"/>
        </w:rPr>
      </w:pPr>
      <w:bookmarkStart w:id="1" w:name="_Hlk38481213"/>
      <w:r>
        <w:rPr>
          <w:rFonts w:hint="eastAsia" w:ascii="Times New Roman" w:hAnsi="Times New Roman"/>
          <w:bCs/>
          <w:szCs w:val="21"/>
          <w:highlight w:val="none"/>
        </w:rPr>
        <w:t>（一）</w:t>
      </w:r>
      <w:r>
        <w:rPr>
          <w:rFonts w:hint="eastAsia" w:ascii="Times New Roman" w:hAnsi="Times New Roman"/>
          <w:szCs w:val="21"/>
          <w:highlight w:val="none"/>
        </w:rPr>
        <w:t>投资者可通过销售（代理销售）机构在产品存续期内查询所持有的理财产品账单等相关信息。</w:t>
      </w:r>
    </w:p>
    <w:p>
      <w:pPr>
        <w:spacing w:line="276" w:lineRule="auto"/>
        <w:ind w:firstLine="420"/>
        <w:rPr>
          <w:rFonts w:ascii="Times New Roman" w:hAnsi="Times New Roman"/>
          <w:bCs/>
          <w:szCs w:val="21"/>
          <w:highlight w:val="none"/>
        </w:rPr>
      </w:pPr>
      <w:r>
        <w:rPr>
          <w:rFonts w:hint="eastAsia" w:ascii="Times New Roman" w:hAnsi="Times New Roman"/>
          <w:bCs/>
          <w:szCs w:val="21"/>
          <w:highlight w:val="none"/>
        </w:rPr>
        <w:t>（二）投资者有义务及时核对所收到的任何款项，以及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向投资者提供的相关信息资料是否准确。如投资者有疑义，应在</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发出相关信息资料后的30日内提出；如投资者在前述期限内未提出的，视为投资者无疑义。但除非存在明显的计算错误，本产品的款项以</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记载为准。</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（三）</w:t>
      </w:r>
      <w:r>
        <w:rPr>
          <w:rFonts w:hint="eastAsia" w:ascii="Times New Roman" w:hAnsi="Times New Roman"/>
          <w:szCs w:val="21"/>
          <w:highlight w:val="none"/>
        </w:rPr>
        <w:t>渝农商理财有限责任公司</w:t>
      </w:r>
      <w:r>
        <w:rPr>
          <w:rFonts w:ascii="Times New Roman" w:hAnsi="Times New Roman" w:cs="宋体"/>
          <w:szCs w:val="21"/>
          <w:highlight w:val="none"/>
        </w:rPr>
        <w:t>应当依法履行投资者信息保密义务</w:t>
      </w:r>
      <w:r>
        <w:rPr>
          <w:rFonts w:hint="eastAsia" w:ascii="Times New Roman" w:hAnsi="Times New Roman" w:cs="宋体"/>
          <w:szCs w:val="21"/>
          <w:highlight w:val="none"/>
        </w:rPr>
        <w:t>。非经投资者事先许可，不得向第三方披露，</w:t>
      </w:r>
      <w:r>
        <w:rPr>
          <w:rFonts w:ascii="Times New Roman" w:hAnsi="Times New Roman" w:cs="宋体"/>
          <w:szCs w:val="21"/>
          <w:highlight w:val="none"/>
        </w:rPr>
        <w:t>除法律法规另有规定或有权机关另有要求外</w:t>
      </w:r>
      <w:r>
        <w:rPr>
          <w:rFonts w:hint="eastAsia" w:ascii="Times New Roman" w:hAnsi="Times New Roman" w:cs="宋体"/>
          <w:szCs w:val="21"/>
          <w:highlight w:val="none"/>
        </w:rPr>
        <w:t>。投资者在此同意并授权，渝农商理财有限责任公司可根据监管要求，为理财产品登记需要，向登记部门或监管机构提供投资者相关信息。</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（四）</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统一社会信用代码【91500105MA610TKW7P】</w:t>
      </w:r>
      <w:r>
        <w:rPr>
          <w:rFonts w:hint="eastAsia" w:ascii="Times New Roman" w:hAnsi="Times New Roman" w:cs="仿宋_GB2312"/>
          <w:color w:val="000000"/>
          <w:kern w:val="0"/>
          <w:szCs w:val="21"/>
          <w:highlight w:val="none"/>
        </w:rPr>
        <w:t>；</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金融机构代码：【Z0028H250000001】。</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（五）如需咨询或投诉请通过投资者权益须知上载明的渠道反馈。</w:t>
      </w:r>
    </w:p>
    <w:bookmarkEnd w:id="1"/>
    <w:p>
      <w:pPr>
        <w:spacing w:line="276" w:lineRule="auto"/>
        <w:rPr>
          <w:rFonts w:ascii="Times New Roman" w:hAnsi="Times New Roman"/>
          <w:szCs w:val="21"/>
          <w:highlight w:val="none"/>
        </w:rPr>
      </w:pPr>
    </w:p>
    <w:p>
      <w:pPr>
        <w:spacing w:line="276" w:lineRule="auto"/>
        <w:ind w:firstLine="5565" w:firstLineChars="2650"/>
        <w:rPr>
          <w:rFonts w:ascii="Times New Roman" w:hAnsi="Times New Roman"/>
          <w:kern w:val="0"/>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个人投资者签字：</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机构投资者（盖章）：</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机构投资者法定代表人或授权代表（签字或盖章）:</w:t>
      </w:r>
    </w:p>
    <w:p>
      <w:pPr>
        <w:spacing w:line="276" w:lineRule="auto"/>
        <w:rPr>
          <w:rFonts w:ascii="Times New Roman" w:hAnsi="Times New Roman"/>
          <w:szCs w:val="21"/>
        </w:rPr>
      </w:pPr>
      <w:r>
        <w:rPr>
          <w:rFonts w:hint="eastAsia" w:ascii="Times New Roman" w:hAnsi="Times New Roman" w:cs="Arial"/>
          <w:szCs w:val="21"/>
          <w:highlight w:val="none"/>
        </w:rPr>
        <w:t>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right="520"/>
      <w:rPr>
        <w:sz w:val="13"/>
      </w:rPr>
    </w:pPr>
    <w:r>
      <w:rPr>
        <w:rFonts w:hint="eastAsia"/>
        <w:sz w:val="13"/>
      </w:rPr>
      <w:t xml:space="preserve">                                       </w:t>
    </w: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sz w:val="13"/>
      </w:rPr>
      <w:t xml:space="preserve">                202</w:t>
    </w:r>
    <w:r>
      <w:rPr>
        <w:sz w:val="13"/>
      </w:rPr>
      <w:t>3</w:t>
    </w:r>
    <w:r>
      <w:rPr>
        <w:rFonts w:hint="eastAsia"/>
        <w:sz w:val="13"/>
      </w:rPr>
      <w:t>年第</w:t>
    </w:r>
    <w:r>
      <w:rPr>
        <w:sz w:val="13"/>
      </w:rPr>
      <w:t>2</w:t>
    </w:r>
    <w:r>
      <w:rPr>
        <w:rFonts w:hint="eastAsia"/>
        <w:sz w:val="13"/>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DQwNzVhYWUzODA0M2M0NWYzNDUwMTdhMjY3ZTcifQ=="/>
  </w:docVars>
  <w:rsids>
    <w:rsidRoot w:val="00C16A1A"/>
    <w:rsid w:val="00000983"/>
    <w:rsid w:val="0000283B"/>
    <w:rsid w:val="0000390A"/>
    <w:rsid w:val="00004F52"/>
    <w:rsid w:val="00005C99"/>
    <w:rsid w:val="0000732D"/>
    <w:rsid w:val="00012C2C"/>
    <w:rsid w:val="000130E1"/>
    <w:rsid w:val="00013E32"/>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E"/>
    <w:rsid w:val="00031851"/>
    <w:rsid w:val="00032694"/>
    <w:rsid w:val="000336A1"/>
    <w:rsid w:val="00034FB1"/>
    <w:rsid w:val="0003570A"/>
    <w:rsid w:val="00035A4D"/>
    <w:rsid w:val="00036FC9"/>
    <w:rsid w:val="0003757B"/>
    <w:rsid w:val="0004178C"/>
    <w:rsid w:val="00042143"/>
    <w:rsid w:val="000425B3"/>
    <w:rsid w:val="00043398"/>
    <w:rsid w:val="00046E71"/>
    <w:rsid w:val="000504E6"/>
    <w:rsid w:val="00050665"/>
    <w:rsid w:val="000509BA"/>
    <w:rsid w:val="000510A1"/>
    <w:rsid w:val="000511B4"/>
    <w:rsid w:val="00051F6D"/>
    <w:rsid w:val="000536A7"/>
    <w:rsid w:val="00054CA7"/>
    <w:rsid w:val="000555B2"/>
    <w:rsid w:val="0005637A"/>
    <w:rsid w:val="00056DA1"/>
    <w:rsid w:val="00056EB0"/>
    <w:rsid w:val="00060655"/>
    <w:rsid w:val="0006136C"/>
    <w:rsid w:val="00063843"/>
    <w:rsid w:val="00064867"/>
    <w:rsid w:val="00065CC4"/>
    <w:rsid w:val="000662F5"/>
    <w:rsid w:val="00071565"/>
    <w:rsid w:val="00071C01"/>
    <w:rsid w:val="000724E4"/>
    <w:rsid w:val="000726A1"/>
    <w:rsid w:val="00073941"/>
    <w:rsid w:val="00073FBB"/>
    <w:rsid w:val="000745D0"/>
    <w:rsid w:val="00074AD6"/>
    <w:rsid w:val="0008190C"/>
    <w:rsid w:val="0008434D"/>
    <w:rsid w:val="00084F44"/>
    <w:rsid w:val="00086FA0"/>
    <w:rsid w:val="0008706A"/>
    <w:rsid w:val="000903FA"/>
    <w:rsid w:val="00090B43"/>
    <w:rsid w:val="00091EFB"/>
    <w:rsid w:val="00092E74"/>
    <w:rsid w:val="0009538D"/>
    <w:rsid w:val="000966A4"/>
    <w:rsid w:val="00097385"/>
    <w:rsid w:val="000A1C61"/>
    <w:rsid w:val="000A3C88"/>
    <w:rsid w:val="000A40B8"/>
    <w:rsid w:val="000A62DB"/>
    <w:rsid w:val="000A66BC"/>
    <w:rsid w:val="000B067C"/>
    <w:rsid w:val="000B0B3E"/>
    <w:rsid w:val="000B1690"/>
    <w:rsid w:val="000B27F9"/>
    <w:rsid w:val="000B289E"/>
    <w:rsid w:val="000B2EC9"/>
    <w:rsid w:val="000B77CD"/>
    <w:rsid w:val="000C135F"/>
    <w:rsid w:val="000C218F"/>
    <w:rsid w:val="000C2524"/>
    <w:rsid w:val="000C323E"/>
    <w:rsid w:val="000C42F2"/>
    <w:rsid w:val="000C6DB1"/>
    <w:rsid w:val="000D08B2"/>
    <w:rsid w:val="000D1CC7"/>
    <w:rsid w:val="000D3FC9"/>
    <w:rsid w:val="000D4B15"/>
    <w:rsid w:val="000D4C70"/>
    <w:rsid w:val="000D4CEC"/>
    <w:rsid w:val="000D6CBD"/>
    <w:rsid w:val="000D73BE"/>
    <w:rsid w:val="000D78D1"/>
    <w:rsid w:val="000D7E0C"/>
    <w:rsid w:val="000E0EE0"/>
    <w:rsid w:val="000E380F"/>
    <w:rsid w:val="000E3D63"/>
    <w:rsid w:val="000E41BA"/>
    <w:rsid w:val="000E60A6"/>
    <w:rsid w:val="000F0DC3"/>
    <w:rsid w:val="000F2668"/>
    <w:rsid w:val="000F2A25"/>
    <w:rsid w:val="000F2A76"/>
    <w:rsid w:val="000F2D18"/>
    <w:rsid w:val="000F44A9"/>
    <w:rsid w:val="000F6831"/>
    <w:rsid w:val="000F73CB"/>
    <w:rsid w:val="00100C4F"/>
    <w:rsid w:val="001019A8"/>
    <w:rsid w:val="001021D3"/>
    <w:rsid w:val="0010616E"/>
    <w:rsid w:val="00106B54"/>
    <w:rsid w:val="00106DBF"/>
    <w:rsid w:val="00107273"/>
    <w:rsid w:val="00110F79"/>
    <w:rsid w:val="001112D8"/>
    <w:rsid w:val="0011163E"/>
    <w:rsid w:val="00113A6C"/>
    <w:rsid w:val="00113B29"/>
    <w:rsid w:val="00115D73"/>
    <w:rsid w:val="0011646B"/>
    <w:rsid w:val="001177C8"/>
    <w:rsid w:val="001212EF"/>
    <w:rsid w:val="001218FF"/>
    <w:rsid w:val="00121FED"/>
    <w:rsid w:val="00122400"/>
    <w:rsid w:val="00122676"/>
    <w:rsid w:val="00125638"/>
    <w:rsid w:val="00126AAF"/>
    <w:rsid w:val="00130616"/>
    <w:rsid w:val="00130F3B"/>
    <w:rsid w:val="001312D9"/>
    <w:rsid w:val="00131B95"/>
    <w:rsid w:val="00131E74"/>
    <w:rsid w:val="001343DC"/>
    <w:rsid w:val="0013725B"/>
    <w:rsid w:val="00137BDB"/>
    <w:rsid w:val="00137EAE"/>
    <w:rsid w:val="00140989"/>
    <w:rsid w:val="00142214"/>
    <w:rsid w:val="001429F2"/>
    <w:rsid w:val="00143305"/>
    <w:rsid w:val="00145394"/>
    <w:rsid w:val="001460E4"/>
    <w:rsid w:val="00146989"/>
    <w:rsid w:val="00152EF8"/>
    <w:rsid w:val="00154535"/>
    <w:rsid w:val="00154EF2"/>
    <w:rsid w:val="00156498"/>
    <w:rsid w:val="00157F0E"/>
    <w:rsid w:val="00160880"/>
    <w:rsid w:val="0016125C"/>
    <w:rsid w:val="0016223F"/>
    <w:rsid w:val="0016268C"/>
    <w:rsid w:val="00163034"/>
    <w:rsid w:val="0016542F"/>
    <w:rsid w:val="00165AC3"/>
    <w:rsid w:val="00166356"/>
    <w:rsid w:val="00170E75"/>
    <w:rsid w:val="001738C0"/>
    <w:rsid w:val="00173A25"/>
    <w:rsid w:val="00173B2D"/>
    <w:rsid w:val="00173E56"/>
    <w:rsid w:val="001743D4"/>
    <w:rsid w:val="001752D1"/>
    <w:rsid w:val="00176A4C"/>
    <w:rsid w:val="00176CF6"/>
    <w:rsid w:val="00180339"/>
    <w:rsid w:val="00182A8E"/>
    <w:rsid w:val="00182C3D"/>
    <w:rsid w:val="00183403"/>
    <w:rsid w:val="00183B99"/>
    <w:rsid w:val="00184873"/>
    <w:rsid w:val="00184A99"/>
    <w:rsid w:val="001857B1"/>
    <w:rsid w:val="00185C50"/>
    <w:rsid w:val="0018654C"/>
    <w:rsid w:val="0018661E"/>
    <w:rsid w:val="00187B86"/>
    <w:rsid w:val="00192D17"/>
    <w:rsid w:val="0019386D"/>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F54"/>
    <w:rsid w:val="001B3731"/>
    <w:rsid w:val="001B4D4B"/>
    <w:rsid w:val="001B5B59"/>
    <w:rsid w:val="001C0A84"/>
    <w:rsid w:val="001C6860"/>
    <w:rsid w:val="001C73EE"/>
    <w:rsid w:val="001C775D"/>
    <w:rsid w:val="001D01B9"/>
    <w:rsid w:val="001D03EF"/>
    <w:rsid w:val="001D0F0B"/>
    <w:rsid w:val="001D1D35"/>
    <w:rsid w:val="001D2F63"/>
    <w:rsid w:val="001D4A00"/>
    <w:rsid w:val="001D66E0"/>
    <w:rsid w:val="001D679A"/>
    <w:rsid w:val="001D7D4D"/>
    <w:rsid w:val="001E0BDE"/>
    <w:rsid w:val="001E0FBD"/>
    <w:rsid w:val="001E1ABE"/>
    <w:rsid w:val="001E1B1A"/>
    <w:rsid w:val="001E1C64"/>
    <w:rsid w:val="001E35B4"/>
    <w:rsid w:val="001E407E"/>
    <w:rsid w:val="001E4C2C"/>
    <w:rsid w:val="001E5921"/>
    <w:rsid w:val="001E5D9B"/>
    <w:rsid w:val="001E5FE1"/>
    <w:rsid w:val="001E7BBA"/>
    <w:rsid w:val="001F0F86"/>
    <w:rsid w:val="001F1AB4"/>
    <w:rsid w:val="001F1BD1"/>
    <w:rsid w:val="001F3A3B"/>
    <w:rsid w:val="001F3D40"/>
    <w:rsid w:val="001F474A"/>
    <w:rsid w:val="001F47F8"/>
    <w:rsid w:val="001F5CFB"/>
    <w:rsid w:val="001F6BCA"/>
    <w:rsid w:val="0020269A"/>
    <w:rsid w:val="00202AFE"/>
    <w:rsid w:val="0020320E"/>
    <w:rsid w:val="00203F75"/>
    <w:rsid w:val="0020426A"/>
    <w:rsid w:val="00204943"/>
    <w:rsid w:val="0020566B"/>
    <w:rsid w:val="00206237"/>
    <w:rsid w:val="0020669C"/>
    <w:rsid w:val="002067B4"/>
    <w:rsid w:val="002069FE"/>
    <w:rsid w:val="00207467"/>
    <w:rsid w:val="0021176C"/>
    <w:rsid w:val="00211D59"/>
    <w:rsid w:val="0021464B"/>
    <w:rsid w:val="0021503A"/>
    <w:rsid w:val="00215547"/>
    <w:rsid w:val="00216074"/>
    <w:rsid w:val="00216243"/>
    <w:rsid w:val="0021667C"/>
    <w:rsid w:val="00216E6F"/>
    <w:rsid w:val="002171A8"/>
    <w:rsid w:val="00220393"/>
    <w:rsid w:val="00220B78"/>
    <w:rsid w:val="00221F5C"/>
    <w:rsid w:val="00224A5F"/>
    <w:rsid w:val="00225153"/>
    <w:rsid w:val="002265D5"/>
    <w:rsid w:val="002266A9"/>
    <w:rsid w:val="002269D3"/>
    <w:rsid w:val="00226A68"/>
    <w:rsid w:val="00226E59"/>
    <w:rsid w:val="00227941"/>
    <w:rsid w:val="00230C97"/>
    <w:rsid w:val="00232264"/>
    <w:rsid w:val="00233484"/>
    <w:rsid w:val="00236210"/>
    <w:rsid w:val="0023799A"/>
    <w:rsid w:val="00237FAB"/>
    <w:rsid w:val="00241331"/>
    <w:rsid w:val="00241CC8"/>
    <w:rsid w:val="00243FA1"/>
    <w:rsid w:val="0024651D"/>
    <w:rsid w:val="00246D87"/>
    <w:rsid w:val="00247E91"/>
    <w:rsid w:val="00247F02"/>
    <w:rsid w:val="00253A37"/>
    <w:rsid w:val="002553FE"/>
    <w:rsid w:val="00256AC3"/>
    <w:rsid w:val="00256F7C"/>
    <w:rsid w:val="00257006"/>
    <w:rsid w:val="00262709"/>
    <w:rsid w:val="00263A04"/>
    <w:rsid w:val="00263B1C"/>
    <w:rsid w:val="00263B23"/>
    <w:rsid w:val="00265FC3"/>
    <w:rsid w:val="00270736"/>
    <w:rsid w:val="002708A2"/>
    <w:rsid w:val="00271015"/>
    <w:rsid w:val="00272493"/>
    <w:rsid w:val="002742DE"/>
    <w:rsid w:val="002743D8"/>
    <w:rsid w:val="00274572"/>
    <w:rsid w:val="00274FF0"/>
    <w:rsid w:val="0027724F"/>
    <w:rsid w:val="00280979"/>
    <w:rsid w:val="00280F99"/>
    <w:rsid w:val="00281BA9"/>
    <w:rsid w:val="00285660"/>
    <w:rsid w:val="00285ADD"/>
    <w:rsid w:val="00286B05"/>
    <w:rsid w:val="00286CB4"/>
    <w:rsid w:val="00291785"/>
    <w:rsid w:val="00291BDA"/>
    <w:rsid w:val="00292FF6"/>
    <w:rsid w:val="00293478"/>
    <w:rsid w:val="00295B4E"/>
    <w:rsid w:val="00297E05"/>
    <w:rsid w:val="002A0522"/>
    <w:rsid w:val="002A055D"/>
    <w:rsid w:val="002A0706"/>
    <w:rsid w:val="002A0CC1"/>
    <w:rsid w:val="002A1091"/>
    <w:rsid w:val="002A34B9"/>
    <w:rsid w:val="002A3F8E"/>
    <w:rsid w:val="002A5CC3"/>
    <w:rsid w:val="002A62C7"/>
    <w:rsid w:val="002A6AA0"/>
    <w:rsid w:val="002A7679"/>
    <w:rsid w:val="002B04C4"/>
    <w:rsid w:val="002B1E8C"/>
    <w:rsid w:val="002B410A"/>
    <w:rsid w:val="002B428A"/>
    <w:rsid w:val="002B4714"/>
    <w:rsid w:val="002B5483"/>
    <w:rsid w:val="002B6A6F"/>
    <w:rsid w:val="002B7C56"/>
    <w:rsid w:val="002C004C"/>
    <w:rsid w:val="002C03C8"/>
    <w:rsid w:val="002C0970"/>
    <w:rsid w:val="002C2186"/>
    <w:rsid w:val="002C233C"/>
    <w:rsid w:val="002C353E"/>
    <w:rsid w:val="002C4500"/>
    <w:rsid w:val="002C4F75"/>
    <w:rsid w:val="002C53C2"/>
    <w:rsid w:val="002C6D14"/>
    <w:rsid w:val="002C711B"/>
    <w:rsid w:val="002D05DE"/>
    <w:rsid w:val="002D0CE5"/>
    <w:rsid w:val="002D1D4B"/>
    <w:rsid w:val="002D26E4"/>
    <w:rsid w:val="002D7F8D"/>
    <w:rsid w:val="002E0CC6"/>
    <w:rsid w:val="002E11BB"/>
    <w:rsid w:val="002E193F"/>
    <w:rsid w:val="002E559D"/>
    <w:rsid w:val="002E67E6"/>
    <w:rsid w:val="002E7CB7"/>
    <w:rsid w:val="002F36A7"/>
    <w:rsid w:val="002F3F0C"/>
    <w:rsid w:val="002F42F5"/>
    <w:rsid w:val="002F6546"/>
    <w:rsid w:val="0030161D"/>
    <w:rsid w:val="003035EF"/>
    <w:rsid w:val="003041F2"/>
    <w:rsid w:val="003054D1"/>
    <w:rsid w:val="003060DE"/>
    <w:rsid w:val="00310F90"/>
    <w:rsid w:val="00310F91"/>
    <w:rsid w:val="0031263B"/>
    <w:rsid w:val="003171E1"/>
    <w:rsid w:val="00321E0F"/>
    <w:rsid w:val="0032255D"/>
    <w:rsid w:val="003229C7"/>
    <w:rsid w:val="00330279"/>
    <w:rsid w:val="00333849"/>
    <w:rsid w:val="003349AA"/>
    <w:rsid w:val="00334E31"/>
    <w:rsid w:val="00335CAC"/>
    <w:rsid w:val="003379FB"/>
    <w:rsid w:val="00337AB7"/>
    <w:rsid w:val="00341383"/>
    <w:rsid w:val="00343796"/>
    <w:rsid w:val="003443B6"/>
    <w:rsid w:val="003451D5"/>
    <w:rsid w:val="00345938"/>
    <w:rsid w:val="00350534"/>
    <w:rsid w:val="00350F08"/>
    <w:rsid w:val="003542FA"/>
    <w:rsid w:val="00354346"/>
    <w:rsid w:val="00354DAF"/>
    <w:rsid w:val="003558AA"/>
    <w:rsid w:val="00356326"/>
    <w:rsid w:val="003610B3"/>
    <w:rsid w:val="003616CF"/>
    <w:rsid w:val="00361C54"/>
    <w:rsid w:val="00362822"/>
    <w:rsid w:val="00362ADF"/>
    <w:rsid w:val="0036455D"/>
    <w:rsid w:val="003649C9"/>
    <w:rsid w:val="00364EB5"/>
    <w:rsid w:val="00365B06"/>
    <w:rsid w:val="00365C8A"/>
    <w:rsid w:val="00365D5E"/>
    <w:rsid w:val="00366803"/>
    <w:rsid w:val="0037018F"/>
    <w:rsid w:val="00370379"/>
    <w:rsid w:val="003705D4"/>
    <w:rsid w:val="00370F1E"/>
    <w:rsid w:val="00371D38"/>
    <w:rsid w:val="00373544"/>
    <w:rsid w:val="00373F79"/>
    <w:rsid w:val="00374F85"/>
    <w:rsid w:val="00375412"/>
    <w:rsid w:val="0037697C"/>
    <w:rsid w:val="00377003"/>
    <w:rsid w:val="0037740A"/>
    <w:rsid w:val="00377FF6"/>
    <w:rsid w:val="00380B1C"/>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2E90"/>
    <w:rsid w:val="003A3612"/>
    <w:rsid w:val="003A39AE"/>
    <w:rsid w:val="003A3CB0"/>
    <w:rsid w:val="003A53EB"/>
    <w:rsid w:val="003B25E2"/>
    <w:rsid w:val="003B2E17"/>
    <w:rsid w:val="003B2EF8"/>
    <w:rsid w:val="003B2F98"/>
    <w:rsid w:val="003B3A61"/>
    <w:rsid w:val="003B538B"/>
    <w:rsid w:val="003B6005"/>
    <w:rsid w:val="003B62FF"/>
    <w:rsid w:val="003C0060"/>
    <w:rsid w:val="003C08A2"/>
    <w:rsid w:val="003C19FE"/>
    <w:rsid w:val="003C1E57"/>
    <w:rsid w:val="003C24C5"/>
    <w:rsid w:val="003C39FC"/>
    <w:rsid w:val="003C48F6"/>
    <w:rsid w:val="003C598D"/>
    <w:rsid w:val="003C7231"/>
    <w:rsid w:val="003C78C8"/>
    <w:rsid w:val="003C7C21"/>
    <w:rsid w:val="003D1B38"/>
    <w:rsid w:val="003D2837"/>
    <w:rsid w:val="003D2C72"/>
    <w:rsid w:val="003D35A6"/>
    <w:rsid w:val="003D38CB"/>
    <w:rsid w:val="003D4E6D"/>
    <w:rsid w:val="003D4F31"/>
    <w:rsid w:val="003D560A"/>
    <w:rsid w:val="003D5741"/>
    <w:rsid w:val="003D7462"/>
    <w:rsid w:val="003D791A"/>
    <w:rsid w:val="003E12D7"/>
    <w:rsid w:val="003E1A23"/>
    <w:rsid w:val="003E2667"/>
    <w:rsid w:val="003E45A4"/>
    <w:rsid w:val="003E5C5A"/>
    <w:rsid w:val="003E6910"/>
    <w:rsid w:val="003F18B1"/>
    <w:rsid w:val="003F3A66"/>
    <w:rsid w:val="003F3BCF"/>
    <w:rsid w:val="003F439C"/>
    <w:rsid w:val="003F6AA0"/>
    <w:rsid w:val="003F732A"/>
    <w:rsid w:val="00402A04"/>
    <w:rsid w:val="004030AA"/>
    <w:rsid w:val="00404420"/>
    <w:rsid w:val="004058F6"/>
    <w:rsid w:val="004060FC"/>
    <w:rsid w:val="00406803"/>
    <w:rsid w:val="00406A29"/>
    <w:rsid w:val="00407E21"/>
    <w:rsid w:val="00407E6C"/>
    <w:rsid w:val="00411A19"/>
    <w:rsid w:val="00412819"/>
    <w:rsid w:val="004135D0"/>
    <w:rsid w:val="00414D96"/>
    <w:rsid w:val="00414E6C"/>
    <w:rsid w:val="004154CE"/>
    <w:rsid w:val="004157C5"/>
    <w:rsid w:val="00415C0A"/>
    <w:rsid w:val="0041665B"/>
    <w:rsid w:val="00421737"/>
    <w:rsid w:val="00424B39"/>
    <w:rsid w:val="00424B53"/>
    <w:rsid w:val="00425D51"/>
    <w:rsid w:val="0043008D"/>
    <w:rsid w:val="004300A1"/>
    <w:rsid w:val="00430284"/>
    <w:rsid w:val="0043147D"/>
    <w:rsid w:val="00432886"/>
    <w:rsid w:val="00433428"/>
    <w:rsid w:val="00434548"/>
    <w:rsid w:val="0043559D"/>
    <w:rsid w:val="00435BDB"/>
    <w:rsid w:val="00440E00"/>
    <w:rsid w:val="004435C6"/>
    <w:rsid w:val="00443E31"/>
    <w:rsid w:val="0044463E"/>
    <w:rsid w:val="0044660F"/>
    <w:rsid w:val="00446830"/>
    <w:rsid w:val="00447289"/>
    <w:rsid w:val="00455A4E"/>
    <w:rsid w:val="00456284"/>
    <w:rsid w:val="00462E69"/>
    <w:rsid w:val="004640F4"/>
    <w:rsid w:val="004657BA"/>
    <w:rsid w:val="00465C64"/>
    <w:rsid w:val="004676CF"/>
    <w:rsid w:val="00470709"/>
    <w:rsid w:val="00471820"/>
    <w:rsid w:val="00472007"/>
    <w:rsid w:val="00472570"/>
    <w:rsid w:val="00474EED"/>
    <w:rsid w:val="00476D94"/>
    <w:rsid w:val="004831A1"/>
    <w:rsid w:val="004837D6"/>
    <w:rsid w:val="004840E7"/>
    <w:rsid w:val="00484629"/>
    <w:rsid w:val="004863DC"/>
    <w:rsid w:val="00487A2D"/>
    <w:rsid w:val="00490222"/>
    <w:rsid w:val="0049068F"/>
    <w:rsid w:val="00491F64"/>
    <w:rsid w:val="0049235F"/>
    <w:rsid w:val="004931C2"/>
    <w:rsid w:val="00494873"/>
    <w:rsid w:val="0049573E"/>
    <w:rsid w:val="00496497"/>
    <w:rsid w:val="00496C40"/>
    <w:rsid w:val="00497C0B"/>
    <w:rsid w:val="004A0619"/>
    <w:rsid w:val="004A2C31"/>
    <w:rsid w:val="004A3158"/>
    <w:rsid w:val="004A3C92"/>
    <w:rsid w:val="004A51BF"/>
    <w:rsid w:val="004A5644"/>
    <w:rsid w:val="004A69FB"/>
    <w:rsid w:val="004A7455"/>
    <w:rsid w:val="004B34E3"/>
    <w:rsid w:val="004B3F12"/>
    <w:rsid w:val="004B4BF5"/>
    <w:rsid w:val="004B5040"/>
    <w:rsid w:val="004B532D"/>
    <w:rsid w:val="004B6633"/>
    <w:rsid w:val="004B7DF3"/>
    <w:rsid w:val="004C0B52"/>
    <w:rsid w:val="004C52B7"/>
    <w:rsid w:val="004D2700"/>
    <w:rsid w:val="004D34BC"/>
    <w:rsid w:val="004D41DC"/>
    <w:rsid w:val="004D43FE"/>
    <w:rsid w:val="004D46AD"/>
    <w:rsid w:val="004D7ADF"/>
    <w:rsid w:val="004E3110"/>
    <w:rsid w:val="004E58CA"/>
    <w:rsid w:val="004E654F"/>
    <w:rsid w:val="004F12E1"/>
    <w:rsid w:val="004F21B4"/>
    <w:rsid w:val="004F2322"/>
    <w:rsid w:val="004F5584"/>
    <w:rsid w:val="004F70B1"/>
    <w:rsid w:val="004F788D"/>
    <w:rsid w:val="00501FE1"/>
    <w:rsid w:val="0050246F"/>
    <w:rsid w:val="0050464A"/>
    <w:rsid w:val="00505413"/>
    <w:rsid w:val="00507C3A"/>
    <w:rsid w:val="00512ADB"/>
    <w:rsid w:val="00512B49"/>
    <w:rsid w:val="005131B1"/>
    <w:rsid w:val="0051367F"/>
    <w:rsid w:val="005141F0"/>
    <w:rsid w:val="005172C6"/>
    <w:rsid w:val="00521DCF"/>
    <w:rsid w:val="00522CED"/>
    <w:rsid w:val="00524449"/>
    <w:rsid w:val="00525BD7"/>
    <w:rsid w:val="0053321D"/>
    <w:rsid w:val="005373BB"/>
    <w:rsid w:val="00537403"/>
    <w:rsid w:val="00537911"/>
    <w:rsid w:val="00537D2D"/>
    <w:rsid w:val="00541ED2"/>
    <w:rsid w:val="00542C29"/>
    <w:rsid w:val="00543167"/>
    <w:rsid w:val="00543A82"/>
    <w:rsid w:val="00547D8F"/>
    <w:rsid w:val="00550B31"/>
    <w:rsid w:val="00550D35"/>
    <w:rsid w:val="00552E0F"/>
    <w:rsid w:val="00553272"/>
    <w:rsid w:val="00556AE0"/>
    <w:rsid w:val="0055702E"/>
    <w:rsid w:val="0056112C"/>
    <w:rsid w:val="0056157E"/>
    <w:rsid w:val="0056203B"/>
    <w:rsid w:val="00564AAA"/>
    <w:rsid w:val="00564BF5"/>
    <w:rsid w:val="00566CE1"/>
    <w:rsid w:val="00566F93"/>
    <w:rsid w:val="00566FE2"/>
    <w:rsid w:val="00571965"/>
    <w:rsid w:val="005759C5"/>
    <w:rsid w:val="0057602E"/>
    <w:rsid w:val="005761A8"/>
    <w:rsid w:val="005775E7"/>
    <w:rsid w:val="005804FE"/>
    <w:rsid w:val="00580782"/>
    <w:rsid w:val="00584F3B"/>
    <w:rsid w:val="00587A14"/>
    <w:rsid w:val="00591D42"/>
    <w:rsid w:val="00591EF7"/>
    <w:rsid w:val="00592E98"/>
    <w:rsid w:val="0059453D"/>
    <w:rsid w:val="00594DC9"/>
    <w:rsid w:val="0059653B"/>
    <w:rsid w:val="0059662A"/>
    <w:rsid w:val="00596ECD"/>
    <w:rsid w:val="00597302"/>
    <w:rsid w:val="005A0280"/>
    <w:rsid w:val="005A0570"/>
    <w:rsid w:val="005A3574"/>
    <w:rsid w:val="005A35B9"/>
    <w:rsid w:val="005A4A30"/>
    <w:rsid w:val="005A59CA"/>
    <w:rsid w:val="005A6255"/>
    <w:rsid w:val="005A636C"/>
    <w:rsid w:val="005B0A79"/>
    <w:rsid w:val="005B1240"/>
    <w:rsid w:val="005B3B32"/>
    <w:rsid w:val="005B588C"/>
    <w:rsid w:val="005B6AC0"/>
    <w:rsid w:val="005B7AC2"/>
    <w:rsid w:val="005C1215"/>
    <w:rsid w:val="005C15EC"/>
    <w:rsid w:val="005C172A"/>
    <w:rsid w:val="005C2C9B"/>
    <w:rsid w:val="005C2DFC"/>
    <w:rsid w:val="005C2E76"/>
    <w:rsid w:val="005C3E38"/>
    <w:rsid w:val="005C476E"/>
    <w:rsid w:val="005C5221"/>
    <w:rsid w:val="005C52E7"/>
    <w:rsid w:val="005C7F2A"/>
    <w:rsid w:val="005D06A0"/>
    <w:rsid w:val="005D0995"/>
    <w:rsid w:val="005D440C"/>
    <w:rsid w:val="005D7466"/>
    <w:rsid w:val="005D7C2B"/>
    <w:rsid w:val="005E20CF"/>
    <w:rsid w:val="005E2F9C"/>
    <w:rsid w:val="005E4DF7"/>
    <w:rsid w:val="005F1A00"/>
    <w:rsid w:val="005F4179"/>
    <w:rsid w:val="005F47A0"/>
    <w:rsid w:val="005F4F1F"/>
    <w:rsid w:val="005F6424"/>
    <w:rsid w:val="0060269B"/>
    <w:rsid w:val="0060289B"/>
    <w:rsid w:val="00605F20"/>
    <w:rsid w:val="0060606B"/>
    <w:rsid w:val="00607132"/>
    <w:rsid w:val="006111E1"/>
    <w:rsid w:val="006114C5"/>
    <w:rsid w:val="00611F0A"/>
    <w:rsid w:val="00612111"/>
    <w:rsid w:val="00612832"/>
    <w:rsid w:val="00612D0B"/>
    <w:rsid w:val="00614155"/>
    <w:rsid w:val="006148DA"/>
    <w:rsid w:val="00616C49"/>
    <w:rsid w:val="00620251"/>
    <w:rsid w:val="006203FA"/>
    <w:rsid w:val="006205ED"/>
    <w:rsid w:val="00620824"/>
    <w:rsid w:val="00621302"/>
    <w:rsid w:val="00625887"/>
    <w:rsid w:val="0062755A"/>
    <w:rsid w:val="00627C88"/>
    <w:rsid w:val="00631D45"/>
    <w:rsid w:val="00631F01"/>
    <w:rsid w:val="00632217"/>
    <w:rsid w:val="006333B9"/>
    <w:rsid w:val="00634ADB"/>
    <w:rsid w:val="00635510"/>
    <w:rsid w:val="00637798"/>
    <w:rsid w:val="006377A4"/>
    <w:rsid w:val="00640768"/>
    <w:rsid w:val="006412D8"/>
    <w:rsid w:val="00642B5E"/>
    <w:rsid w:val="00642D37"/>
    <w:rsid w:val="00642DB4"/>
    <w:rsid w:val="006444E4"/>
    <w:rsid w:val="00647196"/>
    <w:rsid w:val="00647E6D"/>
    <w:rsid w:val="0065287C"/>
    <w:rsid w:val="006572C9"/>
    <w:rsid w:val="00660D44"/>
    <w:rsid w:val="00661937"/>
    <w:rsid w:val="00662A52"/>
    <w:rsid w:val="00663108"/>
    <w:rsid w:val="00663B96"/>
    <w:rsid w:val="00665F7B"/>
    <w:rsid w:val="00670E5E"/>
    <w:rsid w:val="0067438F"/>
    <w:rsid w:val="00674607"/>
    <w:rsid w:val="00675822"/>
    <w:rsid w:val="006771D2"/>
    <w:rsid w:val="00677F7F"/>
    <w:rsid w:val="00680B29"/>
    <w:rsid w:val="00681C8F"/>
    <w:rsid w:val="006826CA"/>
    <w:rsid w:val="0068410C"/>
    <w:rsid w:val="006866B5"/>
    <w:rsid w:val="00687E43"/>
    <w:rsid w:val="00687F9C"/>
    <w:rsid w:val="00692AE9"/>
    <w:rsid w:val="0069798F"/>
    <w:rsid w:val="006A43D3"/>
    <w:rsid w:val="006A4840"/>
    <w:rsid w:val="006A557B"/>
    <w:rsid w:val="006A5B0C"/>
    <w:rsid w:val="006A5D7F"/>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E58"/>
    <w:rsid w:val="006D1892"/>
    <w:rsid w:val="006D1D25"/>
    <w:rsid w:val="006D227F"/>
    <w:rsid w:val="006D2F78"/>
    <w:rsid w:val="006D330B"/>
    <w:rsid w:val="006D35DB"/>
    <w:rsid w:val="006D4F56"/>
    <w:rsid w:val="006D7625"/>
    <w:rsid w:val="006D7907"/>
    <w:rsid w:val="006E03B2"/>
    <w:rsid w:val="006E0401"/>
    <w:rsid w:val="006E06F0"/>
    <w:rsid w:val="006E1127"/>
    <w:rsid w:val="006E1914"/>
    <w:rsid w:val="006E3806"/>
    <w:rsid w:val="006E3951"/>
    <w:rsid w:val="006E46C4"/>
    <w:rsid w:val="006E4DDC"/>
    <w:rsid w:val="006E5B32"/>
    <w:rsid w:val="006E7E15"/>
    <w:rsid w:val="006F38A1"/>
    <w:rsid w:val="006F4A58"/>
    <w:rsid w:val="006F4F24"/>
    <w:rsid w:val="006F568D"/>
    <w:rsid w:val="006F5CF2"/>
    <w:rsid w:val="006F5FA3"/>
    <w:rsid w:val="006F71CD"/>
    <w:rsid w:val="006F7571"/>
    <w:rsid w:val="00701A08"/>
    <w:rsid w:val="00701B45"/>
    <w:rsid w:val="00703314"/>
    <w:rsid w:val="00703EE6"/>
    <w:rsid w:val="007052BF"/>
    <w:rsid w:val="007059AA"/>
    <w:rsid w:val="0070602C"/>
    <w:rsid w:val="007072D7"/>
    <w:rsid w:val="007079D6"/>
    <w:rsid w:val="00711F55"/>
    <w:rsid w:val="00712D32"/>
    <w:rsid w:val="00714116"/>
    <w:rsid w:val="007148CC"/>
    <w:rsid w:val="007148EC"/>
    <w:rsid w:val="0071714E"/>
    <w:rsid w:val="00717A47"/>
    <w:rsid w:val="00717CE1"/>
    <w:rsid w:val="00720B8A"/>
    <w:rsid w:val="007212BD"/>
    <w:rsid w:val="00722B22"/>
    <w:rsid w:val="0072394A"/>
    <w:rsid w:val="00726A4F"/>
    <w:rsid w:val="00730412"/>
    <w:rsid w:val="0073132D"/>
    <w:rsid w:val="00732058"/>
    <w:rsid w:val="0073325C"/>
    <w:rsid w:val="00733E6F"/>
    <w:rsid w:val="00736F10"/>
    <w:rsid w:val="007401E7"/>
    <w:rsid w:val="007405E2"/>
    <w:rsid w:val="00740701"/>
    <w:rsid w:val="00742CCB"/>
    <w:rsid w:val="00745A8F"/>
    <w:rsid w:val="007471D2"/>
    <w:rsid w:val="00751073"/>
    <w:rsid w:val="00754F05"/>
    <w:rsid w:val="00761025"/>
    <w:rsid w:val="007627AD"/>
    <w:rsid w:val="007649A1"/>
    <w:rsid w:val="00770FE5"/>
    <w:rsid w:val="00773B28"/>
    <w:rsid w:val="00774DAE"/>
    <w:rsid w:val="007763A8"/>
    <w:rsid w:val="007767B1"/>
    <w:rsid w:val="00780843"/>
    <w:rsid w:val="00782B23"/>
    <w:rsid w:val="0078498F"/>
    <w:rsid w:val="00785B63"/>
    <w:rsid w:val="007874D3"/>
    <w:rsid w:val="00787B83"/>
    <w:rsid w:val="0079043A"/>
    <w:rsid w:val="00792FC5"/>
    <w:rsid w:val="00793FFE"/>
    <w:rsid w:val="0079415E"/>
    <w:rsid w:val="00796276"/>
    <w:rsid w:val="007962EE"/>
    <w:rsid w:val="00797D0A"/>
    <w:rsid w:val="007A1670"/>
    <w:rsid w:val="007A1675"/>
    <w:rsid w:val="007A25CB"/>
    <w:rsid w:val="007A28B7"/>
    <w:rsid w:val="007A3C0F"/>
    <w:rsid w:val="007A690E"/>
    <w:rsid w:val="007A7444"/>
    <w:rsid w:val="007A7E94"/>
    <w:rsid w:val="007B0A4B"/>
    <w:rsid w:val="007B14FC"/>
    <w:rsid w:val="007B2CF3"/>
    <w:rsid w:val="007B5737"/>
    <w:rsid w:val="007B6651"/>
    <w:rsid w:val="007B6D83"/>
    <w:rsid w:val="007C01D0"/>
    <w:rsid w:val="007C0EC3"/>
    <w:rsid w:val="007C0ED9"/>
    <w:rsid w:val="007C1673"/>
    <w:rsid w:val="007C26D1"/>
    <w:rsid w:val="007C2F91"/>
    <w:rsid w:val="007C35FA"/>
    <w:rsid w:val="007C4D39"/>
    <w:rsid w:val="007C6616"/>
    <w:rsid w:val="007D1DD6"/>
    <w:rsid w:val="007D390D"/>
    <w:rsid w:val="007D3A65"/>
    <w:rsid w:val="007D42C1"/>
    <w:rsid w:val="007D527D"/>
    <w:rsid w:val="007E7D45"/>
    <w:rsid w:val="007F068F"/>
    <w:rsid w:val="007F2DB4"/>
    <w:rsid w:val="007F3E3F"/>
    <w:rsid w:val="007F45DD"/>
    <w:rsid w:val="007F5857"/>
    <w:rsid w:val="008007B9"/>
    <w:rsid w:val="00801277"/>
    <w:rsid w:val="00801642"/>
    <w:rsid w:val="008023A0"/>
    <w:rsid w:val="00802BA0"/>
    <w:rsid w:val="00804687"/>
    <w:rsid w:val="00805070"/>
    <w:rsid w:val="008076C6"/>
    <w:rsid w:val="008124FA"/>
    <w:rsid w:val="008139DA"/>
    <w:rsid w:val="00814876"/>
    <w:rsid w:val="00814BB0"/>
    <w:rsid w:val="008151D3"/>
    <w:rsid w:val="008152D8"/>
    <w:rsid w:val="00815D9B"/>
    <w:rsid w:val="0082101A"/>
    <w:rsid w:val="008211A4"/>
    <w:rsid w:val="00821366"/>
    <w:rsid w:val="008220CF"/>
    <w:rsid w:val="00822B62"/>
    <w:rsid w:val="008242CB"/>
    <w:rsid w:val="00826610"/>
    <w:rsid w:val="00826EAA"/>
    <w:rsid w:val="00827D2D"/>
    <w:rsid w:val="00827EA7"/>
    <w:rsid w:val="00830247"/>
    <w:rsid w:val="00831DD9"/>
    <w:rsid w:val="0083444C"/>
    <w:rsid w:val="008344CD"/>
    <w:rsid w:val="0083742B"/>
    <w:rsid w:val="008402A2"/>
    <w:rsid w:val="00840A36"/>
    <w:rsid w:val="00841E60"/>
    <w:rsid w:val="0084297B"/>
    <w:rsid w:val="00843E66"/>
    <w:rsid w:val="00846A16"/>
    <w:rsid w:val="00847221"/>
    <w:rsid w:val="0084770C"/>
    <w:rsid w:val="00852575"/>
    <w:rsid w:val="008528D5"/>
    <w:rsid w:val="00852BC1"/>
    <w:rsid w:val="00852C06"/>
    <w:rsid w:val="00853EE2"/>
    <w:rsid w:val="00857270"/>
    <w:rsid w:val="00857A36"/>
    <w:rsid w:val="00860395"/>
    <w:rsid w:val="0086042A"/>
    <w:rsid w:val="0086125D"/>
    <w:rsid w:val="00861CFC"/>
    <w:rsid w:val="00866650"/>
    <w:rsid w:val="00867525"/>
    <w:rsid w:val="00867ADF"/>
    <w:rsid w:val="00871EAA"/>
    <w:rsid w:val="0087423B"/>
    <w:rsid w:val="008747E4"/>
    <w:rsid w:val="00874CC9"/>
    <w:rsid w:val="00880AA4"/>
    <w:rsid w:val="008817CD"/>
    <w:rsid w:val="00882496"/>
    <w:rsid w:val="0088253A"/>
    <w:rsid w:val="0088509D"/>
    <w:rsid w:val="008865F8"/>
    <w:rsid w:val="00887E18"/>
    <w:rsid w:val="00891279"/>
    <w:rsid w:val="0089242F"/>
    <w:rsid w:val="00892726"/>
    <w:rsid w:val="008960DD"/>
    <w:rsid w:val="00896C16"/>
    <w:rsid w:val="0089758D"/>
    <w:rsid w:val="008A1F1B"/>
    <w:rsid w:val="008A29CA"/>
    <w:rsid w:val="008A3692"/>
    <w:rsid w:val="008A3B2B"/>
    <w:rsid w:val="008B0971"/>
    <w:rsid w:val="008B11F3"/>
    <w:rsid w:val="008B24D2"/>
    <w:rsid w:val="008B2CA7"/>
    <w:rsid w:val="008B310F"/>
    <w:rsid w:val="008B4935"/>
    <w:rsid w:val="008B56BA"/>
    <w:rsid w:val="008C2D29"/>
    <w:rsid w:val="008C347C"/>
    <w:rsid w:val="008C7460"/>
    <w:rsid w:val="008C756F"/>
    <w:rsid w:val="008C7C5A"/>
    <w:rsid w:val="008D0125"/>
    <w:rsid w:val="008D266F"/>
    <w:rsid w:val="008D2A92"/>
    <w:rsid w:val="008D2E2D"/>
    <w:rsid w:val="008D6ECD"/>
    <w:rsid w:val="008E1248"/>
    <w:rsid w:val="008E1A8E"/>
    <w:rsid w:val="008E294C"/>
    <w:rsid w:val="008E5E1F"/>
    <w:rsid w:val="008E7D19"/>
    <w:rsid w:val="008F1BED"/>
    <w:rsid w:val="008F27CC"/>
    <w:rsid w:val="008F3058"/>
    <w:rsid w:val="008F6049"/>
    <w:rsid w:val="008F7514"/>
    <w:rsid w:val="00900F11"/>
    <w:rsid w:val="00901EA5"/>
    <w:rsid w:val="00903805"/>
    <w:rsid w:val="00903B67"/>
    <w:rsid w:val="009057D1"/>
    <w:rsid w:val="00905897"/>
    <w:rsid w:val="00905D76"/>
    <w:rsid w:val="009065BD"/>
    <w:rsid w:val="00906B96"/>
    <w:rsid w:val="00910400"/>
    <w:rsid w:val="0091499C"/>
    <w:rsid w:val="00917364"/>
    <w:rsid w:val="00917A6A"/>
    <w:rsid w:val="00920C00"/>
    <w:rsid w:val="0092111B"/>
    <w:rsid w:val="00921C93"/>
    <w:rsid w:val="00922495"/>
    <w:rsid w:val="00922E77"/>
    <w:rsid w:val="009243BC"/>
    <w:rsid w:val="00925430"/>
    <w:rsid w:val="0092553F"/>
    <w:rsid w:val="00925FA1"/>
    <w:rsid w:val="00930299"/>
    <w:rsid w:val="0093174B"/>
    <w:rsid w:val="00933345"/>
    <w:rsid w:val="00933824"/>
    <w:rsid w:val="00935E7C"/>
    <w:rsid w:val="0093614B"/>
    <w:rsid w:val="00937A9A"/>
    <w:rsid w:val="00937BC4"/>
    <w:rsid w:val="00940453"/>
    <w:rsid w:val="009425C8"/>
    <w:rsid w:val="00942F51"/>
    <w:rsid w:val="009431A8"/>
    <w:rsid w:val="00943BFB"/>
    <w:rsid w:val="009453A5"/>
    <w:rsid w:val="00945555"/>
    <w:rsid w:val="009466FA"/>
    <w:rsid w:val="009468BA"/>
    <w:rsid w:val="0094733B"/>
    <w:rsid w:val="0095064B"/>
    <w:rsid w:val="00950E95"/>
    <w:rsid w:val="00950EA8"/>
    <w:rsid w:val="0095299E"/>
    <w:rsid w:val="009537EA"/>
    <w:rsid w:val="00955295"/>
    <w:rsid w:val="00956935"/>
    <w:rsid w:val="00960EA9"/>
    <w:rsid w:val="0096159C"/>
    <w:rsid w:val="00962E84"/>
    <w:rsid w:val="00962F77"/>
    <w:rsid w:val="00963ABD"/>
    <w:rsid w:val="009676A6"/>
    <w:rsid w:val="00967A46"/>
    <w:rsid w:val="009734FD"/>
    <w:rsid w:val="0097543B"/>
    <w:rsid w:val="00975846"/>
    <w:rsid w:val="00977617"/>
    <w:rsid w:val="00980143"/>
    <w:rsid w:val="009804D6"/>
    <w:rsid w:val="00980504"/>
    <w:rsid w:val="00981B12"/>
    <w:rsid w:val="0098373B"/>
    <w:rsid w:val="009839D6"/>
    <w:rsid w:val="00987065"/>
    <w:rsid w:val="0099002B"/>
    <w:rsid w:val="00990A1A"/>
    <w:rsid w:val="00991416"/>
    <w:rsid w:val="009915C2"/>
    <w:rsid w:val="00992FCB"/>
    <w:rsid w:val="00993B88"/>
    <w:rsid w:val="00993C50"/>
    <w:rsid w:val="0099438F"/>
    <w:rsid w:val="009A150E"/>
    <w:rsid w:val="009A3220"/>
    <w:rsid w:val="009A352E"/>
    <w:rsid w:val="009A5D3E"/>
    <w:rsid w:val="009A7E42"/>
    <w:rsid w:val="009B15A5"/>
    <w:rsid w:val="009B3F4C"/>
    <w:rsid w:val="009B4B25"/>
    <w:rsid w:val="009B6327"/>
    <w:rsid w:val="009B6CED"/>
    <w:rsid w:val="009C0057"/>
    <w:rsid w:val="009C0E1D"/>
    <w:rsid w:val="009C2576"/>
    <w:rsid w:val="009C2DD0"/>
    <w:rsid w:val="009C3279"/>
    <w:rsid w:val="009C3C7F"/>
    <w:rsid w:val="009C5463"/>
    <w:rsid w:val="009C6F31"/>
    <w:rsid w:val="009D0C90"/>
    <w:rsid w:val="009D3626"/>
    <w:rsid w:val="009D4876"/>
    <w:rsid w:val="009D48D4"/>
    <w:rsid w:val="009E04CB"/>
    <w:rsid w:val="009E069E"/>
    <w:rsid w:val="009E1242"/>
    <w:rsid w:val="009E1697"/>
    <w:rsid w:val="009E50C1"/>
    <w:rsid w:val="009E6E6A"/>
    <w:rsid w:val="009F036B"/>
    <w:rsid w:val="009F46E0"/>
    <w:rsid w:val="009F69E0"/>
    <w:rsid w:val="009F7576"/>
    <w:rsid w:val="00A00F82"/>
    <w:rsid w:val="00A01FFB"/>
    <w:rsid w:val="00A01FFD"/>
    <w:rsid w:val="00A0300F"/>
    <w:rsid w:val="00A03FD0"/>
    <w:rsid w:val="00A04801"/>
    <w:rsid w:val="00A04A2B"/>
    <w:rsid w:val="00A05279"/>
    <w:rsid w:val="00A05C79"/>
    <w:rsid w:val="00A06A55"/>
    <w:rsid w:val="00A06CFF"/>
    <w:rsid w:val="00A07B2F"/>
    <w:rsid w:val="00A106CE"/>
    <w:rsid w:val="00A10FD0"/>
    <w:rsid w:val="00A130BF"/>
    <w:rsid w:val="00A1520F"/>
    <w:rsid w:val="00A16131"/>
    <w:rsid w:val="00A16928"/>
    <w:rsid w:val="00A17557"/>
    <w:rsid w:val="00A17A7A"/>
    <w:rsid w:val="00A17B42"/>
    <w:rsid w:val="00A17C14"/>
    <w:rsid w:val="00A2173F"/>
    <w:rsid w:val="00A2552B"/>
    <w:rsid w:val="00A26B1F"/>
    <w:rsid w:val="00A30B78"/>
    <w:rsid w:val="00A30F87"/>
    <w:rsid w:val="00A31186"/>
    <w:rsid w:val="00A315EE"/>
    <w:rsid w:val="00A3562F"/>
    <w:rsid w:val="00A357E4"/>
    <w:rsid w:val="00A36488"/>
    <w:rsid w:val="00A36C48"/>
    <w:rsid w:val="00A408DE"/>
    <w:rsid w:val="00A416B5"/>
    <w:rsid w:val="00A44F00"/>
    <w:rsid w:val="00A53EDD"/>
    <w:rsid w:val="00A542C9"/>
    <w:rsid w:val="00A55403"/>
    <w:rsid w:val="00A561D9"/>
    <w:rsid w:val="00A60D2F"/>
    <w:rsid w:val="00A61DDB"/>
    <w:rsid w:val="00A6308D"/>
    <w:rsid w:val="00A6378F"/>
    <w:rsid w:val="00A65ABD"/>
    <w:rsid w:val="00A66A3E"/>
    <w:rsid w:val="00A66B97"/>
    <w:rsid w:val="00A672AC"/>
    <w:rsid w:val="00A7086E"/>
    <w:rsid w:val="00A7160C"/>
    <w:rsid w:val="00A7291D"/>
    <w:rsid w:val="00A73E25"/>
    <w:rsid w:val="00A75AD4"/>
    <w:rsid w:val="00A776EC"/>
    <w:rsid w:val="00A81042"/>
    <w:rsid w:val="00A82290"/>
    <w:rsid w:val="00A834E3"/>
    <w:rsid w:val="00A83902"/>
    <w:rsid w:val="00A83D54"/>
    <w:rsid w:val="00A850A5"/>
    <w:rsid w:val="00A85A0F"/>
    <w:rsid w:val="00A924E8"/>
    <w:rsid w:val="00A92580"/>
    <w:rsid w:val="00A92692"/>
    <w:rsid w:val="00A92A30"/>
    <w:rsid w:val="00A92DB0"/>
    <w:rsid w:val="00A92DF0"/>
    <w:rsid w:val="00A9353C"/>
    <w:rsid w:val="00A95CE4"/>
    <w:rsid w:val="00A95F5E"/>
    <w:rsid w:val="00A9797F"/>
    <w:rsid w:val="00AA0F5F"/>
    <w:rsid w:val="00AA12AC"/>
    <w:rsid w:val="00AA1EC0"/>
    <w:rsid w:val="00AA335E"/>
    <w:rsid w:val="00AA34E3"/>
    <w:rsid w:val="00AA480E"/>
    <w:rsid w:val="00AA6370"/>
    <w:rsid w:val="00AB0229"/>
    <w:rsid w:val="00AB065C"/>
    <w:rsid w:val="00AB11CA"/>
    <w:rsid w:val="00AB1B99"/>
    <w:rsid w:val="00AB2CF5"/>
    <w:rsid w:val="00AB6171"/>
    <w:rsid w:val="00AB72E8"/>
    <w:rsid w:val="00AC0965"/>
    <w:rsid w:val="00AC1C0C"/>
    <w:rsid w:val="00AC2638"/>
    <w:rsid w:val="00AC2B6C"/>
    <w:rsid w:val="00AC3254"/>
    <w:rsid w:val="00AC4453"/>
    <w:rsid w:val="00AC48B3"/>
    <w:rsid w:val="00AC4BA9"/>
    <w:rsid w:val="00AC5BDB"/>
    <w:rsid w:val="00AC6BCF"/>
    <w:rsid w:val="00AC7040"/>
    <w:rsid w:val="00AC7160"/>
    <w:rsid w:val="00AC7281"/>
    <w:rsid w:val="00AD163C"/>
    <w:rsid w:val="00AD19B6"/>
    <w:rsid w:val="00AD23AE"/>
    <w:rsid w:val="00AD2D75"/>
    <w:rsid w:val="00AD3FFD"/>
    <w:rsid w:val="00AD4D07"/>
    <w:rsid w:val="00AD5525"/>
    <w:rsid w:val="00AD599D"/>
    <w:rsid w:val="00AD644B"/>
    <w:rsid w:val="00AD75C8"/>
    <w:rsid w:val="00AE078B"/>
    <w:rsid w:val="00AE4203"/>
    <w:rsid w:val="00AE48DB"/>
    <w:rsid w:val="00AE7B16"/>
    <w:rsid w:val="00AF2584"/>
    <w:rsid w:val="00AF340D"/>
    <w:rsid w:val="00AF4D53"/>
    <w:rsid w:val="00AF6147"/>
    <w:rsid w:val="00B0109C"/>
    <w:rsid w:val="00B02351"/>
    <w:rsid w:val="00B03B9A"/>
    <w:rsid w:val="00B049EB"/>
    <w:rsid w:val="00B07B12"/>
    <w:rsid w:val="00B10583"/>
    <w:rsid w:val="00B105BC"/>
    <w:rsid w:val="00B12279"/>
    <w:rsid w:val="00B1344C"/>
    <w:rsid w:val="00B13A43"/>
    <w:rsid w:val="00B176E6"/>
    <w:rsid w:val="00B2008D"/>
    <w:rsid w:val="00B21A2D"/>
    <w:rsid w:val="00B22D5B"/>
    <w:rsid w:val="00B305DB"/>
    <w:rsid w:val="00B31AE2"/>
    <w:rsid w:val="00B32371"/>
    <w:rsid w:val="00B32C1E"/>
    <w:rsid w:val="00B33A26"/>
    <w:rsid w:val="00B3596F"/>
    <w:rsid w:val="00B35E90"/>
    <w:rsid w:val="00B36E44"/>
    <w:rsid w:val="00B37D0F"/>
    <w:rsid w:val="00B40A4C"/>
    <w:rsid w:val="00B440C3"/>
    <w:rsid w:val="00B4552C"/>
    <w:rsid w:val="00B45F9A"/>
    <w:rsid w:val="00B4688A"/>
    <w:rsid w:val="00B469EB"/>
    <w:rsid w:val="00B47172"/>
    <w:rsid w:val="00B50845"/>
    <w:rsid w:val="00B51D9A"/>
    <w:rsid w:val="00B52416"/>
    <w:rsid w:val="00B52BB8"/>
    <w:rsid w:val="00B54B2A"/>
    <w:rsid w:val="00B55703"/>
    <w:rsid w:val="00B55B48"/>
    <w:rsid w:val="00B57E08"/>
    <w:rsid w:val="00B601DD"/>
    <w:rsid w:val="00B617C1"/>
    <w:rsid w:val="00B625AE"/>
    <w:rsid w:val="00B64674"/>
    <w:rsid w:val="00B6479C"/>
    <w:rsid w:val="00B67AEC"/>
    <w:rsid w:val="00B7039D"/>
    <w:rsid w:val="00B765D5"/>
    <w:rsid w:val="00B76E28"/>
    <w:rsid w:val="00B76E7B"/>
    <w:rsid w:val="00B836E7"/>
    <w:rsid w:val="00B87716"/>
    <w:rsid w:val="00B8788F"/>
    <w:rsid w:val="00B87B23"/>
    <w:rsid w:val="00B9168E"/>
    <w:rsid w:val="00B92FD4"/>
    <w:rsid w:val="00B93E7E"/>
    <w:rsid w:val="00B96854"/>
    <w:rsid w:val="00B9782E"/>
    <w:rsid w:val="00BA0C1B"/>
    <w:rsid w:val="00BA1914"/>
    <w:rsid w:val="00BA47C3"/>
    <w:rsid w:val="00BA4ECA"/>
    <w:rsid w:val="00BA73DA"/>
    <w:rsid w:val="00BB1473"/>
    <w:rsid w:val="00BB1C59"/>
    <w:rsid w:val="00BB221D"/>
    <w:rsid w:val="00BB25EF"/>
    <w:rsid w:val="00BB2944"/>
    <w:rsid w:val="00BB2EEE"/>
    <w:rsid w:val="00BB33EC"/>
    <w:rsid w:val="00BB3602"/>
    <w:rsid w:val="00BB5C2B"/>
    <w:rsid w:val="00BB6586"/>
    <w:rsid w:val="00BC12D6"/>
    <w:rsid w:val="00BC1A5A"/>
    <w:rsid w:val="00BC1BE0"/>
    <w:rsid w:val="00BC28D3"/>
    <w:rsid w:val="00BC2E18"/>
    <w:rsid w:val="00BC312F"/>
    <w:rsid w:val="00BC5A01"/>
    <w:rsid w:val="00BC5CD5"/>
    <w:rsid w:val="00BC5FDA"/>
    <w:rsid w:val="00BC6D77"/>
    <w:rsid w:val="00BD35C1"/>
    <w:rsid w:val="00BD3846"/>
    <w:rsid w:val="00BE0576"/>
    <w:rsid w:val="00BE0EA7"/>
    <w:rsid w:val="00BE1EA4"/>
    <w:rsid w:val="00BE30F0"/>
    <w:rsid w:val="00BE5E07"/>
    <w:rsid w:val="00BE6754"/>
    <w:rsid w:val="00BE74B1"/>
    <w:rsid w:val="00BE79D2"/>
    <w:rsid w:val="00BE7E0C"/>
    <w:rsid w:val="00BF01D6"/>
    <w:rsid w:val="00BF0954"/>
    <w:rsid w:val="00BF183C"/>
    <w:rsid w:val="00BF28AD"/>
    <w:rsid w:val="00BF2A35"/>
    <w:rsid w:val="00BF2BBD"/>
    <w:rsid w:val="00BF3A4F"/>
    <w:rsid w:val="00BF42A7"/>
    <w:rsid w:val="00BF6055"/>
    <w:rsid w:val="00BF7082"/>
    <w:rsid w:val="00BF794A"/>
    <w:rsid w:val="00BF7CFE"/>
    <w:rsid w:val="00C00AC4"/>
    <w:rsid w:val="00C00FAD"/>
    <w:rsid w:val="00C027C9"/>
    <w:rsid w:val="00C02B1A"/>
    <w:rsid w:val="00C0413D"/>
    <w:rsid w:val="00C05680"/>
    <w:rsid w:val="00C0627B"/>
    <w:rsid w:val="00C07949"/>
    <w:rsid w:val="00C11276"/>
    <w:rsid w:val="00C13979"/>
    <w:rsid w:val="00C13FE9"/>
    <w:rsid w:val="00C141CC"/>
    <w:rsid w:val="00C16A1A"/>
    <w:rsid w:val="00C16DD6"/>
    <w:rsid w:val="00C17ABF"/>
    <w:rsid w:val="00C22040"/>
    <w:rsid w:val="00C228FE"/>
    <w:rsid w:val="00C2737A"/>
    <w:rsid w:val="00C27E8F"/>
    <w:rsid w:val="00C303BD"/>
    <w:rsid w:val="00C318AF"/>
    <w:rsid w:val="00C34055"/>
    <w:rsid w:val="00C34704"/>
    <w:rsid w:val="00C34863"/>
    <w:rsid w:val="00C3735B"/>
    <w:rsid w:val="00C41AD9"/>
    <w:rsid w:val="00C42DE1"/>
    <w:rsid w:val="00C43C5E"/>
    <w:rsid w:val="00C44B94"/>
    <w:rsid w:val="00C45EA4"/>
    <w:rsid w:val="00C50F1B"/>
    <w:rsid w:val="00C516A9"/>
    <w:rsid w:val="00C516BB"/>
    <w:rsid w:val="00C522A8"/>
    <w:rsid w:val="00C5284F"/>
    <w:rsid w:val="00C52A8D"/>
    <w:rsid w:val="00C53E36"/>
    <w:rsid w:val="00C54079"/>
    <w:rsid w:val="00C574E6"/>
    <w:rsid w:val="00C60B5E"/>
    <w:rsid w:val="00C6163E"/>
    <w:rsid w:val="00C61B39"/>
    <w:rsid w:val="00C6268A"/>
    <w:rsid w:val="00C65460"/>
    <w:rsid w:val="00C65A33"/>
    <w:rsid w:val="00C67884"/>
    <w:rsid w:val="00C67EFF"/>
    <w:rsid w:val="00C73D24"/>
    <w:rsid w:val="00C746B2"/>
    <w:rsid w:val="00C749F0"/>
    <w:rsid w:val="00C74AE2"/>
    <w:rsid w:val="00C74CB9"/>
    <w:rsid w:val="00C75B4F"/>
    <w:rsid w:val="00C75C1C"/>
    <w:rsid w:val="00C75D1F"/>
    <w:rsid w:val="00C77A1E"/>
    <w:rsid w:val="00C801B3"/>
    <w:rsid w:val="00C809E9"/>
    <w:rsid w:val="00C8152F"/>
    <w:rsid w:val="00C81967"/>
    <w:rsid w:val="00C81F44"/>
    <w:rsid w:val="00C81FBC"/>
    <w:rsid w:val="00C837B4"/>
    <w:rsid w:val="00C83C25"/>
    <w:rsid w:val="00C84595"/>
    <w:rsid w:val="00C860F2"/>
    <w:rsid w:val="00C92C9C"/>
    <w:rsid w:val="00C92D95"/>
    <w:rsid w:val="00C94B48"/>
    <w:rsid w:val="00C97A74"/>
    <w:rsid w:val="00CA3E43"/>
    <w:rsid w:val="00CA45E1"/>
    <w:rsid w:val="00CA6547"/>
    <w:rsid w:val="00CA772A"/>
    <w:rsid w:val="00CA77B0"/>
    <w:rsid w:val="00CB0BE2"/>
    <w:rsid w:val="00CB329A"/>
    <w:rsid w:val="00CB4159"/>
    <w:rsid w:val="00CB545E"/>
    <w:rsid w:val="00CB6986"/>
    <w:rsid w:val="00CC17B4"/>
    <w:rsid w:val="00CC1BF0"/>
    <w:rsid w:val="00CC28FF"/>
    <w:rsid w:val="00CC2923"/>
    <w:rsid w:val="00CC579B"/>
    <w:rsid w:val="00CC58F5"/>
    <w:rsid w:val="00CC5BE8"/>
    <w:rsid w:val="00CC5CBA"/>
    <w:rsid w:val="00CC6BC2"/>
    <w:rsid w:val="00CD0D47"/>
    <w:rsid w:val="00CD1826"/>
    <w:rsid w:val="00CD3930"/>
    <w:rsid w:val="00CD3E90"/>
    <w:rsid w:val="00CD63FF"/>
    <w:rsid w:val="00CD6A1B"/>
    <w:rsid w:val="00CD6BB0"/>
    <w:rsid w:val="00CE11DE"/>
    <w:rsid w:val="00CE1B0D"/>
    <w:rsid w:val="00CE247C"/>
    <w:rsid w:val="00CE27A3"/>
    <w:rsid w:val="00CE291C"/>
    <w:rsid w:val="00CE30B3"/>
    <w:rsid w:val="00CE41B0"/>
    <w:rsid w:val="00CE5B72"/>
    <w:rsid w:val="00CE6546"/>
    <w:rsid w:val="00CE7A37"/>
    <w:rsid w:val="00CF0BAA"/>
    <w:rsid w:val="00CF278D"/>
    <w:rsid w:val="00CF2850"/>
    <w:rsid w:val="00CF33F8"/>
    <w:rsid w:val="00CF4D1A"/>
    <w:rsid w:val="00D018FC"/>
    <w:rsid w:val="00D02028"/>
    <w:rsid w:val="00D03100"/>
    <w:rsid w:val="00D0529C"/>
    <w:rsid w:val="00D110CE"/>
    <w:rsid w:val="00D127F7"/>
    <w:rsid w:val="00D12B00"/>
    <w:rsid w:val="00D12F6E"/>
    <w:rsid w:val="00D16E7F"/>
    <w:rsid w:val="00D1765D"/>
    <w:rsid w:val="00D21244"/>
    <w:rsid w:val="00D229C3"/>
    <w:rsid w:val="00D233A1"/>
    <w:rsid w:val="00D2352F"/>
    <w:rsid w:val="00D25FC5"/>
    <w:rsid w:val="00D26DF6"/>
    <w:rsid w:val="00D300A8"/>
    <w:rsid w:val="00D3156E"/>
    <w:rsid w:val="00D328DA"/>
    <w:rsid w:val="00D33054"/>
    <w:rsid w:val="00D33C55"/>
    <w:rsid w:val="00D3410A"/>
    <w:rsid w:val="00D36502"/>
    <w:rsid w:val="00D375AD"/>
    <w:rsid w:val="00D40278"/>
    <w:rsid w:val="00D41307"/>
    <w:rsid w:val="00D42589"/>
    <w:rsid w:val="00D428A3"/>
    <w:rsid w:val="00D43B41"/>
    <w:rsid w:val="00D4483A"/>
    <w:rsid w:val="00D4497D"/>
    <w:rsid w:val="00D45656"/>
    <w:rsid w:val="00D47D2A"/>
    <w:rsid w:val="00D505BF"/>
    <w:rsid w:val="00D50FFF"/>
    <w:rsid w:val="00D5167D"/>
    <w:rsid w:val="00D52C30"/>
    <w:rsid w:val="00D53AE3"/>
    <w:rsid w:val="00D53D40"/>
    <w:rsid w:val="00D55306"/>
    <w:rsid w:val="00D56587"/>
    <w:rsid w:val="00D568CC"/>
    <w:rsid w:val="00D60A07"/>
    <w:rsid w:val="00D60B2B"/>
    <w:rsid w:val="00D61646"/>
    <w:rsid w:val="00D61D94"/>
    <w:rsid w:val="00D640CF"/>
    <w:rsid w:val="00D6497A"/>
    <w:rsid w:val="00D661D6"/>
    <w:rsid w:val="00D731AE"/>
    <w:rsid w:val="00D7385C"/>
    <w:rsid w:val="00D75F29"/>
    <w:rsid w:val="00D77A24"/>
    <w:rsid w:val="00D81F8D"/>
    <w:rsid w:val="00D8263B"/>
    <w:rsid w:val="00D82C8B"/>
    <w:rsid w:val="00D83223"/>
    <w:rsid w:val="00D83233"/>
    <w:rsid w:val="00D843A8"/>
    <w:rsid w:val="00D85946"/>
    <w:rsid w:val="00D90080"/>
    <w:rsid w:val="00D9074E"/>
    <w:rsid w:val="00D907CE"/>
    <w:rsid w:val="00D90DC5"/>
    <w:rsid w:val="00D92C42"/>
    <w:rsid w:val="00D933F3"/>
    <w:rsid w:val="00D93E19"/>
    <w:rsid w:val="00D9431D"/>
    <w:rsid w:val="00D94D60"/>
    <w:rsid w:val="00D955D6"/>
    <w:rsid w:val="00D95EA0"/>
    <w:rsid w:val="00D96507"/>
    <w:rsid w:val="00D97479"/>
    <w:rsid w:val="00DA0484"/>
    <w:rsid w:val="00DA13EC"/>
    <w:rsid w:val="00DA22E5"/>
    <w:rsid w:val="00DA3D6F"/>
    <w:rsid w:val="00DA4FC3"/>
    <w:rsid w:val="00DA6951"/>
    <w:rsid w:val="00DA7385"/>
    <w:rsid w:val="00DA7C5F"/>
    <w:rsid w:val="00DB49B0"/>
    <w:rsid w:val="00DB56EC"/>
    <w:rsid w:val="00DB6628"/>
    <w:rsid w:val="00DB74F2"/>
    <w:rsid w:val="00DC1794"/>
    <w:rsid w:val="00DC1AF2"/>
    <w:rsid w:val="00DC28E2"/>
    <w:rsid w:val="00DC398E"/>
    <w:rsid w:val="00DC42D9"/>
    <w:rsid w:val="00DC446B"/>
    <w:rsid w:val="00DC54CB"/>
    <w:rsid w:val="00DC69E1"/>
    <w:rsid w:val="00DC6D75"/>
    <w:rsid w:val="00DC7984"/>
    <w:rsid w:val="00DC79EE"/>
    <w:rsid w:val="00DD0ABF"/>
    <w:rsid w:val="00DD0FC0"/>
    <w:rsid w:val="00DD1402"/>
    <w:rsid w:val="00DD45D5"/>
    <w:rsid w:val="00DD49F9"/>
    <w:rsid w:val="00DD6D4F"/>
    <w:rsid w:val="00DE0517"/>
    <w:rsid w:val="00DE39D7"/>
    <w:rsid w:val="00DE4823"/>
    <w:rsid w:val="00DE6686"/>
    <w:rsid w:val="00DE672F"/>
    <w:rsid w:val="00DF0D8F"/>
    <w:rsid w:val="00DF17DA"/>
    <w:rsid w:val="00DF32CC"/>
    <w:rsid w:val="00DF4218"/>
    <w:rsid w:val="00DF5571"/>
    <w:rsid w:val="00DF78BD"/>
    <w:rsid w:val="00DF7C20"/>
    <w:rsid w:val="00E0087E"/>
    <w:rsid w:val="00E013E4"/>
    <w:rsid w:val="00E01B0C"/>
    <w:rsid w:val="00E01FF8"/>
    <w:rsid w:val="00E040C7"/>
    <w:rsid w:val="00E0569C"/>
    <w:rsid w:val="00E100D6"/>
    <w:rsid w:val="00E12FAF"/>
    <w:rsid w:val="00E1316A"/>
    <w:rsid w:val="00E131FC"/>
    <w:rsid w:val="00E14280"/>
    <w:rsid w:val="00E143C9"/>
    <w:rsid w:val="00E15CEA"/>
    <w:rsid w:val="00E16712"/>
    <w:rsid w:val="00E16968"/>
    <w:rsid w:val="00E17C75"/>
    <w:rsid w:val="00E20F22"/>
    <w:rsid w:val="00E22D5A"/>
    <w:rsid w:val="00E24314"/>
    <w:rsid w:val="00E252D6"/>
    <w:rsid w:val="00E2616F"/>
    <w:rsid w:val="00E26FC7"/>
    <w:rsid w:val="00E27010"/>
    <w:rsid w:val="00E27EDC"/>
    <w:rsid w:val="00E31903"/>
    <w:rsid w:val="00E31B79"/>
    <w:rsid w:val="00E31BC4"/>
    <w:rsid w:val="00E32937"/>
    <w:rsid w:val="00E3440D"/>
    <w:rsid w:val="00E366E3"/>
    <w:rsid w:val="00E36889"/>
    <w:rsid w:val="00E368B7"/>
    <w:rsid w:val="00E407C7"/>
    <w:rsid w:val="00E40AFA"/>
    <w:rsid w:val="00E42074"/>
    <w:rsid w:val="00E42E71"/>
    <w:rsid w:val="00E43411"/>
    <w:rsid w:val="00E44142"/>
    <w:rsid w:val="00E4672C"/>
    <w:rsid w:val="00E50D58"/>
    <w:rsid w:val="00E52C1D"/>
    <w:rsid w:val="00E532A5"/>
    <w:rsid w:val="00E535F7"/>
    <w:rsid w:val="00E54C9B"/>
    <w:rsid w:val="00E6091E"/>
    <w:rsid w:val="00E61804"/>
    <w:rsid w:val="00E6488D"/>
    <w:rsid w:val="00E668E1"/>
    <w:rsid w:val="00E7000C"/>
    <w:rsid w:val="00E71EA9"/>
    <w:rsid w:val="00E72707"/>
    <w:rsid w:val="00E73551"/>
    <w:rsid w:val="00E7392F"/>
    <w:rsid w:val="00E73B07"/>
    <w:rsid w:val="00E77020"/>
    <w:rsid w:val="00E77755"/>
    <w:rsid w:val="00E8134C"/>
    <w:rsid w:val="00E815BD"/>
    <w:rsid w:val="00E84938"/>
    <w:rsid w:val="00E866DA"/>
    <w:rsid w:val="00E90B76"/>
    <w:rsid w:val="00E90B8E"/>
    <w:rsid w:val="00E90BB4"/>
    <w:rsid w:val="00E92EFA"/>
    <w:rsid w:val="00E93580"/>
    <w:rsid w:val="00E977A9"/>
    <w:rsid w:val="00E97E61"/>
    <w:rsid w:val="00EA2DFB"/>
    <w:rsid w:val="00EA4E0F"/>
    <w:rsid w:val="00EA666D"/>
    <w:rsid w:val="00EA6A0B"/>
    <w:rsid w:val="00EB0C08"/>
    <w:rsid w:val="00EB3D02"/>
    <w:rsid w:val="00EB46D3"/>
    <w:rsid w:val="00EB59E7"/>
    <w:rsid w:val="00EB7D5B"/>
    <w:rsid w:val="00EC0924"/>
    <w:rsid w:val="00EC2A43"/>
    <w:rsid w:val="00EC4EA0"/>
    <w:rsid w:val="00EC5F00"/>
    <w:rsid w:val="00EC6B3A"/>
    <w:rsid w:val="00EC73D8"/>
    <w:rsid w:val="00ED009D"/>
    <w:rsid w:val="00ED0123"/>
    <w:rsid w:val="00ED2CA0"/>
    <w:rsid w:val="00ED3DE4"/>
    <w:rsid w:val="00ED7666"/>
    <w:rsid w:val="00ED7C4D"/>
    <w:rsid w:val="00EE1E5F"/>
    <w:rsid w:val="00EE2C2D"/>
    <w:rsid w:val="00EE2E1F"/>
    <w:rsid w:val="00EE2F45"/>
    <w:rsid w:val="00EE332E"/>
    <w:rsid w:val="00EE4E81"/>
    <w:rsid w:val="00EE5128"/>
    <w:rsid w:val="00EE6C4F"/>
    <w:rsid w:val="00EE72CB"/>
    <w:rsid w:val="00EF202C"/>
    <w:rsid w:val="00EF2F5A"/>
    <w:rsid w:val="00EF340A"/>
    <w:rsid w:val="00EF42B4"/>
    <w:rsid w:val="00F00A90"/>
    <w:rsid w:val="00F00C58"/>
    <w:rsid w:val="00F01023"/>
    <w:rsid w:val="00F015D3"/>
    <w:rsid w:val="00F01B2E"/>
    <w:rsid w:val="00F02083"/>
    <w:rsid w:val="00F029A1"/>
    <w:rsid w:val="00F03E91"/>
    <w:rsid w:val="00F0439A"/>
    <w:rsid w:val="00F04C4E"/>
    <w:rsid w:val="00F06BC2"/>
    <w:rsid w:val="00F07AC8"/>
    <w:rsid w:val="00F1092B"/>
    <w:rsid w:val="00F11967"/>
    <w:rsid w:val="00F12568"/>
    <w:rsid w:val="00F143E6"/>
    <w:rsid w:val="00F152C9"/>
    <w:rsid w:val="00F16468"/>
    <w:rsid w:val="00F16F92"/>
    <w:rsid w:val="00F17049"/>
    <w:rsid w:val="00F173CE"/>
    <w:rsid w:val="00F17B6C"/>
    <w:rsid w:val="00F2152F"/>
    <w:rsid w:val="00F21769"/>
    <w:rsid w:val="00F23A3F"/>
    <w:rsid w:val="00F24079"/>
    <w:rsid w:val="00F25551"/>
    <w:rsid w:val="00F25692"/>
    <w:rsid w:val="00F2690C"/>
    <w:rsid w:val="00F26B55"/>
    <w:rsid w:val="00F30800"/>
    <w:rsid w:val="00F362F2"/>
    <w:rsid w:val="00F365C5"/>
    <w:rsid w:val="00F370E3"/>
    <w:rsid w:val="00F4155A"/>
    <w:rsid w:val="00F41F5F"/>
    <w:rsid w:val="00F42026"/>
    <w:rsid w:val="00F422CE"/>
    <w:rsid w:val="00F42AD1"/>
    <w:rsid w:val="00F43CB2"/>
    <w:rsid w:val="00F43FB5"/>
    <w:rsid w:val="00F440E3"/>
    <w:rsid w:val="00F466DD"/>
    <w:rsid w:val="00F46D75"/>
    <w:rsid w:val="00F471BD"/>
    <w:rsid w:val="00F476BE"/>
    <w:rsid w:val="00F478B2"/>
    <w:rsid w:val="00F47B1F"/>
    <w:rsid w:val="00F50292"/>
    <w:rsid w:val="00F53093"/>
    <w:rsid w:val="00F55D4D"/>
    <w:rsid w:val="00F56F6B"/>
    <w:rsid w:val="00F60001"/>
    <w:rsid w:val="00F60060"/>
    <w:rsid w:val="00F60C5B"/>
    <w:rsid w:val="00F61475"/>
    <w:rsid w:val="00F61883"/>
    <w:rsid w:val="00F64590"/>
    <w:rsid w:val="00F6566C"/>
    <w:rsid w:val="00F7087D"/>
    <w:rsid w:val="00F71C3A"/>
    <w:rsid w:val="00F71E2A"/>
    <w:rsid w:val="00F72C8C"/>
    <w:rsid w:val="00F72EBF"/>
    <w:rsid w:val="00F73174"/>
    <w:rsid w:val="00F74E93"/>
    <w:rsid w:val="00F75818"/>
    <w:rsid w:val="00F765CC"/>
    <w:rsid w:val="00F779D9"/>
    <w:rsid w:val="00F77C97"/>
    <w:rsid w:val="00F85CF0"/>
    <w:rsid w:val="00F86473"/>
    <w:rsid w:val="00F87EB1"/>
    <w:rsid w:val="00F90685"/>
    <w:rsid w:val="00F90A8E"/>
    <w:rsid w:val="00F91E0D"/>
    <w:rsid w:val="00F93092"/>
    <w:rsid w:val="00F94772"/>
    <w:rsid w:val="00F94ACC"/>
    <w:rsid w:val="00F95212"/>
    <w:rsid w:val="00F966D1"/>
    <w:rsid w:val="00FA0A8E"/>
    <w:rsid w:val="00FA191A"/>
    <w:rsid w:val="00FA21AC"/>
    <w:rsid w:val="00FA2351"/>
    <w:rsid w:val="00FA2401"/>
    <w:rsid w:val="00FA3BF4"/>
    <w:rsid w:val="00FA443B"/>
    <w:rsid w:val="00FA4797"/>
    <w:rsid w:val="00FA4A16"/>
    <w:rsid w:val="00FA519E"/>
    <w:rsid w:val="00FA521D"/>
    <w:rsid w:val="00FA59CB"/>
    <w:rsid w:val="00FA76AC"/>
    <w:rsid w:val="00FB0281"/>
    <w:rsid w:val="00FB1007"/>
    <w:rsid w:val="00FB116C"/>
    <w:rsid w:val="00FB1A2C"/>
    <w:rsid w:val="00FB20A5"/>
    <w:rsid w:val="00FB4636"/>
    <w:rsid w:val="00FB5D29"/>
    <w:rsid w:val="00FB6631"/>
    <w:rsid w:val="00FB7302"/>
    <w:rsid w:val="00FC06EF"/>
    <w:rsid w:val="00FC0BDE"/>
    <w:rsid w:val="00FC1BD3"/>
    <w:rsid w:val="00FC219D"/>
    <w:rsid w:val="00FC2A35"/>
    <w:rsid w:val="00FC2C07"/>
    <w:rsid w:val="00FC4235"/>
    <w:rsid w:val="00FC477F"/>
    <w:rsid w:val="00FC58F9"/>
    <w:rsid w:val="00FD0334"/>
    <w:rsid w:val="00FD23AD"/>
    <w:rsid w:val="00FE07A7"/>
    <w:rsid w:val="00FE156D"/>
    <w:rsid w:val="00FE2BDF"/>
    <w:rsid w:val="00FE373F"/>
    <w:rsid w:val="00FF0746"/>
    <w:rsid w:val="00FF4204"/>
    <w:rsid w:val="00FF6447"/>
    <w:rsid w:val="00FF6FE7"/>
    <w:rsid w:val="00FF75C7"/>
    <w:rsid w:val="01031C48"/>
    <w:rsid w:val="01031E92"/>
    <w:rsid w:val="011F19F5"/>
    <w:rsid w:val="0140556D"/>
    <w:rsid w:val="01550343"/>
    <w:rsid w:val="01670DA4"/>
    <w:rsid w:val="017A10E5"/>
    <w:rsid w:val="01CD3761"/>
    <w:rsid w:val="01FC5B06"/>
    <w:rsid w:val="023C3156"/>
    <w:rsid w:val="02A61BC0"/>
    <w:rsid w:val="02AB60C3"/>
    <w:rsid w:val="02C62150"/>
    <w:rsid w:val="02CE3FCE"/>
    <w:rsid w:val="02DB65A7"/>
    <w:rsid w:val="02DD7F65"/>
    <w:rsid w:val="02E66D7F"/>
    <w:rsid w:val="03097136"/>
    <w:rsid w:val="03276F2B"/>
    <w:rsid w:val="037C09BB"/>
    <w:rsid w:val="038F610A"/>
    <w:rsid w:val="03CE7CF1"/>
    <w:rsid w:val="03D505A6"/>
    <w:rsid w:val="03DC23A2"/>
    <w:rsid w:val="03EE0393"/>
    <w:rsid w:val="03FD3A90"/>
    <w:rsid w:val="041157BC"/>
    <w:rsid w:val="041C59A5"/>
    <w:rsid w:val="042B0F68"/>
    <w:rsid w:val="042E705C"/>
    <w:rsid w:val="044A2C5A"/>
    <w:rsid w:val="045D4A65"/>
    <w:rsid w:val="046C7060"/>
    <w:rsid w:val="04911A3F"/>
    <w:rsid w:val="049435DE"/>
    <w:rsid w:val="04AE18D1"/>
    <w:rsid w:val="04B06E2E"/>
    <w:rsid w:val="04DC7E9D"/>
    <w:rsid w:val="04F16345"/>
    <w:rsid w:val="051A3702"/>
    <w:rsid w:val="051B7D1D"/>
    <w:rsid w:val="051F457C"/>
    <w:rsid w:val="0526182A"/>
    <w:rsid w:val="052A3C74"/>
    <w:rsid w:val="05401FBF"/>
    <w:rsid w:val="05570F90"/>
    <w:rsid w:val="057272FF"/>
    <w:rsid w:val="05A52209"/>
    <w:rsid w:val="05B966B4"/>
    <w:rsid w:val="05D13AC9"/>
    <w:rsid w:val="06265ABD"/>
    <w:rsid w:val="06676258"/>
    <w:rsid w:val="067A3382"/>
    <w:rsid w:val="068266A2"/>
    <w:rsid w:val="068269B0"/>
    <w:rsid w:val="06863DEE"/>
    <w:rsid w:val="069B0BE4"/>
    <w:rsid w:val="06AE0575"/>
    <w:rsid w:val="07011917"/>
    <w:rsid w:val="07107115"/>
    <w:rsid w:val="072C376E"/>
    <w:rsid w:val="07305B23"/>
    <w:rsid w:val="076B0523"/>
    <w:rsid w:val="07955799"/>
    <w:rsid w:val="07C10944"/>
    <w:rsid w:val="07C708B3"/>
    <w:rsid w:val="08085C57"/>
    <w:rsid w:val="08154035"/>
    <w:rsid w:val="081D3738"/>
    <w:rsid w:val="08485031"/>
    <w:rsid w:val="087D3A94"/>
    <w:rsid w:val="08845B45"/>
    <w:rsid w:val="08AE00F1"/>
    <w:rsid w:val="08BF19FF"/>
    <w:rsid w:val="08EB1B89"/>
    <w:rsid w:val="08F07D49"/>
    <w:rsid w:val="08FA167D"/>
    <w:rsid w:val="0913083B"/>
    <w:rsid w:val="092C1FDD"/>
    <w:rsid w:val="092D370C"/>
    <w:rsid w:val="096A6E1E"/>
    <w:rsid w:val="096F272B"/>
    <w:rsid w:val="097F7058"/>
    <w:rsid w:val="098E76E9"/>
    <w:rsid w:val="09AC15FB"/>
    <w:rsid w:val="09C92F7B"/>
    <w:rsid w:val="09E049B0"/>
    <w:rsid w:val="09EF2E7B"/>
    <w:rsid w:val="0A4E5E99"/>
    <w:rsid w:val="0A5748CB"/>
    <w:rsid w:val="0AA219C6"/>
    <w:rsid w:val="0AC77577"/>
    <w:rsid w:val="0AD64979"/>
    <w:rsid w:val="0ADD5146"/>
    <w:rsid w:val="0B037E67"/>
    <w:rsid w:val="0B124AEB"/>
    <w:rsid w:val="0B1B29BA"/>
    <w:rsid w:val="0B42014F"/>
    <w:rsid w:val="0B5305C1"/>
    <w:rsid w:val="0B563F59"/>
    <w:rsid w:val="0B663DE8"/>
    <w:rsid w:val="0B7C0033"/>
    <w:rsid w:val="0BAF533C"/>
    <w:rsid w:val="0BE716E3"/>
    <w:rsid w:val="0BEB5BDC"/>
    <w:rsid w:val="0BF05890"/>
    <w:rsid w:val="0BF86E3A"/>
    <w:rsid w:val="0C577332"/>
    <w:rsid w:val="0C642F18"/>
    <w:rsid w:val="0CAB0594"/>
    <w:rsid w:val="0CF73632"/>
    <w:rsid w:val="0D0B6168"/>
    <w:rsid w:val="0D101543"/>
    <w:rsid w:val="0D1B0EDE"/>
    <w:rsid w:val="0D64053F"/>
    <w:rsid w:val="0D6651CD"/>
    <w:rsid w:val="0D721553"/>
    <w:rsid w:val="0D721638"/>
    <w:rsid w:val="0D766FD4"/>
    <w:rsid w:val="0DAC4610"/>
    <w:rsid w:val="0DC932C9"/>
    <w:rsid w:val="0DCB52A1"/>
    <w:rsid w:val="0DD70298"/>
    <w:rsid w:val="0DD8176C"/>
    <w:rsid w:val="0DDA5D30"/>
    <w:rsid w:val="0E0D4ED5"/>
    <w:rsid w:val="0E292536"/>
    <w:rsid w:val="0E2A13FA"/>
    <w:rsid w:val="0E3E2532"/>
    <w:rsid w:val="0E474186"/>
    <w:rsid w:val="0E4E5304"/>
    <w:rsid w:val="0E671E60"/>
    <w:rsid w:val="0E8514D8"/>
    <w:rsid w:val="0E9240B2"/>
    <w:rsid w:val="0E9D646C"/>
    <w:rsid w:val="0EA7172D"/>
    <w:rsid w:val="0ECC7C6F"/>
    <w:rsid w:val="0EEA3195"/>
    <w:rsid w:val="0EF755E5"/>
    <w:rsid w:val="0EF97AB3"/>
    <w:rsid w:val="0F1C4F85"/>
    <w:rsid w:val="0F1C6D55"/>
    <w:rsid w:val="0F2A424A"/>
    <w:rsid w:val="0F3E0CA8"/>
    <w:rsid w:val="0F5C2A59"/>
    <w:rsid w:val="0FAD6811"/>
    <w:rsid w:val="0FBC3DC4"/>
    <w:rsid w:val="0FBC7BD7"/>
    <w:rsid w:val="0FD83068"/>
    <w:rsid w:val="0FDB2AE2"/>
    <w:rsid w:val="0FEA7AD8"/>
    <w:rsid w:val="10325044"/>
    <w:rsid w:val="103A3448"/>
    <w:rsid w:val="10491313"/>
    <w:rsid w:val="10660469"/>
    <w:rsid w:val="108D145C"/>
    <w:rsid w:val="10917146"/>
    <w:rsid w:val="109A0756"/>
    <w:rsid w:val="10ED1E6F"/>
    <w:rsid w:val="10F70A11"/>
    <w:rsid w:val="113D294F"/>
    <w:rsid w:val="11570795"/>
    <w:rsid w:val="117B3A57"/>
    <w:rsid w:val="11984FE0"/>
    <w:rsid w:val="11B5130D"/>
    <w:rsid w:val="11B614D0"/>
    <w:rsid w:val="12010D01"/>
    <w:rsid w:val="12161EC2"/>
    <w:rsid w:val="1247103E"/>
    <w:rsid w:val="124E024F"/>
    <w:rsid w:val="124E6688"/>
    <w:rsid w:val="12540FA4"/>
    <w:rsid w:val="125F08A3"/>
    <w:rsid w:val="128F6A36"/>
    <w:rsid w:val="12B33D99"/>
    <w:rsid w:val="12C92452"/>
    <w:rsid w:val="12D17F96"/>
    <w:rsid w:val="12D746E8"/>
    <w:rsid w:val="12EC6397"/>
    <w:rsid w:val="12F5304A"/>
    <w:rsid w:val="12FF0621"/>
    <w:rsid w:val="12FF35A9"/>
    <w:rsid w:val="13005F25"/>
    <w:rsid w:val="13006303"/>
    <w:rsid w:val="130131B1"/>
    <w:rsid w:val="13295D77"/>
    <w:rsid w:val="133C3BC9"/>
    <w:rsid w:val="13477178"/>
    <w:rsid w:val="135E3402"/>
    <w:rsid w:val="136F3FD5"/>
    <w:rsid w:val="138F7261"/>
    <w:rsid w:val="13BA4E7D"/>
    <w:rsid w:val="14112D90"/>
    <w:rsid w:val="142F7969"/>
    <w:rsid w:val="144A109F"/>
    <w:rsid w:val="14587163"/>
    <w:rsid w:val="14D63F09"/>
    <w:rsid w:val="14D86D3D"/>
    <w:rsid w:val="14FB2FA1"/>
    <w:rsid w:val="150A7F74"/>
    <w:rsid w:val="15372ED8"/>
    <w:rsid w:val="155A6493"/>
    <w:rsid w:val="15617932"/>
    <w:rsid w:val="157832BD"/>
    <w:rsid w:val="158422F6"/>
    <w:rsid w:val="158A2904"/>
    <w:rsid w:val="15943D72"/>
    <w:rsid w:val="15A33F38"/>
    <w:rsid w:val="15C238C0"/>
    <w:rsid w:val="160C16CB"/>
    <w:rsid w:val="162B39C9"/>
    <w:rsid w:val="163A16A6"/>
    <w:rsid w:val="164C6000"/>
    <w:rsid w:val="165D6894"/>
    <w:rsid w:val="16983020"/>
    <w:rsid w:val="16993E7F"/>
    <w:rsid w:val="16A7351B"/>
    <w:rsid w:val="16BA69D0"/>
    <w:rsid w:val="16CB1B99"/>
    <w:rsid w:val="16D35DD7"/>
    <w:rsid w:val="170B0975"/>
    <w:rsid w:val="176B320C"/>
    <w:rsid w:val="17702371"/>
    <w:rsid w:val="17846B99"/>
    <w:rsid w:val="178A1CD0"/>
    <w:rsid w:val="17A8067E"/>
    <w:rsid w:val="17E55E8F"/>
    <w:rsid w:val="17F167F0"/>
    <w:rsid w:val="17F955BC"/>
    <w:rsid w:val="180A3FD1"/>
    <w:rsid w:val="18207E7E"/>
    <w:rsid w:val="18624667"/>
    <w:rsid w:val="1869099F"/>
    <w:rsid w:val="18785B2F"/>
    <w:rsid w:val="189C6C3D"/>
    <w:rsid w:val="189D7628"/>
    <w:rsid w:val="190A7F75"/>
    <w:rsid w:val="19121068"/>
    <w:rsid w:val="191E11E3"/>
    <w:rsid w:val="193E20D4"/>
    <w:rsid w:val="198B058C"/>
    <w:rsid w:val="19A95BFA"/>
    <w:rsid w:val="19BE1FD3"/>
    <w:rsid w:val="19CC6395"/>
    <w:rsid w:val="19DA2643"/>
    <w:rsid w:val="19FF18B5"/>
    <w:rsid w:val="1A444376"/>
    <w:rsid w:val="1A454BBD"/>
    <w:rsid w:val="1A7476C0"/>
    <w:rsid w:val="1A8564FF"/>
    <w:rsid w:val="1AA44508"/>
    <w:rsid w:val="1AB958C8"/>
    <w:rsid w:val="1AC6243B"/>
    <w:rsid w:val="1AC94917"/>
    <w:rsid w:val="1AF35840"/>
    <w:rsid w:val="1B0258A1"/>
    <w:rsid w:val="1B0B4C67"/>
    <w:rsid w:val="1B3D7122"/>
    <w:rsid w:val="1B6B2700"/>
    <w:rsid w:val="1B7358B1"/>
    <w:rsid w:val="1B7623CA"/>
    <w:rsid w:val="1B895BAE"/>
    <w:rsid w:val="1B8A3F75"/>
    <w:rsid w:val="1B8E7514"/>
    <w:rsid w:val="1BD13D1E"/>
    <w:rsid w:val="1BE1199E"/>
    <w:rsid w:val="1BE218A1"/>
    <w:rsid w:val="1BEE0A0D"/>
    <w:rsid w:val="1BF34DDD"/>
    <w:rsid w:val="1BFB4FA4"/>
    <w:rsid w:val="1C140F09"/>
    <w:rsid w:val="1C146065"/>
    <w:rsid w:val="1C252281"/>
    <w:rsid w:val="1C467B05"/>
    <w:rsid w:val="1C585372"/>
    <w:rsid w:val="1C6C3CC6"/>
    <w:rsid w:val="1CAD702B"/>
    <w:rsid w:val="1CAF31DD"/>
    <w:rsid w:val="1CB00E0D"/>
    <w:rsid w:val="1CC7593C"/>
    <w:rsid w:val="1CE0536B"/>
    <w:rsid w:val="1D082E47"/>
    <w:rsid w:val="1D1B3BE1"/>
    <w:rsid w:val="1D1F2568"/>
    <w:rsid w:val="1D261642"/>
    <w:rsid w:val="1D290A3D"/>
    <w:rsid w:val="1D305872"/>
    <w:rsid w:val="1D864FFD"/>
    <w:rsid w:val="1D96016A"/>
    <w:rsid w:val="1D9A6FED"/>
    <w:rsid w:val="1DAF5708"/>
    <w:rsid w:val="1DB0673C"/>
    <w:rsid w:val="1DB57966"/>
    <w:rsid w:val="1DCB6198"/>
    <w:rsid w:val="1DE40BF5"/>
    <w:rsid w:val="1E0A165A"/>
    <w:rsid w:val="1E0D4836"/>
    <w:rsid w:val="1E123586"/>
    <w:rsid w:val="1E1421FA"/>
    <w:rsid w:val="1E1E3D5D"/>
    <w:rsid w:val="1E20781D"/>
    <w:rsid w:val="1E320BC8"/>
    <w:rsid w:val="1E42510C"/>
    <w:rsid w:val="1E6341ED"/>
    <w:rsid w:val="1E6B5ACF"/>
    <w:rsid w:val="1E8275DC"/>
    <w:rsid w:val="1E94611D"/>
    <w:rsid w:val="1EA01E32"/>
    <w:rsid w:val="1EBA4627"/>
    <w:rsid w:val="1EBD27DC"/>
    <w:rsid w:val="1EDF0881"/>
    <w:rsid w:val="1EFB70E2"/>
    <w:rsid w:val="1F0B1EAE"/>
    <w:rsid w:val="1F2C36C6"/>
    <w:rsid w:val="1F630CAC"/>
    <w:rsid w:val="1F67173C"/>
    <w:rsid w:val="1F6E149C"/>
    <w:rsid w:val="1F784B5D"/>
    <w:rsid w:val="1F935EB8"/>
    <w:rsid w:val="1FC802D9"/>
    <w:rsid w:val="1FD72A6A"/>
    <w:rsid w:val="1FE0542E"/>
    <w:rsid w:val="1FE10BC9"/>
    <w:rsid w:val="1FF90157"/>
    <w:rsid w:val="1FFC6958"/>
    <w:rsid w:val="2011123A"/>
    <w:rsid w:val="201900EE"/>
    <w:rsid w:val="2025255D"/>
    <w:rsid w:val="206753EC"/>
    <w:rsid w:val="20855F4F"/>
    <w:rsid w:val="209217BE"/>
    <w:rsid w:val="20A9124F"/>
    <w:rsid w:val="20B64463"/>
    <w:rsid w:val="20CC1B8A"/>
    <w:rsid w:val="20D45546"/>
    <w:rsid w:val="20E74F86"/>
    <w:rsid w:val="210C7740"/>
    <w:rsid w:val="21197519"/>
    <w:rsid w:val="218B4838"/>
    <w:rsid w:val="21ED17D5"/>
    <w:rsid w:val="21ED7229"/>
    <w:rsid w:val="21FC5398"/>
    <w:rsid w:val="221A21C9"/>
    <w:rsid w:val="22502640"/>
    <w:rsid w:val="225B5D3F"/>
    <w:rsid w:val="226F27CC"/>
    <w:rsid w:val="228B6BBC"/>
    <w:rsid w:val="22A17696"/>
    <w:rsid w:val="22AA7704"/>
    <w:rsid w:val="22CC58EC"/>
    <w:rsid w:val="22CF2160"/>
    <w:rsid w:val="22D411B0"/>
    <w:rsid w:val="22E76282"/>
    <w:rsid w:val="22E8426B"/>
    <w:rsid w:val="23056708"/>
    <w:rsid w:val="2307351B"/>
    <w:rsid w:val="23172F10"/>
    <w:rsid w:val="235662D5"/>
    <w:rsid w:val="235D7CB6"/>
    <w:rsid w:val="236819D0"/>
    <w:rsid w:val="23767DBC"/>
    <w:rsid w:val="23785509"/>
    <w:rsid w:val="23785B3A"/>
    <w:rsid w:val="238A6CB2"/>
    <w:rsid w:val="23A85BCB"/>
    <w:rsid w:val="23BE191D"/>
    <w:rsid w:val="23DE4BB2"/>
    <w:rsid w:val="23E174F1"/>
    <w:rsid w:val="23E7405F"/>
    <w:rsid w:val="23FB594B"/>
    <w:rsid w:val="243C5F3F"/>
    <w:rsid w:val="244024B2"/>
    <w:rsid w:val="244461C3"/>
    <w:rsid w:val="2446475C"/>
    <w:rsid w:val="244F2331"/>
    <w:rsid w:val="246164A9"/>
    <w:rsid w:val="247441A2"/>
    <w:rsid w:val="24C256EF"/>
    <w:rsid w:val="24D40EFB"/>
    <w:rsid w:val="24E153DE"/>
    <w:rsid w:val="2503311B"/>
    <w:rsid w:val="253D7100"/>
    <w:rsid w:val="2544587E"/>
    <w:rsid w:val="254E2EC2"/>
    <w:rsid w:val="257C0FE6"/>
    <w:rsid w:val="25AC4669"/>
    <w:rsid w:val="25AC4B4B"/>
    <w:rsid w:val="25BC4DB9"/>
    <w:rsid w:val="25D9472B"/>
    <w:rsid w:val="25EB4FC1"/>
    <w:rsid w:val="25F35531"/>
    <w:rsid w:val="26031625"/>
    <w:rsid w:val="26133EA7"/>
    <w:rsid w:val="261E5917"/>
    <w:rsid w:val="26532465"/>
    <w:rsid w:val="266C2E7A"/>
    <w:rsid w:val="268C3900"/>
    <w:rsid w:val="26C56CD2"/>
    <w:rsid w:val="26C64400"/>
    <w:rsid w:val="26CA7F3A"/>
    <w:rsid w:val="26D02321"/>
    <w:rsid w:val="26E11E6C"/>
    <w:rsid w:val="26E31456"/>
    <w:rsid w:val="270D43CE"/>
    <w:rsid w:val="27314808"/>
    <w:rsid w:val="27365354"/>
    <w:rsid w:val="274A7289"/>
    <w:rsid w:val="27591A14"/>
    <w:rsid w:val="275F0B24"/>
    <w:rsid w:val="276F1D64"/>
    <w:rsid w:val="280063A1"/>
    <w:rsid w:val="28114F83"/>
    <w:rsid w:val="281A5FA5"/>
    <w:rsid w:val="281E2EED"/>
    <w:rsid w:val="283271BA"/>
    <w:rsid w:val="28550131"/>
    <w:rsid w:val="28674C0D"/>
    <w:rsid w:val="28935C72"/>
    <w:rsid w:val="289C6301"/>
    <w:rsid w:val="28B44E58"/>
    <w:rsid w:val="28C9190E"/>
    <w:rsid w:val="28DE43FA"/>
    <w:rsid w:val="28FF5D1A"/>
    <w:rsid w:val="29662F97"/>
    <w:rsid w:val="296D30C5"/>
    <w:rsid w:val="296F5223"/>
    <w:rsid w:val="297F3410"/>
    <w:rsid w:val="299429FD"/>
    <w:rsid w:val="29A221B1"/>
    <w:rsid w:val="29A5263A"/>
    <w:rsid w:val="29A81673"/>
    <w:rsid w:val="29B91A7E"/>
    <w:rsid w:val="29E304D2"/>
    <w:rsid w:val="29FD6E2B"/>
    <w:rsid w:val="2A125BCC"/>
    <w:rsid w:val="2A15080A"/>
    <w:rsid w:val="2A294FD8"/>
    <w:rsid w:val="2A3E0891"/>
    <w:rsid w:val="2A56716D"/>
    <w:rsid w:val="2A602286"/>
    <w:rsid w:val="2A614B6C"/>
    <w:rsid w:val="2A693B0A"/>
    <w:rsid w:val="2A6A07A5"/>
    <w:rsid w:val="2A92703F"/>
    <w:rsid w:val="2A952C10"/>
    <w:rsid w:val="2AAF7FF7"/>
    <w:rsid w:val="2ABF1387"/>
    <w:rsid w:val="2AF1518E"/>
    <w:rsid w:val="2AF92FF6"/>
    <w:rsid w:val="2B0E1193"/>
    <w:rsid w:val="2B0F5352"/>
    <w:rsid w:val="2B1600AB"/>
    <w:rsid w:val="2B2D74E5"/>
    <w:rsid w:val="2B3C4ADC"/>
    <w:rsid w:val="2B474166"/>
    <w:rsid w:val="2B4F0373"/>
    <w:rsid w:val="2B86226C"/>
    <w:rsid w:val="2BA46DEB"/>
    <w:rsid w:val="2BA9438B"/>
    <w:rsid w:val="2BC32B00"/>
    <w:rsid w:val="2BC6530E"/>
    <w:rsid w:val="2BDB07D6"/>
    <w:rsid w:val="2BE46534"/>
    <w:rsid w:val="2BE50A13"/>
    <w:rsid w:val="2BE86B47"/>
    <w:rsid w:val="2C130A91"/>
    <w:rsid w:val="2C1C001B"/>
    <w:rsid w:val="2C1D52A1"/>
    <w:rsid w:val="2C250D85"/>
    <w:rsid w:val="2C5B187D"/>
    <w:rsid w:val="2C7630E4"/>
    <w:rsid w:val="2C922CCD"/>
    <w:rsid w:val="2CA62D0A"/>
    <w:rsid w:val="2CB52122"/>
    <w:rsid w:val="2CBC7C3B"/>
    <w:rsid w:val="2CD15EE1"/>
    <w:rsid w:val="2CD91C7C"/>
    <w:rsid w:val="2CE32052"/>
    <w:rsid w:val="2CE77C98"/>
    <w:rsid w:val="2D1E1597"/>
    <w:rsid w:val="2D1F0CCE"/>
    <w:rsid w:val="2D323A3C"/>
    <w:rsid w:val="2D377297"/>
    <w:rsid w:val="2D451A7A"/>
    <w:rsid w:val="2D49461B"/>
    <w:rsid w:val="2D900C50"/>
    <w:rsid w:val="2DA952BD"/>
    <w:rsid w:val="2DB83343"/>
    <w:rsid w:val="2DBC499D"/>
    <w:rsid w:val="2DD75DDB"/>
    <w:rsid w:val="2E1B4040"/>
    <w:rsid w:val="2E1E2A24"/>
    <w:rsid w:val="2E451E14"/>
    <w:rsid w:val="2E5C5CFB"/>
    <w:rsid w:val="2E702763"/>
    <w:rsid w:val="2E76495E"/>
    <w:rsid w:val="2E906ADC"/>
    <w:rsid w:val="2E9F777F"/>
    <w:rsid w:val="2EAE5D17"/>
    <w:rsid w:val="2EAF1638"/>
    <w:rsid w:val="2EBA2682"/>
    <w:rsid w:val="2EE35F4E"/>
    <w:rsid w:val="2EFC409C"/>
    <w:rsid w:val="2F0621E5"/>
    <w:rsid w:val="2F1C29AF"/>
    <w:rsid w:val="2F432A92"/>
    <w:rsid w:val="2F587CB1"/>
    <w:rsid w:val="2F6C45EF"/>
    <w:rsid w:val="2FAC180A"/>
    <w:rsid w:val="2FB02589"/>
    <w:rsid w:val="2FB973A2"/>
    <w:rsid w:val="2FD12795"/>
    <w:rsid w:val="2FFB7989"/>
    <w:rsid w:val="3014720A"/>
    <w:rsid w:val="302D5A26"/>
    <w:rsid w:val="304378DC"/>
    <w:rsid w:val="30784CBC"/>
    <w:rsid w:val="30837164"/>
    <w:rsid w:val="30840EC4"/>
    <w:rsid w:val="30E10E01"/>
    <w:rsid w:val="30F648E7"/>
    <w:rsid w:val="30F85AFE"/>
    <w:rsid w:val="313506DF"/>
    <w:rsid w:val="31493E2B"/>
    <w:rsid w:val="315544DE"/>
    <w:rsid w:val="31B25E16"/>
    <w:rsid w:val="31F12C79"/>
    <w:rsid w:val="321B5F48"/>
    <w:rsid w:val="32270668"/>
    <w:rsid w:val="3229511D"/>
    <w:rsid w:val="323D7DAA"/>
    <w:rsid w:val="32533B4D"/>
    <w:rsid w:val="32645105"/>
    <w:rsid w:val="32B370E6"/>
    <w:rsid w:val="32B9629D"/>
    <w:rsid w:val="32C05D03"/>
    <w:rsid w:val="32FC7C5E"/>
    <w:rsid w:val="330E33B7"/>
    <w:rsid w:val="33294FD9"/>
    <w:rsid w:val="33843F1D"/>
    <w:rsid w:val="33A028AD"/>
    <w:rsid w:val="33A21ED7"/>
    <w:rsid w:val="33A70302"/>
    <w:rsid w:val="33AB30E2"/>
    <w:rsid w:val="33B00303"/>
    <w:rsid w:val="33B3697E"/>
    <w:rsid w:val="33BA12CA"/>
    <w:rsid w:val="3408116D"/>
    <w:rsid w:val="34097D62"/>
    <w:rsid w:val="340E290B"/>
    <w:rsid w:val="343167EF"/>
    <w:rsid w:val="343703EC"/>
    <w:rsid w:val="34467FAA"/>
    <w:rsid w:val="344B5E75"/>
    <w:rsid w:val="344D6161"/>
    <w:rsid w:val="344E20B6"/>
    <w:rsid w:val="346076B1"/>
    <w:rsid w:val="346600B2"/>
    <w:rsid w:val="3471748E"/>
    <w:rsid w:val="34782220"/>
    <w:rsid w:val="34832EDA"/>
    <w:rsid w:val="34936269"/>
    <w:rsid w:val="349F7B33"/>
    <w:rsid w:val="34AB5C07"/>
    <w:rsid w:val="34B340FB"/>
    <w:rsid w:val="34E87D3C"/>
    <w:rsid w:val="34F13F4E"/>
    <w:rsid w:val="34F15259"/>
    <w:rsid w:val="34FF2D62"/>
    <w:rsid w:val="35031798"/>
    <w:rsid w:val="35162DC2"/>
    <w:rsid w:val="354A72F2"/>
    <w:rsid w:val="356D02F8"/>
    <w:rsid w:val="35B20971"/>
    <w:rsid w:val="35CC6B0E"/>
    <w:rsid w:val="36071A90"/>
    <w:rsid w:val="361A5F03"/>
    <w:rsid w:val="364F6AC1"/>
    <w:rsid w:val="36687AEC"/>
    <w:rsid w:val="366C6D72"/>
    <w:rsid w:val="36701478"/>
    <w:rsid w:val="36924265"/>
    <w:rsid w:val="369D5D0F"/>
    <w:rsid w:val="36BC08E9"/>
    <w:rsid w:val="36EF185E"/>
    <w:rsid w:val="37180BA8"/>
    <w:rsid w:val="371E0D4C"/>
    <w:rsid w:val="374B4BD9"/>
    <w:rsid w:val="374E10B6"/>
    <w:rsid w:val="37710647"/>
    <w:rsid w:val="378C3D17"/>
    <w:rsid w:val="379D57CF"/>
    <w:rsid w:val="37CE6FEB"/>
    <w:rsid w:val="37D14004"/>
    <w:rsid w:val="37D16373"/>
    <w:rsid w:val="380F04FA"/>
    <w:rsid w:val="383163E2"/>
    <w:rsid w:val="383E64EC"/>
    <w:rsid w:val="386900B9"/>
    <w:rsid w:val="386A29CB"/>
    <w:rsid w:val="38D20955"/>
    <w:rsid w:val="38E67C24"/>
    <w:rsid w:val="39194863"/>
    <w:rsid w:val="39210FD8"/>
    <w:rsid w:val="39221B9C"/>
    <w:rsid w:val="39236D33"/>
    <w:rsid w:val="39252E20"/>
    <w:rsid w:val="393779FE"/>
    <w:rsid w:val="396A315E"/>
    <w:rsid w:val="397C0412"/>
    <w:rsid w:val="399E33EB"/>
    <w:rsid w:val="39A36229"/>
    <w:rsid w:val="39F57E48"/>
    <w:rsid w:val="3A2D3578"/>
    <w:rsid w:val="3A5A5258"/>
    <w:rsid w:val="3A6D7C03"/>
    <w:rsid w:val="3A76562C"/>
    <w:rsid w:val="3A795C5D"/>
    <w:rsid w:val="3A932313"/>
    <w:rsid w:val="3ABC5B5E"/>
    <w:rsid w:val="3ABD4C62"/>
    <w:rsid w:val="3ACC7DDF"/>
    <w:rsid w:val="3AD56DD1"/>
    <w:rsid w:val="3AEF2916"/>
    <w:rsid w:val="3AF92C43"/>
    <w:rsid w:val="3B3C6CB5"/>
    <w:rsid w:val="3B4A34D8"/>
    <w:rsid w:val="3B6E6937"/>
    <w:rsid w:val="3B734516"/>
    <w:rsid w:val="3B872CFC"/>
    <w:rsid w:val="3B9C7DBB"/>
    <w:rsid w:val="3BA746E9"/>
    <w:rsid w:val="3BD312CE"/>
    <w:rsid w:val="3BED5C86"/>
    <w:rsid w:val="3BF9380C"/>
    <w:rsid w:val="3BFD1CD0"/>
    <w:rsid w:val="3C083A2A"/>
    <w:rsid w:val="3C144518"/>
    <w:rsid w:val="3C146AB0"/>
    <w:rsid w:val="3C1A7708"/>
    <w:rsid w:val="3C3570CC"/>
    <w:rsid w:val="3CA60EB7"/>
    <w:rsid w:val="3CF356A8"/>
    <w:rsid w:val="3D1A2297"/>
    <w:rsid w:val="3D1B06CB"/>
    <w:rsid w:val="3D244516"/>
    <w:rsid w:val="3D57260A"/>
    <w:rsid w:val="3D5B2F2C"/>
    <w:rsid w:val="3D5F318D"/>
    <w:rsid w:val="3D627FCC"/>
    <w:rsid w:val="3D9471A6"/>
    <w:rsid w:val="3D9863C3"/>
    <w:rsid w:val="3DA40E8A"/>
    <w:rsid w:val="3DC10853"/>
    <w:rsid w:val="3DCB0822"/>
    <w:rsid w:val="3DF977CF"/>
    <w:rsid w:val="3E045FD2"/>
    <w:rsid w:val="3E062C19"/>
    <w:rsid w:val="3E4E63F6"/>
    <w:rsid w:val="3E55797D"/>
    <w:rsid w:val="3E5D3260"/>
    <w:rsid w:val="3E633332"/>
    <w:rsid w:val="3E6A40D9"/>
    <w:rsid w:val="3ECF634B"/>
    <w:rsid w:val="3EF5435A"/>
    <w:rsid w:val="3F014E2E"/>
    <w:rsid w:val="3F427609"/>
    <w:rsid w:val="3F532B6A"/>
    <w:rsid w:val="3F693D6C"/>
    <w:rsid w:val="3F6C2C66"/>
    <w:rsid w:val="3F7E3672"/>
    <w:rsid w:val="3F9B1EFB"/>
    <w:rsid w:val="3FA05CDE"/>
    <w:rsid w:val="3FC97621"/>
    <w:rsid w:val="3FF328E8"/>
    <w:rsid w:val="3FFD2A1B"/>
    <w:rsid w:val="400C0B72"/>
    <w:rsid w:val="40135FE5"/>
    <w:rsid w:val="40245DD9"/>
    <w:rsid w:val="402E2219"/>
    <w:rsid w:val="40485138"/>
    <w:rsid w:val="40545B52"/>
    <w:rsid w:val="40615808"/>
    <w:rsid w:val="406E37B1"/>
    <w:rsid w:val="406E6FB7"/>
    <w:rsid w:val="406F3E8C"/>
    <w:rsid w:val="407749C1"/>
    <w:rsid w:val="407911FC"/>
    <w:rsid w:val="407D435A"/>
    <w:rsid w:val="40932735"/>
    <w:rsid w:val="40C732A8"/>
    <w:rsid w:val="40DF05B8"/>
    <w:rsid w:val="41060F62"/>
    <w:rsid w:val="41123E7B"/>
    <w:rsid w:val="416D019F"/>
    <w:rsid w:val="41822340"/>
    <w:rsid w:val="418A78D6"/>
    <w:rsid w:val="41BE794D"/>
    <w:rsid w:val="41F75E59"/>
    <w:rsid w:val="42012F61"/>
    <w:rsid w:val="423E6AAC"/>
    <w:rsid w:val="42430DC4"/>
    <w:rsid w:val="4260511B"/>
    <w:rsid w:val="42676388"/>
    <w:rsid w:val="42805F23"/>
    <w:rsid w:val="428641E8"/>
    <w:rsid w:val="429C72CD"/>
    <w:rsid w:val="42B83DDC"/>
    <w:rsid w:val="43207D21"/>
    <w:rsid w:val="434350C8"/>
    <w:rsid w:val="434723A4"/>
    <w:rsid w:val="43597CA2"/>
    <w:rsid w:val="43871245"/>
    <w:rsid w:val="43876DA0"/>
    <w:rsid w:val="438C1BF5"/>
    <w:rsid w:val="43A237A2"/>
    <w:rsid w:val="43B254D1"/>
    <w:rsid w:val="43E725D0"/>
    <w:rsid w:val="43FA64A2"/>
    <w:rsid w:val="43FE2FD4"/>
    <w:rsid w:val="441016CB"/>
    <w:rsid w:val="441F56E6"/>
    <w:rsid w:val="44271F87"/>
    <w:rsid w:val="444255F6"/>
    <w:rsid w:val="444F3CEC"/>
    <w:rsid w:val="44506705"/>
    <w:rsid w:val="44665D7C"/>
    <w:rsid w:val="448B6557"/>
    <w:rsid w:val="449E4760"/>
    <w:rsid w:val="44A52B5F"/>
    <w:rsid w:val="44ED46F9"/>
    <w:rsid w:val="450433C3"/>
    <w:rsid w:val="450C4CB3"/>
    <w:rsid w:val="45174536"/>
    <w:rsid w:val="451A2AA5"/>
    <w:rsid w:val="454206C9"/>
    <w:rsid w:val="459357F3"/>
    <w:rsid w:val="45A82FFD"/>
    <w:rsid w:val="45AE5F8D"/>
    <w:rsid w:val="45B06CE9"/>
    <w:rsid w:val="45B27872"/>
    <w:rsid w:val="45B80363"/>
    <w:rsid w:val="45CF1475"/>
    <w:rsid w:val="45DB2814"/>
    <w:rsid w:val="45DC3F74"/>
    <w:rsid w:val="45EA0E0B"/>
    <w:rsid w:val="460409EA"/>
    <w:rsid w:val="46263364"/>
    <w:rsid w:val="462816FA"/>
    <w:rsid w:val="46330D0F"/>
    <w:rsid w:val="463928CF"/>
    <w:rsid w:val="46C06A79"/>
    <w:rsid w:val="46D002A4"/>
    <w:rsid w:val="46E576DC"/>
    <w:rsid w:val="46EE0D1F"/>
    <w:rsid w:val="47113484"/>
    <w:rsid w:val="471B0DFB"/>
    <w:rsid w:val="471B239D"/>
    <w:rsid w:val="472C04B6"/>
    <w:rsid w:val="475007E7"/>
    <w:rsid w:val="475177C2"/>
    <w:rsid w:val="475F202B"/>
    <w:rsid w:val="47785417"/>
    <w:rsid w:val="478E4FCE"/>
    <w:rsid w:val="479B6BA5"/>
    <w:rsid w:val="47A0653B"/>
    <w:rsid w:val="47B25343"/>
    <w:rsid w:val="480F04B4"/>
    <w:rsid w:val="482F0824"/>
    <w:rsid w:val="4838259F"/>
    <w:rsid w:val="485D7343"/>
    <w:rsid w:val="48B913DB"/>
    <w:rsid w:val="48D931F4"/>
    <w:rsid w:val="490D27E6"/>
    <w:rsid w:val="492A2433"/>
    <w:rsid w:val="493A685C"/>
    <w:rsid w:val="493B7D23"/>
    <w:rsid w:val="499D05A3"/>
    <w:rsid w:val="49B642F8"/>
    <w:rsid w:val="49CF67CC"/>
    <w:rsid w:val="49D013E9"/>
    <w:rsid w:val="49D608EA"/>
    <w:rsid w:val="49F96E56"/>
    <w:rsid w:val="4A1570FB"/>
    <w:rsid w:val="4A316FC8"/>
    <w:rsid w:val="4A350206"/>
    <w:rsid w:val="4A426737"/>
    <w:rsid w:val="4A5E4294"/>
    <w:rsid w:val="4A6460BD"/>
    <w:rsid w:val="4A691BD6"/>
    <w:rsid w:val="4A7768DF"/>
    <w:rsid w:val="4A7A7689"/>
    <w:rsid w:val="4A8170F0"/>
    <w:rsid w:val="4AF85F20"/>
    <w:rsid w:val="4B0B2254"/>
    <w:rsid w:val="4B3E3D09"/>
    <w:rsid w:val="4B6B14C2"/>
    <w:rsid w:val="4B9761E7"/>
    <w:rsid w:val="4B9F5557"/>
    <w:rsid w:val="4BA23E2D"/>
    <w:rsid w:val="4BA97CC9"/>
    <w:rsid w:val="4BBE2ED6"/>
    <w:rsid w:val="4BCA03C1"/>
    <w:rsid w:val="4BEE2C8F"/>
    <w:rsid w:val="4BF06BD6"/>
    <w:rsid w:val="4BF21670"/>
    <w:rsid w:val="4C0433D9"/>
    <w:rsid w:val="4C0F6EE4"/>
    <w:rsid w:val="4C175D9E"/>
    <w:rsid w:val="4C383968"/>
    <w:rsid w:val="4C4474B1"/>
    <w:rsid w:val="4C5119C8"/>
    <w:rsid w:val="4C801FC0"/>
    <w:rsid w:val="4CBA45F6"/>
    <w:rsid w:val="4CC3003A"/>
    <w:rsid w:val="4CC528E0"/>
    <w:rsid w:val="4CCC31CE"/>
    <w:rsid w:val="4CE32C51"/>
    <w:rsid w:val="4CF45518"/>
    <w:rsid w:val="4CFE4E64"/>
    <w:rsid w:val="4CFE4ECC"/>
    <w:rsid w:val="4D105B97"/>
    <w:rsid w:val="4D1D6A2F"/>
    <w:rsid w:val="4D25398C"/>
    <w:rsid w:val="4D2E1973"/>
    <w:rsid w:val="4D3244F8"/>
    <w:rsid w:val="4D365175"/>
    <w:rsid w:val="4D3C7920"/>
    <w:rsid w:val="4D60687C"/>
    <w:rsid w:val="4D6773B7"/>
    <w:rsid w:val="4D8E7176"/>
    <w:rsid w:val="4D907C61"/>
    <w:rsid w:val="4D9B55FC"/>
    <w:rsid w:val="4DA30E74"/>
    <w:rsid w:val="4DB84292"/>
    <w:rsid w:val="4DBC6AD2"/>
    <w:rsid w:val="4DC2589B"/>
    <w:rsid w:val="4DD333CA"/>
    <w:rsid w:val="4DF766CB"/>
    <w:rsid w:val="4E203865"/>
    <w:rsid w:val="4E44419E"/>
    <w:rsid w:val="4E5D01B7"/>
    <w:rsid w:val="4E6525CD"/>
    <w:rsid w:val="4E9456F1"/>
    <w:rsid w:val="4EB9304A"/>
    <w:rsid w:val="4EBB7A84"/>
    <w:rsid w:val="4EC20C7A"/>
    <w:rsid w:val="4EE93F53"/>
    <w:rsid w:val="4EF64E83"/>
    <w:rsid w:val="4F0016A5"/>
    <w:rsid w:val="4F3C26E0"/>
    <w:rsid w:val="4F402A8E"/>
    <w:rsid w:val="4F4A4E8B"/>
    <w:rsid w:val="4F632D55"/>
    <w:rsid w:val="4F6C798B"/>
    <w:rsid w:val="4F786A56"/>
    <w:rsid w:val="4FAA31AB"/>
    <w:rsid w:val="4FDB4DF1"/>
    <w:rsid w:val="4FF15ED1"/>
    <w:rsid w:val="4FF411BB"/>
    <w:rsid w:val="4FF555EA"/>
    <w:rsid w:val="501C5813"/>
    <w:rsid w:val="506C1755"/>
    <w:rsid w:val="50745877"/>
    <w:rsid w:val="507558BF"/>
    <w:rsid w:val="50A56689"/>
    <w:rsid w:val="50E67400"/>
    <w:rsid w:val="50EE68AA"/>
    <w:rsid w:val="51243685"/>
    <w:rsid w:val="51447AE2"/>
    <w:rsid w:val="515B2E98"/>
    <w:rsid w:val="5170084F"/>
    <w:rsid w:val="51716F5A"/>
    <w:rsid w:val="51B23CCB"/>
    <w:rsid w:val="51B33183"/>
    <w:rsid w:val="51B43E95"/>
    <w:rsid w:val="51B578E0"/>
    <w:rsid w:val="51C13D1C"/>
    <w:rsid w:val="51C52122"/>
    <w:rsid w:val="51CA7D02"/>
    <w:rsid w:val="51DE3ED9"/>
    <w:rsid w:val="51EA353A"/>
    <w:rsid w:val="52176A5F"/>
    <w:rsid w:val="52224331"/>
    <w:rsid w:val="52376E71"/>
    <w:rsid w:val="526A56C0"/>
    <w:rsid w:val="528079D5"/>
    <w:rsid w:val="52C431E7"/>
    <w:rsid w:val="52E74DB1"/>
    <w:rsid w:val="52F749BC"/>
    <w:rsid w:val="52FA6881"/>
    <w:rsid w:val="530556F1"/>
    <w:rsid w:val="531620E8"/>
    <w:rsid w:val="531D6F5D"/>
    <w:rsid w:val="534A3350"/>
    <w:rsid w:val="535E583D"/>
    <w:rsid w:val="535F2C1F"/>
    <w:rsid w:val="53A666DD"/>
    <w:rsid w:val="53B13416"/>
    <w:rsid w:val="53C303BB"/>
    <w:rsid w:val="53CA3C43"/>
    <w:rsid w:val="53DE6D19"/>
    <w:rsid w:val="54085ED4"/>
    <w:rsid w:val="54104EF2"/>
    <w:rsid w:val="548D7115"/>
    <w:rsid w:val="54B53D60"/>
    <w:rsid w:val="54BF2F03"/>
    <w:rsid w:val="54C044F7"/>
    <w:rsid w:val="54EE6685"/>
    <w:rsid w:val="554C7871"/>
    <w:rsid w:val="555E5A83"/>
    <w:rsid w:val="556C4FF0"/>
    <w:rsid w:val="55AD03B6"/>
    <w:rsid w:val="55C31344"/>
    <w:rsid w:val="55C73430"/>
    <w:rsid w:val="55D34189"/>
    <w:rsid w:val="55D97088"/>
    <w:rsid w:val="55E252A3"/>
    <w:rsid w:val="55E700D3"/>
    <w:rsid w:val="55F362D9"/>
    <w:rsid w:val="56097A74"/>
    <w:rsid w:val="562B1F37"/>
    <w:rsid w:val="562C6149"/>
    <w:rsid w:val="56495EF2"/>
    <w:rsid w:val="56563A0A"/>
    <w:rsid w:val="566070D5"/>
    <w:rsid w:val="566219F5"/>
    <w:rsid w:val="56643C61"/>
    <w:rsid w:val="566D7935"/>
    <w:rsid w:val="56827114"/>
    <w:rsid w:val="56BB4A78"/>
    <w:rsid w:val="56D76764"/>
    <w:rsid w:val="56F3685F"/>
    <w:rsid w:val="5714616D"/>
    <w:rsid w:val="572F20EA"/>
    <w:rsid w:val="57336482"/>
    <w:rsid w:val="574940D8"/>
    <w:rsid w:val="57680598"/>
    <w:rsid w:val="576D7562"/>
    <w:rsid w:val="577E7CA3"/>
    <w:rsid w:val="578A54E8"/>
    <w:rsid w:val="578C3EA9"/>
    <w:rsid w:val="57992D36"/>
    <w:rsid w:val="57CD696A"/>
    <w:rsid w:val="57E24C8E"/>
    <w:rsid w:val="57FA4485"/>
    <w:rsid w:val="581307F2"/>
    <w:rsid w:val="581C2B1D"/>
    <w:rsid w:val="58356873"/>
    <w:rsid w:val="58457935"/>
    <w:rsid w:val="58476BDB"/>
    <w:rsid w:val="58573A67"/>
    <w:rsid w:val="586B613F"/>
    <w:rsid w:val="586D0D17"/>
    <w:rsid w:val="588E774A"/>
    <w:rsid w:val="58DF3F49"/>
    <w:rsid w:val="58F65EFC"/>
    <w:rsid w:val="590F7AB2"/>
    <w:rsid w:val="59246D36"/>
    <w:rsid w:val="592E3B9C"/>
    <w:rsid w:val="595E0A33"/>
    <w:rsid w:val="596D3FF6"/>
    <w:rsid w:val="598565E8"/>
    <w:rsid w:val="59892614"/>
    <w:rsid w:val="5989474C"/>
    <w:rsid w:val="598F44ED"/>
    <w:rsid w:val="59B54A5B"/>
    <w:rsid w:val="59B91EE8"/>
    <w:rsid w:val="59C208D3"/>
    <w:rsid w:val="59E048A9"/>
    <w:rsid w:val="59F421EA"/>
    <w:rsid w:val="5A063E40"/>
    <w:rsid w:val="5A2C5613"/>
    <w:rsid w:val="5A2D6DD0"/>
    <w:rsid w:val="5A3F4386"/>
    <w:rsid w:val="5A5808FE"/>
    <w:rsid w:val="5A672EBE"/>
    <w:rsid w:val="5A6D4115"/>
    <w:rsid w:val="5A6E61AB"/>
    <w:rsid w:val="5A733ECB"/>
    <w:rsid w:val="5A7D62F0"/>
    <w:rsid w:val="5A9665E0"/>
    <w:rsid w:val="5AE76999"/>
    <w:rsid w:val="5AF04DAE"/>
    <w:rsid w:val="5AFE44C2"/>
    <w:rsid w:val="5B0114C6"/>
    <w:rsid w:val="5B371B94"/>
    <w:rsid w:val="5B372BFB"/>
    <w:rsid w:val="5B4902D3"/>
    <w:rsid w:val="5B4B0699"/>
    <w:rsid w:val="5B641294"/>
    <w:rsid w:val="5B89775C"/>
    <w:rsid w:val="5B8B534C"/>
    <w:rsid w:val="5B8D6EB5"/>
    <w:rsid w:val="5B9E3F47"/>
    <w:rsid w:val="5BA53AA0"/>
    <w:rsid w:val="5BDE45BC"/>
    <w:rsid w:val="5BFA4179"/>
    <w:rsid w:val="5C0A427E"/>
    <w:rsid w:val="5C1271C4"/>
    <w:rsid w:val="5C440D2E"/>
    <w:rsid w:val="5C6C2D78"/>
    <w:rsid w:val="5C961BA3"/>
    <w:rsid w:val="5C9936D5"/>
    <w:rsid w:val="5CA85BDC"/>
    <w:rsid w:val="5CAC1823"/>
    <w:rsid w:val="5CD341B0"/>
    <w:rsid w:val="5CD9417C"/>
    <w:rsid w:val="5CDD72F3"/>
    <w:rsid w:val="5CEE7C31"/>
    <w:rsid w:val="5D00374B"/>
    <w:rsid w:val="5D2E002E"/>
    <w:rsid w:val="5D3339F9"/>
    <w:rsid w:val="5D4661F1"/>
    <w:rsid w:val="5D7243EB"/>
    <w:rsid w:val="5D81608A"/>
    <w:rsid w:val="5DA050A2"/>
    <w:rsid w:val="5DEC7CA6"/>
    <w:rsid w:val="5E044F63"/>
    <w:rsid w:val="5E0E442D"/>
    <w:rsid w:val="5E7E713B"/>
    <w:rsid w:val="5E91181F"/>
    <w:rsid w:val="5EAB0FBA"/>
    <w:rsid w:val="5EB033F0"/>
    <w:rsid w:val="5EBC5418"/>
    <w:rsid w:val="5EC719AC"/>
    <w:rsid w:val="5EE64974"/>
    <w:rsid w:val="5F06135B"/>
    <w:rsid w:val="5F14652A"/>
    <w:rsid w:val="5F2564C4"/>
    <w:rsid w:val="5F2F5787"/>
    <w:rsid w:val="5F4E1420"/>
    <w:rsid w:val="5F623A14"/>
    <w:rsid w:val="5F667F53"/>
    <w:rsid w:val="5F9A5CD4"/>
    <w:rsid w:val="5F9A72BF"/>
    <w:rsid w:val="5FD00B55"/>
    <w:rsid w:val="6023135D"/>
    <w:rsid w:val="60301B08"/>
    <w:rsid w:val="6031230F"/>
    <w:rsid w:val="60583411"/>
    <w:rsid w:val="6068534E"/>
    <w:rsid w:val="609F259D"/>
    <w:rsid w:val="60B75320"/>
    <w:rsid w:val="60DB6459"/>
    <w:rsid w:val="60E350DD"/>
    <w:rsid w:val="60FF23DE"/>
    <w:rsid w:val="611960C9"/>
    <w:rsid w:val="615663BD"/>
    <w:rsid w:val="615D05FB"/>
    <w:rsid w:val="615D6E31"/>
    <w:rsid w:val="61635134"/>
    <w:rsid w:val="61904A04"/>
    <w:rsid w:val="61D66283"/>
    <w:rsid w:val="61D76F46"/>
    <w:rsid w:val="61E35018"/>
    <w:rsid w:val="621023F8"/>
    <w:rsid w:val="62350094"/>
    <w:rsid w:val="623D2E86"/>
    <w:rsid w:val="626C3349"/>
    <w:rsid w:val="6270043C"/>
    <w:rsid w:val="62886432"/>
    <w:rsid w:val="62B15989"/>
    <w:rsid w:val="62B32C59"/>
    <w:rsid w:val="62C679CC"/>
    <w:rsid w:val="62CC410E"/>
    <w:rsid w:val="62D46E9D"/>
    <w:rsid w:val="62E96BF4"/>
    <w:rsid w:val="632F3AD1"/>
    <w:rsid w:val="63384CE6"/>
    <w:rsid w:val="63505342"/>
    <w:rsid w:val="63543403"/>
    <w:rsid w:val="637D530B"/>
    <w:rsid w:val="63CF5150"/>
    <w:rsid w:val="63E52746"/>
    <w:rsid w:val="64116981"/>
    <w:rsid w:val="641316BC"/>
    <w:rsid w:val="642A4523"/>
    <w:rsid w:val="644929EA"/>
    <w:rsid w:val="64497C5C"/>
    <w:rsid w:val="64615DCF"/>
    <w:rsid w:val="64844A66"/>
    <w:rsid w:val="64A47651"/>
    <w:rsid w:val="64C75579"/>
    <w:rsid w:val="64FE14CD"/>
    <w:rsid w:val="65076560"/>
    <w:rsid w:val="652C5286"/>
    <w:rsid w:val="65633B3F"/>
    <w:rsid w:val="6575400C"/>
    <w:rsid w:val="659549F2"/>
    <w:rsid w:val="65AE2EB6"/>
    <w:rsid w:val="65D43C32"/>
    <w:rsid w:val="65FB4A91"/>
    <w:rsid w:val="661632D0"/>
    <w:rsid w:val="6629319F"/>
    <w:rsid w:val="663542C7"/>
    <w:rsid w:val="663E155A"/>
    <w:rsid w:val="66604F2A"/>
    <w:rsid w:val="6686712D"/>
    <w:rsid w:val="66941025"/>
    <w:rsid w:val="66A56F2D"/>
    <w:rsid w:val="66A65E19"/>
    <w:rsid w:val="66B50012"/>
    <w:rsid w:val="66BA7C53"/>
    <w:rsid w:val="66BF79C8"/>
    <w:rsid w:val="66CD0452"/>
    <w:rsid w:val="66D5082C"/>
    <w:rsid w:val="6717639E"/>
    <w:rsid w:val="67184229"/>
    <w:rsid w:val="674A198F"/>
    <w:rsid w:val="67617776"/>
    <w:rsid w:val="67695AC5"/>
    <w:rsid w:val="67696066"/>
    <w:rsid w:val="67803B7C"/>
    <w:rsid w:val="67816B14"/>
    <w:rsid w:val="6790325D"/>
    <w:rsid w:val="679E63D6"/>
    <w:rsid w:val="67A82106"/>
    <w:rsid w:val="67D31EFE"/>
    <w:rsid w:val="67D92827"/>
    <w:rsid w:val="67E23A98"/>
    <w:rsid w:val="67E753C4"/>
    <w:rsid w:val="67F210E1"/>
    <w:rsid w:val="681642F6"/>
    <w:rsid w:val="683706DE"/>
    <w:rsid w:val="68413887"/>
    <w:rsid w:val="68440C3C"/>
    <w:rsid w:val="68511442"/>
    <w:rsid w:val="685C6397"/>
    <w:rsid w:val="687679BB"/>
    <w:rsid w:val="68A025F1"/>
    <w:rsid w:val="68B50E30"/>
    <w:rsid w:val="68BA190C"/>
    <w:rsid w:val="68D4107D"/>
    <w:rsid w:val="68E35083"/>
    <w:rsid w:val="68E85B36"/>
    <w:rsid w:val="68EE5729"/>
    <w:rsid w:val="68FC27E7"/>
    <w:rsid w:val="69576BD8"/>
    <w:rsid w:val="69B80282"/>
    <w:rsid w:val="69D71389"/>
    <w:rsid w:val="6A0355C5"/>
    <w:rsid w:val="6A2B1544"/>
    <w:rsid w:val="6A841BD5"/>
    <w:rsid w:val="6A8B37B0"/>
    <w:rsid w:val="6AA27207"/>
    <w:rsid w:val="6AC0197F"/>
    <w:rsid w:val="6AD20653"/>
    <w:rsid w:val="6AEA56A2"/>
    <w:rsid w:val="6B084100"/>
    <w:rsid w:val="6B1E7A95"/>
    <w:rsid w:val="6B1F33C6"/>
    <w:rsid w:val="6B2262B2"/>
    <w:rsid w:val="6B6714A0"/>
    <w:rsid w:val="6B773A73"/>
    <w:rsid w:val="6BA23027"/>
    <w:rsid w:val="6BA554F0"/>
    <w:rsid w:val="6BB209A1"/>
    <w:rsid w:val="6BBC54C9"/>
    <w:rsid w:val="6BCF1BD7"/>
    <w:rsid w:val="6BD4220F"/>
    <w:rsid w:val="6BE36608"/>
    <w:rsid w:val="6C1504DA"/>
    <w:rsid w:val="6C3E50BB"/>
    <w:rsid w:val="6C6177FB"/>
    <w:rsid w:val="6C847636"/>
    <w:rsid w:val="6C950AE3"/>
    <w:rsid w:val="6CC16276"/>
    <w:rsid w:val="6CD27325"/>
    <w:rsid w:val="6CE11F17"/>
    <w:rsid w:val="6CED01F4"/>
    <w:rsid w:val="6CF131BE"/>
    <w:rsid w:val="6CF46AEC"/>
    <w:rsid w:val="6D0F678D"/>
    <w:rsid w:val="6D134C09"/>
    <w:rsid w:val="6D8C6766"/>
    <w:rsid w:val="6D976D38"/>
    <w:rsid w:val="6D9C2355"/>
    <w:rsid w:val="6DA22AD9"/>
    <w:rsid w:val="6DA66170"/>
    <w:rsid w:val="6DB8732C"/>
    <w:rsid w:val="6DBF42CA"/>
    <w:rsid w:val="6DD50A59"/>
    <w:rsid w:val="6E061822"/>
    <w:rsid w:val="6E106480"/>
    <w:rsid w:val="6E2442BB"/>
    <w:rsid w:val="6E441BB7"/>
    <w:rsid w:val="6E7C0244"/>
    <w:rsid w:val="6E7E353C"/>
    <w:rsid w:val="6E84731C"/>
    <w:rsid w:val="6EB37A64"/>
    <w:rsid w:val="6EDB37A3"/>
    <w:rsid w:val="6EDF260E"/>
    <w:rsid w:val="6EFD6ABC"/>
    <w:rsid w:val="6F0E32B2"/>
    <w:rsid w:val="6F207752"/>
    <w:rsid w:val="6F284E18"/>
    <w:rsid w:val="6F295B5D"/>
    <w:rsid w:val="6F2C05A2"/>
    <w:rsid w:val="6F35308D"/>
    <w:rsid w:val="6F484CA9"/>
    <w:rsid w:val="6F8260B0"/>
    <w:rsid w:val="6F975ACD"/>
    <w:rsid w:val="6FB52916"/>
    <w:rsid w:val="6FC92B54"/>
    <w:rsid w:val="6FCE6E18"/>
    <w:rsid w:val="6FE77C9A"/>
    <w:rsid w:val="6FE975DF"/>
    <w:rsid w:val="6FF732F8"/>
    <w:rsid w:val="701205A6"/>
    <w:rsid w:val="701A4D55"/>
    <w:rsid w:val="701F7D05"/>
    <w:rsid w:val="70426A01"/>
    <w:rsid w:val="706C1EBD"/>
    <w:rsid w:val="706F2826"/>
    <w:rsid w:val="708A1491"/>
    <w:rsid w:val="70BC75C6"/>
    <w:rsid w:val="70C11B72"/>
    <w:rsid w:val="70D87D93"/>
    <w:rsid w:val="710F784F"/>
    <w:rsid w:val="71134C74"/>
    <w:rsid w:val="713F52C5"/>
    <w:rsid w:val="71742225"/>
    <w:rsid w:val="71882C90"/>
    <w:rsid w:val="71884429"/>
    <w:rsid w:val="7193512F"/>
    <w:rsid w:val="71AA768E"/>
    <w:rsid w:val="71CE2DA4"/>
    <w:rsid w:val="71F20E08"/>
    <w:rsid w:val="720415CD"/>
    <w:rsid w:val="7242215A"/>
    <w:rsid w:val="72655822"/>
    <w:rsid w:val="726E3BE2"/>
    <w:rsid w:val="72966A16"/>
    <w:rsid w:val="72DA7973"/>
    <w:rsid w:val="72DC2D13"/>
    <w:rsid w:val="73460D90"/>
    <w:rsid w:val="736A3143"/>
    <w:rsid w:val="737B0F44"/>
    <w:rsid w:val="73A62A2D"/>
    <w:rsid w:val="73A74789"/>
    <w:rsid w:val="73AE4247"/>
    <w:rsid w:val="73C53900"/>
    <w:rsid w:val="73D9089C"/>
    <w:rsid w:val="73DA0F8D"/>
    <w:rsid w:val="741E4F2D"/>
    <w:rsid w:val="743141BC"/>
    <w:rsid w:val="74341890"/>
    <w:rsid w:val="74591FBF"/>
    <w:rsid w:val="748F53FE"/>
    <w:rsid w:val="74ED5A8F"/>
    <w:rsid w:val="751261C9"/>
    <w:rsid w:val="7536213C"/>
    <w:rsid w:val="756C2589"/>
    <w:rsid w:val="756D7476"/>
    <w:rsid w:val="7574427C"/>
    <w:rsid w:val="759D2BCA"/>
    <w:rsid w:val="75B5111E"/>
    <w:rsid w:val="75C25D8C"/>
    <w:rsid w:val="75E66E1A"/>
    <w:rsid w:val="761E2DC9"/>
    <w:rsid w:val="768209F7"/>
    <w:rsid w:val="769C1F90"/>
    <w:rsid w:val="76CD220E"/>
    <w:rsid w:val="76CE0566"/>
    <w:rsid w:val="76EC5788"/>
    <w:rsid w:val="76F81A0D"/>
    <w:rsid w:val="770C60DB"/>
    <w:rsid w:val="77552A92"/>
    <w:rsid w:val="777233E5"/>
    <w:rsid w:val="777B06D6"/>
    <w:rsid w:val="77853E58"/>
    <w:rsid w:val="778F4535"/>
    <w:rsid w:val="77B82B58"/>
    <w:rsid w:val="77B84B52"/>
    <w:rsid w:val="77BA6D4B"/>
    <w:rsid w:val="77C27783"/>
    <w:rsid w:val="77D0613D"/>
    <w:rsid w:val="77E32730"/>
    <w:rsid w:val="78040838"/>
    <w:rsid w:val="780E7403"/>
    <w:rsid w:val="7843330F"/>
    <w:rsid w:val="785753FE"/>
    <w:rsid w:val="78613571"/>
    <w:rsid w:val="788A374F"/>
    <w:rsid w:val="789E0F80"/>
    <w:rsid w:val="78C16ABD"/>
    <w:rsid w:val="78EB5359"/>
    <w:rsid w:val="791547BD"/>
    <w:rsid w:val="7930632C"/>
    <w:rsid w:val="79474321"/>
    <w:rsid w:val="797262FA"/>
    <w:rsid w:val="7975474D"/>
    <w:rsid w:val="79895EA7"/>
    <w:rsid w:val="79A454DE"/>
    <w:rsid w:val="79A6014E"/>
    <w:rsid w:val="79B50183"/>
    <w:rsid w:val="79CA5745"/>
    <w:rsid w:val="79D53210"/>
    <w:rsid w:val="79DF4732"/>
    <w:rsid w:val="79F9216F"/>
    <w:rsid w:val="79FE19B1"/>
    <w:rsid w:val="7A0B644E"/>
    <w:rsid w:val="7A110BA7"/>
    <w:rsid w:val="7A205F6D"/>
    <w:rsid w:val="7A606B16"/>
    <w:rsid w:val="7A8B56D8"/>
    <w:rsid w:val="7A91452C"/>
    <w:rsid w:val="7A966ADD"/>
    <w:rsid w:val="7AB7210F"/>
    <w:rsid w:val="7ABF1E08"/>
    <w:rsid w:val="7AE2075E"/>
    <w:rsid w:val="7B0408F4"/>
    <w:rsid w:val="7B11758C"/>
    <w:rsid w:val="7B1A08A6"/>
    <w:rsid w:val="7B371797"/>
    <w:rsid w:val="7B497603"/>
    <w:rsid w:val="7B641703"/>
    <w:rsid w:val="7B7565CC"/>
    <w:rsid w:val="7B7A1290"/>
    <w:rsid w:val="7B917164"/>
    <w:rsid w:val="7BEA0634"/>
    <w:rsid w:val="7BF265BF"/>
    <w:rsid w:val="7BF87F40"/>
    <w:rsid w:val="7BF93376"/>
    <w:rsid w:val="7C114E84"/>
    <w:rsid w:val="7C405383"/>
    <w:rsid w:val="7C7E262E"/>
    <w:rsid w:val="7CAA3DAD"/>
    <w:rsid w:val="7CC33238"/>
    <w:rsid w:val="7D00523D"/>
    <w:rsid w:val="7D321E50"/>
    <w:rsid w:val="7D534856"/>
    <w:rsid w:val="7D6D1D0F"/>
    <w:rsid w:val="7D992208"/>
    <w:rsid w:val="7D9C68D3"/>
    <w:rsid w:val="7DE362A0"/>
    <w:rsid w:val="7E0E3466"/>
    <w:rsid w:val="7E2D29A4"/>
    <w:rsid w:val="7E3B1D3C"/>
    <w:rsid w:val="7E3D4EA6"/>
    <w:rsid w:val="7E4E25A0"/>
    <w:rsid w:val="7E5A0CEE"/>
    <w:rsid w:val="7E74687A"/>
    <w:rsid w:val="7E7C101B"/>
    <w:rsid w:val="7E8218B2"/>
    <w:rsid w:val="7E8D29AE"/>
    <w:rsid w:val="7EA80BAA"/>
    <w:rsid w:val="7ED14CF7"/>
    <w:rsid w:val="7ED30F91"/>
    <w:rsid w:val="7F0275FF"/>
    <w:rsid w:val="7F10597A"/>
    <w:rsid w:val="7F193E90"/>
    <w:rsid w:val="7F2968FC"/>
    <w:rsid w:val="7F2B4AE8"/>
    <w:rsid w:val="7F542AF6"/>
    <w:rsid w:val="7F5E0598"/>
    <w:rsid w:val="7F634E95"/>
    <w:rsid w:val="7F7210A5"/>
    <w:rsid w:val="7F7E7515"/>
    <w:rsid w:val="7F856F45"/>
    <w:rsid w:val="7F8A23C4"/>
    <w:rsid w:val="7F8A5140"/>
    <w:rsid w:val="7F961D37"/>
    <w:rsid w:val="7F9D6142"/>
    <w:rsid w:val="7FA679F4"/>
    <w:rsid w:val="7FE06A8B"/>
    <w:rsid w:val="7FFD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unhideWhenUsed/>
    <w:qFormat/>
    <w:uiPriority w:val="99"/>
    <w:rPr>
      <w:rFonts w:ascii="宋体"/>
      <w:sz w:val="24"/>
      <w:szCs w:val="24"/>
    </w:rPr>
  </w:style>
  <w:style w:type="paragraph" w:styleId="3">
    <w:name w:val="annotation text"/>
    <w:basedOn w:val="1"/>
    <w:link w:val="18"/>
    <w:autoRedefine/>
    <w:unhideWhenUsed/>
    <w:qFormat/>
    <w:uiPriority w:val="99"/>
    <w:pPr>
      <w:jc w:val="left"/>
    </w:pPr>
  </w:style>
  <w:style w:type="paragraph" w:styleId="4">
    <w:name w:val="Balloon Text"/>
    <w:basedOn w:val="1"/>
    <w:link w:val="16"/>
    <w:autoRedefine/>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9"/>
    <w:autoRedefine/>
    <w:unhideWhenUsed/>
    <w:qFormat/>
    <w:uiPriority w:val="99"/>
    <w:rPr>
      <w:b/>
      <w:bCs/>
    </w:rPr>
  </w:style>
  <w:style w:type="table" w:styleId="10">
    <w:name w:val="Table Grid"/>
    <w:basedOn w:val="9"/>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1"/>
    <w:autoRedefine/>
    <w:unhideWhenUsed/>
    <w:qFormat/>
    <w:uiPriority w:val="99"/>
    <w:rPr>
      <w:sz w:val="21"/>
      <w:szCs w:val="21"/>
    </w:rPr>
  </w:style>
  <w:style w:type="character" w:customStyle="1" w:styleId="14">
    <w:name w:val="页眉 字符"/>
    <w:basedOn w:val="11"/>
    <w:link w:val="6"/>
    <w:autoRedefine/>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批注框文本 字符"/>
    <w:basedOn w:val="11"/>
    <w:link w:val="4"/>
    <w:autoRedefine/>
    <w:semiHidden/>
    <w:qFormat/>
    <w:uiPriority w:val="99"/>
    <w:rPr>
      <w:sz w:val="18"/>
      <w:szCs w:val="18"/>
    </w:rPr>
  </w:style>
  <w:style w:type="paragraph" w:customStyle="1" w:styleId="17">
    <w:name w:val="列表段落1"/>
    <w:basedOn w:val="1"/>
    <w:autoRedefine/>
    <w:qFormat/>
    <w:uiPriority w:val="34"/>
    <w:pPr>
      <w:ind w:firstLine="420" w:firstLineChars="200"/>
    </w:pPr>
    <w:rPr>
      <w:rFonts w:asciiTheme="minorHAnsi" w:hAnsiTheme="minorHAnsi" w:eastAsiaTheme="minorEastAsia" w:cstheme="minorBidi"/>
    </w:rPr>
  </w:style>
  <w:style w:type="character" w:customStyle="1" w:styleId="18">
    <w:name w:val="批注文字 字符"/>
    <w:basedOn w:val="11"/>
    <w:link w:val="3"/>
    <w:autoRedefine/>
    <w:qFormat/>
    <w:uiPriority w:val="99"/>
    <w:rPr>
      <w:kern w:val="2"/>
      <w:sz w:val="21"/>
      <w:szCs w:val="22"/>
    </w:rPr>
  </w:style>
  <w:style w:type="character" w:customStyle="1" w:styleId="19">
    <w:name w:val="批注主题 字符"/>
    <w:basedOn w:val="18"/>
    <w:link w:val="8"/>
    <w:autoRedefine/>
    <w:semiHidden/>
    <w:qFormat/>
    <w:uiPriority w:val="99"/>
    <w:rPr>
      <w:b/>
      <w:bCs/>
      <w:kern w:val="2"/>
      <w:sz w:val="21"/>
      <w:szCs w:val="22"/>
    </w:rPr>
  </w:style>
  <w:style w:type="paragraph" w:customStyle="1" w:styleId="20">
    <w:name w:val="Default"/>
    <w:basedOn w:val="1"/>
    <w:autoRedefine/>
    <w:qFormat/>
    <w:uiPriority w:val="0"/>
    <w:pPr>
      <w:autoSpaceDE w:val="0"/>
      <w:autoSpaceDN w:val="0"/>
      <w:adjustRightInd w:val="0"/>
      <w:jc w:val="left"/>
    </w:pPr>
    <w:rPr>
      <w:rFonts w:ascii="仿宋" w:eastAsia="仿宋" w:cs="宋体"/>
      <w:color w:val="000000"/>
      <w:kern w:val="0"/>
      <w:sz w:val="24"/>
      <w:szCs w:val="24"/>
    </w:rPr>
  </w:style>
  <w:style w:type="paragraph" w:customStyle="1" w:styleId="21">
    <w:name w:val="列出段落2"/>
    <w:basedOn w:val="1"/>
    <w:autoRedefine/>
    <w:unhideWhenUsed/>
    <w:qFormat/>
    <w:uiPriority w:val="99"/>
    <w:pPr>
      <w:ind w:firstLine="420" w:firstLineChars="200"/>
    </w:pPr>
  </w:style>
  <w:style w:type="paragraph" w:customStyle="1" w:styleId="22">
    <w:name w:val="Table Paragraph"/>
    <w:basedOn w:val="1"/>
    <w:autoRedefine/>
    <w:qFormat/>
    <w:uiPriority w:val="1"/>
    <w:pPr>
      <w:jc w:val="left"/>
    </w:pPr>
    <w:rPr>
      <w:rFonts w:asciiTheme="minorHAnsi" w:hAnsiTheme="minorHAnsi" w:eastAsiaTheme="minorEastAsia" w:cstheme="minorBidi"/>
      <w:kern w:val="0"/>
      <w:sz w:val="22"/>
      <w:lang w:eastAsia="en-US"/>
    </w:rPr>
  </w:style>
  <w:style w:type="table" w:customStyle="1" w:styleId="23">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24">
    <w:name w:val="List Paragraph"/>
    <w:basedOn w:val="1"/>
    <w:autoRedefine/>
    <w:qFormat/>
    <w:uiPriority w:val="99"/>
    <w:pPr>
      <w:ind w:firstLine="420" w:firstLineChars="200"/>
    </w:pPr>
  </w:style>
  <w:style w:type="paragraph" w:customStyle="1" w:styleId="25">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6">
    <w:name w:val="文档结构图 字符"/>
    <w:basedOn w:val="11"/>
    <w:link w:val="2"/>
    <w:autoRedefine/>
    <w:qFormat/>
    <w:uiPriority w:val="99"/>
    <w:rPr>
      <w:rFonts w:ascii="宋体" w:hAnsi="Calibri"/>
      <w:kern w:val="2"/>
      <w:sz w:val="24"/>
      <w:szCs w:val="24"/>
    </w:rPr>
  </w:style>
  <w:style w:type="paragraph" w:customStyle="1" w:styleId="27">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0DC4-B29B-4E90-9A58-2313DFB75E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10100</Words>
  <Characters>10825</Characters>
  <Lines>77</Lines>
  <Paragraphs>21</Paragraphs>
  <TotalTime>8</TotalTime>
  <ScaleCrop>false</ScaleCrop>
  <LinksUpToDate>false</LinksUpToDate>
  <CharactersWithSpaces>10836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2020-09-27T10:31:00Z</dcterms:created>
  <dc:creator>匿名用户</dc:creator>
  <cp:lastModifiedBy>CH07</cp:lastModifiedBy>
  <cp:lastPrinted>2023-12-19T03:20:00Z</cp:lastPrinted>
  <dcterms:modified xsi:type="dcterms:W3CDTF">2024-03-11T08:11:53Z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FA86006AF3AA4BE0924C6183DC732125_13</vt:lpwstr>
  </property>
</Properties>
</file>