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exact"/>
        <w:jc w:val="center"/>
        <w:outlineLvl w:val="1"/>
        <w:rPr>
          <w:rFonts w:ascii="Times New Roman" w:hAnsi="Times New Roman" w:eastAsia="黑体" w:cs="Times New Roman"/>
          <w:kern w:val="0"/>
          <w:sz w:val="22"/>
        </w:rPr>
      </w:pPr>
      <w:r>
        <w:rPr>
          <w:rFonts w:hint="eastAsia" w:ascii="Times New Roman" w:hAnsi="Times New Roman" w:eastAsia="黑体" w:cs="Times New Roman"/>
          <w:kern w:val="0"/>
          <w:sz w:val="22"/>
        </w:rPr>
        <w:t>信银理财理财产品投资协议书</w:t>
      </w:r>
    </w:p>
    <w:p>
      <w:pPr>
        <w:widowControl/>
        <w:spacing w:line="300" w:lineRule="exact"/>
        <w:ind w:firstLine="480"/>
        <w:jc w:val="left"/>
        <w:rPr>
          <w:rFonts w:ascii="Times New Roman" w:hAnsi="Times New Roman" w:eastAsia="楷体_GB2312" w:cs="Times New Roman"/>
          <w:kern w:val="0"/>
          <w:sz w:val="20"/>
          <w:szCs w:val="20"/>
        </w:rPr>
      </w:pP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甲方：投资者（投资者信息详见签署页）</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乙方：信银理财有限责任公司</w:t>
      </w:r>
    </w:p>
    <w:p>
      <w:pPr>
        <w:widowControl/>
        <w:spacing w:line="300" w:lineRule="exact"/>
        <w:ind w:firstLine="480"/>
        <w:jc w:val="left"/>
        <w:rPr>
          <w:rFonts w:ascii="Times New Roman" w:hAnsi="Times New Roman" w:eastAsia="楷体_GB2312" w:cs="Times New Roman"/>
          <w:kern w:val="0"/>
          <w:sz w:val="20"/>
          <w:szCs w:val="20"/>
        </w:rPr>
      </w:pP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经甲方和乙方平等协商，就甲方认购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申购乙方发行的理财产品（以下简称</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理财产品</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），达成本协议如下：</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一、适用范围</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甲方在认购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申购乙方发行的理财产品之前应签署本协议。本协议生效后，甲方认购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申购乙方发行的理财产品的，均适用本协议。</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本协议为规范甲乙双方在理财业务中权利与义务的法律文件，与甲方认购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申购乙方多支理财产品时，不同理财产品对应的《信银理财理财产品产品说明书》《信银理财理财产品风险揭示书》组成的理财产品合同互相独立。</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本协议不作为甲方认购</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申购或持有理财产品的凭证。</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二、风险提示</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kern w:val="0"/>
          <w:sz w:val="20"/>
          <w:szCs w:val="20"/>
        </w:rPr>
        <w:t>/</w:t>
      </w:r>
      <w:r>
        <w:rPr>
          <w:rFonts w:hint="eastAsia" w:ascii="Times New Roman" w:hAnsi="Times New Roman" w:eastAsia="楷体_GB2312" w:cs="Times New Roman"/>
          <w:b/>
          <w:bCs/>
          <w:kern w:val="0"/>
          <w:sz w:val="20"/>
          <w:szCs w:val="20"/>
        </w:rPr>
        <w:t>申购的理财产品的《信银理财理财产品产品说明书》和《信银理财理财产品风险揭示书》中的相应条款。</w:t>
      </w:r>
    </w:p>
    <w:p>
      <w:pPr>
        <w:widowControl/>
        <w:spacing w:line="300" w:lineRule="exact"/>
        <w:ind w:firstLine="480"/>
        <w:jc w:val="left"/>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三、投资条款</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Cs/>
          <w:kern w:val="0"/>
          <w:sz w:val="20"/>
          <w:szCs w:val="20"/>
        </w:rPr>
        <w:t>甲方认购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申购理财产品的具体认购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申购条件、流程、金额、份额、费用以及其他投资条款，由甲方实际认购</w:t>
      </w:r>
      <w:r>
        <w:rPr>
          <w:rFonts w:ascii="Times New Roman" w:hAnsi="Times New Roman" w:eastAsia="楷体_GB2312" w:cs="Times New Roman"/>
          <w:bCs/>
          <w:kern w:val="0"/>
          <w:sz w:val="20"/>
          <w:szCs w:val="20"/>
        </w:rPr>
        <w:t>/</w:t>
      </w:r>
      <w:r>
        <w:rPr>
          <w:rFonts w:hint="eastAsia" w:ascii="Times New Roman" w:hAnsi="Times New Roman" w:eastAsia="楷体_GB2312" w:cs="Times New Roman"/>
          <w:bCs/>
          <w:kern w:val="0"/>
          <w:sz w:val="20"/>
          <w:szCs w:val="20"/>
        </w:rPr>
        <w:t>申购的理财产品的《信银理财理财产品产品说明书》具体约定。</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四、甲方的权利与义务</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（一）甲方具有完全民事行为能力，有完全适当的资格与能力订立并履行理财产品销售文件，不存在法律、行政法规有关规定禁止或限制投资理财产品的情形（适用于个人投资者）；</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（二）甲方保证以真实身份投资本理财产品，保证提供给产品管理人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代销机构的信息和资料均真实、准确、完整、合法。如甲方的信息和</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或资料发生变更，应当及时书面告知产品管理人或代销机构；</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（三）甲方声明熟悉理财产品类型特征及不同销售渠道的法律法规规定；</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（四）甲方承诺：如委托他人购买本产品，代理人须出具具有法律效力的授权委托书；</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（五）甲方保证理财投资资金来源和用途合法，保证可向产品管理人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代销机构提供合法筹集的证明文件；</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（六）甲方不得利用理财业务及理财产品销售文件项下理财产品从事违法活动；</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代销机构开展投资者身份识别、交易记录保存、投资者身份及交易背景尽职调查、大额和可疑交易报告等各项反洗钱工作，并按要求提供相关证明材料；</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（八）甲方不属于联合国、欧盟或美国等制裁名单，及中国政府部门或有权机关发布的涉恐及反洗钱相关风险名单内的企业或个人；不位于被联合国、欧盟或美国等制裁的国家和地区；</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pPr>
        <w:widowControl/>
        <w:spacing w:line="300" w:lineRule="exact"/>
        <w:ind w:firstLine="480"/>
        <w:jc w:val="left"/>
        <w:rPr>
          <w:rFonts w:ascii="Times New Roman" w:hAnsi="Times New Roman" w:eastAsia="楷体_GB2312" w:cs="Times New Roman"/>
          <w:kern w:val="0"/>
          <w:sz w:val="20"/>
          <w:szCs w:val="20"/>
        </w:rPr>
      </w:pPr>
      <w:r>
        <w:rPr>
          <w:rFonts w:hint="eastAsia" w:ascii="Times New Roman" w:hAnsi="Times New Roman" w:eastAsia="楷体_GB2312" w:cs="Times New Roman"/>
          <w:b/>
          <w:bCs/>
          <w:kern w:val="0"/>
          <w:sz w:val="20"/>
          <w:szCs w:val="20"/>
        </w:rPr>
        <w:t>五、乙方的权利与义务</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（一）乙方具有开办理财业务的经营资质，保证以诚实守信、勤勉尽职的原则管理和运用理财资金；</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（二）乙方具有完全适当的资格和能力订立与履行理财产品合同。</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六、违约责任</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双方因违反本协议约定而给对方造成损失的，违约方应赔偿因此给对方造成的直接损失。</w:t>
      </w:r>
    </w:p>
    <w:p>
      <w:pPr>
        <w:widowControl/>
        <w:spacing w:line="300" w:lineRule="exact"/>
        <w:ind w:firstLine="480"/>
        <w:jc w:val="left"/>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七、免责内容</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w:t>
      </w:r>
      <w:r>
        <w:rPr>
          <w:rFonts w:hint="eastAsia" w:ascii="Times New Roman" w:hAnsi="Times New Roman" w:eastAsia="楷体_GB2312" w:cs="Times New Roman"/>
          <w:b/>
          <w:bCs/>
          <w:sz w:val="20"/>
          <w:szCs w:val="20"/>
        </w:rPr>
        <w:t>乙方应在条件允许的情况下，采取必要的补救措施以减少不可抗力造成的损失</w:t>
      </w:r>
      <w:r>
        <w:rPr>
          <w:rFonts w:ascii="Times New Roman" w:hAnsi="Times New Roman" w:eastAsia="楷体_GB2312" w:cs="Times New Roman"/>
          <w:b/>
          <w:bCs/>
          <w:sz w:val="20"/>
          <w:szCs w:val="20"/>
        </w:rPr>
        <w:t>。</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八、争议解决</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kern w:val="0"/>
          <w:sz w:val="20"/>
          <w:szCs w:val="20"/>
        </w:rPr>
        <w:t>（一）本协议及其他理财产品合同适用中华人民共和国法律（为履行理财产品合同之目的，不包括中国香港特别行政区、澳门特别行政区及台湾地区法律）。</w:t>
      </w:r>
    </w:p>
    <w:p>
      <w:pPr>
        <w:widowControl/>
        <w:spacing w:line="300" w:lineRule="exact"/>
        <w:ind w:firstLine="482"/>
        <w:rPr>
          <w:rFonts w:ascii="Times New Roman" w:hAnsi="Times New Roman" w:eastAsia="楷体_GB2312" w:cs="Times New Roman"/>
          <w:b/>
          <w:bCs/>
          <w:kern w:val="0"/>
          <w:sz w:val="20"/>
          <w:szCs w:val="20"/>
        </w:rPr>
      </w:pPr>
      <w:r>
        <w:rPr>
          <w:rFonts w:hint="eastAsia" w:ascii="Times New Roman" w:hAnsi="Times New Roman" w:eastAsia="楷体_GB2312" w:cs="Times New Roman"/>
          <w:b/>
          <w:bCs/>
          <w:kern w:val="0"/>
          <w:sz w:val="20"/>
          <w:szCs w:val="20"/>
        </w:rPr>
        <w:t>（二）凡因</w:t>
      </w:r>
      <w:r>
        <w:rPr>
          <w:rFonts w:hint="eastAsia" w:ascii="Times New Roman" w:hAnsi="Times New Roman" w:eastAsia="楷体_GB2312" w:cs="Times New Roman"/>
          <w:b/>
          <w:kern w:val="0"/>
          <w:sz w:val="20"/>
          <w:szCs w:val="20"/>
        </w:rPr>
        <w:t>本协议/</w:t>
      </w:r>
      <w:r>
        <w:rPr>
          <w:rFonts w:hint="eastAsia" w:ascii="Times New Roman" w:hAnsi="Times New Roman" w:eastAsia="楷体_GB2312" w:cs="Times New Roman"/>
          <w:b/>
          <w:bCs/>
          <w:kern w:val="0"/>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bCs/>
          <w:kern w:val="0"/>
          <w:sz w:val="20"/>
          <w:szCs w:val="20"/>
        </w:rPr>
        <w:t>（三）在协商或仲裁期间，对于本协议/理财产品合同部涉及争议部分的条款，双方仍须履行。</w:t>
      </w:r>
    </w:p>
    <w:p>
      <w:pPr>
        <w:widowControl/>
        <w:spacing w:line="300" w:lineRule="exact"/>
        <w:ind w:firstLine="480"/>
        <w:jc w:val="left"/>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九、附则</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申购份额经乙方确认后生效。甲方知悉并确认，乙方对于甲方认购</w:t>
      </w:r>
      <w:r>
        <w:rPr>
          <w:rFonts w:ascii="Times New Roman" w:hAnsi="Times New Roman" w:eastAsia="楷体_GB2312" w:cs="Times New Roman"/>
          <w:b/>
          <w:kern w:val="0"/>
          <w:sz w:val="20"/>
          <w:szCs w:val="20"/>
        </w:rPr>
        <w:t>/</w:t>
      </w:r>
      <w:r>
        <w:rPr>
          <w:rFonts w:hint="eastAsia" w:ascii="Times New Roman" w:hAnsi="Times New Roman" w:eastAsia="楷体_GB2312" w:cs="Times New Roman"/>
          <w:b/>
          <w:kern w:val="0"/>
          <w:sz w:val="20"/>
          <w:szCs w:val="20"/>
        </w:rPr>
        <w:t>申购份额的确认即视为乙方对于本协议的签署和认可，甲方不得以乙方未在本协议上盖章为由主张本协议无效。</w:t>
      </w:r>
    </w:p>
    <w:p>
      <w:pPr>
        <w:widowControl/>
        <w:spacing w:line="300" w:lineRule="exact"/>
        <w:ind w:firstLine="482"/>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（二）本协议条款与《信银理财理财产品产品说明书》条款不一致的，以《信银理财理财产品产品说明书》的约定为准。</w:t>
      </w:r>
    </w:p>
    <w:p>
      <w:pPr>
        <w:widowControl/>
        <w:spacing w:line="300" w:lineRule="exact"/>
        <w:ind w:firstLine="482"/>
        <w:rPr>
          <w:rFonts w:ascii="Times New Roman" w:hAnsi="Times New Roman" w:eastAsia="楷体_GB2312" w:cs="Times New Roman"/>
          <w:b/>
          <w:kern w:val="0"/>
          <w:sz w:val="20"/>
          <w:szCs w:val="20"/>
        </w:rPr>
      </w:pPr>
      <w:r>
        <w:rPr>
          <w:rFonts w:hint="eastAsia" w:ascii="Times New Roman" w:hAnsi="Times New Roman" w:eastAsia="楷体_GB2312" w:cs="Times New Roman"/>
          <w:b/>
          <w:kern w:val="0"/>
          <w:sz w:val="20"/>
          <w:szCs w:val="20"/>
        </w:rPr>
        <w:t>（三）如果由于任何原因使本协议下的任何条款或者内容成为无效或者依法被撤销，本协议其他条款或内容的合法性，有效性和可执行性不受影响。</w:t>
      </w: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sz w:val="20"/>
          <w:szCs w:val="20"/>
        </w:rPr>
      </w:pPr>
    </w:p>
    <w:p>
      <w:pPr>
        <w:spacing w:line="300" w:lineRule="exact"/>
        <w:rPr>
          <w:rFonts w:ascii="Times New Roman" w:hAnsi="Times New Roman" w:eastAsia="楷体_GB2312" w:cs="Times New Roman"/>
          <w:kern w:val="0"/>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kern w:val="0"/>
          <w:sz w:val="20"/>
          <w:szCs w:val="20"/>
        </w:rPr>
        <w:t>个人投资者（签字）</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机构投资者（公章）</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法定代表人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负责人</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授权代表（签字</w:t>
      </w: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盖章）：</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证件类别（个人投资者）：</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p>
    <w:p>
      <w:pPr>
        <w:widowControl/>
        <w:spacing w:line="300" w:lineRule="exact"/>
        <w:ind w:firstLine="600" w:firstLineChars="300"/>
        <w:jc w:val="left"/>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证件号（个人投资者）：</w:t>
      </w:r>
      <w:r>
        <w:rPr>
          <w:rFonts w:ascii="Times New Roman" w:hAnsi="Times New Roman" w:eastAsia="楷体_GB2312" w:cs="Times New Roman"/>
          <w:kern w:val="0"/>
          <w:sz w:val="20"/>
          <w:szCs w:val="20"/>
        </w:rPr>
        <w:t xml:space="preserve">                </w:t>
      </w:r>
    </w:p>
    <w:p>
      <w:pPr>
        <w:widowControl/>
        <w:spacing w:line="300" w:lineRule="exact"/>
        <w:ind w:firstLine="600" w:firstLineChars="300"/>
        <w:jc w:val="left"/>
        <w:rPr>
          <w:rFonts w:ascii="Times New Roman" w:hAnsi="Times New Roman" w:eastAsia="楷体_GB2312" w:cs="Times New Roman"/>
          <w:kern w:val="0"/>
          <w:sz w:val="20"/>
          <w:szCs w:val="20"/>
        </w:rPr>
      </w:pPr>
    </w:p>
    <w:p>
      <w:pPr>
        <w:spacing w:line="300" w:lineRule="exact"/>
        <w:rPr>
          <w:rFonts w:ascii="Times New Roman" w:hAnsi="Times New Roman" w:eastAsia="楷体_GB2312" w:cs="Times New Roman"/>
          <w:sz w:val="20"/>
          <w:szCs w:val="20"/>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ind w:firstLine="5220" w:firstLineChars="2900"/>
    </w:pP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jQ1ZjY4YWJlYWRiNDZhNmVhNzM0NzE4MTQ2ZWEifQ=="/>
  </w:docVars>
  <w:rsids>
    <w:rsidRoot w:val="00000000"/>
    <w:rsid w:val="06D04B4B"/>
    <w:rsid w:val="2AE7504E"/>
    <w:rsid w:val="51C65E5E"/>
    <w:rsid w:val="7C0E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2023-06-02T05:12:00Z</dcterms:created>
  <dc:creator>lenovo</dc:creator>
  <cp:lastModifiedBy>妄</cp:lastModifiedBy>
  <dcterms:modified xsi:type="dcterms:W3CDTF">2024-01-08T14:29:54Z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1691D5FBC27642AD8F17842242A3899D_12</vt:lpwstr>
  </property>
</Properties>
</file>