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Z7002624000043</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792" w:rightChars="-330"/>
        <w:jc w:val="left"/>
        <w:rPr>
          <w:rFonts w:ascii="黑体" w:hAnsi="黑体" w:eastAsia="黑体" w:cs="宋体"/>
          <w:color w:val="000000"/>
          <w:kern w:val="0"/>
          <w:szCs w:val="21"/>
        </w:rPr>
      </w:pPr>
    </w:p>
    <w:p>
      <w:pPr>
        <w:widowControl/>
        <w:spacing w:line="300" w:lineRule="exact"/>
        <w:ind w:right="-792" w:rightChars="-330"/>
        <w:jc w:val="left"/>
        <w:rPr>
          <w:rFonts w:ascii="黑体" w:hAnsi="黑体" w:eastAsia="黑体" w:cs="宋体"/>
          <w:color w:val="000000"/>
          <w:kern w:val="0"/>
          <w:szCs w:val="21"/>
        </w:rPr>
      </w:pPr>
    </w:p>
    <w:p>
      <w:pPr>
        <w:widowControl/>
        <w:spacing w:line="300" w:lineRule="exact"/>
        <w:ind w:right="-792" w:rightChars="-330"/>
        <w:jc w:val="center"/>
        <w:rPr>
          <w:rFonts w:ascii="黑体" w:hAnsi="宋体" w:eastAsia="黑体" w:cs="黑体"/>
          <w:b/>
          <w:bCs/>
          <w:color w:val="000000"/>
          <w:kern w:val="0"/>
          <w:sz w:val="24"/>
          <w:szCs w:val="24"/>
        </w:rPr>
      </w:pPr>
      <w:r>
        <w:rPr>
          <w:rFonts w:hint="eastAsia" w:ascii="黑体" w:hAnsi="宋体" w:eastAsia="黑体" w:cs="黑体"/>
          <w:b/>
          <w:bCs/>
          <w:color w:val="000000"/>
          <w:kern w:val="0"/>
          <w:sz w:val="24"/>
          <w:szCs w:val="24"/>
        </w:rPr>
        <w:t>信银理财理财产品说明书</w:t>
      </w:r>
    </w:p>
    <w:p>
      <w:pPr>
        <w:spacing w:line="300" w:lineRule="exact"/>
        <w:ind w:right="-792"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信银理财安盈象固收稳健丰收九个月封闭式18号理财产品</w:t>
      </w:r>
      <w:r>
        <w:rPr>
          <w:rFonts w:hint="eastAsia" w:ascii="黑体" w:hAnsi="Calibri" w:eastAsia="黑体" w:cs="黑体"/>
          <w:b/>
          <w:bCs/>
          <w:color w:val="000000"/>
          <w:kern w:val="0"/>
          <w:sz w:val="20"/>
          <w:szCs w:val="20"/>
        </w:rPr>
        <w:t xml:space="preserve">】  </w:t>
      </w:r>
    </w:p>
    <w:p>
      <w:pPr>
        <w:spacing w:line="300" w:lineRule="exact"/>
        <w:ind w:right="-792"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AF234377</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792" w:rightChars="-330"/>
        <w:jc w:val="left"/>
        <w:rPr>
          <w:rFonts w:ascii="宋体" w:hAnsi="宋体" w:eastAsia="宋体" w:cs="宋体"/>
          <w:color w:val="000000"/>
          <w:kern w:val="0"/>
          <w:sz w:val="24"/>
          <w:szCs w:val="24"/>
        </w:rPr>
      </w:pPr>
    </w:p>
    <w:p>
      <w:pPr>
        <w:widowControl/>
        <w:spacing w:line="300" w:lineRule="exact"/>
        <w:ind w:right="-792"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．本理财产品的产品期限为【279】天，到期日为【2024】年【10】月【22】日（受运作起始日、提前终止条款等约束，遇非工作日则顺延至下一工作日）。</w:t>
      </w:r>
    </w:p>
    <w:p>
      <w:pPr>
        <w:snapToGrid w:val="0"/>
        <w:ind w:firstLine="400" w:firstLineChars="200"/>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本</w:t>
      </w:r>
      <w:r>
        <w:rPr>
          <w:rFonts w:hint="eastAsia" w:ascii="黑体" w:hAnsi="Times New Roman" w:eastAsia="黑体" w:cs="黑体"/>
          <w:color w:val="000000" w:themeColor="text1"/>
          <w:sz w:val="20"/>
          <w:szCs w:val="20"/>
          <w14:textFill>
            <w14:solidFill>
              <w14:schemeClr w14:val="tx1"/>
            </w14:solidFill>
          </w14:textFill>
        </w:rPr>
        <w:t>理财产品的《信银理财理财</w:t>
      </w:r>
      <w:r>
        <w:rPr>
          <w:rFonts w:ascii="黑体" w:hAnsi="Times New Roman" w:eastAsia="黑体" w:cs="黑体"/>
          <w:color w:val="000000" w:themeColor="text1"/>
          <w:sz w:val="20"/>
          <w:szCs w:val="20"/>
          <w14:textFill>
            <w14:solidFill>
              <w14:schemeClr w14:val="tx1"/>
            </w14:solidFill>
          </w14:textFill>
        </w:rPr>
        <w:t>产品说明书</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w:t>
      </w:r>
      <w:r>
        <w:rPr>
          <w:rFonts w:hint="eastAsia" w:ascii="黑体" w:hAnsi="Times New Roman" w:eastAsia="黑体" w:cs="黑体"/>
          <w:color w:val="000000" w:themeColor="text1"/>
          <w:sz w:val="20"/>
          <w:szCs w:val="20"/>
          <w14:textFill>
            <w14:solidFill>
              <w14:schemeClr w14:val="tx1"/>
            </w14:solidFill>
          </w14:textFill>
        </w:rPr>
        <w:t>信银</w:t>
      </w:r>
      <w:r>
        <w:rPr>
          <w:rFonts w:ascii="黑体" w:hAnsi="Times New Roman" w:eastAsia="黑体" w:cs="黑体"/>
          <w:color w:val="000000" w:themeColor="text1"/>
          <w:sz w:val="20"/>
          <w:szCs w:val="20"/>
          <w14:textFill>
            <w14:solidFill>
              <w14:schemeClr w14:val="tx1"/>
            </w14:solidFill>
          </w14:textFill>
        </w:rPr>
        <w:t>理财理财产品风险揭示书》</w:t>
      </w:r>
      <w:r>
        <w:rPr>
          <w:rFonts w:hint="eastAsia" w:ascii="黑体" w:hAnsi="Times New Roman" w:eastAsia="黑体" w:cs="黑体"/>
          <w:color w:val="000000" w:themeColor="text1"/>
          <w:sz w:val="20"/>
          <w:szCs w:val="20"/>
          <w14:textFill>
            <w14:solidFill>
              <w14:schemeClr w14:val="tx1"/>
            </w14:solidFill>
          </w14:textFill>
        </w:rPr>
        <w:t>、《信银理财理财产品投资协议书》</w:t>
      </w:r>
      <w:r>
        <w:rPr>
          <w:rFonts w:ascii="黑体" w:hAnsi="Times New Roman" w:eastAsia="黑体" w:cs="黑体"/>
          <w:color w:val="000000" w:themeColor="text1"/>
          <w:sz w:val="20"/>
          <w:szCs w:val="20"/>
          <w14:textFill>
            <w14:solidFill>
              <w14:schemeClr w14:val="tx1"/>
            </w14:solidFill>
          </w14:textFill>
        </w:rPr>
        <w:t>与《信银理财理财产品销售总协议》（含附件：客户权益须知专页）（或合作销售机构向投资者提供的理财产品销售协议文本）</w:t>
      </w:r>
      <w:r>
        <w:rPr>
          <w:rFonts w:hint="eastAsia" w:ascii="黑体" w:hAnsi="Times New Roman" w:eastAsia="黑体" w:cs="黑体"/>
          <w:color w:val="000000" w:themeColor="text1"/>
          <w:sz w:val="20"/>
          <w:szCs w:val="20"/>
          <w14:textFill>
            <w14:solidFill>
              <w14:schemeClr w14:val="tx1"/>
            </w14:solidFill>
          </w14:textFill>
        </w:rPr>
        <w:t>等文件及其不时有效修订与补充</w:t>
      </w:r>
      <w:r>
        <w:rPr>
          <w:rFonts w:ascii="黑体" w:hAnsi="Times New Roman" w:eastAsia="黑体" w:cs="黑体"/>
          <w:color w:val="000000" w:themeColor="text1"/>
          <w:sz w:val="20"/>
          <w:szCs w:val="20"/>
          <w14:textFill>
            <w14:solidFill>
              <w14:schemeClr w14:val="tx1"/>
            </w14:solidFill>
          </w14:textFill>
        </w:rPr>
        <w:t>共同构成</w:t>
      </w:r>
      <w:r>
        <w:rPr>
          <w:rFonts w:hint="eastAsia" w:ascii="黑体" w:hAnsi="Times New Roman" w:eastAsia="黑体" w:cs="黑体"/>
          <w:color w:val="000000" w:themeColor="text1"/>
          <w:sz w:val="20"/>
          <w:szCs w:val="20"/>
          <w14:textFill>
            <w14:solidFill>
              <w14:schemeClr w14:val="tx1"/>
            </w14:solidFill>
          </w14:textFill>
        </w:rPr>
        <w:t>理财产品销售文件</w:t>
      </w:r>
      <w:r>
        <w:rPr>
          <w:rFonts w:ascii="黑体" w:hAnsi="Times New Roman" w:eastAsia="黑体" w:cs="黑体"/>
          <w:color w:val="000000" w:themeColor="text1"/>
          <w:sz w:val="20"/>
          <w:szCs w:val="20"/>
          <w14:textFill>
            <w14:solidFill>
              <w14:schemeClr w14:val="tx1"/>
            </w14:solidFill>
          </w14:textFill>
        </w:rPr>
        <w:t>。</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themeColor="text1"/>
          <w:sz w:val="20"/>
          <w:szCs w:val="20"/>
          <w14:textFill>
            <w14:solidFill>
              <w14:schemeClr w14:val="tx1"/>
            </w14:solidFill>
          </w14:textFill>
        </w:rPr>
        <w:t>机构</w:t>
      </w:r>
      <w:r>
        <w:rPr>
          <w:rFonts w:hint="eastAsia" w:ascii="黑体" w:hAnsi="Times New Roman" w:eastAsia="黑体" w:cs="黑体"/>
          <w:color w:val="000000" w:themeColor="text1"/>
          <w:sz w:val="20"/>
          <w:szCs w:val="20"/>
          <w14:textFill>
            <w14:solidFill>
              <w14:schemeClr w14:val="tx1"/>
            </w14:solidFill>
          </w14:textFill>
        </w:rPr>
        <w:t>各营业场所或营业</w:t>
      </w:r>
      <w:r>
        <w:rPr>
          <w:rFonts w:ascii="黑体" w:hAnsi="Times New Roman" w:eastAsia="黑体" w:cs="黑体"/>
          <w:color w:val="000000" w:themeColor="text1"/>
          <w:sz w:val="20"/>
          <w:szCs w:val="20"/>
          <w14:textFill>
            <w14:solidFill>
              <w14:schemeClr w14:val="tx1"/>
            </w14:solidFill>
          </w14:textFill>
        </w:rPr>
        <w:t>网点</w:t>
      </w:r>
      <w:r>
        <w:rPr>
          <w:rFonts w:hint="eastAsia" w:ascii="黑体" w:hAnsi="Times New Roman" w:eastAsia="黑体" w:cs="黑体"/>
          <w:color w:val="000000" w:themeColor="text1"/>
          <w:sz w:val="20"/>
          <w:szCs w:val="20"/>
          <w14:textFill>
            <w14:solidFill>
              <w14:schemeClr w14:val="tx1"/>
            </w14:solidFill>
          </w14:textFill>
        </w:rPr>
        <w:t>咨询。</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12</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合作销售机构</w:t>
      </w:r>
      <w:r>
        <w:rPr>
          <w:rFonts w:hint="eastAsia" w:ascii="黑体" w:hAnsi="宋体" w:eastAsia="黑体" w:cs="宋体"/>
          <w:b/>
          <w:color w:val="000000"/>
          <w:kern w:val="0"/>
          <w:sz w:val="20"/>
          <w:szCs w:val="20"/>
        </w:rPr>
        <w:t>（代销</w:t>
      </w:r>
      <w:r>
        <w:rPr>
          <w:rFonts w:ascii="黑体" w:hAnsi="宋体" w:eastAsia="黑体" w:cs="宋体"/>
          <w:b/>
          <w:color w:val="000000"/>
          <w:kern w:val="0"/>
          <w:sz w:val="20"/>
          <w:szCs w:val="20"/>
        </w:rPr>
        <w:t>机构）风险：投资者</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合作销售机构购买本理财产品</w:t>
      </w:r>
      <w:r>
        <w:rPr>
          <w:rFonts w:hint="eastAsia" w:ascii="黑体" w:hAnsi="宋体" w:eastAsia="黑体" w:cs="宋体"/>
          <w:b/>
          <w:color w:val="000000"/>
          <w:kern w:val="0"/>
          <w:sz w:val="20"/>
          <w:szCs w:val="20"/>
        </w:rPr>
        <w:t>的</w:t>
      </w:r>
      <w:r>
        <w:rPr>
          <w:rFonts w:ascii="黑体" w:hAnsi="宋体" w:eastAsia="黑体" w:cs="宋体"/>
          <w:b/>
          <w:color w:val="000000"/>
          <w:kern w:val="0"/>
          <w:sz w:val="20"/>
          <w:szCs w:val="20"/>
        </w:rPr>
        <w:t>，资金清算将通过合作销售机构进行</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如因合作销售机构</w:t>
      </w:r>
      <w:r>
        <w:rPr>
          <w:rFonts w:hint="eastAsia" w:ascii="黑体" w:hAnsi="宋体" w:eastAsia="黑体" w:cs="宋体"/>
          <w:b/>
          <w:color w:val="000000"/>
          <w:kern w:val="0"/>
          <w:sz w:val="20"/>
          <w:szCs w:val="20"/>
        </w:rPr>
        <w:t>资金清算</w:t>
      </w:r>
      <w:r>
        <w:rPr>
          <w:rFonts w:ascii="黑体" w:hAnsi="宋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宋体" w:eastAsia="黑体" w:cs="宋体"/>
          <w:b/>
          <w:color w:val="000000"/>
          <w:kern w:val="0"/>
          <w:sz w:val="20"/>
          <w:szCs w:val="20"/>
        </w:rPr>
        <w:t>投资者</w:t>
      </w:r>
      <w:r>
        <w:rPr>
          <w:rFonts w:ascii="黑体" w:hAnsi="宋体" w:eastAsia="黑体" w:cs="宋体"/>
          <w:b/>
          <w:color w:val="000000"/>
          <w:kern w:val="0"/>
          <w:sz w:val="20"/>
          <w:szCs w:val="20"/>
        </w:rPr>
        <w:t>认购失败或</w:t>
      </w:r>
      <w:r>
        <w:rPr>
          <w:rFonts w:hint="eastAsia" w:ascii="黑体" w:hAnsi="宋体" w:eastAsia="黑体" w:cs="宋体"/>
          <w:b/>
          <w:color w:val="000000"/>
          <w:kern w:val="0"/>
          <w:sz w:val="20"/>
          <w:szCs w:val="20"/>
        </w:rPr>
        <w:t>理财</w:t>
      </w:r>
      <w:r>
        <w:rPr>
          <w:rFonts w:ascii="黑体" w:hAnsi="宋体" w:eastAsia="黑体" w:cs="宋体"/>
          <w:b/>
          <w:color w:val="000000"/>
          <w:kern w:val="0"/>
          <w:sz w:val="20"/>
          <w:szCs w:val="20"/>
        </w:rPr>
        <w:t>资金遭受损失。</w:t>
      </w:r>
      <w:r>
        <w:rPr>
          <w:rFonts w:hint="eastAsia" w:ascii="黑体" w:hAnsi="宋体" w:eastAsia="黑体" w:cs="宋体"/>
          <w:b/>
          <w:color w:val="000000"/>
          <w:kern w:val="0"/>
          <w:sz w:val="20"/>
          <w:szCs w:val="20"/>
        </w:rPr>
        <w:t>在</w:t>
      </w:r>
      <w:r>
        <w:rPr>
          <w:rFonts w:ascii="黑体" w:hAnsi="宋体" w:eastAsia="黑体" w:cs="宋体"/>
          <w:b/>
          <w:color w:val="000000"/>
          <w:kern w:val="0"/>
          <w:sz w:val="20"/>
          <w:szCs w:val="20"/>
        </w:rPr>
        <w:t>认购时，如果投资者在合作销售机构的资金账户余额</w:t>
      </w:r>
      <w:r>
        <w:rPr>
          <w:rFonts w:hint="eastAsia" w:ascii="黑体" w:hAnsi="宋体" w:eastAsia="黑体" w:cs="宋体"/>
          <w:b/>
          <w:color w:val="000000"/>
          <w:kern w:val="0"/>
          <w:sz w:val="20"/>
          <w:szCs w:val="20"/>
        </w:rPr>
        <w:t>不足</w:t>
      </w:r>
      <w:r>
        <w:rPr>
          <w:rFonts w:ascii="黑体" w:hAnsi="宋体" w:eastAsia="黑体" w:cs="宋体"/>
          <w:b/>
          <w:color w:val="000000"/>
          <w:kern w:val="0"/>
          <w:sz w:val="20"/>
          <w:szCs w:val="20"/>
        </w:rPr>
        <w:t>，或合作销售机构</w:t>
      </w:r>
      <w:r>
        <w:rPr>
          <w:rFonts w:hint="eastAsia" w:ascii="黑体" w:hAnsi="宋体" w:eastAsia="黑体" w:cs="宋体"/>
          <w:b/>
          <w:color w:val="000000"/>
          <w:kern w:val="0"/>
          <w:sz w:val="20"/>
          <w:szCs w:val="20"/>
        </w:rPr>
        <w:t>未及时将投资者认购</w:t>
      </w:r>
      <w:r>
        <w:rPr>
          <w:rFonts w:ascii="黑体" w:hAnsi="宋体" w:eastAsia="黑体" w:cs="宋体"/>
          <w:b/>
          <w:color w:val="000000"/>
          <w:kern w:val="0"/>
          <w:sz w:val="20"/>
          <w:szCs w:val="20"/>
        </w:rPr>
        <w:t>资金划转至信银理财，将导致投资者无法完成认购，因此造成的损失信银理财不承担责任；在</w:t>
      </w:r>
      <w:r>
        <w:rPr>
          <w:rFonts w:hint="eastAsia" w:ascii="黑体" w:hAnsi="宋体" w:eastAsia="黑体" w:cs="宋体"/>
          <w:b/>
          <w:color w:val="000000"/>
          <w:kern w:val="0"/>
          <w:sz w:val="20"/>
          <w:szCs w:val="20"/>
        </w:rPr>
        <w:t>赎回和</w:t>
      </w:r>
      <w:r>
        <w:rPr>
          <w:rFonts w:ascii="黑体" w:hAnsi="宋体" w:eastAsia="黑体" w:cs="宋体"/>
          <w:b/>
          <w:color w:val="000000"/>
          <w:kern w:val="0"/>
          <w:sz w:val="20"/>
          <w:szCs w:val="20"/>
        </w:rPr>
        <w:t>到期时，信银理财将投资者应得资金划转至合作</w:t>
      </w:r>
      <w:r>
        <w:rPr>
          <w:rFonts w:hint="eastAsia" w:ascii="黑体" w:hAnsi="宋体" w:eastAsia="黑体" w:cs="宋体"/>
          <w:b/>
          <w:color w:val="000000"/>
          <w:kern w:val="0"/>
          <w:sz w:val="20"/>
          <w:szCs w:val="20"/>
        </w:rPr>
        <w:t>销售</w:t>
      </w:r>
      <w:r>
        <w:rPr>
          <w:rFonts w:ascii="黑体" w:hAnsi="宋体" w:eastAsia="黑体" w:cs="宋体"/>
          <w:b/>
          <w:color w:val="000000"/>
          <w:kern w:val="0"/>
          <w:sz w:val="20"/>
          <w:szCs w:val="20"/>
        </w:rPr>
        <w:t>机构</w:t>
      </w:r>
      <w:r>
        <w:rPr>
          <w:rFonts w:hint="eastAsia" w:ascii="黑体" w:hAnsi="宋体" w:eastAsia="黑体" w:cs="宋体"/>
          <w:b/>
          <w:color w:val="000000"/>
          <w:kern w:val="0"/>
          <w:sz w:val="20"/>
          <w:szCs w:val="20"/>
        </w:rPr>
        <w:t>指定账户</w:t>
      </w:r>
      <w:r>
        <w:rPr>
          <w:rFonts w:ascii="黑体" w:hAnsi="宋体" w:eastAsia="黑体" w:cs="宋体"/>
          <w:b/>
          <w:color w:val="000000"/>
          <w:kern w:val="0"/>
          <w:sz w:val="20"/>
          <w:szCs w:val="20"/>
        </w:rPr>
        <w:t>后，由合作销售机构将相应应得资金划转至投资者账户</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若</w:t>
      </w:r>
      <w:r>
        <w:rPr>
          <w:rFonts w:hint="eastAsia" w:ascii="黑体" w:hAnsi="宋体" w:eastAsia="黑体" w:cs="宋体"/>
          <w:b/>
          <w:color w:val="000000"/>
          <w:kern w:val="0"/>
          <w:sz w:val="20"/>
          <w:szCs w:val="20"/>
        </w:rPr>
        <w:t>合作</w:t>
      </w:r>
      <w:r>
        <w:rPr>
          <w:rFonts w:ascii="黑体" w:hAnsi="宋体" w:eastAsia="黑体" w:cs="宋体"/>
          <w:b/>
          <w:color w:val="000000"/>
          <w:kern w:val="0"/>
          <w:sz w:val="20"/>
          <w:szCs w:val="20"/>
        </w:rPr>
        <w:t>销售机构未及时进行划付，因此造成的</w:t>
      </w:r>
      <w:r>
        <w:rPr>
          <w:rFonts w:hint="eastAsia" w:ascii="黑体" w:hAnsi="宋体" w:eastAsia="黑体" w:cs="宋体"/>
          <w:b/>
          <w:color w:val="000000"/>
          <w:kern w:val="0"/>
          <w:sz w:val="20"/>
          <w:szCs w:val="20"/>
        </w:rPr>
        <w:t>损失</w:t>
      </w:r>
      <w:r>
        <w:rPr>
          <w:rFonts w:ascii="黑体" w:hAnsi="宋体" w:eastAsia="黑体" w:cs="宋体"/>
          <w:b/>
          <w:color w:val="000000"/>
          <w:kern w:val="0"/>
          <w:sz w:val="20"/>
          <w:szCs w:val="20"/>
        </w:rPr>
        <w:t>信银理财不承担任何责任。</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13</w:t>
      </w:r>
      <w:r>
        <w:rPr>
          <w:rFonts w:hint="eastAsia" w:ascii="黑体" w:hAnsi="宋体" w:eastAsia="黑体" w:cs="宋体"/>
          <w:b/>
          <w:color w:val="000000"/>
          <w:kern w:val="0"/>
          <w:sz w:val="20"/>
          <w:szCs w:val="20"/>
        </w:rPr>
        <w:t>．操作风险：如本理财产品管理人、</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由于内部作业、人员管理、系统操作及事务处理不当或失误等，可能导致本理财产品的本金及收益遭受损失。</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14</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关联交易风险：</w:t>
      </w:r>
      <w:r>
        <w:rPr>
          <w:rFonts w:hint="eastAsia" w:ascii="黑体" w:hAnsi="宋体" w:eastAsia="黑体" w:cs="宋体"/>
          <w:b/>
          <w:color w:val="000000"/>
          <w:kern w:val="0"/>
          <w:sz w:val="20"/>
          <w:szCs w:val="20"/>
        </w:rPr>
        <w:t>在合法合规且履行应履行的内外部程序后，理财产品可能与管理人及其控股股东、实际控制人等发生关联交易。本</w:t>
      </w:r>
      <w:r>
        <w:rPr>
          <w:rFonts w:ascii="黑体" w:hAnsi="宋体" w:eastAsia="黑体" w:cs="宋体"/>
          <w:b/>
          <w:color w:val="000000"/>
          <w:kern w:val="0"/>
          <w:sz w:val="20"/>
          <w:szCs w:val="20"/>
        </w:rPr>
        <w:t>理财产品可能</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管理人的关联方</w:t>
      </w:r>
      <w:r>
        <w:rPr>
          <w:rFonts w:hint="eastAsia" w:ascii="黑体" w:hAnsi="宋体" w:eastAsia="黑体" w:cs="宋体"/>
          <w:b/>
          <w:color w:val="000000"/>
          <w:kern w:val="0"/>
          <w:sz w:val="20"/>
          <w:szCs w:val="20"/>
        </w:rPr>
        <w:t>进行</w:t>
      </w:r>
      <w:r>
        <w:rPr>
          <w:rFonts w:ascii="黑体" w:hAnsi="宋体" w:eastAsia="黑体" w:cs="宋体"/>
          <w:b/>
          <w:color w:val="000000"/>
          <w:kern w:val="0"/>
          <w:sz w:val="20"/>
          <w:szCs w:val="20"/>
        </w:rPr>
        <w:t>销售。</w:t>
      </w:r>
      <w:r>
        <w:rPr>
          <w:rFonts w:hint="eastAsia" w:ascii="黑体" w:hAnsi="宋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53"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53"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53"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2366"/>
        <w:gridCol w:w="3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53" w:rightChars="22" w:firstLine="400" w:firstLineChars="200"/>
        <w:jc w:val="left"/>
        <w:rPr>
          <w:rFonts w:ascii="黑体" w:hAnsi="Times New Roman" w:eastAsia="黑体" w:cs="宋体"/>
          <w:color w:val="000000"/>
          <w:kern w:val="0"/>
          <w:sz w:val="20"/>
          <w:szCs w:val="20"/>
        </w:rPr>
      </w:pPr>
    </w:p>
    <w:p>
      <w:pPr>
        <w:widowControl/>
        <w:snapToGrid w:val="0"/>
        <w:ind w:right="53"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53"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right="36" w:rightChars="15" w:firstLine="400" w:firstLineChars="200"/>
        <w:jc w:val="left"/>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产品拟通过债券等固收类资产的配置，以票息收入作为实现产品相对稳定收益的基础，依赖管理人信用评价体系，寻找信用主体优质、票息相对较高的债券资产，以持有而获取稳定票息为主。管理人通过综合分析经济形势、货币政策、利率走势、行业状况、信用风险等因素，立足于经济周期的不同阶段自上而下判断利率趋势及行业趋势，并基于内部信用评级体系自下而上分析企业的市场地位、管理水平、发展趋势和财务状况等，以此作为产品投资的重要依据。</w:t>
      </w:r>
    </w:p>
    <w:p>
      <w:pPr>
        <w:widowControl/>
        <w:spacing w:line="300" w:lineRule="exact"/>
        <w:ind w:right="36"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6"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6"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6"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6"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6"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6"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9"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9"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-49</w:t>
            </w:r>
            <w:r>
              <w:rPr>
                <w:rFonts w:hint="eastAsia" w:ascii="楷体" w:hAnsi="楷体" w:eastAsia="楷体"/>
                <w:sz w:val="20"/>
                <w:szCs w:val="20"/>
              </w:rPr>
              <w:t>%</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9"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spacing w:line="300" w:lineRule="exact"/>
        <w:ind w:firstLine="400" w:firstLineChars="200"/>
        <w:rPr>
          <w:rFonts w:ascii="楷体" w:hAnsi="楷体" w:eastAsia="楷体" w:cs="黑体"/>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8</w:t>
      </w:r>
      <w:r>
        <w:rPr>
          <w:rFonts w:hint="eastAsia" w:ascii="楷体_GB2312" w:eastAsia="楷体_GB2312"/>
          <w:color w:val="000000" w:themeColor="text1"/>
          <w:sz w:val="20"/>
          <w:szCs w:val="20"/>
          <w14:textFill>
            <w14:solidFill>
              <w14:schemeClr w14:val="tx1"/>
            </w14:solidFill>
          </w14:textFill>
        </w:rPr>
        <w:t>．</w:t>
      </w:r>
      <w:r>
        <w:rPr>
          <w:rFonts w:hint="eastAsia" w:ascii="楷体" w:hAnsi="楷体" w:eastAsia="楷体" w:cs="黑体"/>
          <w:color w:val="000000" w:themeColor="text1"/>
          <w:sz w:val="20"/>
          <w:szCs w:val="20"/>
          <w14:textFill>
            <w14:solidFill>
              <w14:schemeClr w14:val="tx1"/>
            </w14:solidFill>
          </w14:textFill>
        </w:rPr>
        <w:t>非标准化</w:t>
      </w:r>
      <w:r>
        <w:rPr>
          <w:rFonts w:ascii="楷体" w:hAnsi="楷体" w:eastAsia="楷体" w:cs="黑体"/>
          <w:color w:val="000000" w:themeColor="text1"/>
          <w:sz w:val="20"/>
          <w:szCs w:val="20"/>
          <w14:textFill>
            <w14:solidFill>
              <w14:schemeClr w14:val="tx1"/>
            </w14:solidFill>
          </w14:textFill>
        </w:rPr>
        <w:t>债权</w:t>
      </w:r>
      <w:r>
        <w:rPr>
          <w:rFonts w:hint="eastAsia" w:ascii="楷体" w:hAnsi="楷体" w:eastAsia="楷体" w:cs="黑体"/>
          <w:color w:val="000000" w:themeColor="text1"/>
          <w:sz w:val="20"/>
          <w:szCs w:val="20"/>
          <w14:textFill>
            <w14:solidFill>
              <w14:schemeClr w14:val="tx1"/>
            </w14:solidFill>
          </w14:textFill>
        </w:rPr>
        <w:t>资产信息</w:t>
      </w:r>
      <w:r>
        <w:rPr>
          <w:rFonts w:ascii="楷体" w:hAnsi="楷体" w:eastAsia="楷体" w:cs="黑体"/>
          <w:color w:val="000000" w:themeColor="text1"/>
          <w:sz w:val="20"/>
          <w:szCs w:val="20"/>
          <w14:textFill>
            <w14:solidFill>
              <w14:schemeClr w14:val="tx1"/>
            </w14:solidFill>
          </w14:textFill>
        </w:rPr>
        <w:t>披露</w:t>
      </w:r>
    </w:p>
    <w:p>
      <w:pPr>
        <w:spacing w:line="300" w:lineRule="exact"/>
        <w:ind w:firstLine="400" w:firstLineChars="200"/>
        <w:rPr>
          <w:rFonts w:ascii="楷体" w:hAnsi="楷体" w:eastAsia="楷体" w:cs="黑体"/>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本产品可投资于非标准化债权类资产，信银理财将按照监管规定，向投资者披露产品投资每笔非标准化债权类资产的融资客户、项目名称、剩余融资期限、到期收益分配、交易结构、风险状况等资产信息。</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53"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6"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【信银理财安盈象固收稳健丰收九个月封闭式18号理财产品】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6"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Z7002624000043】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6"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6"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代码【AF234377B】</w:t>
            </w:r>
            <w:r>
              <w:rPr>
                <w:rFonts w:hint="eastAsia" w:ascii="楷体_GB2312" w:eastAsia="楷体_GB2312" w:cs="楷体_GB2312"/>
                <w:sz w:val="20"/>
                <w:szCs w:val="20"/>
              </w:rPr>
              <w:t>（销售简称：安盈象固收稳健丰收九个月封闭式18号（协作））</w:t>
            </w:r>
          </w:p>
          <w:p>
            <w:pPr>
              <w:widowControl/>
              <w:spacing w:line="300" w:lineRule="exact"/>
              <w:ind w:right="36" w:rightChars="15"/>
              <w:jc w:val="left"/>
              <w:rPr>
                <w:rFonts w:ascii="楷体_GB2312" w:hAnsi="宋体" w:eastAsia="楷体_GB2312" w:cs="楷体_GB2312"/>
                <w:color w:val="000000"/>
                <w:kern w:val="0"/>
                <w:sz w:val="20"/>
                <w:szCs w:val="20"/>
              </w:rPr>
            </w:pPr>
          </w:p>
          <w:p>
            <w:pPr>
              <w:widowControl/>
              <w:spacing w:line="300" w:lineRule="exact"/>
              <w:ind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6"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【2024】年【</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10</w:t>
            </w:r>
            <w:r>
              <w:rPr>
                <w:rFonts w:hint="eastAsia" w:ascii="楷体_GB2312" w:hAnsi="宋体" w:eastAsia="楷体_GB2312" w:cs="楷体_GB2312"/>
                <w:color w:val="000000"/>
                <w:kern w:val="0"/>
                <w:sz w:val="20"/>
                <w:szCs w:val="20"/>
              </w:rPr>
              <w:t>】日至【2024】年【</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16</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6"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6"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6"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17</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17</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【4】</w:t>
            </w:r>
            <w:r>
              <w:rPr>
                <w:rFonts w:hint="eastAsia" w:ascii="楷体_GB2312" w:eastAsia="楷体_GB2312" w:cs="楷体_GB2312"/>
                <w:sz w:val="20"/>
                <w:szCs w:val="20"/>
              </w:rPr>
              <w:t>月</w:t>
            </w:r>
            <w:r>
              <w:rPr>
                <w:rFonts w:ascii="楷体_GB2312" w:eastAsia="楷体_GB2312" w:cs="楷体_GB2312"/>
                <w:sz w:val="20"/>
                <w:szCs w:val="20"/>
              </w:rPr>
              <w:t>【16】</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6"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10</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22</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6"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B类份额：【3.10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6"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业绩比较基准是基于产品性质、投资策略、过往经验等因素对产品设定的投资目标，不是预期收益率，不代表产品的未来表现和实际收益，不构成对产品收益的承诺，投资须谨慎。</w:t>
            </w:r>
          </w:p>
          <w:p>
            <w:pPr>
              <w:widowControl/>
              <w:spacing w:line="300" w:lineRule="exact"/>
              <w:ind w:left="-2" w:leftChars="-1" w:right="36"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p>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6"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6"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9"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53"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53"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53"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6"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53"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exact"/>
              <w:ind w:right="36" w:rightChars="15"/>
              <w:rPr>
                <w:rFonts w:ascii="楷体_GB2312" w:eastAsia="楷体_GB2312"/>
                <w:sz w:val="20"/>
                <w:szCs w:val="20"/>
              </w:rPr>
            </w:pPr>
            <w:r>
              <w:rPr>
                <w:rFonts w:ascii="楷体_GB2312" w:eastAsia="楷体_GB2312" w:cs="楷体_GB2312"/>
                <w:sz w:val="20"/>
                <w:szCs w:val="20"/>
              </w:rPr>
              <w:t>B类份额（份额代码【AF234377B】；</w:t>
            </w:r>
            <w:r>
              <w:rPr>
                <w:rFonts w:hint="eastAsia" w:ascii="楷体_GB2312" w:eastAsia="楷体_GB2312"/>
                <w:sz w:val="20"/>
                <w:szCs w:val="20"/>
              </w:rPr>
              <w:t>销售简称：安盈象固收稳健丰收九个月封闭式18号（协作））</w:t>
            </w:r>
            <w:r>
              <w:rPr>
                <w:rFonts w:ascii="楷体_GB2312" w:eastAsia="楷体_GB2312" w:cs="楷体_GB2312"/>
                <w:sz w:val="20"/>
                <w:szCs w:val="20"/>
              </w:rPr>
              <w:t>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91330800147752793B】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3.</w:t>
            </w:r>
            <w:r>
              <w:rPr>
                <w:rFonts w:hint="eastAsia" w:ascii="楷体_GB2312" w:eastAsia="楷体_GB2312" w:cs="楷体_GB2312"/>
                <w:sz w:val="20"/>
                <w:szCs w:val="20"/>
              </w:rPr>
              <w:t>企业名称：【浙江武义农村商业银行股份有限公司】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91330723552860156J】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住所：【浙江省武义县城武阳中路37号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54.</w:t>
            </w:r>
            <w:r>
              <w:rPr>
                <w:rFonts w:hint="eastAsia" w:ascii="楷体_GB2312" w:eastAsia="楷体_GB2312" w:cs="楷体_GB2312"/>
                <w:sz w:val="20"/>
                <w:szCs w:val="20"/>
              </w:rPr>
              <w:t xml:space="preserve"> 企业名称：【浙江岱山农村商业银行股份有限公司】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91330921778250107N】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住所：【浙江省舟山市岱山县高亭镇衢山大道1009号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55.</w:t>
            </w:r>
            <w:r>
              <w:rPr>
                <w:rFonts w:hint="eastAsia" w:ascii="楷体_GB2312" w:eastAsia="楷体_GB2312" w:cs="楷体_GB2312"/>
                <w:sz w:val="20"/>
                <w:szCs w:val="20"/>
              </w:rPr>
              <w:t xml:space="preserve"> 企业名称：【浙江仙居农村商业银行股份有限公司】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91331024148032965W】</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住所：【浙江省仙居县南峰街道穿城中路21号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56.</w:t>
            </w:r>
            <w:r>
              <w:rPr>
                <w:rFonts w:hint="eastAsia" w:ascii="楷体_GB2312" w:eastAsia="楷体_GB2312" w:cs="楷体_GB2312"/>
                <w:sz w:val="20"/>
                <w:szCs w:val="20"/>
              </w:rPr>
              <w:t xml:space="preserve"> 企业名称：【浙江玉环农村商业银行股份有限公司】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91331021704702414T】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住所：【浙江省玉环市玉城街道珠港大道26号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57.</w:t>
            </w:r>
            <w:r>
              <w:rPr>
                <w:rFonts w:hint="eastAsia" w:ascii="楷体_GB2312" w:eastAsia="楷体_GB2312" w:cs="楷体_GB2312"/>
                <w:sz w:val="20"/>
                <w:szCs w:val="20"/>
              </w:rPr>
              <w:t xml:space="preserve"> 企业名称：【浙江诸暨农村商业银行股份有限公司】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91330600146217704F】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住所：【浙江省诸暨市暨阳街道大桥东路2号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58.</w:t>
            </w:r>
            <w:r>
              <w:rPr>
                <w:rFonts w:hint="eastAsia" w:ascii="楷体_GB2312" w:eastAsia="楷体_GB2312" w:cs="楷体_GB2312"/>
                <w:sz w:val="20"/>
                <w:szCs w:val="20"/>
              </w:rPr>
              <w:t xml:space="preserve"> 企业名称：【浙江临海农村商业银行股份有限公司】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91331000147999461D】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住所：【浙江省台州市临海市大洋街道河阳路299号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59.</w:t>
            </w:r>
            <w:r>
              <w:rPr>
                <w:rFonts w:hint="eastAsia" w:ascii="楷体_GB2312" w:eastAsia="楷体_GB2312" w:cs="楷体_GB2312"/>
                <w:sz w:val="20"/>
                <w:szCs w:val="20"/>
              </w:rPr>
              <w:t xml:space="preserve"> 企业名称：【浙江建德农村商业银行股份有限公司】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9133018270429246XA】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住所：【浙江省建德市新安江街道江滨中路176号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60.</w:t>
            </w:r>
            <w:r>
              <w:rPr>
                <w:rFonts w:hint="eastAsia" w:ascii="楷体_GB2312" w:eastAsia="楷体_GB2312" w:cs="楷体_GB2312"/>
                <w:sz w:val="20"/>
                <w:szCs w:val="20"/>
              </w:rPr>
              <w:t xml:space="preserve"> 企业名称：【浙江文成农村商业银行股份有限公司】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91330328145827746X】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住所：【浙江省温州市文成县大</w:t>
            </w:r>
            <w:r>
              <w:rPr>
                <w:rFonts w:ascii="微软雅黑" w:hAnsi="微软雅黑" w:eastAsia="楷体_GB2312" w:cs="微软雅黑"/>
                <w:sz w:val="20"/>
                <w:szCs w:val="20"/>
              </w:rPr>
              <w:t>峃</w:t>
            </w:r>
            <w:r>
              <w:rPr>
                <w:rFonts w:hint="eastAsia" w:ascii="楷体_GB2312" w:hAnsi="楷体_GB2312" w:eastAsia="楷体_GB2312" w:cs="楷体_GB2312"/>
                <w:sz w:val="20"/>
                <w:szCs w:val="20"/>
              </w:rPr>
              <w:t>镇伯温路</w:t>
            </w:r>
            <w:r>
              <w:rPr>
                <w:rFonts w:hint="eastAsia" w:ascii="楷体_GB2312" w:eastAsia="楷体_GB2312" w:cs="楷体_GB2312"/>
                <w:sz w:val="20"/>
                <w:szCs w:val="20"/>
              </w:rPr>
              <w:t>6号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p>
          <w:p>
            <w:pPr>
              <w:widowControl/>
              <w:spacing w:line="300" w:lineRule="exact"/>
              <w:ind w:left="-2" w:leftChars="-1" w:right="36" w:rightChars="15"/>
              <w:jc w:val="left"/>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p>
            <w:pPr>
              <w:widowControl/>
              <w:spacing w:line="300" w:lineRule="exact"/>
              <w:ind w:right="36" w:rightChars="15"/>
              <w:jc w:val="left"/>
              <w:rPr>
                <w:rFonts w:ascii="楷体_GB2312" w:hAnsi="宋体" w:eastAsia="楷体_GB2312" w:cs="楷体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6"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6"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6"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6"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6"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6"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6"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6"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6"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6"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6"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6"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6"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53" w:rightChars="22"/>
        <w:jc w:val="left"/>
        <w:outlineLvl w:val="0"/>
        <w:rPr>
          <w:rFonts w:ascii="黑体" w:hAnsi="Times New Roman" w:eastAsia="黑体" w:cs="黑体"/>
          <w:color w:val="000000"/>
          <w:kern w:val="0"/>
          <w:sz w:val="20"/>
          <w:szCs w:val="20"/>
        </w:rPr>
      </w:pPr>
    </w:p>
    <w:p>
      <w:pPr>
        <w:widowControl/>
        <w:snapToGrid w:val="0"/>
        <w:ind w:left="-2" w:leftChars="-1" w:right="53"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53"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6"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6"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6"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6"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6"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6" w:rightChars="15"/>
        <w:jc w:val="left"/>
        <w:rPr>
          <w:rFonts w:ascii="黑体" w:hAnsi="Times New Roman" w:eastAsia="黑体" w:cs="黑体"/>
          <w:color w:val="000000"/>
          <w:kern w:val="0"/>
          <w:sz w:val="20"/>
          <w:szCs w:val="20"/>
        </w:rPr>
      </w:pPr>
    </w:p>
    <w:p>
      <w:pPr>
        <w:widowControl/>
        <w:spacing w:line="300" w:lineRule="exact"/>
        <w:ind w:left="-2" w:leftChars="-1" w:right="36"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6"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6" w:rightChars="15"/>
        <w:jc w:val="left"/>
        <w:rPr>
          <w:rFonts w:ascii="楷体_GB2312" w:hAnsi="宋体" w:eastAsia="楷体_GB2312" w:cs="宋体"/>
          <w:color w:val="000000"/>
          <w:kern w:val="0"/>
          <w:sz w:val="20"/>
          <w:szCs w:val="20"/>
        </w:rPr>
      </w:pPr>
    </w:p>
    <w:p>
      <w:pPr>
        <w:widowControl/>
        <w:spacing w:line="300" w:lineRule="exact"/>
        <w:ind w:left="-2" w:leftChars="-1" w:right="96"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96" w:rightChars="40"/>
        <w:jc w:val="left"/>
        <w:rPr>
          <w:rFonts w:ascii="楷体_GB2312" w:hAnsi="宋体" w:eastAsia="楷体_GB2312" w:cs="楷体_GB2312"/>
          <w:color w:val="000000"/>
          <w:kern w:val="0"/>
          <w:sz w:val="20"/>
          <w:szCs w:val="20"/>
        </w:rPr>
      </w:pPr>
    </w:p>
    <w:p>
      <w:pPr>
        <w:widowControl/>
        <w:spacing w:line="300" w:lineRule="exact"/>
        <w:ind w:right="96"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6"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6"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6"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6"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6"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6"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6" w:rightChars="15"/>
        <w:jc w:val="left"/>
        <w:rPr>
          <w:rFonts w:ascii="宋体" w:hAnsi="宋体" w:eastAsia="宋体" w:cs="宋体"/>
          <w:color w:val="000000"/>
          <w:kern w:val="0"/>
          <w:sz w:val="24"/>
          <w:szCs w:val="24"/>
        </w:rPr>
      </w:pPr>
    </w:p>
    <w:p>
      <w:pPr>
        <w:widowControl/>
        <w:snapToGrid w:val="0"/>
        <w:spacing w:line="300" w:lineRule="exact"/>
        <w:ind w:left="-2" w:leftChars="-1" w:right="53"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53"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9"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53" w:rightChars="22"/>
        <w:jc w:val="left"/>
        <w:outlineLvl w:val="0"/>
        <w:rPr>
          <w:rFonts w:ascii="楷体_GB2312" w:hAnsi="宋体" w:eastAsia="楷体_GB2312" w:cs="宋体"/>
          <w:color w:val="000000"/>
          <w:kern w:val="0"/>
          <w:sz w:val="20"/>
          <w:szCs w:val="20"/>
        </w:rPr>
      </w:pPr>
    </w:p>
    <w:p>
      <w:pPr>
        <w:widowControl/>
        <w:spacing w:line="300" w:lineRule="exact"/>
        <w:ind w:left="-2" w:leftChars="-1" w:right="36"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6"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6"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53"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53"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53" w:rightChars="22" w:firstLine="480" w:firstLineChars="200"/>
        <w:rPr>
          <w:rFonts w:ascii="宋体" w:hAnsi="宋体" w:eastAsia="宋体" w:cs="宋体"/>
          <w:color w:val="000000"/>
          <w:kern w:val="0"/>
          <w:sz w:val="24"/>
          <w:szCs w:val="24"/>
        </w:rPr>
      </w:pPr>
    </w:p>
    <w:p>
      <w:pPr>
        <w:widowControl/>
        <w:snapToGrid w:val="0"/>
        <w:ind w:left="-2" w:leftChars="-1" w:right="53"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53" w:rightChars="22"/>
        <w:rPr>
          <w:rFonts w:ascii="Times New Roman" w:hAnsi="Times New Roman" w:eastAsia="楷体_GB2312" w:cs="楷体_GB2312"/>
          <w:color w:val="000000"/>
          <w:kern w:val="0"/>
          <w:sz w:val="20"/>
          <w:szCs w:val="20"/>
        </w:rPr>
      </w:pPr>
    </w:p>
    <w:p>
      <w:pPr>
        <w:widowControl/>
        <w:snapToGrid w:val="0"/>
        <w:ind w:left="-2" w:leftChars="-1" w:right="53"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53"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9"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9"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9"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9"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6"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9"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6"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6"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9"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6"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9"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6" w:rightChars="15"/>
        <w:jc w:val="left"/>
        <w:rPr>
          <w:rFonts w:ascii="楷体_GB2312" w:hAnsi="宋体" w:eastAsia="楷体_GB2312" w:cs="宋体"/>
          <w:color w:val="000000"/>
          <w:kern w:val="0"/>
          <w:sz w:val="20"/>
          <w:szCs w:val="20"/>
        </w:rPr>
      </w:pPr>
    </w:p>
    <w:p>
      <w:pPr>
        <w:widowControl/>
        <w:spacing w:line="300" w:lineRule="exact"/>
        <w:ind w:left="400" w:right="29"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6"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9"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6" w:rightChars="15"/>
        <w:jc w:val="left"/>
        <w:rPr>
          <w:rFonts w:ascii="黑体" w:hAnsi="Times New Roman" w:eastAsia="黑体" w:cs="宋体"/>
          <w:color w:val="000000"/>
          <w:kern w:val="0"/>
          <w:sz w:val="24"/>
          <w:szCs w:val="24"/>
        </w:rPr>
      </w:pPr>
    </w:p>
    <w:p>
      <w:pPr>
        <w:widowControl/>
        <w:spacing w:line="300" w:lineRule="exact"/>
        <w:ind w:left="-2" w:leftChars="-1" w:right="36"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902"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902" w:rightChars="-376"/>
        <w:jc w:val="left"/>
        <w:rPr>
          <w:rFonts w:ascii="黑体" w:hAnsi="Times New Roman" w:eastAsia="黑体" w:cs="宋体"/>
          <w:color w:val="000000"/>
          <w:kern w:val="0"/>
          <w:sz w:val="24"/>
          <w:szCs w:val="24"/>
        </w:rPr>
      </w:pPr>
    </w:p>
    <w:p>
      <w:pPr>
        <w:widowControl/>
        <w:ind w:right="-902"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902"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902"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902"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902"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6" w:rightChars="15"/>
        <w:jc w:val="left"/>
        <w:rPr>
          <w:rFonts w:ascii="宋体" w:hAnsi="宋体" w:eastAsia="宋体" w:cs="宋体"/>
          <w:color w:val="000000"/>
          <w:kern w:val="0"/>
          <w:sz w:val="24"/>
          <w:szCs w:val="24"/>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000000" w:themeColor="text1"/>
        <w14:textFill>
          <w14:solidFill>
            <w14:schemeClr w14:val="tx1"/>
          </w14:solidFill>
        </w14:textFill>
      </w:rPr>
    </w:pPr>
    <w:r>
      <w:rPr>
        <w:rFonts w:hint="eastAsia"/>
      </w:rPr>
      <w:t>本产品风险评级为【P</w:t>
    </w:r>
    <w:r>
      <w:t>R</w:t>
    </w:r>
    <w:r>
      <w:rPr>
        <w:rFonts w:hint="eastAsia"/>
        <w:lang w:val="en-US" w:eastAsia="zh-CN"/>
      </w:rPr>
      <w:t>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22C85ACB"/>
    <w:rsid w:val="056B365A"/>
    <w:rsid w:val="22C85ACB"/>
    <w:rsid w:val="2F2E4BD5"/>
    <w:rsid w:val="5B225FE6"/>
    <w:rsid w:val="692E3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026E5"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2023-12-27T08:46:00Z</dcterms:created>
  <dc:creator>陈晨</dc:creator>
  <cp:lastModifiedBy>妄</cp:lastModifiedBy>
  <dcterms:modified xsi:type="dcterms:W3CDTF">2024-01-08T14:35:50Z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F5345A4C23FC484E91E6AFECAE0A4E77_11</vt:lpwstr>
  </property>
</Properties>
</file>