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customXml/itemProps7.xml" ContentType="application/vnd.openxmlformats-officedocument.customXmlProperties+xml"/>
  <Override PartName="/customXml/itemProps8.xml" ContentType="application/vnd.openxmlformats-officedocument.customXmlProperties+xml"/>
  <Override PartName="/customXml/itemProps9.xml" ContentType="application/vnd.openxmlformats-officedocument.customXmlProperties+xml"/>
  <Override PartName="/customXml/itemProps10.xml" ContentType="application/vnd.openxmlformats-officedocument.customXmlProperties+xml"/>
  <Override PartName="/customXml/itemProps11.xml" ContentType="application/vnd.openxmlformats-officedocument.customXmlProperties+xml"/>
  <Override PartName="/customXml/itemProps12.xml" ContentType="application/vnd.openxmlformats-officedocument.customXmlProperties+xml"/>
  <Override PartName="/customXml/itemProps13.xml" ContentType="application/vnd.openxmlformats-officedocument.customXmlProperties+xml"/>
  <Override PartName="/customXml/itemProps14.xml" ContentType="application/vnd.openxmlformats-officedocument.customXmlProperties+xml"/>
  <Override PartName="/customXml/itemProps15.xml" ContentType="application/vnd.openxmlformats-officedocument.customXmlProperties+xml"/>
  <Override PartName="/customXml/itemProps16.xml" ContentType="application/vnd.openxmlformats-officedocument.customXmlProperties+xml"/>
  <Override PartName="/customXml/itemProps17.xml" ContentType="application/vnd.openxmlformats-officedocument.customXmlProperties+xml"/>
  <Override PartName="/customXml/itemProps18.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039EF" w:rsidRDefault="003F2D22">
      <w:pPr>
        <w:widowControl/>
        <w:spacing w:line="360" w:lineRule="auto"/>
        <w:jc w:val="center"/>
        <w:rPr>
          <w:rStyle w:val="af0"/>
          <w:rFonts w:ascii="宋体" w:hAnsi="宋体"/>
          <w:sz w:val="30"/>
          <w:szCs w:val="30"/>
        </w:rPr>
      </w:pPr>
      <w:r>
        <w:rPr>
          <w:rFonts w:ascii="宋体" w:hAnsi="宋体" w:hint="eastAsia"/>
          <w:b/>
          <w:sz w:val="30"/>
          <w:szCs w:val="30"/>
        </w:rPr>
        <w:t>理财非存款、产品有风险、投资须谨慎！</w:t>
      </w:r>
    </w:p>
    <w:p w:rsidR="00E039EF" w:rsidRDefault="00E039EF">
      <w:pPr>
        <w:adjustRightInd w:val="0"/>
        <w:spacing w:line="360" w:lineRule="auto"/>
        <w:jc w:val="center"/>
        <w:rPr>
          <w:rStyle w:val="af0"/>
          <w:rFonts w:ascii="宋体" w:hAnsi="宋体"/>
          <w:sz w:val="32"/>
          <w:szCs w:val="32"/>
        </w:rPr>
      </w:pPr>
    </w:p>
    <w:p w:rsidR="00E039EF" w:rsidRDefault="00E039EF">
      <w:pPr>
        <w:adjustRightInd w:val="0"/>
        <w:spacing w:line="360" w:lineRule="auto"/>
        <w:jc w:val="center"/>
        <w:rPr>
          <w:rStyle w:val="af0"/>
          <w:rFonts w:ascii="宋体" w:hAnsi="宋体"/>
          <w:sz w:val="32"/>
          <w:szCs w:val="32"/>
        </w:rPr>
      </w:pPr>
    </w:p>
    <w:p w:rsidR="00E039EF" w:rsidRDefault="003F2D22">
      <w:pPr>
        <w:adjustRightInd w:val="0"/>
        <w:spacing w:line="360" w:lineRule="auto"/>
        <w:jc w:val="center"/>
        <w:rPr>
          <w:rStyle w:val="af0"/>
          <w:rFonts w:ascii="宋体" w:hAnsi="宋体"/>
          <w:sz w:val="32"/>
          <w:szCs w:val="32"/>
        </w:rPr>
      </w:pPr>
      <w:r>
        <w:rPr>
          <w:rFonts w:ascii="黑体" w:eastAsia="黑体" w:hAnsi="黑体"/>
          <w:b/>
          <w:noProof/>
          <w:sz w:val="28"/>
          <w:szCs w:val="28"/>
        </w:rPr>
        <w:drawing>
          <wp:inline distT="0" distB="0" distL="0" distR="0">
            <wp:extent cx="3619500" cy="1257300"/>
            <wp:effectExtent l="0" t="0" r="0" b="0"/>
            <wp:docPr id="6" name="图片 6" descr="C:\Users\Administrator\Desktop\子公司理财产品说明书\标(定）-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descr="C:\Users\Administrator\Desktop\子公司理财产品说明书\标(定）-01.jpg"/>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a:xfrm>
                      <a:off x="0" y="0"/>
                      <a:ext cx="3619500" cy="1257300"/>
                    </a:xfrm>
                    <a:prstGeom prst="rect">
                      <a:avLst/>
                    </a:prstGeom>
                    <a:noFill/>
                    <a:ln>
                      <a:noFill/>
                    </a:ln>
                  </pic:spPr>
                </pic:pic>
              </a:graphicData>
            </a:graphic>
          </wp:inline>
        </w:drawing>
      </w:r>
    </w:p>
    <w:p w:rsidR="00E039EF" w:rsidRDefault="00E039EF">
      <w:pPr>
        <w:adjustRightInd w:val="0"/>
        <w:spacing w:line="360" w:lineRule="auto"/>
        <w:jc w:val="center"/>
        <w:rPr>
          <w:rStyle w:val="af0"/>
          <w:rFonts w:ascii="宋体" w:hAnsi="宋体"/>
          <w:sz w:val="32"/>
          <w:szCs w:val="32"/>
        </w:rPr>
      </w:pPr>
    </w:p>
    <w:p w:rsidR="00E039EF" w:rsidRDefault="003F2D22">
      <w:pPr>
        <w:adjustRightInd w:val="0"/>
        <w:spacing w:line="360" w:lineRule="auto"/>
        <w:jc w:val="center"/>
        <w:rPr>
          <w:rStyle w:val="af0"/>
          <w:rFonts w:ascii="黑体" w:eastAsia="黑体" w:hAnsi="黑体"/>
          <w:sz w:val="44"/>
          <w:szCs w:val="44"/>
        </w:rPr>
      </w:pPr>
      <w:r>
        <w:rPr>
          <w:rStyle w:val="af0"/>
          <w:rFonts w:ascii="黑体" w:eastAsia="黑体" w:hAnsi="黑体" w:hint="eastAsia"/>
          <w:sz w:val="44"/>
          <w:szCs w:val="44"/>
        </w:rPr>
        <w:t>兴银理财</w:t>
      </w:r>
      <w:permStart w:id="1518343361" w:edGrp="everyone"/>
      <w:r>
        <w:rPr>
          <w:rStyle w:val="af0"/>
          <w:rFonts w:ascii="黑体" w:eastAsia="黑体" w:hAnsi="黑体" w:hint="eastAsia"/>
          <w:sz w:val="44"/>
          <w:szCs w:val="44"/>
        </w:rPr>
        <w:t>【</w:t>
      </w:r>
      <w:r w:rsidR="004227D0">
        <w:rPr>
          <w:rStyle w:val="af0"/>
          <w:rFonts w:ascii="黑体" w:eastAsia="黑体" w:hAnsi="黑体" w:hint="eastAsia"/>
          <w:sz w:val="44"/>
          <w:szCs w:val="44"/>
        </w:rPr>
        <w:t>稳利丰收封闭式固收类</w:t>
      </w:r>
      <w:r>
        <w:rPr>
          <w:rStyle w:val="af0"/>
          <w:rFonts w:ascii="黑体" w:eastAsia="黑体" w:hAnsi="黑体" w:hint="eastAsia"/>
          <w:sz w:val="44"/>
          <w:szCs w:val="44"/>
        </w:rPr>
        <w:t>】</w:t>
      </w:r>
      <w:permEnd w:id="1518343361"/>
      <w:r>
        <w:rPr>
          <w:rStyle w:val="af0"/>
          <w:rFonts w:ascii="黑体" w:eastAsia="黑体" w:hAnsi="黑体" w:hint="eastAsia"/>
          <w:sz w:val="44"/>
          <w:szCs w:val="44"/>
        </w:rPr>
        <w:t>理财产品</w:t>
      </w:r>
    </w:p>
    <w:p w:rsidR="00E039EF" w:rsidRDefault="003F2D22">
      <w:pPr>
        <w:adjustRightInd w:val="0"/>
        <w:spacing w:line="360" w:lineRule="auto"/>
        <w:jc w:val="center"/>
        <w:rPr>
          <w:rStyle w:val="af0"/>
          <w:rFonts w:ascii="黑体" w:eastAsia="黑体" w:hAnsi="黑体"/>
          <w:sz w:val="44"/>
          <w:szCs w:val="44"/>
        </w:rPr>
      </w:pPr>
      <w:r>
        <w:rPr>
          <w:rStyle w:val="af0"/>
          <w:rFonts w:ascii="黑体" w:eastAsia="黑体" w:hAnsi="黑体" w:hint="eastAsia"/>
          <w:sz w:val="44"/>
          <w:szCs w:val="44"/>
        </w:rPr>
        <w:t>产品说明书</w:t>
      </w:r>
    </w:p>
    <w:p w:rsidR="00E039EF" w:rsidRDefault="00E039EF">
      <w:pPr>
        <w:adjustRightInd w:val="0"/>
        <w:spacing w:line="360" w:lineRule="auto"/>
        <w:jc w:val="center"/>
        <w:rPr>
          <w:rStyle w:val="af0"/>
          <w:rFonts w:ascii="宋体" w:hAnsi="宋体"/>
          <w:sz w:val="32"/>
          <w:szCs w:val="32"/>
        </w:rPr>
      </w:pPr>
    </w:p>
    <w:p w:rsidR="00E039EF" w:rsidRDefault="003F2D22">
      <w:pPr>
        <w:adjustRightInd w:val="0"/>
        <w:spacing w:line="360" w:lineRule="auto"/>
        <w:rPr>
          <w:rStyle w:val="af0"/>
          <w:rFonts w:ascii="黑体" w:eastAsia="黑体" w:hAnsi="黑体"/>
          <w:bCs w:val="0"/>
          <w:sz w:val="28"/>
          <w:szCs w:val="28"/>
        </w:rPr>
      </w:pPr>
      <w:r>
        <w:rPr>
          <w:rStyle w:val="af0"/>
          <w:rFonts w:ascii="黑体" w:eastAsia="黑体" w:hAnsi="黑体" w:hint="eastAsia"/>
          <w:bCs w:val="0"/>
          <w:sz w:val="28"/>
          <w:szCs w:val="28"/>
        </w:rPr>
        <w:t xml:space="preserve"> </w:t>
      </w:r>
    </w:p>
    <w:p w:rsidR="00E039EF" w:rsidRDefault="003F2D22">
      <w:pPr>
        <w:adjustRightInd w:val="0"/>
        <w:spacing w:line="360" w:lineRule="auto"/>
        <w:jc w:val="center"/>
        <w:rPr>
          <w:rStyle w:val="af0"/>
          <w:rFonts w:ascii="黑体" w:eastAsia="黑体" w:hAnsi="黑体"/>
          <w:bCs w:val="0"/>
          <w:sz w:val="28"/>
          <w:szCs w:val="28"/>
        </w:rPr>
      </w:pPr>
      <w:r>
        <w:rPr>
          <w:rStyle w:val="af0"/>
          <w:rFonts w:ascii="黑体" w:eastAsia="黑体" w:hAnsi="黑体" w:hint="eastAsia"/>
          <w:bCs w:val="0"/>
          <w:sz w:val="28"/>
          <w:szCs w:val="28"/>
        </w:rPr>
        <w:t xml:space="preserve"> </w:t>
      </w:r>
    </w:p>
    <w:p w:rsidR="00E039EF" w:rsidRDefault="00E039EF">
      <w:pPr>
        <w:adjustRightInd w:val="0"/>
        <w:spacing w:line="360" w:lineRule="auto"/>
        <w:jc w:val="center"/>
        <w:rPr>
          <w:rStyle w:val="af0"/>
          <w:rFonts w:ascii="黑体" w:eastAsia="黑体" w:hAnsi="黑体"/>
          <w:bCs w:val="0"/>
          <w:sz w:val="28"/>
          <w:szCs w:val="28"/>
        </w:rPr>
      </w:pPr>
    </w:p>
    <w:p w:rsidR="00E039EF" w:rsidRDefault="003F2D22">
      <w:pPr>
        <w:adjustRightInd w:val="0"/>
        <w:spacing w:line="360" w:lineRule="auto"/>
        <w:jc w:val="center"/>
        <w:rPr>
          <w:rStyle w:val="af0"/>
          <w:rFonts w:ascii="宋体" w:hAnsi="宋体" w:cs="Times New Roman"/>
          <w:sz w:val="32"/>
          <w:szCs w:val="32"/>
        </w:rPr>
      </w:pPr>
      <w:r>
        <w:rPr>
          <w:rStyle w:val="af0"/>
          <w:rFonts w:ascii="宋体" w:hAnsi="宋体" w:cs="Times New Roman" w:hint="eastAsia"/>
          <w:sz w:val="32"/>
          <w:szCs w:val="32"/>
        </w:rPr>
        <w:t>理财产品管理人：兴银理财有限责任公司</w:t>
      </w:r>
    </w:p>
    <w:p w:rsidR="00E039EF" w:rsidRDefault="00E039EF">
      <w:pPr>
        <w:adjustRightInd w:val="0"/>
        <w:spacing w:line="360" w:lineRule="auto"/>
        <w:jc w:val="center"/>
        <w:rPr>
          <w:rStyle w:val="af0"/>
          <w:rFonts w:ascii="宋体" w:hAnsi="宋体"/>
          <w:sz w:val="32"/>
          <w:szCs w:val="32"/>
        </w:rPr>
      </w:pPr>
    </w:p>
    <w:p w:rsidR="00E039EF" w:rsidRDefault="00E039EF">
      <w:pPr>
        <w:adjustRightInd w:val="0"/>
        <w:spacing w:line="360" w:lineRule="auto"/>
        <w:jc w:val="center"/>
        <w:rPr>
          <w:rStyle w:val="af0"/>
          <w:rFonts w:ascii="宋体" w:hAnsi="宋体"/>
          <w:sz w:val="32"/>
          <w:szCs w:val="32"/>
        </w:rPr>
      </w:pPr>
    </w:p>
    <w:p w:rsidR="00E039EF" w:rsidRDefault="003F2D22">
      <w:pPr>
        <w:adjustRightInd w:val="0"/>
        <w:spacing w:line="360" w:lineRule="auto"/>
        <w:jc w:val="center"/>
        <w:rPr>
          <w:rStyle w:val="af0"/>
          <w:rFonts w:ascii="宋体" w:hAnsi="宋体" w:cs="Times New Roman"/>
          <w:sz w:val="32"/>
          <w:szCs w:val="32"/>
        </w:rPr>
      </w:pPr>
      <w:r>
        <w:rPr>
          <w:rStyle w:val="af0"/>
          <w:rFonts w:ascii="宋体" w:hAnsi="宋体" w:cs="Times New Roman" w:hint="eastAsia"/>
          <w:sz w:val="32"/>
          <w:szCs w:val="32"/>
        </w:rPr>
        <w:t>日期</w:t>
      </w:r>
      <w:r>
        <w:rPr>
          <w:rStyle w:val="af0"/>
          <w:rFonts w:ascii="宋体" w:hAnsi="宋体" w:cs="Times New Roman"/>
          <w:sz w:val="32"/>
          <w:szCs w:val="32"/>
        </w:rPr>
        <w:t>：</w:t>
      </w:r>
      <w:permStart w:id="1599281856" w:edGrp="everyone"/>
      <w:r>
        <w:rPr>
          <w:rStyle w:val="af0"/>
          <w:rFonts w:ascii="宋体" w:hAnsi="宋体" w:cs="Times New Roman" w:hint="eastAsia"/>
          <w:sz w:val="32"/>
          <w:szCs w:val="32"/>
        </w:rPr>
        <w:t>【2</w:t>
      </w:r>
      <w:r>
        <w:rPr>
          <w:rStyle w:val="af0"/>
          <w:rFonts w:ascii="宋体" w:hAnsi="宋体" w:cs="Times New Roman"/>
          <w:sz w:val="32"/>
          <w:szCs w:val="32"/>
        </w:rPr>
        <w:t>023</w:t>
      </w:r>
      <w:r>
        <w:rPr>
          <w:rStyle w:val="af0"/>
          <w:rFonts w:ascii="宋体" w:hAnsi="宋体" w:cs="Times New Roman" w:hint="eastAsia"/>
          <w:sz w:val="32"/>
          <w:szCs w:val="32"/>
        </w:rPr>
        <w:t>】年【</w:t>
      </w:r>
      <w:r w:rsidR="004C6A3A">
        <w:rPr>
          <w:rStyle w:val="af0"/>
          <w:rFonts w:ascii="宋体" w:hAnsi="宋体" w:cs="Times New Roman"/>
          <w:sz w:val="32"/>
          <w:szCs w:val="32"/>
        </w:rPr>
        <w:t>12</w:t>
      </w:r>
      <w:r>
        <w:rPr>
          <w:rStyle w:val="af0"/>
          <w:rFonts w:ascii="宋体" w:hAnsi="宋体" w:cs="Times New Roman" w:hint="eastAsia"/>
          <w:sz w:val="32"/>
          <w:szCs w:val="32"/>
        </w:rPr>
        <w:t>】月</w:t>
      </w:r>
      <w:permEnd w:id="1599281856"/>
    </w:p>
    <w:p w:rsidR="00E039EF" w:rsidRDefault="00E039EF">
      <w:pPr>
        <w:adjustRightInd w:val="0"/>
        <w:spacing w:line="360" w:lineRule="auto"/>
        <w:jc w:val="center"/>
        <w:rPr>
          <w:rStyle w:val="af0"/>
          <w:rFonts w:ascii="宋体" w:hAnsi="宋体"/>
          <w:sz w:val="32"/>
          <w:szCs w:val="32"/>
        </w:rPr>
      </w:pPr>
    </w:p>
    <w:p w:rsidR="00E039EF" w:rsidRDefault="003F2D22">
      <w:pPr>
        <w:pStyle w:val="Default"/>
        <w:spacing w:line="360" w:lineRule="auto"/>
        <w:rPr>
          <w:rFonts w:hAnsi="宋体"/>
          <w:sz w:val="28"/>
          <w:szCs w:val="28"/>
        </w:rPr>
      </w:pPr>
      <w:r>
        <w:rPr>
          <w:rFonts w:hAnsi="宋体"/>
          <w:sz w:val="28"/>
          <w:szCs w:val="28"/>
        </w:rPr>
        <w:br w:type="page"/>
      </w:r>
    </w:p>
    <w:bookmarkStart w:id="0" w:name="_Toc78276587" w:displacedByCustomXml="next"/>
    <w:sdt>
      <w:sdtPr>
        <w:rPr>
          <w:rFonts w:ascii="Calibri" w:eastAsia="宋体" w:hAnsi="Calibri" w:cs="宋体"/>
          <w:b w:val="0"/>
          <w:bCs w:val="0"/>
          <w:color w:val="auto"/>
          <w:kern w:val="2"/>
          <w:sz w:val="21"/>
          <w:szCs w:val="22"/>
          <w:lang w:val="zh-CN"/>
        </w:rPr>
        <w:id w:val="624888713"/>
        <w:docPartObj>
          <w:docPartGallery w:val="Table of Contents"/>
          <w:docPartUnique/>
        </w:docPartObj>
      </w:sdtPr>
      <w:sdtEndPr>
        <w:rPr>
          <w:lang w:val="en-US"/>
        </w:rPr>
      </w:sdtEndPr>
      <w:sdtContent>
        <w:p w:rsidR="00E039EF" w:rsidRDefault="003F2D22">
          <w:pPr>
            <w:pStyle w:val="TOC2"/>
            <w:spacing w:line="360" w:lineRule="auto"/>
            <w:jc w:val="center"/>
          </w:pPr>
          <w:r>
            <w:rPr>
              <w:lang w:val="zh-CN"/>
            </w:rPr>
            <w:t>目录</w:t>
          </w:r>
        </w:p>
        <w:p w:rsidR="00E039EF" w:rsidRDefault="003F2D22">
          <w:pPr>
            <w:pStyle w:val="10"/>
            <w:tabs>
              <w:tab w:val="right" w:leader="dot" w:pos="8296"/>
            </w:tabs>
            <w:rPr>
              <w:rFonts w:asciiTheme="minorHAnsi" w:eastAsiaTheme="minorEastAsia" w:hAnsiTheme="minorHAnsi" w:cstheme="minorBidi"/>
              <w:kern w:val="2"/>
              <w:sz w:val="21"/>
            </w:rPr>
          </w:pPr>
          <w:r>
            <w:fldChar w:fldCharType="begin"/>
          </w:r>
          <w:r>
            <w:instrText xml:space="preserve"> TOC \o "1-3" \h \z \u </w:instrText>
          </w:r>
          <w:r>
            <w:fldChar w:fldCharType="separate"/>
          </w:r>
          <w:hyperlink w:anchor="_Toc116649649" w:history="1">
            <w:r>
              <w:rPr>
                <w:rStyle w:val="af2"/>
                <w:rFonts w:ascii="Times New Roman" w:hint="eastAsia"/>
              </w:rPr>
              <w:t>第一条</w:t>
            </w:r>
            <w:r>
              <w:rPr>
                <w:rStyle w:val="af2"/>
                <w:rFonts w:ascii="Times New Roman"/>
              </w:rPr>
              <w:t xml:space="preserve">  </w:t>
            </w:r>
            <w:r>
              <w:rPr>
                <w:rStyle w:val="af2"/>
                <w:rFonts w:ascii="Times New Roman" w:hint="eastAsia"/>
              </w:rPr>
              <w:t>释义</w:t>
            </w:r>
            <w:r>
              <w:tab/>
            </w:r>
            <w:r>
              <w:fldChar w:fldCharType="begin"/>
            </w:r>
            <w:r>
              <w:instrText xml:space="preserve"> PAGEREF _Toc116649649 \h </w:instrText>
            </w:r>
            <w:r>
              <w:fldChar w:fldCharType="separate"/>
            </w:r>
            <w:r>
              <w:t>3</w:t>
            </w:r>
            <w:r>
              <w:fldChar w:fldCharType="end"/>
            </w:r>
          </w:hyperlink>
        </w:p>
        <w:p w:rsidR="00E039EF" w:rsidRDefault="002B4E5D">
          <w:pPr>
            <w:pStyle w:val="10"/>
            <w:tabs>
              <w:tab w:val="right" w:leader="dot" w:pos="8296"/>
            </w:tabs>
            <w:rPr>
              <w:rFonts w:asciiTheme="minorHAnsi" w:eastAsiaTheme="minorEastAsia" w:hAnsiTheme="minorHAnsi" w:cstheme="minorBidi"/>
              <w:kern w:val="2"/>
              <w:sz w:val="21"/>
            </w:rPr>
          </w:pPr>
          <w:hyperlink w:anchor="_Toc116649650" w:history="1">
            <w:r w:rsidR="003F2D22">
              <w:rPr>
                <w:rStyle w:val="af2"/>
                <w:rFonts w:hAnsi="宋体" w:hint="eastAsia"/>
              </w:rPr>
              <w:t>第二条</w:t>
            </w:r>
            <w:r w:rsidR="003F2D22">
              <w:rPr>
                <w:rStyle w:val="af2"/>
                <w:rFonts w:hAnsi="宋体"/>
              </w:rPr>
              <w:t xml:space="preserve">  </w:t>
            </w:r>
            <w:r w:rsidR="003F2D22">
              <w:rPr>
                <w:rStyle w:val="af2"/>
                <w:rFonts w:hAnsi="宋体" w:hint="eastAsia"/>
              </w:rPr>
              <w:t>理财产品基本情况</w:t>
            </w:r>
            <w:r w:rsidR="003F2D22">
              <w:rPr>
                <w:rStyle w:val="af2"/>
                <w:rFonts w:hAnsi="宋体"/>
              </w:rPr>
              <w:t xml:space="preserve"> </w:t>
            </w:r>
            <w:r w:rsidR="003F2D22">
              <w:tab/>
            </w:r>
            <w:r w:rsidR="003F2D22">
              <w:fldChar w:fldCharType="begin"/>
            </w:r>
            <w:r w:rsidR="003F2D22">
              <w:instrText xml:space="preserve"> PAGEREF _Toc116649650 \h </w:instrText>
            </w:r>
            <w:r w:rsidR="003F2D22">
              <w:fldChar w:fldCharType="separate"/>
            </w:r>
            <w:r w:rsidR="003F2D22">
              <w:t>8</w:t>
            </w:r>
            <w:r w:rsidR="003F2D22">
              <w:fldChar w:fldCharType="end"/>
            </w:r>
          </w:hyperlink>
        </w:p>
        <w:p w:rsidR="00E039EF" w:rsidRDefault="002B4E5D">
          <w:pPr>
            <w:pStyle w:val="10"/>
            <w:tabs>
              <w:tab w:val="right" w:leader="dot" w:pos="8296"/>
            </w:tabs>
            <w:rPr>
              <w:rFonts w:asciiTheme="minorHAnsi" w:eastAsiaTheme="minorEastAsia" w:hAnsiTheme="minorHAnsi" w:cstheme="minorBidi"/>
              <w:kern w:val="2"/>
              <w:sz w:val="21"/>
            </w:rPr>
          </w:pPr>
          <w:hyperlink w:anchor="_Toc116649651" w:history="1">
            <w:r w:rsidR="003F2D22">
              <w:rPr>
                <w:rStyle w:val="af2"/>
                <w:rFonts w:ascii="Times New Roman" w:hint="eastAsia"/>
              </w:rPr>
              <w:t>第三条</w:t>
            </w:r>
            <w:r w:rsidR="003F2D22">
              <w:rPr>
                <w:rStyle w:val="af2"/>
                <w:rFonts w:ascii="Times New Roman"/>
              </w:rPr>
              <w:t xml:space="preserve">  </w:t>
            </w:r>
            <w:r w:rsidR="003F2D22">
              <w:rPr>
                <w:rStyle w:val="af2"/>
                <w:rFonts w:ascii="Times New Roman" w:hint="eastAsia"/>
              </w:rPr>
              <w:t>理财产品的认购</w:t>
            </w:r>
            <w:r w:rsidR="003F2D22">
              <w:tab/>
            </w:r>
            <w:r w:rsidR="003F2D22">
              <w:fldChar w:fldCharType="begin"/>
            </w:r>
            <w:r w:rsidR="003F2D22">
              <w:instrText xml:space="preserve"> PAGEREF _Toc116649651 \h </w:instrText>
            </w:r>
            <w:r w:rsidR="003F2D22">
              <w:fldChar w:fldCharType="separate"/>
            </w:r>
            <w:r w:rsidR="003F2D22">
              <w:t>14</w:t>
            </w:r>
            <w:r w:rsidR="003F2D22">
              <w:fldChar w:fldCharType="end"/>
            </w:r>
          </w:hyperlink>
        </w:p>
        <w:p w:rsidR="00E039EF" w:rsidRDefault="002B4E5D">
          <w:pPr>
            <w:pStyle w:val="10"/>
            <w:tabs>
              <w:tab w:val="right" w:leader="dot" w:pos="8296"/>
            </w:tabs>
            <w:rPr>
              <w:rFonts w:asciiTheme="minorHAnsi" w:eastAsiaTheme="minorEastAsia" w:hAnsiTheme="minorHAnsi" w:cstheme="minorBidi"/>
              <w:kern w:val="2"/>
              <w:sz w:val="21"/>
            </w:rPr>
          </w:pPr>
          <w:hyperlink w:anchor="_Toc116649652" w:history="1">
            <w:r w:rsidR="003F2D22">
              <w:rPr>
                <w:rStyle w:val="af2"/>
                <w:rFonts w:ascii="Times New Roman" w:hint="eastAsia"/>
              </w:rPr>
              <w:t>第四条</w:t>
            </w:r>
            <w:r w:rsidR="003F2D22">
              <w:rPr>
                <w:rStyle w:val="af2"/>
                <w:rFonts w:ascii="Times New Roman"/>
              </w:rPr>
              <w:t xml:space="preserve">  </w:t>
            </w:r>
            <w:r w:rsidR="003F2D22">
              <w:rPr>
                <w:rStyle w:val="af2"/>
                <w:rFonts w:ascii="Times New Roman" w:hint="eastAsia"/>
              </w:rPr>
              <w:t>理财产品的申购与赎回</w:t>
            </w:r>
            <w:r w:rsidR="003F2D22">
              <w:tab/>
            </w:r>
            <w:r w:rsidR="003F2D22">
              <w:fldChar w:fldCharType="begin"/>
            </w:r>
            <w:r w:rsidR="003F2D22">
              <w:instrText xml:space="preserve"> PAGEREF _Toc116649652 \h </w:instrText>
            </w:r>
            <w:r w:rsidR="003F2D22">
              <w:fldChar w:fldCharType="separate"/>
            </w:r>
            <w:r w:rsidR="003F2D22">
              <w:t>16</w:t>
            </w:r>
            <w:r w:rsidR="003F2D22">
              <w:fldChar w:fldCharType="end"/>
            </w:r>
          </w:hyperlink>
        </w:p>
        <w:p w:rsidR="00E039EF" w:rsidRDefault="002B4E5D">
          <w:pPr>
            <w:pStyle w:val="10"/>
            <w:tabs>
              <w:tab w:val="right" w:leader="dot" w:pos="8296"/>
            </w:tabs>
            <w:rPr>
              <w:rFonts w:asciiTheme="minorHAnsi" w:eastAsiaTheme="minorEastAsia" w:hAnsiTheme="minorHAnsi" w:cstheme="minorBidi"/>
              <w:kern w:val="2"/>
              <w:sz w:val="21"/>
            </w:rPr>
          </w:pPr>
          <w:hyperlink w:anchor="_Toc116649653" w:history="1">
            <w:r w:rsidR="003F2D22">
              <w:rPr>
                <w:rStyle w:val="af2"/>
                <w:rFonts w:ascii="Times New Roman" w:hint="eastAsia"/>
              </w:rPr>
              <w:t>第五条</w:t>
            </w:r>
            <w:r w:rsidR="003F2D22">
              <w:rPr>
                <w:rStyle w:val="af2"/>
                <w:rFonts w:ascii="Times New Roman"/>
              </w:rPr>
              <w:t xml:space="preserve">  </w:t>
            </w:r>
            <w:r w:rsidR="003F2D22">
              <w:rPr>
                <w:rStyle w:val="af2"/>
                <w:rFonts w:ascii="Times New Roman" w:hint="eastAsia"/>
              </w:rPr>
              <w:t>理财产品的投资</w:t>
            </w:r>
            <w:r w:rsidR="003F2D22">
              <w:tab/>
            </w:r>
            <w:r w:rsidR="003F2D22">
              <w:fldChar w:fldCharType="begin"/>
            </w:r>
            <w:r w:rsidR="003F2D22">
              <w:instrText xml:space="preserve"> PAGEREF _Toc116649653 \h </w:instrText>
            </w:r>
            <w:r w:rsidR="003F2D22">
              <w:fldChar w:fldCharType="separate"/>
            </w:r>
            <w:r w:rsidR="003F2D22">
              <w:t>17</w:t>
            </w:r>
            <w:r w:rsidR="003F2D22">
              <w:fldChar w:fldCharType="end"/>
            </w:r>
          </w:hyperlink>
        </w:p>
        <w:p w:rsidR="00E039EF" w:rsidRDefault="002B4E5D">
          <w:pPr>
            <w:pStyle w:val="10"/>
            <w:tabs>
              <w:tab w:val="right" w:leader="dot" w:pos="8296"/>
            </w:tabs>
            <w:rPr>
              <w:rFonts w:asciiTheme="minorHAnsi" w:eastAsiaTheme="minorEastAsia" w:hAnsiTheme="minorHAnsi" w:cstheme="minorBidi"/>
              <w:kern w:val="2"/>
              <w:sz w:val="21"/>
            </w:rPr>
          </w:pPr>
          <w:hyperlink w:anchor="_Toc116649654" w:history="1">
            <w:r w:rsidR="003F2D22">
              <w:rPr>
                <w:rStyle w:val="af2"/>
                <w:rFonts w:ascii="Times New Roman" w:hint="eastAsia"/>
              </w:rPr>
              <w:t>第六条</w:t>
            </w:r>
            <w:r w:rsidR="003F2D22">
              <w:rPr>
                <w:rStyle w:val="af2"/>
                <w:rFonts w:ascii="Times New Roman"/>
              </w:rPr>
              <w:t xml:space="preserve">  </w:t>
            </w:r>
            <w:r w:rsidR="003F2D22">
              <w:rPr>
                <w:rStyle w:val="af2"/>
                <w:rFonts w:ascii="Times New Roman" w:hint="eastAsia"/>
              </w:rPr>
              <w:t>理财产品的资产</w:t>
            </w:r>
            <w:r w:rsidR="003F2D22">
              <w:tab/>
            </w:r>
            <w:r w:rsidR="003F2D22">
              <w:fldChar w:fldCharType="begin"/>
            </w:r>
            <w:r w:rsidR="003F2D22">
              <w:instrText xml:space="preserve"> PAGEREF _Toc116649654 \h </w:instrText>
            </w:r>
            <w:r w:rsidR="003F2D22">
              <w:fldChar w:fldCharType="separate"/>
            </w:r>
            <w:r w:rsidR="003F2D22">
              <w:t>20</w:t>
            </w:r>
            <w:r w:rsidR="003F2D22">
              <w:fldChar w:fldCharType="end"/>
            </w:r>
          </w:hyperlink>
        </w:p>
        <w:p w:rsidR="00E039EF" w:rsidRDefault="002B4E5D">
          <w:pPr>
            <w:pStyle w:val="10"/>
            <w:tabs>
              <w:tab w:val="right" w:leader="dot" w:pos="8296"/>
            </w:tabs>
            <w:rPr>
              <w:rFonts w:asciiTheme="minorHAnsi" w:eastAsiaTheme="minorEastAsia" w:hAnsiTheme="minorHAnsi" w:cstheme="minorBidi"/>
              <w:kern w:val="2"/>
              <w:sz w:val="21"/>
            </w:rPr>
          </w:pPr>
          <w:hyperlink w:anchor="_Toc116649655" w:history="1">
            <w:r w:rsidR="003F2D22">
              <w:rPr>
                <w:rStyle w:val="af2"/>
                <w:rFonts w:ascii="Times New Roman" w:hint="eastAsia"/>
              </w:rPr>
              <w:t>第七条</w:t>
            </w:r>
            <w:r w:rsidR="003F2D22">
              <w:rPr>
                <w:rStyle w:val="af2"/>
                <w:rFonts w:ascii="Times New Roman"/>
              </w:rPr>
              <w:t xml:space="preserve">  </w:t>
            </w:r>
            <w:r w:rsidR="003F2D22">
              <w:rPr>
                <w:rStyle w:val="af2"/>
                <w:rFonts w:ascii="Times New Roman" w:hint="eastAsia"/>
              </w:rPr>
              <w:t>理财产品项下资产的估值</w:t>
            </w:r>
            <w:r w:rsidR="003F2D22">
              <w:tab/>
            </w:r>
            <w:r w:rsidR="003F2D22">
              <w:fldChar w:fldCharType="begin"/>
            </w:r>
            <w:r w:rsidR="003F2D22">
              <w:instrText xml:space="preserve"> PAGEREF _Toc116649655 \h </w:instrText>
            </w:r>
            <w:r w:rsidR="003F2D22">
              <w:fldChar w:fldCharType="separate"/>
            </w:r>
            <w:r w:rsidR="003F2D22">
              <w:t>21</w:t>
            </w:r>
            <w:r w:rsidR="003F2D22">
              <w:fldChar w:fldCharType="end"/>
            </w:r>
          </w:hyperlink>
        </w:p>
        <w:p w:rsidR="00E039EF" w:rsidRDefault="002B4E5D">
          <w:pPr>
            <w:pStyle w:val="10"/>
            <w:tabs>
              <w:tab w:val="right" w:leader="dot" w:pos="8296"/>
            </w:tabs>
            <w:rPr>
              <w:rFonts w:asciiTheme="minorHAnsi" w:eastAsiaTheme="minorEastAsia" w:hAnsiTheme="minorHAnsi" w:cstheme="minorBidi"/>
              <w:kern w:val="2"/>
              <w:sz w:val="21"/>
            </w:rPr>
          </w:pPr>
          <w:hyperlink w:anchor="_Toc116649656" w:history="1">
            <w:r w:rsidR="003F2D22">
              <w:rPr>
                <w:rStyle w:val="af2"/>
                <w:rFonts w:ascii="Times New Roman" w:hint="eastAsia"/>
              </w:rPr>
              <w:t>第八条</w:t>
            </w:r>
            <w:r w:rsidR="003F2D22">
              <w:rPr>
                <w:rStyle w:val="af2"/>
                <w:rFonts w:ascii="Times New Roman"/>
              </w:rPr>
              <w:t xml:space="preserve">  </w:t>
            </w:r>
            <w:r w:rsidR="003F2D22">
              <w:rPr>
                <w:rStyle w:val="af2"/>
                <w:rFonts w:ascii="Times New Roman" w:hint="eastAsia"/>
              </w:rPr>
              <w:t>理财产品的利益分配</w:t>
            </w:r>
            <w:r w:rsidR="003F2D22">
              <w:tab/>
            </w:r>
            <w:r w:rsidR="003F2D22">
              <w:fldChar w:fldCharType="begin"/>
            </w:r>
            <w:r w:rsidR="003F2D22">
              <w:instrText xml:space="preserve"> PAGEREF _Toc116649656 \h </w:instrText>
            </w:r>
            <w:r w:rsidR="003F2D22">
              <w:fldChar w:fldCharType="separate"/>
            </w:r>
            <w:r w:rsidR="003F2D22">
              <w:t>25</w:t>
            </w:r>
            <w:r w:rsidR="003F2D22">
              <w:fldChar w:fldCharType="end"/>
            </w:r>
          </w:hyperlink>
        </w:p>
        <w:p w:rsidR="00E039EF" w:rsidRDefault="002B4E5D">
          <w:pPr>
            <w:pStyle w:val="10"/>
            <w:tabs>
              <w:tab w:val="right" w:leader="dot" w:pos="8296"/>
            </w:tabs>
            <w:rPr>
              <w:rFonts w:asciiTheme="minorHAnsi" w:eastAsiaTheme="minorEastAsia" w:hAnsiTheme="minorHAnsi" w:cstheme="minorBidi"/>
              <w:kern w:val="2"/>
              <w:sz w:val="21"/>
            </w:rPr>
          </w:pPr>
          <w:hyperlink w:anchor="_Toc116649657" w:history="1">
            <w:r w:rsidR="003F2D22">
              <w:rPr>
                <w:rStyle w:val="af2"/>
                <w:rFonts w:ascii="Times New Roman" w:hint="eastAsia"/>
              </w:rPr>
              <w:t>第九条</w:t>
            </w:r>
            <w:r w:rsidR="003F2D22">
              <w:rPr>
                <w:rStyle w:val="af2"/>
                <w:rFonts w:ascii="Times New Roman"/>
              </w:rPr>
              <w:t xml:space="preserve">  </w:t>
            </w:r>
            <w:r w:rsidR="003F2D22">
              <w:rPr>
                <w:rStyle w:val="af2"/>
                <w:rFonts w:ascii="Times New Roman" w:hint="eastAsia"/>
              </w:rPr>
              <w:t>理财产品的费用与税收</w:t>
            </w:r>
            <w:r w:rsidR="003F2D22">
              <w:tab/>
            </w:r>
            <w:r w:rsidR="003F2D22">
              <w:fldChar w:fldCharType="begin"/>
            </w:r>
            <w:r w:rsidR="003F2D22">
              <w:instrText xml:space="preserve"> PAGEREF _Toc116649657 \h </w:instrText>
            </w:r>
            <w:r w:rsidR="003F2D22">
              <w:fldChar w:fldCharType="separate"/>
            </w:r>
            <w:r w:rsidR="003F2D22">
              <w:t>26</w:t>
            </w:r>
            <w:r w:rsidR="003F2D22">
              <w:fldChar w:fldCharType="end"/>
            </w:r>
          </w:hyperlink>
        </w:p>
        <w:p w:rsidR="00E039EF" w:rsidRDefault="002B4E5D">
          <w:pPr>
            <w:pStyle w:val="10"/>
            <w:tabs>
              <w:tab w:val="right" w:leader="dot" w:pos="8296"/>
            </w:tabs>
            <w:rPr>
              <w:rFonts w:asciiTheme="minorHAnsi" w:eastAsiaTheme="minorEastAsia" w:hAnsiTheme="minorHAnsi" w:cstheme="minorBidi"/>
              <w:kern w:val="2"/>
              <w:sz w:val="21"/>
            </w:rPr>
          </w:pPr>
          <w:hyperlink w:anchor="_Toc116649658" w:history="1">
            <w:r w:rsidR="003F2D22">
              <w:rPr>
                <w:rStyle w:val="af2"/>
                <w:rFonts w:hint="eastAsia"/>
              </w:rPr>
              <w:t>第十条</w:t>
            </w:r>
            <w:r w:rsidR="003F2D22">
              <w:rPr>
                <w:rStyle w:val="af2"/>
              </w:rPr>
              <w:t xml:space="preserve">  </w:t>
            </w:r>
            <w:r w:rsidR="003F2D22">
              <w:rPr>
                <w:rStyle w:val="af2"/>
                <w:rFonts w:hint="eastAsia"/>
              </w:rPr>
              <w:t>理财产品的终止与清算</w:t>
            </w:r>
            <w:r w:rsidR="003F2D22">
              <w:tab/>
            </w:r>
            <w:r w:rsidR="003F2D22">
              <w:fldChar w:fldCharType="begin"/>
            </w:r>
            <w:r w:rsidR="003F2D22">
              <w:instrText xml:space="preserve"> PAGEREF _Toc116649658 \h </w:instrText>
            </w:r>
            <w:r w:rsidR="003F2D22">
              <w:fldChar w:fldCharType="separate"/>
            </w:r>
            <w:r w:rsidR="003F2D22">
              <w:t>29</w:t>
            </w:r>
            <w:r w:rsidR="003F2D22">
              <w:fldChar w:fldCharType="end"/>
            </w:r>
          </w:hyperlink>
        </w:p>
        <w:p w:rsidR="00E039EF" w:rsidRDefault="002B4E5D">
          <w:pPr>
            <w:pStyle w:val="10"/>
            <w:tabs>
              <w:tab w:val="right" w:leader="dot" w:pos="8296"/>
            </w:tabs>
            <w:rPr>
              <w:rFonts w:asciiTheme="minorHAnsi" w:eastAsiaTheme="minorEastAsia" w:hAnsiTheme="minorHAnsi" w:cstheme="minorBidi"/>
              <w:kern w:val="2"/>
              <w:sz w:val="21"/>
            </w:rPr>
          </w:pPr>
          <w:hyperlink w:anchor="_Toc116649659" w:history="1">
            <w:r w:rsidR="003F2D22">
              <w:rPr>
                <w:rStyle w:val="af2"/>
                <w:rFonts w:ascii="Times New Roman" w:hint="eastAsia"/>
              </w:rPr>
              <w:t>第十一条</w:t>
            </w:r>
            <w:r w:rsidR="003F2D22">
              <w:rPr>
                <w:rStyle w:val="af2"/>
                <w:rFonts w:ascii="Times New Roman"/>
              </w:rPr>
              <w:t xml:space="preserve">  </w:t>
            </w:r>
            <w:r w:rsidR="003F2D22">
              <w:rPr>
                <w:rStyle w:val="af2"/>
                <w:rFonts w:ascii="Times New Roman" w:hint="eastAsia"/>
              </w:rPr>
              <w:t>理财产品的信息披露</w:t>
            </w:r>
            <w:r w:rsidR="003F2D22">
              <w:tab/>
            </w:r>
            <w:r w:rsidR="003F2D22">
              <w:fldChar w:fldCharType="begin"/>
            </w:r>
            <w:r w:rsidR="003F2D22">
              <w:instrText xml:space="preserve"> PAGEREF _Toc116649659 \h </w:instrText>
            </w:r>
            <w:r w:rsidR="003F2D22">
              <w:fldChar w:fldCharType="separate"/>
            </w:r>
            <w:r w:rsidR="003F2D22">
              <w:t>31</w:t>
            </w:r>
            <w:r w:rsidR="003F2D22">
              <w:fldChar w:fldCharType="end"/>
            </w:r>
          </w:hyperlink>
        </w:p>
        <w:p w:rsidR="00E039EF" w:rsidRDefault="002B4E5D">
          <w:pPr>
            <w:pStyle w:val="10"/>
            <w:tabs>
              <w:tab w:val="right" w:leader="dot" w:pos="8296"/>
            </w:tabs>
            <w:rPr>
              <w:rFonts w:asciiTheme="minorHAnsi" w:eastAsiaTheme="minorEastAsia" w:hAnsiTheme="minorHAnsi" w:cstheme="minorBidi"/>
              <w:kern w:val="2"/>
              <w:sz w:val="21"/>
            </w:rPr>
          </w:pPr>
          <w:hyperlink w:anchor="_Toc116649660" w:history="1">
            <w:r w:rsidR="003F2D22">
              <w:rPr>
                <w:rStyle w:val="af2"/>
                <w:rFonts w:ascii="Times New Roman" w:hint="eastAsia"/>
              </w:rPr>
              <w:t>第十二条</w:t>
            </w:r>
            <w:r w:rsidR="003F2D22">
              <w:rPr>
                <w:rStyle w:val="af2"/>
                <w:rFonts w:ascii="Times New Roman"/>
              </w:rPr>
              <w:t xml:space="preserve">  </w:t>
            </w:r>
            <w:r w:rsidR="003F2D22">
              <w:rPr>
                <w:rStyle w:val="af2"/>
                <w:rFonts w:ascii="Times New Roman" w:hint="eastAsia"/>
              </w:rPr>
              <w:t>理财产品的风险揭示</w:t>
            </w:r>
            <w:r w:rsidR="003F2D22">
              <w:tab/>
            </w:r>
            <w:r w:rsidR="003F2D22">
              <w:fldChar w:fldCharType="begin"/>
            </w:r>
            <w:r w:rsidR="003F2D22">
              <w:instrText xml:space="preserve"> PAGEREF _Toc116649660 \h </w:instrText>
            </w:r>
            <w:r w:rsidR="003F2D22">
              <w:fldChar w:fldCharType="separate"/>
            </w:r>
            <w:r w:rsidR="003F2D22">
              <w:t>33</w:t>
            </w:r>
            <w:r w:rsidR="003F2D22">
              <w:fldChar w:fldCharType="end"/>
            </w:r>
          </w:hyperlink>
        </w:p>
        <w:p w:rsidR="00E039EF" w:rsidRDefault="003F2D22">
          <w:pPr>
            <w:spacing w:line="360" w:lineRule="auto"/>
          </w:pPr>
          <w:r>
            <w:fldChar w:fldCharType="end"/>
          </w:r>
        </w:p>
      </w:sdtContent>
    </w:sdt>
    <w:p w:rsidR="00E039EF" w:rsidRDefault="003F2D22">
      <w:pPr>
        <w:rPr>
          <w:rFonts w:ascii="Times New Roman"/>
          <w:sz w:val="30"/>
        </w:rPr>
      </w:pPr>
      <w:r>
        <w:rPr>
          <w:rFonts w:ascii="Times New Roman"/>
          <w:sz w:val="30"/>
        </w:rPr>
        <w:br w:type="page"/>
      </w:r>
    </w:p>
    <w:p w:rsidR="00E039EF" w:rsidRDefault="003F2D22">
      <w:pPr>
        <w:pStyle w:val="1"/>
        <w:spacing w:before="0" w:after="0" w:line="360" w:lineRule="auto"/>
        <w:jc w:val="center"/>
        <w:rPr>
          <w:rFonts w:ascii="Times New Roman"/>
          <w:sz w:val="30"/>
        </w:rPr>
      </w:pPr>
      <w:bookmarkStart w:id="1" w:name="_Toc116649649"/>
      <w:r>
        <w:rPr>
          <w:rFonts w:ascii="Times New Roman"/>
          <w:sz w:val="30"/>
        </w:rPr>
        <w:lastRenderedPageBreak/>
        <w:t>第</w:t>
      </w:r>
      <w:r>
        <w:rPr>
          <w:rFonts w:ascii="Times New Roman" w:hint="eastAsia"/>
          <w:sz w:val="30"/>
        </w:rPr>
        <w:t>一条</w:t>
      </w:r>
      <w:r>
        <w:rPr>
          <w:rFonts w:ascii="Times New Roman" w:hint="eastAsia"/>
          <w:sz w:val="30"/>
        </w:rPr>
        <w:t xml:space="preserve"> </w:t>
      </w:r>
      <w:r>
        <w:rPr>
          <w:rFonts w:ascii="Times New Roman"/>
          <w:sz w:val="30"/>
        </w:rPr>
        <w:t xml:space="preserve"> </w:t>
      </w:r>
      <w:r>
        <w:rPr>
          <w:rFonts w:ascii="Times New Roman"/>
          <w:sz w:val="30"/>
        </w:rPr>
        <w:t>释义</w:t>
      </w:r>
      <w:bookmarkEnd w:id="0"/>
      <w:bookmarkEnd w:id="1"/>
    </w:p>
    <w:p w:rsidR="00E039EF" w:rsidRDefault="003F2D22">
      <w:pPr>
        <w:pStyle w:val="Default"/>
        <w:spacing w:line="360" w:lineRule="auto"/>
        <w:ind w:firstLineChars="200" w:firstLine="360"/>
        <w:rPr>
          <w:rFonts w:asciiTheme="majorEastAsia" w:eastAsiaTheme="majorEastAsia" w:hAnsiTheme="majorEastAsia"/>
          <w:bCs/>
          <w:color w:val="auto"/>
          <w:sz w:val="18"/>
          <w:szCs w:val="18"/>
        </w:rPr>
      </w:pPr>
      <w:r>
        <w:rPr>
          <w:rFonts w:asciiTheme="majorEastAsia" w:eastAsiaTheme="majorEastAsia" w:hAnsiTheme="majorEastAsia" w:hint="eastAsia"/>
          <w:bCs/>
          <w:color w:val="auto"/>
          <w:sz w:val="18"/>
          <w:szCs w:val="18"/>
        </w:rPr>
        <w:t>（一）在本产品说明书中，除非上下文另有明确约定，下列用词</w:t>
      </w:r>
      <w:r>
        <w:rPr>
          <w:rFonts w:asciiTheme="majorEastAsia" w:eastAsiaTheme="majorEastAsia" w:hAnsiTheme="majorEastAsia"/>
          <w:bCs/>
          <w:color w:val="auto"/>
          <w:sz w:val="18"/>
          <w:szCs w:val="18"/>
        </w:rPr>
        <w:t>或简称</w:t>
      </w:r>
      <w:r>
        <w:rPr>
          <w:rFonts w:asciiTheme="majorEastAsia" w:eastAsiaTheme="majorEastAsia" w:hAnsiTheme="majorEastAsia" w:hint="eastAsia"/>
          <w:bCs/>
          <w:color w:val="auto"/>
          <w:sz w:val="18"/>
          <w:szCs w:val="18"/>
        </w:rPr>
        <w:t>具有如下含义：</w:t>
      </w:r>
      <w:r>
        <w:rPr>
          <w:rFonts w:asciiTheme="majorEastAsia" w:eastAsiaTheme="majorEastAsia" w:hAnsiTheme="majorEastAsia"/>
          <w:bCs/>
          <w:color w:val="auto"/>
          <w:sz w:val="18"/>
          <w:szCs w:val="18"/>
        </w:rPr>
        <w:t xml:space="preserve"> </w:t>
      </w:r>
    </w:p>
    <w:p w:rsidR="00E039EF" w:rsidRDefault="003F2D22">
      <w:pPr>
        <w:pStyle w:val="Default"/>
        <w:spacing w:line="360" w:lineRule="auto"/>
        <w:ind w:firstLineChars="200" w:firstLine="361"/>
        <w:rPr>
          <w:rFonts w:asciiTheme="majorEastAsia" w:eastAsiaTheme="majorEastAsia" w:hAnsiTheme="majorEastAsia"/>
          <w:b/>
          <w:bCs/>
          <w:color w:val="auto"/>
          <w:sz w:val="18"/>
          <w:szCs w:val="18"/>
        </w:rPr>
      </w:pPr>
      <w:r>
        <w:rPr>
          <w:rFonts w:asciiTheme="majorEastAsia" w:eastAsiaTheme="majorEastAsia" w:hAnsiTheme="majorEastAsia"/>
          <w:b/>
          <w:bCs/>
          <w:color w:val="auto"/>
          <w:sz w:val="18"/>
          <w:szCs w:val="18"/>
        </w:rPr>
        <w:t>1.</w:t>
      </w:r>
      <w:r>
        <w:rPr>
          <w:rFonts w:asciiTheme="majorEastAsia" w:eastAsiaTheme="majorEastAsia" w:hAnsiTheme="majorEastAsia" w:hint="eastAsia"/>
          <w:b/>
          <w:bCs/>
          <w:color w:val="auto"/>
          <w:sz w:val="18"/>
          <w:szCs w:val="18"/>
        </w:rPr>
        <w:t>参与主体用语</w:t>
      </w:r>
      <w:r>
        <w:rPr>
          <w:rFonts w:asciiTheme="majorEastAsia" w:eastAsiaTheme="majorEastAsia" w:hAnsiTheme="majorEastAsia"/>
          <w:b/>
          <w:bCs/>
          <w:color w:val="auto"/>
          <w:sz w:val="18"/>
          <w:szCs w:val="18"/>
        </w:rPr>
        <w:t xml:space="preserve"> </w:t>
      </w:r>
    </w:p>
    <w:p w:rsidR="00E039EF" w:rsidRDefault="003F2D22">
      <w:pPr>
        <w:pStyle w:val="Default"/>
        <w:spacing w:line="360" w:lineRule="auto"/>
        <w:ind w:firstLineChars="200" w:firstLine="360"/>
        <w:rPr>
          <w:rFonts w:asciiTheme="majorEastAsia" w:eastAsiaTheme="majorEastAsia" w:hAnsiTheme="majorEastAsia"/>
          <w:bCs/>
          <w:color w:val="auto"/>
          <w:sz w:val="18"/>
          <w:szCs w:val="18"/>
        </w:rPr>
      </w:pPr>
      <w:r>
        <w:rPr>
          <w:rFonts w:asciiTheme="majorEastAsia" w:eastAsiaTheme="majorEastAsia" w:hAnsiTheme="majorEastAsia" w:hint="eastAsia"/>
          <w:bCs/>
          <w:color w:val="auto"/>
          <w:sz w:val="18"/>
          <w:szCs w:val="18"/>
        </w:rPr>
        <w:t>（</w:t>
      </w:r>
      <w:r>
        <w:rPr>
          <w:rFonts w:asciiTheme="majorEastAsia" w:eastAsiaTheme="majorEastAsia" w:hAnsiTheme="majorEastAsia"/>
          <w:bCs/>
          <w:color w:val="auto"/>
          <w:sz w:val="18"/>
          <w:szCs w:val="18"/>
        </w:rPr>
        <w:t>1）</w:t>
      </w:r>
      <w:r>
        <w:rPr>
          <w:rFonts w:ascii="黑体" w:eastAsia="黑体" w:hAnsi="黑体" w:cs="仿宋_GB2312" w:hint="eastAsia"/>
          <w:bCs/>
          <w:color w:val="auto"/>
          <w:sz w:val="18"/>
          <w:szCs w:val="18"/>
        </w:rPr>
        <w:t>★</w:t>
      </w:r>
      <w:r>
        <w:rPr>
          <w:rFonts w:ascii="黑体" w:eastAsia="黑体" w:hAnsi="黑体" w:hint="eastAsia"/>
          <w:bCs/>
          <w:color w:val="auto"/>
          <w:sz w:val="18"/>
          <w:szCs w:val="18"/>
        </w:rPr>
        <w:t>管理人</w:t>
      </w:r>
      <w:r>
        <w:rPr>
          <w:rFonts w:ascii="黑体" w:eastAsia="黑体" w:hAnsi="黑体"/>
          <w:bCs/>
          <w:color w:val="auto"/>
          <w:sz w:val="18"/>
          <w:szCs w:val="18"/>
        </w:rPr>
        <w:t>/</w:t>
      </w:r>
      <w:r>
        <w:rPr>
          <w:rFonts w:ascii="黑体" w:eastAsia="黑体" w:hAnsi="黑体" w:hint="eastAsia"/>
          <w:bCs/>
          <w:color w:val="auto"/>
          <w:sz w:val="18"/>
          <w:szCs w:val="18"/>
        </w:rPr>
        <w:t>产品管理人/理财产品</w:t>
      </w:r>
      <w:r>
        <w:rPr>
          <w:rFonts w:ascii="黑体" w:eastAsia="黑体" w:hAnsi="黑体"/>
          <w:bCs/>
          <w:color w:val="auto"/>
          <w:sz w:val="18"/>
          <w:szCs w:val="18"/>
        </w:rPr>
        <w:t>管理人</w:t>
      </w:r>
      <w:r>
        <w:rPr>
          <w:rFonts w:ascii="黑体" w:eastAsia="黑体" w:hAnsi="黑体" w:hint="eastAsia"/>
          <w:bCs/>
          <w:color w:val="auto"/>
          <w:sz w:val="18"/>
          <w:szCs w:val="18"/>
        </w:rPr>
        <w:t>：指兴银理财有限责任公司（以下简称</w:t>
      </w:r>
      <w:r>
        <w:rPr>
          <w:rFonts w:ascii="黑体" w:eastAsia="黑体" w:hAnsi="黑体"/>
          <w:bCs/>
          <w:color w:val="auto"/>
          <w:sz w:val="18"/>
          <w:szCs w:val="18"/>
        </w:rPr>
        <w:t>“</w:t>
      </w:r>
      <w:r>
        <w:rPr>
          <w:rFonts w:ascii="黑体" w:eastAsia="黑体" w:hAnsi="黑体" w:hint="eastAsia"/>
          <w:bCs/>
          <w:color w:val="auto"/>
          <w:sz w:val="18"/>
          <w:szCs w:val="18"/>
        </w:rPr>
        <w:t>兴银理财</w:t>
      </w:r>
      <w:r>
        <w:rPr>
          <w:rFonts w:ascii="黑体" w:eastAsia="黑体" w:hAnsi="黑体"/>
          <w:bCs/>
          <w:color w:val="auto"/>
          <w:sz w:val="18"/>
          <w:szCs w:val="18"/>
        </w:rPr>
        <w:t>”</w:t>
      </w:r>
      <w:r>
        <w:rPr>
          <w:rFonts w:ascii="黑体" w:eastAsia="黑体" w:hAnsi="黑体" w:hint="eastAsia"/>
          <w:bCs/>
          <w:color w:val="auto"/>
          <w:sz w:val="18"/>
          <w:szCs w:val="18"/>
        </w:rPr>
        <w:t>）。</w:t>
      </w:r>
    </w:p>
    <w:p w:rsidR="00E039EF" w:rsidRDefault="003F2D22">
      <w:pPr>
        <w:pStyle w:val="Default"/>
        <w:spacing w:line="360" w:lineRule="auto"/>
        <w:ind w:firstLineChars="200" w:firstLine="360"/>
        <w:rPr>
          <w:rFonts w:asciiTheme="majorEastAsia" w:eastAsiaTheme="majorEastAsia" w:hAnsiTheme="majorEastAsia"/>
          <w:bCs/>
          <w:color w:val="auto"/>
          <w:sz w:val="18"/>
          <w:szCs w:val="18"/>
        </w:rPr>
      </w:pPr>
      <w:r>
        <w:rPr>
          <w:rFonts w:asciiTheme="majorEastAsia" w:eastAsiaTheme="majorEastAsia" w:hAnsiTheme="majorEastAsia" w:hint="eastAsia"/>
          <w:bCs/>
          <w:color w:val="auto"/>
          <w:sz w:val="18"/>
          <w:szCs w:val="18"/>
        </w:rPr>
        <w:t>（</w:t>
      </w:r>
      <w:r>
        <w:rPr>
          <w:rFonts w:asciiTheme="majorEastAsia" w:eastAsiaTheme="majorEastAsia" w:hAnsiTheme="majorEastAsia"/>
          <w:bCs/>
          <w:color w:val="auto"/>
          <w:sz w:val="18"/>
          <w:szCs w:val="18"/>
        </w:rPr>
        <w:t>2）</w:t>
      </w:r>
      <w:r>
        <w:rPr>
          <w:rFonts w:asciiTheme="majorEastAsia" w:eastAsiaTheme="majorEastAsia" w:hAnsiTheme="majorEastAsia" w:hint="eastAsia"/>
          <w:bCs/>
          <w:color w:val="auto"/>
          <w:sz w:val="18"/>
          <w:szCs w:val="18"/>
        </w:rPr>
        <w:t>托管人</w:t>
      </w:r>
      <w:r>
        <w:rPr>
          <w:rFonts w:asciiTheme="majorEastAsia" w:eastAsiaTheme="majorEastAsia" w:hAnsiTheme="majorEastAsia"/>
          <w:bCs/>
          <w:color w:val="auto"/>
          <w:sz w:val="18"/>
          <w:szCs w:val="18"/>
        </w:rPr>
        <w:t>/产品</w:t>
      </w:r>
      <w:r>
        <w:rPr>
          <w:rFonts w:asciiTheme="majorEastAsia" w:eastAsiaTheme="majorEastAsia" w:hAnsiTheme="majorEastAsia" w:hint="eastAsia"/>
          <w:bCs/>
          <w:color w:val="auto"/>
          <w:sz w:val="18"/>
          <w:szCs w:val="18"/>
        </w:rPr>
        <w:t>托管人/理财产品</w:t>
      </w:r>
      <w:r>
        <w:rPr>
          <w:rFonts w:asciiTheme="majorEastAsia" w:eastAsiaTheme="majorEastAsia" w:hAnsiTheme="majorEastAsia"/>
          <w:bCs/>
          <w:color w:val="auto"/>
          <w:sz w:val="18"/>
          <w:szCs w:val="18"/>
        </w:rPr>
        <w:t>托管人</w:t>
      </w:r>
      <w:r>
        <w:rPr>
          <w:rFonts w:asciiTheme="majorEastAsia" w:eastAsiaTheme="majorEastAsia" w:hAnsiTheme="majorEastAsia" w:hint="eastAsia"/>
          <w:bCs/>
          <w:color w:val="auto"/>
          <w:sz w:val="18"/>
          <w:szCs w:val="18"/>
        </w:rPr>
        <w:t>：</w:t>
      </w:r>
      <w:permStart w:id="236074371" w:edGrp="everyone"/>
      <w:r>
        <w:rPr>
          <w:rFonts w:asciiTheme="majorEastAsia" w:eastAsiaTheme="majorEastAsia" w:hAnsiTheme="majorEastAsia" w:hint="eastAsia"/>
          <w:bCs/>
          <w:color w:val="auto"/>
          <w:sz w:val="18"/>
          <w:szCs w:val="18"/>
        </w:rPr>
        <w:t>指兴业银行股份有限公司（以下简称</w:t>
      </w:r>
      <w:r>
        <w:rPr>
          <w:rFonts w:asciiTheme="majorEastAsia" w:eastAsiaTheme="majorEastAsia" w:hAnsiTheme="majorEastAsia"/>
          <w:bCs/>
          <w:color w:val="auto"/>
          <w:sz w:val="18"/>
          <w:szCs w:val="18"/>
        </w:rPr>
        <w:t>“</w:t>
      </w:r>
      <w:r>
        <w:rPr>
          <w:rFonts w:asciiTheme="majorEastAsia" w:eastAsiaTheme="majorEastAsia" w:hAnsiTheme="majorEastAsia" w:hint="eastAsia"/>
          <w:bCs/>
          <w:color w:val="auto"/>
          <w:sz w:val="18"/>
          <w:szCs w:val="18"/>
        </w:rPr>
        <w:t>兴业银行</w:t>
      </w:r>
      <w:r>
        <w:rPr>
          <w:rFonts w:asciiTheme="majorEastAsia" w:eastAsiaTheme="majorEastAsia" w:hAnsiTheme="majorEastAsia"/>
          <w:bCs/>
          <w:color w:val="auto"/>
          <w:sz w:val="18"/>
          <w:szCs w:val="18"/>
        </w:rPr>
        <w:t>”</w:t>
      </w:r>
      <w:r>
        <w:rPr>
          <w:rFonts w:asciiTheme="majorEastAsia" w:eastAsiaTheme="majorEastAsia" w:hAnsiTheme="majorEastAsia" w:hint="eastAsia"/>
          <w:bCs/>
          <w:color w:val="auto"/>
          <w:sz w:val="18"/>
          <w:szCs w:val="18"/>
        </w:rPr>
        <w:t>）。兴业银行成立于</w:t>
      </w:r>
      <w:r>
        <w:rPr>
          <w:rFonts w:asciiTheme="majorEastAsia" w:eastAsiaTheme="majorEastAsia" w:hAnsiTheme="majorEastAsia"/>
          <w:bCs/>
          <w:color w:val="auto"/>
          <w:sz w:val="18"/>
          <w:szCs w:val="18"/>
        </w:rPr>
        <w:t>1988年，于2005年开展资产托管业务，具备理财产品托管资格。</w:t>
      </w:r>
      <w:r>
        <w:rPr>
          <w:rFonts w:asciiTheme="majorEastAsia" w:eastAsiaTheme="majorEastAsia" w:hAnsiTheme="majorEastAsia" w:hint="eastAsia"/>
          <w:bCs/>
          <w:color w:val="auto"/>
          <w:sz w:val="18"/>
          <w:szCs w:val="18"/>
        </w:rPr>
        <w:t>托管人负责履行安全保管理财产品资金及其所投资的资产，办理清算、交割事宜，与管理人对账，监督理财产品投资运作等职责。</w:t>
      </w:r>
      <w:permEnd w:id="236074371"/>
      <w:r>
        <w:rPr>
          <w:rFonts w:asciiTheme="majorEastAsia" w:eastAsiaTheme="majorEastAsia" w:hAnsiTheme="majorEastAsia"/>
          <w:bCs/>
          <w:color w:val="auto"/>
          <w:sz w:val="18"/>
          <w:szCs w:val="18"/>
        </w:rPr>
        <w:t xml:space="preserve"> </w:t>
      </w:r>
    </w:p>
    <w:p w:rsidR="00E039EF" w:rsidRDefault="003F2D22">
      <w:pPr>
        <w:pStyle w:val="Default"/>
        <w:spacing w:line="360" w:lineRule="auto"/>
        <w:ind w:firstLineChars="200" w:firstLine="360"/>
        <w:rPr>
          <w:rFonts w:asciiTheme="majorEastAsia" w:eastAsiaTheme="majorEastAsia" w:hAnsiTheme="majorEastAsia"/>
          <w:bCs/>
          <w:color w:val="auto"/>
          <w:sz w:val="18"/>
          <w:szCs w:val="18"/>
        </w:rPr>
      </w:pPr>
      <w:r>
        <w:rPr>
          <w:rFonts w:asciiTheme="majorEastAsia" w:eastAsiaTheme="majorEastAsia" w:hAnsiTheme="majorEastAsia" w:hint="eastAsia"/>
          <w:bCs/>
          <w:color w:val="auto"/>
          <w:sz w:val="18"/>
          <w:szCs w:val="18"/>
        </w:rPr>
        <w:t>（3）</w:t>
      </w:r>
      <w:r>
        <w:rPr>
          <w:rFonts w:ascii="黑体" w:eastAsia="黑体" w:hAnsi="黑体" w:hint="eastAsia"/>
          <w:bCs/>
          <w:color w:val="auto"/>
          <w:sz w:val="18"/>
          <w:szCs w:val="18"/>
        </w:rPr>
        <w:t>★销售机构：</w:t>
      </w:r>
      <w:r>
        <w:rPr>
          <w:rFonts w:asciiTheme="majorEastAsia" w:eastAsiaTheme="majorEastAsia" w:hAnsiTheme="majorEastAsia" w:hint="eastAsia"/>
          <w:bCs/>
          <w:sz w:val="18"/>
          <w:szCs w:val="18"/>
        </w:rPr>
        <w:t>指具备理财产品</w:t>
      </w:r>
      <w:r>
        <w:rPr>
          <w:rFonts w:asciiTheme="majorEastAsia" w:eastAsiaTheme="majorEastAsia" w:hAnsiTheme="majorEastAsia"/>
          <w:bCs/>
          <w:sz w:val="18"/>
          <w:szCs w:val="18"/>
        </w:rPr>
        <w:t>销售</w:t>
      </w:r>
      <w:r>
        <w:rPr>
          <w:rFonts w:asciiTheme="majorEastAsia" w:eastAsiaTheme="majorEastAsia" w:hAnsiTheme="majorEastAsia" w:hint="eastAsia"/>
          <w:bCs/>
          <w:sz w:val="18"/>
          <w:szCs w:val="18"/>
        </w:rPr>
        <w:t>资格</w:t>
      </w:r>
      <w:r>
        <w:rPr>
          <w:rFonts w:asciiTheme="majorEastAsia" w:eastAsiaTheme="majorEastAsia" w:hAnsiTheme="majorEastAsia"/>
          <w:bCs/>
          <w:sz w:val="18"/>
          <w:szCs w:val="18"/>
        </w:rPr>
        <w:t>的</w:t>
      </w:r>
      <w:r>
        <w:rPr>
          <w:rFonts w:asciiTheme="majorEastAsia" w:eastAsiaTheme="majorEastAsia" w:hAnsiTheme="majorEastAsia" w:hint="eastAsia"/>
          <w:bCs/>
          <w:sz w:val="18"/>
          <w:szCs w:val="18"/>
        </w:rPr>
        <w:t>机构。按是否销售本公司发行的理财产品，销售机构可分为</w:t>
      </w:r>
      <w:r>
        <w:rPr>
          <w:rFonts w:asciiTheme="majorEastAsia" w:eastAsiaTheme="majorEastAsia" w:hAnsiTheme="majorEastAsia" w:hint="eastAsia"/>
          <w:bCs/>
          <w:color w:val="auto"/>
          <w:sz w:val="18"/>
          <w:szCs w:val="18"/>
        </w:rPr>
        <w:t>直销机构和代销机构，其中：直销机构指销售本公司发行理财产品的理财公司，代销机构指接受理财公司委托销售理财产品的代理销售机构。销售机构在其渠道开展向投资者宣传推介、销售产品管理人依法发行的资产管理产品的活动。</w:t>
      </w:r>
    </w:p>
    <w:p w:rsidR="00E039EF" w:rsidRDefault="003F2D22">
      <w:pPr>
        <w:pStyle w:val="Default"/>
        <w:spacing w:line="360" w:lineRule="auto"/>
        <w:ind w:firstLineChars="200" w:firstLine="360"/>
        <w:rPr>
          <w:rFonts w:asciiTheme="majorEastAsia" w:eastAsiaTheme="majorEastAsia" w:hAnsiTheme="majorEastAsia"/>
          <w:bCs/>
          <w:sz w:val="18"/>
          <w:szCs w:val="18"/>
        </w:rPr>
      </w:pPr>
      <w:r>
        <w:rPr>
          <w:rFonts w:asciiTheme="majorEastAsia" w:eastAsiaTheme="majorEastAsia" w:hAnsiTheme="majorEastAsia" w:hint="eastAsia"/>
          <w:bCs/>
          <w:color w:val="auto"/>
          <w:sz w:val="18"/>
          <w:szCs w:val="18"/>
        </w:rPr>
        <w:t>“销售”是指面向投资者开展的以下部分或全部业务活动：</w:t>
      </w:r>
      <w:r>
        <w:rPr>
          <w:rFonts w:asciiTheme="majorEastAsia" w:eastAsiaTheme="majorEastAsia" w:hAnsiTheme="majorEastAsia"/>
          <w:bCs/>
          <w:color w:val="auto"/>
          <w:sz w:val="18"/>
          <w:szCs w:val="18"/>
        </w:rPr>
        <w:t>1</w:t>
      </w:r>
      <w:r>
        <w:rPr>
          <w:rFonts w:asciiTheme="majorEastAsia" w:eastAsiaTheme="majorEastAsia" w:hAnsiTheme="majorEastAsia" w:hint="eastAsia"/>
          <w:bCs/>
          <w:color w:val="auto"/>
          <w:sz w:val="18"/>
          <w:szCs w:val="18"/>
        </w:rPr>
        <w:t>）以展示、介绍、比较单只或多只理财产品部分或全部特征信息并直接或间接提供认购、申购、赎回服务等方式宣传推介理财产品；</w:t>
      </w:r>
      <w:r>
        <w:rPr>
          <w:rFonts w:asciiTheme="majorEastAsia" w:eastAsiaTheme="majorEastAsia" w:hAnsiTheme="majorEastAsia"/>
          <w:bCs/>
          <w:color w:val="auto"/>
          <w:sz w:val="18"/>
          <w:szCs w:val="18"/>
        </w:rPr>
        <w:t>2）提供单只或多只理财产品投资建议；3）为投资者办理理财产品认购、申购和赎回；4）</w:t>
      </w:r>
      <w:r>
        <w:rPr>
          <w:rFonts w:asciiTheme="majorEastAsia" w:eastAsiaTheme="majorEastAsia" w:hAnsiTheme="majorEastAsia" w:hint="eastAsia"/>
          <w:bCs/>
          <w:color w:val="auto"/>
          <w:sz w:val="18"/>
          <w:szCs w:val="18"/>
        </w:rPr>
        <w:t>监管部门</w:t>
      </w:r>
      <w:r>
        <w:rPr>
          <w:rFonts w:asciiTheme="majorEastAsia" w:eastAsiaTheme="majorEastAsia" w:hAnsiTheme="majorEastAsia"/>
          <w:bCs/>
          <w:color w:val="auto"/>
          <w:sz w:val="18"/>
          <w:szCs w:val="18"/>
        </w:rPr>
        <w:t>认定的其他业务活动。各</w:t>
      </w:r>
      <w:r>
        <w:rPr>
          <w:rFonts w:asciiTheme="majorEastAsia" w:eastAsiaTheme="majorEastAsia" w:hAnsiTheme="majorEastAsia" w:hint="eastAsia"/>
          <w:bCs/>
          <w:color w:val="auto"/>
          <w:sz w:val="18"/>
          <w:szCs w:val="18"/>
        </w:rPr>
        <w:t>销售机构的具体名单见产品管理人届时发布的相关公告及相关《（代理）销售协议书》中的约定。</w:t>
      </w:r>
    </w:p>
    <w:p w:rsidR="00E039EF" w:rsidRDefault="003F2D22">
      <w:pPr>
        <w:pStyle w:val="Default"/>
        <w:spacing w:line="360" w:lineRule="auto"/>
        <w:ind w:firstLineChars="200" w:firstLine="360"/>
        <w:rPr>
          <w:rFonts w:asciiTheme="majorEastAsia" w:eastAsiaTheme="majorEastAsia" w:hAnsiTheme="majorEastAsia"/>
          <w:bCs/>
          <w:sz w:val="18"/>
          <w:szCs w:val="18"/>
        </w:rPr>
      </w:pPr>
      <w:r>
        <w:rPr>
          <w:rFonts w:asciiTheme="majorEastAsia" w:eastAsiaTheme="majorEastAsia" w:hAnsiTheme="majorEastAsia" w:hint="eastAsia"/>
          <w:bCs/>
          <w:sz w:val="18"/>
          <w:szCs w:val="18"/>
        </w:rPr>
        <w:t>（</w:t>
      </w:r>
      <w:r>
        <w:rPr>
          <w:rFonts w:asciiTheme="majorEastAsia" w:eastAsiaTheme="majorEastAsia" w:hAnsiTheme="majorEastAsia"/>
          <w:bCs/>
          <w:sz w:val="18"/>
          <w:szCs w:val="18"/>
        </w:rPr>
        <w:t>4）</w:t>
      </w:r>
      <w:r>
        <w:rPr>
          <w:rFonts w:asciiTheme="majorEastAsia" w:eastAsiaTheme="majorEastAsia" w:hAnsiTheme="majorEastAsia" w:hint="eastAsia"/>
          <w:bCs/>
          <w:sz w:val="18"/>
          <w:szCs w:val="18"/>
        </w:rPr>
        <w:t>投资者：指符合相关法律法规、监管规定要求的，可以购买理财产品份额的自然人和法人。</w:t>
      </w:r>
      <w:r>
        <w:rPr>
          <w:rFonts w:asciiTheme="majorEastAsia" w:eastAsiaTheme="majorEastAsia" w:hAnsiTheme="majorEastAsia"/>
          <w:bCs/>
          <w:sz w:val="18"/>
          <w:szCs w:val="18"/>
        </w:rPr>
        <w:t xml:space="preserve"> </w:t>
      </w:r>
    </w:p>
    <w:p w:rsidR="00E039EF" w:rsidRDefault="003F2D22">
      <w:pPr>
        <w:pStyle w:val="Default"/>
        <w:spacing w:line="360" w:lineRule="auto"/>
        <w:ind w:firstLineChars="200" w:firstLine="360"/>
        <w:rPr>
          <w:rFonts w:asciiTheme="majorEastAsia" w:eastAsiaTheme="majorEastAsia" w:hAnsiTheme="majorEastAsia"/>
          <w:bCs/>
          <w:sz w:val="18"/>
          <w:szCs w:val="18"/>
        </w:rPr>
      </w:pPr>
      <w:r>
        <w:rPr>
          <w:rFonts w:asciiTheme="majorEastAsia" w:eastAsiaTheme="majorEastAsia" w:hAnsiTheme="majorEastAsia" w:hint="eastAsia"/>
          <w:bCs/>
          <w:sz w:val="18"/>
          <w:szCs w:val="18"/>
        </w:rPr>
        <w:t>（5）合格投资者：合格投资者是指具备相应风险识别能力和风险承受能力，投资于单只理财产品不低于一定金额且符合下列条件的自然人、法人或者依法成立的其他组织：</w:t>
      </w:r>
    </w:p>
    <w:p w:rsidR="00E039EF" w:rsidRDefault="003F2D22">
      <w:pPr>
        <w:pStyle w:val="Default"/>
        <w:spacing w:line="360" w:lineRule="auto"/>
        <w:ind w:firstLineChars="200" w:firstLine="360"/>
        <w:rPr>
          <w:rFonts w:asciiTheme="majorEastAsia" w:eastAsiaTheme="majorEastAsia" w:hAnsiTheme="majorEastAsia"/>
          <w:bCs/>
          <w:sz w:val="18"/>
          <w:szCs w:val="18"/>
        </w:rPr>
      </w:pPr>
      <w:r>
        <w:rPr>
          <w:rFonts w:asciiTheme="majorEastAsia" w:eastAsiaTheme="majorEastAsia" w:hAnsiTheme="majorEastAsia"/>
          <w:bCs/>
          <w:sz w:val="18"/>
          <w:szCs w:val="18"/>
        </w:rPr>
        <w:t>1</w:t>
      </w:r>
      <w:r>
        <w:rPr>
          <w:rFonts w:asciiTheme="majorEastAsia" w:eastAsiaTheme="majorEastAsia" w:hAnsiTheme="majorEastAsia" w:hint="eastAsia"/>
          <w:bCs/>
          <w:sz w:val="18"/>
          <w:szCs w:val="18"/>
        </w:rPr>
        <w:t>）</w:t>
      </w:r>
      <w:r>
        <w:rPr>
          <w:rFonts w:asciiTheme="majorEastAsia" w:eastAsiaTheme="majorEastAsia" w:hAnsiTheme="majorEastAsia"/>
          <w:bCs/>
          <w:sz w:val="18"/>
          <w:szCs w:val="18"/>
        </w:rPr>
        <w:t xml:space="preserve"> </w:t>
      </w:r>
      <w:r>
        <w:rPr>
          <w:rFonts w:asciiTheme="majorEastAsia" w:eastAsiaTheme="majorEastAsia" w:hAnsiTheme="majorEastAsia" w:hint="eastAsia"/>
          <w:bCs/>
          <w:sz w:val="18"/>
          <w:szCs w:val="18"/>
        </w:rPr>
        <w:t>具有</w:t>
      </w:r>
      <w:r>
        <w:rPr>
          <w:rFonts w:asciiTheme="majorEastAsia" w:eastAsiaTheme="majorEastAsia" w:hAnsiTheme="majorEastAsia"/>
          <w:bCs/>
          <w:sz w:val="18"/>
          <w:szCs w:val="18"/>
        </w:rPr>
        <w:t>2年以上投资经历，且满足家庭金融净资产不低于300万元人民币，或者家庭金融资产不低于500万元人民币，或者近3年本人年均收入不低于40万元人民币；</w:t>
      </w:r>
    </w:p>
    <w:p w:rsidR="00E039EF" w:rsidRDefault="003F2D22">
      <w:pPr>
        <w:pStyle w:val="Default"/>
        <w:spacing w:line="360" w:lineRule="auto"/>
        <w:ind w:firstLineChars="200" w:firstLine="360"/>
        <w:rPr>
          <w:rFonts w:asciiTheme="majorEastAsia" w:eastAsiaTheme="majorEastAsia" w:hAnsiTheme="majorEastAsia"/>
          <w:bCs/>
          <w:sz w:val="18"/>
          <w:szCs w:val="18"/>
        </w:rPr>
      </w:pPr>
      <w:r>
        <w:rPr>
          <w:rFonts w:asciiTheme="majorEastAsia" w:eastAsiaTheme="majorEastAsia" w:hAnsiTheme="majorEastAsia" w:hint="eastAsia"/>
          <w:bCs/>
          <w:sz w:val="18"/>
          <w:szCs w:val="18"/>
        </w:rPr>
        <w:t>2）最近</w:t>
      </w:r>
      <w:r>
        <w:rPr>
          <w:rFonts w:asciiTheme="majorEastAsia" w:eastAsiaTheme="majorEastAsia" w:hAnsiTheme="majorEastAsia"/>
          <w:bCs/>
          <w:sz w:val="18"/>
          <w:szCs w:val="18"/>
        </w:rPr>
        <w:t>1年末净资产不低于1000万元人民币的法人或者依法成立的其他组织；</w:t>
      </w:r>
    </w:p>
    <w:p w:rsidR="00E039EF" w:rsidRDefault="003F2D22">
      <w:pPr>
        <w:pStyle w:val="Default"/>
        <w:spacing w:line="360" w:lineRule="auto"/>
        <w:ind w:firstLineChars="200" w:firstLine="360"/>
        <w:rPr>
          <w:rFonts w:asciiTheme="majorEastAsia" w:eastAsiaTheme="majorEastAsia" w:hAnsiTheme="majorEastAsia"/>
          <w:bCs/>
          <w:sz w:val="18"/>
          <w:szCs w:val="18"/>
        </w:rPr>
      </w:pPr>
      <w:r>
        <w:rPr>
          <w:rFonts w:asciiTheme="majorEastAsia" w:eastAsiaTheme="majorEastAsia" w:hAnsiTheme="majorEastAsia" w:hint="eastAsia"/>
          <w:bCs/>
          <w:sz w:val="18"/>
          <w:szCs w:val="18"/>
        </w:rPr>
        <w:t>3）国务院银行业监督管理机构规定的其他情形。</w:t>
      </w:r>
    </w:p>
    <w:p w:rsidR="00E039EF" w:rsidRDefault="003F2D22">
      <w:pPr>
        <w:pStyle w:val="Default"/>
        <w:spacing w:line="360" w:lineRule="auto"/>
        <w:ind w:firstLineChars="200" w:firstLine="360"/>
        <w:rPr>
          <w:rFonts w:asciiTheme="majorEastAsia" w:eastAsiaTheme="majorEastAsia" w:hAnsiTheme="majorEastAsia"/>
          <w:bCs/>
          <w:color w:val="auto"/>
          <w:sz w:val="18"/>
          <w:szCs w:val="18"/>
        </w:rPr>
      </w:pPr>
      <w:r>
        <w:rPr>
          <w:rFonts w:asciiTheme="majorEastAsia" w:eastAsiaTheme="majorEastAsia" w:hAnsiTheme="majorEastAsia" w:hint="eastAsia"/>
          <w:bCs/>
          <w:color w:val="auto"/>
          <w:sz w:val="18"/>
          <w:szCs w:val="18"/>
        </w:rPr>
        <w:t>（6）全国银行业理财信息登记系统：指供商业银行及商业银行理财公司进行理财产品电子化报告和信息登记的电子信息系统。</w:t>
      </w:r>
    </w:p>
    <w:p w:rsidR="00E039EF" w:rsidRDefault="003F2D22">
      <w:pPr>
        <w:pStyle w:val="Default"/>
        <w:spacing w:line="360" w:lineRule="auto"/>
        <w:ind w:firstLineChars="200" w:firstLine="361"/>
        <w:rPr>
          <w:rFonts w:asciiTheme="majorEastAsia" w:eastAsiaTheme="majorEastAsia" w:hAnsiTheme="majorEastAsia"/>
          <w:bCs/>
          <w:color w:val="auto"/>
          <w:sz w:val="18"/>
          <w:szCs w:val="18"/>
        </w:rPr>
      </w:pPr>
      <w:r>
        <w:rPr>
          <w:rFonts w:asciiTheme="majorEastAsia" w:eastAsiaTheme="majorEastAsia" w:hAnsiTheme="majorEastAsia"/>
          <w:b/>
          <w:bCs/>
          <w:color w:val="auto"/>
          <w:sz w:val="18"/>
          <w:szCs w:val="18"/>
        </w:rPr>
        <w:t xml:space="preserve">2. </w:t>
      </w:r>
      <w:r>
        <w:rPr>
          <w:rFonts w:asciiTheme="majorEastAsia" w:eastAsiaTheme="majorEastAsia" w:hAnsiTheme="majorEastAsia" w:hint="eastAsia"/>
          <w:b/>
          <w:bCs/>
          <w:color w:val="auto"/>
          <w:sz w:val="18"/>
          <w:szCs w:val="18"/>
        </w:rPr>
        <w:t>法律文件用语</w:t>
      </w:r>
      <w:r>
        <w:rPr>
          <w:rFonts w:asciiTheme="majorEastAsia" w:eastAsiaTheme="majorEastAsia" w:hAnsiTheme="majorEastAsia"/>
          <w:b/>
          <w:bCs/>
          <w:color w:val="auto"/>
          <w:sz w:val="18"/>
          <w:szCs w:val="18"/>
        </w:rPr>
        <w:t xml:space="preserve"> </w:t>
      </w:r>
    </w:p>
    <w:p w:rsidR="00E039EF" w:rsidRDefault="003F2D22">
      <w:pPr>
        <w:pStyle w:val="Default"/>
        <w:spacing w:line="360" w:lineRule="auto"/>
        <w:ind w:firstLineChars="200" w:firstLine="360"/>
        <w:rPr>
          <w:rFonts w:asciiTheme="majorEastAsia" w:eastAsiaTheme="majorEastAsia" w:hAnsiTheme="majorEastAsia"/>
          <w:bCs/>
          <w:sz w:val="18"/>
          <w:szCs w:val="18"/>
        </w:rPr>
      </w:pPr>
      <w:r>
        <w:rPr>
          <w:rFonts w:asciiTheme="majorEastAsia" w:eastAsiaTheme="majorEastAsia" w:hAnsiTheme="majorEastAsia" w:hint="eastAsia"/>
          <w:bCs/>
          <w:sz w:val="18"/>
          <w:szCs w:val="18"/>
        </w:rPr>
        <w:t>（</w:t>
      </w:r>
      <w:r>
        <w:rPr>
          <w:rFonts w:asciiTheme="majorEastAsia" w:eastAsiaTheme="majorEastAsia" w:hAnsiTheme="majorEastAsia"/>
          <w:bCs/>
          <w:sz w:val="18"/>
          <w:szCs w:val="18"/>
        </w:rPr>
        <w:t>1）</w:t>
      </w:r>
      <w:r>
        <w:rPr>
          <w:rFonts w:asciiTheme="majorEastAsia" w:eastAsiaTheme="majorEastAsia" w:hAnsiTheme="majorEastAsia" w:hint="eastAsia"/>
          <w:bCs/>
          <w:sz w:val="18"/>
          <w:szCs w:val="18"/>
        </w:rPr>
        <w:t>理财产品销售文件</w:t>
      </w:r>
      <w:r>
        <w:rPr>
          <w:rFonts w:asciiTheme="majorEastAsia" w:eastAsiaTheme="majorEastAsia" w:hAnsiTheme="majorEastAsia"/>
          <w:bCs/>
          <w:sz w:val="18"/>
          <w:szCs w:val="18"/>
        </w:rPr>
        <w:t xml:space="preserve"> </w:t>
      </w:r>
      <w:r>
        <w:rPr>
          <w:rFonts w:asciiTheme="majorEastAsia" w:eastAsiaTheme="majorEastAsia" w:hAnsiTheme="majorEastAsia" w:hint="eastAsia"/>
          <w:bCs/>
          <w:sz w:val="18"/>
          <w:szCs w:val="18"/>
        </w:rPr>
        <w:t>：指产品管理人向投资者提供的，用于描述产品特征，约定权利义务的文件。具体指《兴银理财</w:t>
      </w:r>
      <w:permStart w:id="515077168" w:edGrp="everyone"/>
      <w:r>
        <w:rPr>
          <w:rFonts w:asciiTheme="majorEastAsia" w:eastAsiaTheme="majorEastAsia" w:hAnsiTheme="majorEastAsia" w:hint="eastAsia"/>
          <w:bCs/>
          <w:sz w:val="18"/>
          <w:szCs w:val="18"/>
        </w:rPr>
        <w:t>【</w:t>
      </w:r>
      <w:r w:rsidR="004227D0" w:rsidRPr="004227D0">
        <w:rPr>
          <w:rFonts w:asciiTheme="majorEastAsia" w:eastAsiaTheme="majorEastAsia" w:hAnsiTheme="majorEastAsia" w:hint="eastAsia"/>
          <w:bCs/>
          <w:sz w:val="18"/>
          <w:szCs w:val="18"/>
        </w:rPr>
        <w:t>稳利丰收封闭式固收类</w:t>
      </w:r>
      <w:r>
        <w:rPr>
          <w:rFonts w:asciiTheme="majorEastAsia" w:eastAsiaTheme="majorEastAsia" w:hAnsiTheme="majorEastAsia" w:hint="eastAsia"/>
          <w:bCs/>
          <w:sz w:val="18"/>
          <w:szCs w:val="18"/>
        </w:rPr>
        <w:t>】</w:t>
      </w:r>
      <w:permEnd w:id="515077168"/>
      <w:r>
        <w:rPr>
          <w:rFonts w:asciiTheme="majorEastAsia" w:eastAsiaTheme="majorEastAsia" w:hAnsiTheme="majorEastAsia" w:hint="eastAsia"/>
          <w:bCs/>
          <w:sz w:val="18"/>
          <w:szCs w:val="18"/>
        </w:rPr>
        <w:t>理财产品销售文件》，包括《投资协议书》、《产品说明书》、《（代理）销售</w:t>
      </w:r>
      <w:r>
        <w:rPr>
          <w:rFonts w:asciiTheme="majorEastAsia" w:eastAsiaTheme="majorEastAsia" w:hAnsiTheme="majorEastAsia"/>
          <w:bCs/>
          <w:sz w:val="18"/>
          <w:szCs w:val="18"/>
        </w:rPr>
        <w:t>协议书</w:t>
      </w:r>
      <w:r>
        <w:rPr>
          <w:rFonts w:asciiTheme="majorEastAsia" w:eastAsiaTheme="majorEastAsia" w:hAnsiTheme="majorEastAsia" w:hint="eastAsia"/>
          <w:bCs/>
          <w:sz w:val="18"/>
          <w:szCs w:val="18"/>
        </w:rPr>
        <w:t>》、《风险揭示书》、《投资者权益须知》以及对该文件的有效修改或补</w:t>
      </w:r>
      <w:r>
        <w:rPr>
          <w:rFonts w:asciiTheme="majorEastAsia" w:eastAsiaTheme="majorEastAsia" w:hAnsiTheme="majorEastAsia" w:hint="eastAsia"/>
          <w:bCs/>
          <w:sz w:val="18"/>
          <w:szCs w:val="18"/>
        </w:rPr>
        <w:lastRenderedPageBreak/>
        <w:t>充。上述文件共同构成一份完整且不可分割的理财产品销售文件。经</w:t>
      </w:r>
      <w:r>
        <w:rPr>
          <w:rFonts w:asciiTheme="majorEastAsia" w:eastAsiaTheme="majorEastAsia" w:hAnsiTheme="majorEastAsia"/>
          <w:bCs/>
          <w:sz w:val="18"/>
          <w:szCs w:val="18"/>
        </w:rPr>
        <w:t>产品</w:t>
      </w:r>
      <w:r>
        <w:rPr>
          <w:rFonts w:asciiTheme="majorEastAsia" w:eastAsiaTheme="majorEastAsia" w:hAnsiTheme="majorEastAsia" w:hint="eastAsia"/>
          <w:bCs/>
          <w:sz w:val="18"/>
          <w:szCs w:val="18"/>
        </w:rPr>
        <w:t>管理人</w:t>
      </w:r>
      <w:r>
        <w:rPr>
          <w:rFonts w:asciiTheme="majorEastAsia" w:eastAsiaTheme="majorEastAsia" w:hAnsiTheme="majorEastAsia"/>
          <w:bCs/>
          <w:sz w:val="18"/>
          <w:szCs w:val="18"/>
        </w:rPr>
        <w:t>委托，代理销售机构可以编制</w:t>
      </w:r>
      <w:r>
        <w:rPr>
          <w:rFonts w:asciiTheme="majorEastAsia" w:eastAsiaTheme="majorEastAsia" w:hAnsiTheme="majorEastAsia" w:hint="eastAsia"/>
          <w:bCs/>
          <w:sz w:val="18"/>
          <w:szCs w:val="18"/>
        </w:rPr>
        <w:t>《（代理）销售</w:t>
      </w:r>
      <w:r>
        <w:rPr>
          <w:rFonts w:asciiTheme="majorEastAsia" w:eastAsiaTheme="majorEastAsia" w:hAnsiTheme="majorEastAsia"/>
          <w:bCs/>
          <w:sz w:val="18"/>
          <w:szCs w:val="18"/>
        </w:rPr>
        <w:t>协议书</w:t>
      </w:r>
      <w:r>
        <w:rPr>
          <w:rFonts w:asciiTheme="majorEastAsia" w:eastAsiaTheme="majorEastAsia" w:hAnsiTheme="majorEastAsia" w:hint="eastAsia"/>
          <w:bCs/>
          <w:sz w:val="18"/>
          <w:szCs w:val="18"/>
        </w:rPr>
        <w:t>》、《风险揭示书》、《投资者权益须知》。</w:t>
      </w:r>
    </w:p>
    <w:p w:rsidR="00E039EF" w:rsidRDefault="003F2D22">
      <w:pPr>
        <w:pStyle w:val="Default"/>
        <w:spacing w:line="360" w:lineRule="auto"/>
        <w:ind w:firstLineChars="200" w:firstLine="360"/>
        <w:rPr>
          <w:rFonts w:asciiTheme="majorEastAsia" w:eastAsiaTheme="majorEastAsia" w:hAnsiTheme="majorEastAsia"/>
          <w:bCs/>
          <w:sz w:val="18"/>
          <w:szCs w:val="18"/>
        </w:rPr>
      </w:pPr>
      <w:r>
        <w:rPr>
          <w:rFonts w:asciiTheme="majorEastAsia" w:eastAsiaTheme="majorEastAsia" w:hAnsiTheme="majorEastAsia" w:hint="eastAsia"/>
          <w:bCs/>
          <w:sz w:val="18"/>
          <w:szCs w:val="18"/>
        </w:rPr>
        <w:t>（</w:t>
      </w:r>
      <w:r>
        <w:rPr>
          <w:rFonts w:asciiTheme="majorEastAsia" w:eastAsiaTheme="majorEastAsia" w:hAnsiTheme="majorEastAsia"/>
          <w:bCs/>
          <w:sz w:val="18"/>
          <w:szCs w:val="18"/>
        </w:rPr>
        <w:t>2）</w:t>
      </w:r>
      <w:r>
        <w:rPr>
          <w:rFonts w:asciiTheme="majorEastAsia" w:eastAsiaTheme="majorEastAsia" w:hAnsiTheme="majorEastAsia" w:hint="eastAsia"/>
          <w:bCs/>
          <w:sz w:val="18"/>
          <w:szCs w:val="18"/>
        </w:rPr>
        <w:t>《投资协议书》：指管理人统一编制的《兴银理财</w:t>
      </w:r>
      <w:permStart w:id="2042196475" w:edGrp="everyone"/>
      <w:r>
        <w:rPr>
          <w:rFonts w:asciiTheme="majorEastAsia" w:eastAsiaTheme="majorEastAsia" w:hAnsiTheme="majorEastAsia" w:hint="eastAsia"/>
          <w:bCs/>
          <w:sz w:val="18"/>
          <w:szCs w:val="18"/>
        </w:rPr>
        <w:t>【</w:t>
      </w:r>
      <w:r w:rsidR="004227D0" w:rsidRPr="004227D0">
        <w:rPr>
          <w:rFonts w:asciiTheme="majorEastAsia" w:eastAsiaTheme="majorEastAsia" w:hAnsiTheme="majorEastAsia" w:hint="eastAsia"/>
          <w:bCs/>
          <w:sz w:val="18"/>
          <w:szCs w:val="18"/>
        </w:rPr>
        <w:t>稳利丰收封闭式固收类</w:t>
      </w:r>
      <w:r>
        <w:rPr>
          <w:rFonts w:asciiTheme="majorEastAsia" w:eastAsiaTheme="majorEastAsia" w:hAnsiTheme="majorEastAsia" w:hint="eastAsia"/>
          <w:bCs/>
          <w:sz w:val="18"/>
          <w:szCs w:val="18"/>
        </w:rPr>
        <w:t>】</w:t>
      </w:r>
      <w:permEnd w:id="2042196475"/>
      <w:r>
        <w:rPr>
          <w:rFonts w:asciiTheme="majorEastAsia" w:eastAsiaTheme="majorEastAsia" w:hAnsiTheme="majorEastAsia" w:hint="eastAsia"/>
          <w:bCs/>
          <w:sz w:val="18"/>
          <w:szCs w:val="18"/>
        </w:rPr>
        <w:t>理财产品投资协议书》，以及对该文件的有效修改或补充。</w:t>
      </w:r>
    </w:p>
    <w:p w:rsidR="00E039EF" w:rsidRDefault="003F2D22">
      <w:pPr>
        <w:pStyle w:val="Default"/>
        <w:spacing w:line="360" w:lineRule="auto"/>
        <w:ind w:firstLineChars="200" w:firstLine="360"/>
        <w:rPr>
          <w:rFonts w:asciiTheme="majorEastAsia" w:eastAsiaTheme="majorEastAsia" w:hAnsiTheme="majorEastAsia"/>
          <w:bCs/>
          <w:sz w:val="18"/>
          <w:szCs w:val="18"/>
        </w:rPr>
      </w:pPr>
      <w:r>
        <w:rPr>
          <w:rFonts w:asciiTheme="majorEastAsia" w:eastAsiaTheme="majorEastAsia" w:hAnsiTheme="majorEastAsia" w:hint="eastAsia"/>
          <w:bCs/>
          <w:sz w:val="18"/>
          <w:szCs w:val="18"/>
        </w:rPr>
        <w:t>（</w:t>
      </w:r>
      <w:r>
        <w:rPr>
          <w:rFonts w:asciiTheme="majorEastAsia" w:eastAsiaTheme="majorEastAsia" w:hAnsiTheme="majorEastAsia"/>
          <w:bCs/>
          <w:sz w:val="18"/>
          <w:szCs w:val="18"/>
        </w:rPr>
        <w:t>3</w:t>
      </w:r>
      <w:r>
        <w:rPr>
          <w:rFonts w:asciiTheme="majorEastAsia" w:eastAsiaTheme="majorEastAsia" w:hAnsiTheme="majorEastAsia" w:hint="eastAsia"/>
          <w:bCs/>
          <w:sz w:val="18"/>
          <w:szCs w:val="18"/>
        </w:rPr>
        <w:t>）《产品说明书》：指管理人统一编制的《兴银理财</w:t>
      </w:r>
      <w:permStart w:id="216758650" w:edGrp="everyone"/>
      <w:r>
        <w:rPr>
          <w:rFonts w:asciiTheme="majorEastAsia" w:eastAsiaTheme="majorEastAsia" w:hAnsiTheme="majorEastAsia" w:hint="eastAsia"/>
          <w:bCs/>
          <w:sz w:val="18"/>
          <w:szCs w:val="18"/>
        </w:rPr>
        <w:t>【</w:t>
      </w:r>
      <w:r w:rsidR="004227D0" w:rsidRPr="004227D0">
        <w:rPr>
          <w:rFonts w:asciiTheme="majorEastAsia" w:eastAsiaTheme="majorEastAsia" w:hAnsiTheme="majorEastAsia" w:hint="eastAsia"/>
          <w:bCs/>
          <w:sz w:val="18"/>
          <w:szCs w:val="18"/>
        </w:rPr>
        <w:t>稳利丰收封闭式固收类</w:t>
      </w:r>
      <w:r>
        <w:rPr>
          <w:rFonts w:asciiTheme="majorEastAsia" w:eastAsiaTheme="majorEastAsia" w:hAnsiTheme="majorEastAsia" w:hint="eastAsia"/>
          <w:bCs/>
          <w:sz w:val="18"/>
          <w:szCs w:val="18"/>
        </w:rPr>
        <w:t>】</w:t>
      </w:r>
      <w:permEnd w:id="216758650"/>
      <w:r>
        <w:rPr>
          <w:rFonts w:asciiTheme="majorEastAsia" w:eastAsiaTheme="majorEastAsia" w:hAnsiTheme="majorEastAsia" w:hint="eastAsia"/>
          <w:bCs/>
          <w:sz w:val="18"/>
          <w:szCs w:val="18"/>
        </w:rPr>
        <w:t>理财产品产品说明书》，以及对该文件的有效修改或补充。</w:t>
      </w:r>
    </w:p>
    <w:p w:rsidR="00E039EF" w:rsidRDefault="003F2D22">
      <w:pPr>
        <w:pStyle w:val="Default"/>
        <w:spacing w:line="360" w:lineRule="auto"/>
        <w:ind w:firstLineChars="200" w:firstLine="360"/>
        <w:rPr>
          <w:rFonts w:asciiTheme="majorEastAsia" w:eastAsiaTheme="majorEastAsia" w:hAnsiTheme="majorEastAsia"/>
          <w:bCs/>
          <w:sz w:val="18"/>
          <w:szCs w:val="18"/>
        </w:rPr>
      </w:pPr>
      <w:r>
        <w:rPr>
          <w:rFonts w:asciiTheme="majorEastAsia" w:eastAsiaTheme="majorEastAsia" w:hAnsiTheme="majorEastAsia" w:hint="eastAsia"/>
          <w:bCs/>
          <w:sz w:val="18"/>
          <w:szCs w:val="18"/>
        </w:rPr>
        <w:t>（4）《（代理）销售协议书》：指管理人统一编制的《兴银理财</w:t>
      </w:r>
      <w:permStart w:id="1143620610" w:edGrp="everyone"/>
      <w:r>
        <w:rPr>
          <w:rFonts w:asciiTheme="majorEastAsia" w:eastAsiaTheme="majorEastAsia" w:hAnsiTheme="majorEastAsia" w:hint="eastAsia"/>
          <w:bCs/>
          <w:sz w:val="18"/>
          <w:szCs w:val="18"/>
        </w:rPr>
        <w:t>【</w:t>
      </w:r>
      <w:r w:rsidR="004227D0" w:rsidRPr="004227D0">
        <w:rPr>
          <w:rFonts w:asciiTheme="majorEastAsia" w:eastAsiaTheme="majorEastAsia" w:hAnsiTheme="majorEastAsia" w:hint="eastAsia"/>
          <w:bCs/>
          <w:sz w:val="18"/>
          <w:szCs w:val="18"/>
        </w:rPr>
        <w:t>稳利丰收封闭式固收类</w:t>
      </w:r>
      <w:r>
        <w:rPr>
          <w:rFonts w:asciiTheme="majorEastAsia" w:eastAsiaTheme="majorEastAsia" w:hAnsiTheme="majorEastAsia" w:hint="eastAsia"/>
          <w:bCs/>
          <w:sz w:val="18"/>
          <w:szCs w:val="18"/>
        </w:rPr>
        <w:t>】</w:t>
      </w:r>
      <w:permEnd w:id="1143620610"/>
      <w:r>
        <w:rPr>
          <w:rFonts w:asciiTheme="majorEastAsia" w:eastAsiaTheme="majorEastAsia" w:hAnsiTheme="majorEastAsia" w:hint="eastAsia"/>
          <w:bCs/>
          <w:sz w:val="18"/>
          <w:szCs w:val="18"/>
        </w:rPr>
        <w:t>理财产品（代理）销售协议书》或</w:t>
      </w:r>
      <w:r>
        <w:rPr>
          <w:rFonts w:asciiTheme="majorEastAsia" w:eastAsiaTheme="majorEastAsia" w:hAnsiTheme="majorEastAsia"/>
          <w:bCs/>
          <w:sz w:val="18"/>
          <w:szCs w:val="18"/>
        </w:rPr>
        <w:t>代理销售机构接受产品管理人委托</w:t>
      </w:r>
      <w:r>
        <w:rPr>
          <w:rFonts w:asciiTheme="majorEastAsia" w:eastAsiaTheme="majorEastAsia" w:hAnsiTheme="majorEastAsia" w:hint="eastAsia"/>
          <w:bCs/>
          <w:sz w:val="18"/>
          <w:szCs w:val="18"/>
        </w:rPr>
        <w:t>自行</w:t>
      </w:r>
      <w:r>
        <w:rPr>
          <w:rFonts w:asciiTheme="majorEastAsia" w:eastAsiaTheme="majorEastAsia" w:hAnsiTheme="majorEastAsia"/>
          <w:bCs/>
          <w:sz w:val="18"/>
          <w:szCs w:val="18"/>
        </w:rPr>
        <w:t>编制</w:t>
      </w:r>
      <w:r>
        <w:rPr>
          <w:rFonts w:asciiTheme="majorEastAsia" w:eastAsiaTheme="majorEastAsia" w:hAnsiTheme="majorEastAsia" w:hint="eastAsia"/>
          <w:bCs/>
          <w:sz w:val="18"/>
          <w:szCs w:val="18"/>
        </w:rPr>
        <w:t>的《兴银理财</w:t>
      </w:r>
      <w:permStart w:id="166149781" w:edGrp="everyone"/>
      <w:r>
        <w:rPr>
          <w:rFonts w:asciiTheme="majorEastAsia" w:eastAsiaTheme="majorEastAsia" w:hAnsiTheme="majorEastAsia" w:hint="eastAsia"/>
          <w:bCs/>
          <w:sz w:val="18"/>
          <w:szCs w:val="18"/>
        </w:rPr>
        <w:t>【</w:t>
      </w:r>
      <w:r w:rsidR="004227D0" w:rsidRPr="004227D0">
        <w:rPr>
          <w:rFonts w:asciiTheme="majorEastAsia" w:eastAsiaTheme="majorEastAsia" w:hAnsiTheme="majorEastAsia" w:hint="eastAsia"/>
          <w:bCs/>
          <w:sz w:val="18"/>
          <w:szCs w:val="18"/>
        </w:rPr>
        <w:t>稳利丰收封闭式固收类</w:t>
      </w:r>
      <w:r>
        <w:rPr>
          <w:rFonts w:asciiTheme="majorEastAsia" w:eastAsiaTheme="majorEastAsia" w:hAnsiTheme="majorEastAsia" w:hint="eastAsia"/>
          <w:bCs/>
          <w:sz w:val="18"/>
          <w:szCs w:val="18"/>
        </w:rPr>
        <w:t>】</w:t>
      </w:r>
      <w:permEnd w:id="166149781"/>
      <w:r>
        <w:rPr>
          <w:rFonts w:asciiTheme="majorEastAsia" w:eastAsiaTheme="majorEastAsia" w:hAnsiTheme="majorEastAsia" w:hint="eastAsia"/>
          <w:bCs/>
          <w:sz w:val="18"/>
          <w:szCs w:val="18"/>
        </w:rPr>
        <w:t>理财产品（代理）销售协议书》（文件名称以代理销售机构实际编制为准），以及对该文件的有效修改或补充。</w:t>
      </w:r>
    </w:p>
    <w:p w:rsidR="00E039EF" w:rsidRDefault="003F2D22">
      <w:pPr>
        <w:pStyle w:val="Default"/>
        <w:spacing w:line="360" w:lineRule="auto"/>
        <w:ind w:firstLineChars="200" w:firstLine="360"/>
        <w:rPr>
          <w:rFonts w:asciiTheme="majorEastAsia" w:eastAsiaTheme="majorEastAsia" w:hAnsiTheme="majorEastAsia"/>
          <w:bCs/>
          <w:sz w:val="18"/>
          <w:szCs w:val="18"/>
        </w:rPr>
      </w:pPr>
      <w:r>
        <w:rPr>
          <w:rFonts w:asciiTheme="majorEastAsia" w:eastAsiaTheme="majorEastAsia" w:hAnsiTheme="majorEastAsia" w:hint="eastAsia"/>
          <w:bCs/>
          <w:sz w:val="18"/>
          <w:szCs w:val="18"/>
        </w:rPr>
        <w:t>（</w:t>
      </w:r>
      <w:r>
        <w:rPr>
          <w:rFonts w:asciiTheme="majorEastAsia" w:eastAsiaTheme="majorEastAsia" w:hAnsiTheme="majorEastAsia"/>
          <w:bCs/>
          <w:sz w:val="18"/>
          <w:szCs w:val="18"/>
        </w:rPr>
        <w:t>5</w:t>
      </w:r>
      <w:r>
        <w:rPr>
          <w:rFonts w:asciiTheme="majorEastAsia" w:eastAsiaTheme="majorEastAsia" w:hAnsiTheme="majorEastAsia" w:hint="eastAsia"/>
          <w:bCs/>
          <w:sz w:val="18"/>
          <w:szCs w:val="18"/>
        </w:rPr>
        <w:t>）《风险揭示书》：指管理人统一编制的《兴银理财</w:t>
      </w:r>
      <w:permStart w:id="1590763036" w:edGrp="everyone"/>
      <w:r>
        <w:rPr>
          <w:rFonts w:asciiTheme="majorEastAsia" w:eastAsiaTheme="majorEastAsia" w:hAnsiTheme="majorEastAsia" w:hint="eastAsia"/>
          <w:bCs/>
          <w:sz w:val="18"/>
          <w:szCs w:val="18"/>
        </w:rPr>
        <w:t>【</w:t>
      </w:r>
      <w:r w:rsidR="004227D0" w:rsidRPr="004227D0">
        <w:rPr>
          <w:rFonts w:asciiTheme="majorEastAsia" w:eastAsiaTheme="majorEastAsia" w:hAnsiTheme="majorEastAsia" w:hint="eastAsia"/>
          <w:bCs/>
          <w:sz w:val="18"/>
          <w:szCs w:val="18"/>
        </w:rPr>
        <w:t>稳利丰收封闭式固收类</w:t>
      </w:r>
      <w:r>
        <w:rPr>
          <w:rFonts w:asciiTheme="majorEastAsia" w:eastAsiaTheme="majorEastAsia" w:hAnsiTheme="majorEastAsia" w:hint="eastAsia"/>
          <w:bCs/>
          <w:sz w:val="18"/>
          <w:szCs w:val="18"/>
        </w:rPr>
        <w:t>】</w:t>
      </w:r>
      <w:permEnd w:id="1590763036"/>
      <w:r>
        <w:rPr>
          <w:rFonts w:asciiTheme="majorEastAsia" w:eastAsiaTheme="majorEastAsia" w:hAnsiTheme="majorEastAsia" w:hint="eastAsia"/>
          <w:bCs/>
          <w:sz w:val="18"/>
          <w:szCs w:val="18"/>
        </w:rPr>
        <w:t>理财产品风险揭示书》或</w:t>
      </w:r>
      <w:r>
        <w:rPr>
          <w:rFonts w:asciiTheme="majorEastAsia" w:eastAsiaTheme="majorEastAsia" w:hAnsiTheme="majorEastAsia"/>
          <w:bCs/>
          <w:sz w:val="18"/>
          <w:szCs w:val="18"/>
        </w:rPr>
        <w:t>代理销售机构接受产品管理人委托</w:t>
      </w:r>
      <w:r>
        <w:rPr>
          <w:rFonts w:asciiTheme="majorEastAsia" w:eastAsiaTheme="majorEastAsia" w:hAnsiTheme="majorEastAsia" w:hint="eastAsia"/>
          <w:bCs/>
          <w:sz w:val="18"/>
          <w:szCs w:val="18"/>
        </w:rPr>
        <w:t>自行</w:t>
      </w:r>
      <w:r>
        <w:rPr>
          <w:rFonts w:asciiTheme="majorEastAsia" w:eastAsiaTheme="majorEastAsia" w:hAnsiTheme="majorEastAsia"/>
          <w:bCs/>
          <w:sz w:val="18"/>
          <w:szCs w:val="18"/>
        </w:rPr>
        <w:t>编制</w:t>
      </w:r>
      <w:r>
        <w:rPr>
          <w:rFonts w:asciiTheme="majorEastAsia" w:eastAsiaTheme="majorEastAsia" w:hAnsiTheme="majorEastAsia" w:hint="eastAsia"/>
          <w:bCs/>
          <w:sz w:val="18"/>
          <w:szCs w:val="18"/>
        </w:rPr>
        <w:t>的《兴银理财</w:t>
      </w:r>
      <w:permStart w:id="1641566906" w:edGrp="everyone"/>
      <w:r>
        <w:rPr>
          <w:rFonts w:asciiTheme="majorEastAsia" w:eastAsiaTheme="majorEastAsia" w:hAnsiTheme="majorEastAsia" w:hint="eastAsia"/>
          <w:bCs/>
          <w:sz w:val="18"/>
          <w:szCs w:val="18"/>
        </w:rPr>
        <w:t>【</w:t>
      </w:r>
      <w:r w:rsidR="004227D0" w:rsidRPr="004227D0">
        <w:rPr>
          <w:rFonts w:asciiTheme="majorEastAsia" w:eastAsiaTheme="majorEastAsia" w:hAnsiTheme="majorEastAsia" w:hint="eastAsia"/>
          <w:bCs/>
          <w:sz w:val="18"/>
          <w:szCs w:val="18"/>
        </w:rPr>
        <w:t>稳利丰收封闭式固收类</w:t>
      </w:r>
      <w:r>
        <w:rPr>
          <w:rFonts w:asciiTheme="majorEastAsia" w:eastAsiaTheme="majorEastAsia" w:hAnsiTheme="majorEastAsia" w:hint="eastAsia"/>
          <w:bCs/>
          <w:sz w:val="18"/>
          <w:szCs w:val="18"/>
        </w:rPr>
        <w:t>】</w:t>
      </w:r>
      <w:permEnd w:id="1641566906"/>
      <w:r>
        <w:rPr>
          <w:rFonts w:asciiTheme="majorEastAsia" w:eastAsiaTheme="majorEastAsia" w:hAnsiTheme="majorEastAsia" w:hint="eastAsia"/>
          <w:bCs/>
          <w:sz w:val="18"/>
          <w:szCs w:val="18"/>
        </w:rPr>
        <w:t>理财产品风险揭示书》（文件名称以代理销售机构实际编制为准），以及对该文件的有效修改或补充。</w:t>
      </w:r>
    </w:p>
    <w:p w:rsidR="00E039EF" w:rsidRDefault="003F2D22">
      <w:pPr>
        <w:pStyle w:val="Default"/>
        <w:spacing w:line="360" w:lineRule="auto"/>
        <w:ind w:firstLineChars="200" w:firstLine="360"/>
        <w:rPr>
          <w:rFonts w:asciiTheme="majorEastAsia" w:eastAsiaTheme="majorEastAsia" w:hAnsiTheme="majorEastAsia"/>
          <w:bCs/>
          <w:sz w:val="18"/>
          <w:szCs w:val="18"/>
        </w:rPr>
      </w:pPr>
      <w:r>
        <w:rPr>
          <w:rFonts w:asciiTheme="majorEastAsia" w:eastAsiaTheme="majorEastAsia" w:hAnsiTheme="majorEastAsia" w:hint="eastAsia"/>
          <w:bCs/>
          <w:sz w:val="18"/>
          <w:szCs w:val="18"/>
        </w:rPr>
        <w:t>（</w:t>
      </w:r>
      <w:r>
        <w:rPr>
          <w:rFonts w:asciiTheme="majorEastAsia" w:eastAsiaTheme="majorEastAsia" w:hAnsiTheme="majorEastAsia"/>
          <w:bCs/>
          <w:sz w:val="18"/>
          <w:szCs w:val="18"/>
        </w:rPr>
        <w:t>6</w:t>
      </w:r>
      <w:r>
        <w:rPr>
          <w:rFonts w:asciiTheme="majorEastAsia" w:eastAsiaTheme="majorEastAsia" w:hAnsiTheme="majorEastAsia" w:hint="eastAsia"/>
          <w:bCs/>
          <w:sz w:val="18"/>
          <w:szCs w:val="18"/>
        </w:rPr>
        <w:t>）《投资者权益须知》：指管理人统一编制的《兴银理财</w:t>
      </w:r>
      <w:permStart w:id="1401120910" w:edGrp="everyone"/>
      <w:r>
        <w:rPr>
          <w:rFonts w:asciiTheme="majorEastAsia" w:eastAsiaTheme="majorEastAsia" w:hAnsiTheme="majorEastAsia" w:hint="eastAsia"/>
          <w:bCs/>
          <w:sz w:val="18"/>
          <w:szCs w:val="18"/>
        </w:rPr>
        <w:t>【</w:t>
      </w:r>
      <w:r w:rsidR="004227D0" w:rsidRPr="004227D0">
        <w:rPr>
          <w:rFonts w:asciiTheme="majorEastAsia" w:eastAsiaTheme="majorEastAsia" w:hAnsiTheme="majorEastAsia" w:hint="eastAsia"/>
          <w:bCs/>
          <w:sz w:val="18"/>
          <w:szCs w:val="18"/>
        </w:rPr>
        <w:t>稳利丰收封闭式固收类</w:t>
      </w:r>
      <w:r>
        <w:rPr>
          <w:rFonts w:asciiTheme="majorEastAsia" w:eastAsiaTheme="majorEastAsia" w:hAnsiTheme="majorEastAsia" w:hint="eastAsia"/>
          <w:bCs/>
          <w:sz w:val="18"/>
          <w:szCs w:val="18"/>
        </w:rPr>
        <w:t>】</w:t>
      </w:r>
      <w:permEnd w:id="1401120910"/>
      <w:r>
        <w:rPr>
          <w:rFonts w:asciiTheme="majorEastAsia" w:eastAsiaTheme="majorEastAsia" w:hAnsiTheme="majorEastAsia" w:hint="eastAsia"/>
          <w:bCs/>
          <w:sz w:val="18"/>
          <w:szCs w:val="18"/>
        </w:rPr>
        <w:t>理财产品投资者权益须知》或</w:t>
      </w:r>
      <w:r>
        <w:rPr>
          <w:rFonts w:asciiTheme="majorEastAsia" w:eastAsiaTheme="majorEastAsia" w:hAnsiTheme="majorEastAsia"/>
          <w:bCs/>
          <w:sz w:val="18"/>
          <w:szCs w:val="18"/>
        </w:rPr>
        <w:t>代理销售机构接受产品管理人委托</w:t>
      </w:r>
      <w:r>
        <w:rPr>
          <w:rFonts w:asciiTheme="majorEastAsia" w:eastAsiaTheme="majorEastAsia" w:hAnsiTheme="majorEastAsia" w:hint="eastAsia"/>
          <w:bCs/>
          <w:sz w:val="18"/>
          <w:szCs w:val="18"/>
        </w:rPr>
        <w:t>自行编制</w:t>
      </w:r>
      <w:r>
        <w:rPr>
          <w:rFonts w:asciiTheme="majorEastAsia" w:eastAsiaTheme="majorEastAsia" w:hAnsiTheme="majorEastAsia"/>
          <w:bCs/>
          <w:sz w:val="18"/>
          <w:szCs w:val="18"/>
        </w:rPr>
        <w:t>的</w:t>
      </w:r>
      <w:r>
        <w:rPr>
          <w:rFonts w:asciiTheme="majorEastAsia" w:eastAsiaTheme="majorEastAsia" w:hAnsiTheme="majorEastAsia" w:hint="eastAsia"/>
          <w:bCs/>
          <w:sz w:val="18"/>
          <w:szCs w:val="18"/>
        </w:rPr>
        <w:t>《兴银理财</w:t>
      </w:r>
      <w:permStart w:id="900668715" w:edGrp="everyone"/>
      <w:r>
        <w:rPr>
          <w:rFonts w:asciiTheme="majorEastAsia" w:eastAsiaTheme="majorEastAsia" w:hAnsiTheme="majorEastAsia" w:hint="eastAsia"/>
          <w:bCs/>
          <w:sz w:val="18"/>
          <w:szCs w:val="18"/>
        </w:rPr>
        <w:t>【</w:t>
      </w:r>
      <w:r w:rsidR="004227D0" w:rsidRPr="004227D0">
        <w:rPr>
          <w:rFonts w:asciiTheme="majorEastAsia" w:eastAsiaTheme="majorEastAsia" w:hAnsiTheme="majorEastAsia" w:hint="eastAsia"/>
          <w:bCs/>
          <w:sz w:val="18"/>
          <w:szCs w:val="18"/>
        </w:rPr>
        <w:t>稳利丰收封闭式固收类</w:t>
      </w:r>
      <w:r>
        <w:rPr>
          <w:rFonts w:asciiTheme="majorEastAsia" w:eastAsiaTheme="majorEastAsia" w:hAnsiTheme="majorEastAsia" w:hint="eastAsia"/>
          <w:bCs/>
          <w:sz w:val="18"/>
          <w:szCs w:val="18"/>
        </w:rPr>
        <w:t>】</w:t>
      </w:r>
      <w:permEnd w:id="900668715"/>
      <w:r>
        <w:rPr>
          <w:rFonts w:asciiTheme="majorEastAsia" w:eastAsiaTheme="majorEastAsia" w:hAnsiTheme="majorEastAsia" w:hint="eastAsia"/>
          <w:bCs/>
          <w:sz w:val="18"/>
          <w:szCs w:val="18"/>
        </w:rPr>
        <w:t>理财产品投资者权益须知》（文件名称以代理销售机构实际编制为准），以及对该文件的有效修改或补充。</w:t>
      </w:r>
    </w:p>
    <w:p w:rsidR="00E039EF" w:rsidRDefault="003F2D22">
      <w:pPr>
        <w:pStyle w:val="Default"/>
        <w:spacing w:line="360" w:lineRule="auto"/>
        <w:ind w:firstLineChars="200" w:firstLine="361"/>
        <w:rPr>
          <w:rFonts w:asciiTheme="majorEastAsia" w:eastAsiaTheme="majorEastAsia" w:hAnsiTheme="majorEastAsia"/>
          <w:b/>
          <w:bCs/>
          <w:color w:val="auto"/>
          <w:sz w:val="18"/>
          <w:szCs w:val="18"/>
        </w:rPr>
      </w:pPr>
      <w:r>
        <w:rPr>
          <w:rFonts w:asciiTheme="majorEastAsia" w:eastAsiaTheme="majorEastAsia" w:hAnsiTheme="majorEastAsia"/>
          <w:b/>
          <w:bCs/>
          <w:color w:val="auto"/>
          <w:sz w:val="18"/>
          <w:szCs w:val="18"/>
        </w:rPr>
        <w:t xml:space="preserve">3. </w:t>
      </w:r>
      <w:r>
        <w:rPr>
          <w:rFonts w:asciiTheme="majorEastAsia" w:eastAsiaTheme="majorEastAsia" w:hAnsiTheme="majorEastAsia" w:hint="eastAsia"/>
          <w:b/>
          <w:bCs/>
          <w:color w:val="auto"/>
          <w:sz w:val="18"/>
          <w:szCs w:val="18"/>
        </w:rPr>
        <w:t>理财产品用语</w:t>
      </w:r>
      <w:r>
        <w:rPr>
          <w:rFonts w:asciiTheme="majorEastAsia" w:eastAsiaTheme="majorEastAsia" w:hAnsiTheme="majorEastAsia"/>
          <w:b/>
          <w:bCs/>
          <w:color w:val="auto"/>
          <w:sz w:val="18"/>
          <w:szCs w:val="18"/>
        </w:rPr>
        <w:t xml:space="preserve"> </w:t>
      </w:r>
    </w:p>
    <w:p w:rsidR="00E039EF" w:rsidRDefault="003F2D22">
      <w:pPr>
        <w:pStyle w:val="Default"/>
        <w:spacing w:line="360" w:lineRule="auto"/>
        <w:ind w:firstLineChars="200" w:firstLine="360"/>
        <w:rPr>
          <w:rFonts w:asciiTheme="majorEastAsia" w:eastAsiaTheme="majorEastAsia" w:hAnsiTheme="majorEastAsia"/>
          <w:bCs/>
          <w:color w:val="auto"/>
          <w:sz w:val="18"/>
          <w:szCs w:val="18"/>
        </w:rPr>
      </w:pPr>
      <w:r>
        <w:rPr>
          <w:rFonts w:asciiTheme="majorEastAsia" w:eastAsiaTheme="majorEastAsia" w:hAnsiTheme="majorEastAsia" w:hint="eastAsia"/>
          <w:bCs/>
          <w:color w:val="auto"/>
          <w:sz w:val="18"/>
          <w:szCs w:val="18"/>
        </w:rPr>
        <w:t>（</w:t>
      </w:r>
      <w:r>
        <w:rPr>
          <w:rFonts w:asciiTheme="majorEastAsia" w:eastAsiaTheme="majorEastAsia" w:hAnsiTheme="majorEastAsia"/>
          <w:bCs/>
          <w:color w:val="auto"/>
          <w:sz w:val="18"/>
          <w:szCs w:val="18"/>
        </w:rPr>
        <w:t>1）理财产品登记编码：指本款理财产品</w:t>
      </w:r>
      <w:r>
        <w:rPr>
          <w:rFonts w:asciiTheme="majorEastAsia" w:eastAsiaTheme="majorEastAsia" w:hAnsiTheme="majorEastAsia" w:hint="eastAsia"/>
          <w:bCs/>
          <w:color w:val="auto"/>
          <w:sz w:val="18"/>
          <w:szCs w:val="18"/>
        </w:rPr>
        <w:t>在全国银行业理财信息登记系统</w:t>
      </w:r>
      <w:r>
        <w:rPr>
          <w:rFonts w:asciiTheme="majorEastAsia" w:eastAsiaTheme="majorEastAsia" w:hAnsiTheme="majorEastAsia"/>
          <w:bCs/>
          <w:color w:val="auto"/>
          <w:sz w:val="18"/>
          <w:szCs w:val="18"/>
        </w:rPr>
        <w:t>对理财产品进行信息登记后</w:t>
      </w:r>
      <w:r>
        <w:rPr>
          <w:rFonts w:asciiTheme="majorEastAsia" w:eastAsiaTheme="majorEastAsia" w:hAnsiTheme="majorEastAsia" w:hint="eastAsia"/>
          <w:bCs/>
          <w:color w:val="auto"/>
          <w:sz w:val="18"/>
          <w:szCs w:val="18"/>
        </w:rPr>
        <w:t>，由全国银行业理财信息登记系统发放的唯一性的理财产品编码。投资者可依据登记编码在中国理财网（w</w:t>
      </w:r>
      <w:r>
        <w:rPr>
          <w:rFonts w:asciiTheme="majorEastAsia" w:eastAsiaTheme="majorEastAsia" w:hAnsiTheme="majorEastAsia"/>
          <w:bCs/>
          <w:color w:val="auto"/>
          <w:sz w:val="18"/>
          <w:szCs w:val="18"/>
        </w:rPr>
        <w:t>ww.chinawealth.com.cn</w:t>
      </w:r>
      <w:r>
        <w:rPr>
          <w:rFonts w:asciiTheme="majorEastAsia" w:eastAsiaTheme="majorEastAsia" w:hAnsiTheme="majorEastAsia" w:hint="eastAsia"/>
          <w:bCs/>
          <w:color w:val="auto"/>
          <w:sz w:val="18"/>
          <w:szCs w:val="18"/>
        </w:rPr>
        <w:t>）查询产品信息。</w:t>
      </w:r>
    </w:p>
    <w:p w:rsidR="00E039EF" w:rsidRDefault="003F2D22">
      <w:pPr>
        <w:pStyle w:val="Default"/>
        <w:spacing w:line="360" w:lineRule="auto"/>
        <w:ind w:firstLineChars="200" w:firstLine="360"/>
        <w:rPr>
          <w:rFonts w:asciiTheme="majorEastAsia" w:eastAsiaTheme="majorEastAsia" w:hAnsiTheme="majorEastAsia"/>
          <w:bCs/>
          <w:color w:val="auto"/>
          <w:sz w:val="18"/>
          <w:szCs w:val="18"/>
        </w:rPr>
      </w:pPr>
      <w:r>
        <w:rPr>
          <w:rFonts w:asciiTheme="majorEastAsia" w:eastAsiaTheme="majorEastAsia" w:hAnsiTheme="majorEastAsia" w:hint="eastAsia"/>
          <w:bCs/>
          <w:color w:val="auto"/>
          <w:sz w:val="18"/>
          <w:szCs w:val="18"/>
        </w:rPr>
        <w:t>（</w:t>
      </w:r>
      <w:r>
        <w:rPr>
          <w:rFonts w:asciiTheme="majorEastAsia" w:eastAsiaTheme="majorEastAsia" w:hAnsiTheme="majorEastAsia"/>
          <w:bCs/>
          <w:color w:val="auto"/>
          <w:sz w:val="18"/>
          <w:szCs w:val="18"/>
        </w:rPr>
        <w:t>2）理财</w:t>
      </w:r>
      <w:r>
        <w:rPr>
          <w:rFonts w:asciiTheme="majorEastAsia" w:eastAsiaTheme="majorEastAsia" w:hAnsiTheme="majorEastAsia" w:hint="eastAsia"/>
          <w:bCs/>
          <w:color w:val="auto"/>
          <w:sz w:val="18"/>
          <w:szCs w:val="18"/>
        </w:rPr>
        <w:t>产品代码</w:t>
      </w:r>
      <w:r>
        <w:rPr>
          <w:rFonts w:asciiTheme="majorEastAsia" w:eastAsiaTheme="majorEastAsia" w:hAnsiTheme="majorEastAsia"/>
          <w:bCs/>
          <w:color w:val="auto"/>
          <w:sz w:val="18"/>
          <w:szCs w:val="18"/>
        </w:rPr>
        <w:t>/产品代码</w:t>
      </w:r>
      <w:r>
        <w:rPr>
          <w:rFonts w:asciiTheme="majorEastAsia" w:eastAsiaTheme="majorEastAsia" w:hAnsiTheme="majorEastAsia" w:hint="eastAsia"/>
          <w:bCs/>
          <w:color w:val="auto"/>
          <w:sz w:val="18"/>
          <w:szCs w:val="18"/>
        </w:rPr>
        <w:t>：指产品管理人在全国银行业理财信息登记系统中为理财产品设置的内部识别码。</w:t>
      </w:r>
    </w:p>
    <w:p w:rsidR="00E039EF" w:rsidRDefault="003F2D22">
      <w:pPr>
        <w:pStyle w:val="Default"/>
        <w:spacing w:line="360" w:lineRule="auto"/>
        <w:ind w:firstLineChars="200" w:firstLine="360"/>
        <w:rPr>
          <w:rFonts w:asciiTheme="majorEastAsia" w:eastAsiaTheme="majorEastAsia" w:hAnsiTheme="majorEastAsia"/>
          <w:bCs/>
          <w:color w:val="auto"/>
          <w:sz w:val="18"/>
          <w:szCs w:val="18"/>
        </w:rPr>
      </w:pPr>
      <w:r>
        <w:rPr>
          <w:rFonts w:asciiTheme="majorEastAsia" w:eastAsiaTheme="majorEastAsia" w:hAnsiTheme="majorEastAsia" w:hint="eastAsia"/>
          <w:bCs/>
          <w:color w:val="auto"/>
          <w:sz w:val="18"/>
          <w:szCs w:val="18"/>
        </w:rPr>
        <w:t>（3）理财产品销售代码/销售代码</w:t>
      </w:r>
      <w:r>
        <w:rPr>
          <w:rFonts w:asciiTheme="majorEastAsia" w:eastAsiaTheme="majorEastAsia" w:hAnsiTheme="majorEastAsia"/>
          <w:bCs/>
          <w:color w:val="auto"/>
          <w:sz w:val="18"/>
          <w:szCs w:val="18"/>
        </w:rPr>
        <w:t>：</w:t>
      </w:r>
      <w:r>
        <w:rPr>
          <w:rFonts w:asciiTheme="majorEastAsia" w:eastAsiaTheme="majorEastAsia" w:hAnsiTheme="majorEastAsia" w:hint="eastAsia"/>
          <w:bCs/>
          <w:color w:val="auto"/>
          <w:sz w:val="18"/>
          <w:szCs w:val="18"/>
        </w:rPr>
        <w:t>指本款理财产品若设置不同</w:t>
      </w:r>
      <w:r>
        <w:rPr>
          <w:rFonts w:asciiTheme="majorEastAsia" w:eastAsiaTheme="majorEastAsia" w:hAnsiTheme="majorEastAsia"/>
          <w:bCs/>
          <w:color w:val="auto"/>
          <w:sz w:val="18"/>
          <w:szCs w:val="18"/>
        </w:rPr>
        <w:t>产品份额类别</w:t>
      </w:r>
      <w:r>
        <w:rPr>
          <w:rFonts w:asciiTheme="majorEastAsia" w:eastAsiaTheme="majorEastAsia" w:hAnsiTheme="majorEastAsia" w:hint="eastAsia"/>
          <w:bCs/>
          <w:color w:val="auto"/>
          <w:sz w:val="18"/>
          <w:szCs w:val="18"/>
        </w:rPr>
        <w:t>，</w:t>
      </w:r>
      <w:r>
        <w:rPr>
          <w:rFonts w:asciiTheme="majorEastAsia" w:eastAsiaTheme="majorEastAsia" w:hAnsiTheme="majorEastAsia"/>
          <w:bCs/>
          <w:color w:val="auto"/>
          <w:sz w:val="18"/>
          <w:szCs w:val="18"/>
        </w:rPr>
        <w:t>为</w:t>
      </w:r>
      <w:r>
        <w:rPr>
          <w:rFonts w:asciiTheme="majorEastAsia" w:eastAsiaTheme="majorEastAsia" w:hAnsiTheme="majorEastAsia" w:hint="eastAsia"/>
          <w:bCs/>
          <w:color w:val="auto"/>
          <w:sz w:val="18"/>
          <w:szCs w:val="18"/>
        </w:rPr>
        <w:t>在理财产品销售管理</w:t>
      </w:r>
      <w:r>
        <w:rPr>
          <w:rFonts w:asciiTheme="majorEastAsia" w:eastAsiaTheme="majorEastAsia" w:hAnsiTheme="majorEastAsia"/>
          <w:bCs/>
          <w:color w:val="auto"/>
          <w:sz w:val="18"/>
          <w:szCs w:val="18"/>
        </w:rPr>
        <w:t>过程中</w:t>
      </w:r>
      <w:r>
        <w:rPr>
          <w:rFonts w:asciiTheme="majorEastAsia" w:eastAsiaTheme="majorEastAsia" w:hAnsiTheme="majorEastAsia" w:hint="eastAsia"/>
          <w:bCs/>
          <w:color w:val="auto"/>
          <w:sz w:val="18"/>
          <w:szCs w:val="18"/>
        </w:rPr>
        <w:t>区分不同产品份额类别，管理人</w:t>
      </w:r>
      <w:r>
        <w:rPr>
          <w:rFonts w:asciiTheme="majorEastAsia" w:eastAsiaTheme="majorEastAsia" w:hAnsiTheme="majorEastAsia"/>
          <w:bCs/>
          <w:color w:val="auto"/>
          <w:sz w:val="18"/>
          <w:szCs w:val="18"/>
        </w:rPr>
        <w:t>在同一</w:t>
      </w:r>
      <w:r>
        <w:rPr>
          <w:rFonts w:asciiTheme="majorEastAsia" w:eastAsiaTheme="majorEastAsia" w:hAnsiTheme="majorEastAsia" w:hint="eastAsia"/>
          <w:bCs/>
          <w:color w:val="auto"/>
          <w:sz w:val="18"/>
          <w:szCs w:val="18"/>
        </w:rPr>
        <w:t>理财</w:t>
      </w:r>
      <w:r>
        <w:rPr>
          <w:rFonts w:asciiTheme="majorEastAsia" w:eastAsiaTheme="majorEastAsia" w:hAnsiTheme="majorEastAsia"/>
          <w:bCs/>
          <w:color w:val="auto"/>
          <w:sz w:val="18"/>
          <w:szCs w:val="18"/>
        </w:rPr>
        <w:t>产品代码项下</w:t>
      </w:r>
      <w:r>
        <w:rPr>
          <w:rFonts w:asciiTheme="majorEastAsia" w:eastAsiaTheme="majorEastAsia" w:hAnsiTheme="majorEastAsia" w:hint="eastAsia"/>
          <w:bCs/>
          <w:color w:val="auto"/>
          <w:sz w:val="18"/>
          <w:szCs w:val="18"/>
        </w:rPr>
        <w:t>，</w:t>
      </w:r>
      <w:r>
        <w:rPr>
          <w:rFonts w:asciiTheme="majorEastAsia" w:eastAsiaTheme="majorEastAsia" w:hAnsiTheme="majorEastAsia"/>
          <w:bCs/>
          <w:color w:val="auto"/>
          <w:sz w:val="18"/>
          <w:szCs w:val="18"/>
        </w:rPr>
        <w:t>为每类份额类别设置的唯一性</w:t>
      </w:r>
      <w:r>
        <w:rPr>
          <w:rFonts w:asciiTheme="majorEastAsia" w:eastAsiaTheme="majorEastAsia" w:hAnsiTheme="majorEastAsia" w:hint="eastAsia"/>
          <w:bCs/>
          <w:color w:val="auto"/>
          <w:sz w:val="18"/>
          <w:szCs w:val="18"/>
        </w:rPr>
        <w:t>内部识别码。若本款理财产品不设置差异化产品份额类别，理财产品代码即为理财产品销售代码。</w:t>
      </w:r>
    </w:p>
    <w:p w:rsidR="00E039EF" w:rsidRDefault="003F2D22">
      <w:pPr>
        <w:pStyle w:val="Default"/>
        <w:spacing w:line="360" w:lineRule="auto"/>
        <w:ind w:firstLineChars="200" w:firstLine="360"/>
        <w:rPr>
          <w:rFonts w:asciiTheme="majorEastAsia" w:eastAsiaTheme="majorEastAsia" w:hAnsiTheme="majorEastAsia"/>
          <w:bCs/>
          <w:color w:val="auto"/>
          <w:sz w:val="18"/>
          <w:szCs w:val="18"/>
        </w:rPr>
      </w:pPr>
      <w:r>
        <w:rPr>
          <w:rFonts w:asciiTheme="majorEastAsia" w:eastAsiaTheme="majorEastAsia" w:hAnsiTheme="majorEastAsia" w:hint="eastAsia"/>
          <w:bCs/>
          <w:color w:val="auto"/>
          <w:sz w:val="18"/>
          <w:szCs w:val="18"/>
        </w:rPr>
        <w:t>（4）理财产品风险等级：理财产品风险等级为产品管理人和销售机构经过审慎评估后确定的产品风险等级。</w:t>
      </w:r>
      <w:r>
        <w:rPr>
          <w:rFonts w:asciiTheme="majorEastAsia" w:eastAsiaTheme="majorEastAsia" w:hAnsiTheme="majorEastAsia" w:hint="eastAsia"/>
          <w:bCs/>
          <w:sz w:val="18"/>
          <w:szCs w:val="18"/>
        </w:rPr>
        <w:t>若</w:t>
      </w:r>
      <w:r>
        <w:rPr>
          <w:rFonts w:asciiTheme="majorEastAsia" w:eastAsiaTheme="majorEastAsia" w:hAnsiTheme="majorEastAsia"/>
          <w:bCs/>
          <w:sz w:val="18"/>
          <w:szCs w:val="18"/>
        </w:rPr>
        <w:t>理财</w:t>
      </w:r>
      <w:r>
        <w:rPr>
          <w:rFonts w:asciiTheme="majorEastAsia" w:eastAsiaTheme="majorEastAsia" w:hAnsiTheme="majorEastAsia" w:hint="eastAsia"/>
          <w:bCs/>
          <w:sz w:val="18"/>
          <w:szCs w:val="18"/>
        </w:rPr>
        <w:t>产品通过代理销售机构销售的，理财产品评级以代理销售机构最终披露的评级结果为准。产品管理人和代理销售机构对理财产品的风险等级评估结果不一致时，代理销售机构应采用对应较高风险的评级结果。</w:t>
      </w:r>
    </w:p>
    <w:p w:rsidR="00E039EF" w:rsidRDefault="003F2D22">
      <w:pPr>
        <w:pStyle w:val="Default"/>
        <w:spacing w:line="360" w:lineRule="auto"/>
        <w:ind w:firstLineChars="200" w:firstLine="360"/>
        <w:rPr>
          <w:rFonts w:asciiTheme="majorEastAsia" w:eastAsiaTheme="majorEastAsia" w:hAnsiTheme="majorEastAsia"/>
          <w:bCs/>
          <w:color w:val="auto"/>
          <w:sz w:val="18"/>
          <w:szCs w:val="18"/>
        </w:rPr>
      </w:pPr>
      <w:r>
        <w:rPr>
          <w:rFonts w:asciiTheme="majorEastAsia" w:eastAsiaTheme="majorEastAsia" w:hAnsiTheme="majorEastAsia" w:hint="eastAsia"/>
          <w:bCs/>
          <w:color w:val="auto"/>
          <w:sz w:val="18"/>
          <w:szCs w:val="18"/>
        </w:rPr>
        <w:t>（5）投资者风险承受能力评估：指销售机构对理财投资者的风险承受能力进行评价的过程。</w:t>
      </w:r>
    </w:p>
    <w:p w:rsidR="00E039EF" w:rsidRDefault="003F2D22">
      <w:pPr>
        <w:pStyle w:val="Default"/>
        <w:spacing w:line="360" w:lineRule="auto"/>
        <w:ind w:firstLineChars="200" w:firstLine="360"/>
        <w:rPr>
          <w:rFonts w:asciiTheme="majorEastAsia" w:eastAsiaTheme="majorEastAsia" w:hAnsiTheme="majorEastAsia"/>
          <w:bCs/>
          <w:color w:val="auto"/>
          <w:sz w:val="18"/>
          <w:szCs w:val="18"/>
        </w:rPr>
      </w:pPr>
      <w:r>
        <w:rPr>
          <w:rFonts w:asciiTheme="majorEastAsia" w:eastAsiaTheme="majorEastAsia" w:hAnsiTheme="majorEastAsia" w:hint="eastAsia"/>
          <w:bCs/>
          <w:color w:val="auto"/>
          <w:sz w:val="18"/>
          <w:szCs w:val="18"/>
        </w:rPr>
        <w:lastRenderedPageBreak/>
        <w:t>（</w:t>
      </w:r>
      <w:r>
        <w:rPr>
          <w:rFonts w:asciiTheme="majorEastAsia" w:eastAsiaTheme="majorEastAsia" w:hAnsiTheme="majorEastAsia"/>
          <w:bCs/>
          <w:color w:val="auto"/>
          <w:sz w:val="18"/>
          <w:szCs w:val="18"/>
        </w:rPr>
        <w:t>6</w:t>
      </w:r>
      <w:r>
        <w:rPr>
          <w:rFonts w:asciiTheme="majorEastAsia" w:eastAsiaTheme="majorEastAsia" w:hAnsiTheme="majorEastAsia" w:hint="eastAsia"/>
          <w:bCs/>
          <w:color w:val="auto"/>
          <w:sz w:val="18"/>
          <w:szCs w:val="18"/>
        </w:rPr>
        <w:t>）适合投资者：指适合购买</w:t>
      </w:r>
      <w:r>
        <w:rPr>
          <w:rFonts w:asciiTheme="majorEastAsia" w:eastAsiaTheme="majorEastAsia" w:hAnsiTheme="majorEastAsia"/>
          <w:bCs/>
          <w:color w:val="auto"/>
          <w:sz w:val="18"/>
          <w:szCs w:val="18"/>
        </w:rPr>
        <w:t>理财</w:t>
      </w:r>
      <w:r>
        <w:rPr>
          <w:rFonts w:asciiTheme="majorEastAsia" w:eastAsiaTheme="majorEastAsia" w:hAnsiTheme="majorEastAsia" w:hint="eastAsia"/>
          <w:bCs/>
          <w:color w:val="auto"/>
          <w:sz w:val="18"/>
          <w:szCs w:val="18"/>
        </w:rPr>
        <w:t>产品的投资者类型。</w:t>
      </w:r>
    </w:p>
    <w:p w:rsidR="00E039EF" w:rsidRDefault="003F2D22">
      <w:pPr>
        <w:pStyle w:val="Default"/>
        <w:spacing w:line="360" w:lineRule="auto"/>
        <w:ind w:firstLineChars="200" w:firstLine="360"/>
        <w:rPr>
          <w:rFonts w:asciiTheme="majorEastAsia" w:eastAsiaTheme="majorEastAsia" w:hAnsiTheme="majorEastAsia"/>
          <w:bCs/>
          <w:color w:val="auto"/>
          <w:sz w:val="18"/>
          <w:szCs w:val="18"/>
        </w:rPr>
      </w:pPr>
      <w:r>
        <w:rPr>
          <w:rFonts w:asciiTheme="majorEastAsia" w:eastAsiaTheme="majorEastAsia" w:hAnsiTheme="majorEastAsia" w:hint="eastAsia"/>
          <w:bCs/>
          <w:color w:val="auto"/>
          <w:sz w:val="18"/>
          <w:szCs w:val="18"/>
        </w:rPr>
        <w:t>（</w:t>
      </w:r>
      <w:r>
        <w:rPr>
          <w:rFonts w:asciiTheme="majorEastAsia" w:eastAsiaTheme="majorEastAsia" w:hAnsiTheme="majorEastAsia"/>
          <w:bCs/>
          <w:color w:val="auto"/>
          <w:sz w:val="18"/>
          <w:szCs w:val="18"/>
        </w:rPr>
        <w:t>7</w:t>
      </w:r>
      <w:r>
        <w:rPr>
          <w:rFonts w:asciiTheme="majorEastAsia" w:eastAsiaTheme="majorEastAsia" w:hAnsiTheme="majorEastAsia" w:hint="eastAsia"/>
          <w:bCs/>
          <w:color w:val="auto"/>
          <w:sz w:val="18"/>
          <w:szCs w:val="18"/>
        </w:rPr>
        <w:t>）理财产品份额/产品份额/理财份额：指投资者持有本理财产品的单位数额。投资者基于其所持有的理财产品单位数额享有理财产品利益、承担理财产品风险。理财</w:t>
      </w:r>
      <w:r>
        <w:rPr>
          <w:rFonts w:asciiTheme="majorEastAsia" w:eastAsiaTheme="majorEastAsia" w:hAnsiTheme="majorEastAsia"/>
          <w:bCs/>
          <w:color w:val="auto"/>
          <w:sz w:val="18"/>
          <w:szCs w:val="18"/>
        </w:rPr>
        <w:t>产品份额四舍五入保留2位小数</w:t>
      </w:r>
      <w:r>
        <w:rPr>
          <w:rFonts w:asciiTheme="majorEastAsia" w:eastAsiaTheme="majorEastAsia" w:hAnsiTheme="majorEastAsia" w:hint="eastAsia"/>
          <w:bCs/>
          <w:color w:val="auto"/>
          <w:sz w:val="18"/>
          <w:szCs w:val="18"/>
        </w:rPr>
        <w:t>。</w:t>
      </w:r>
    </w:p>
    <w:p w:rsidR="00E039EF" w:rsidRDefault="003F2D22">
      <w:pPr>
        <w:pStyle w:val="Default"/>
        <w:spacing w:line="360" w:lineRule="auto"/>
        <w:ind w:firstLineChars="200" w:firstLine="360"/>
        <w:rPr>
          <w:rFonts w:asciiTheme="majorEastAsia" w:eastAsiaTheme="majorEastAsia" w:hAnsiTheme="majorEastAsia"/>
          <w:bCs/>
          <w:color w:val="auto"/>
          <w:sz w:val="18"/>
          <w:szCs w:val="18"/>
        </w:rPr>
      </w:pPr>
      <w:r>
        <w:rPr>
          <w:rFonts w:asciiTheme="majorEastAsia" w:eastAsiaTheme="majorEastAsia" w:hAnsiTheme="majorEastAsia" w:hint="eastAsia"/>
          <w:bCs/>
          <w:color w:val="auto"/>
          <w:sz w:val="18"/>
          <w:szCs w:val="18"/>
        </w:rPr>
        <w:t>（</w:t>
      </w:r>
      <w:r>
        <w:rPr>
          <w:rFonts w:asciiTheme="majorEastAsia" w:eastAsiaTheme="majorEastAsia" w:hAnsiTheme="majorEastAsia"/>
          <w:bCs/>
          <w:color w:val="auto"/>
          <w:sz w:val="18"/>
          <w:szCs w:val="18"/>
        </w:rPr>
        <w:t>8</w:t>
      </w:r>
      <w:r>
        <w:rPr>
          <w:rFonts w:asciiTheme="majorEastAsia" w:eastAsiaTheme="majorEastAsia" w:hAnsiTheme="majorEastAsia" w:hint="eastAsia"/>
          <w:bCs/>
          <w:color w:val="auto"/>
          <w:sz w:val="18"/>
          <w:szCs w:val="18"/>
        </w:rPr>
        <w:t>）</w:t>
      </w:r>
      <w:r>
        <w:rPr>
          <w:rFonts w:hAnsi="宋体" w:hint="eastAsia"/>
          <w:color w:val="auto"/>
          <w:sz w:val="18"/>
          <w:szCs w:val="18"/>
        </w:rPr>
        <w:t>理财产品资产净值/理财资产净值/产品资产净值</w:t>
      </w:r>
      <w:r>
        <w:rPr>
          <w:rFonts w:asciiTheme="majorEastAsia" w:eastAsiaTheme="majorEastAsia" w:hAnsiTheme="majorEastAsia" w:hint="eastAsia"/>
          <w:bCs/>
          <w:color w:val="auto"/>
          <w:sz w:val="18"/>
          <w:szCs w:val="18"/>
        </w:rPr>
        <w:t>：理财产品资产净值</w:t>
      </w:r>
      <w:r>
        <w:rPr>
          <w:rFonts w:asciiTheme="majorEastAsia" w:eastAsiaTheme="majorEastAsia" w:hAnsiTheme="majorEastAsia"/>
          <w:bCs/>
          <w:color w:val="auto"/>
          <w:sz w:val="18"/>
          <w:szCs w:val="18"/>
        </w:rPr>
        <w:t>=理财</w:t>
      </w:r>
      <w:r>
        <w:rPr>
          <w:rFonts w:asciiTheme="majorEastAsia" w:eastAsiaTheme="majorEastAsia" w:hAnsiTheme="majorEastAsia" w:hint="eastAsia"/>
          <w:bCs/>
          <w:color w:val="auto"/>
          <w:sz w:val="18"/>
          <w:szCs w:val="18"/>
        </w:rPr>
        <w:t>产品资产总值</w:t>
      </w:r>
      <w:r>
        <w:rPr>
          <w:rFonts w:asciiTheme="majorEastAsia" w:eastAsiaTheme="majorEastAsia" w:hAnsiTheme="majorEastAsia"/>
          <w:bCs/>
          <w:color w:val="auto"/>
          <w:sz w:val="18"/>
          <w:szCs w:val="18"/>
        </w:rPr>
        <w:t>-理财</w:t>
      </w:r>
      <w:r>
        <w:rPr>
          <w:rFonts w:asciiTheme="majorEastAsia" w:eastAsiaTheme="majorEastAsia" w:hAnsiTheme="majorEastAsia" w:hint="eastAsia"/>
          <w:bCs/>
          <w:color w:val="auto"/>
          <w:sz w:val="18"/>
          <w:szCs w:val="18"/>
        </w:rPr>
        <w:t>产品负债总值。</w:t>
      </w:r>
    </w:p>
    <w:p w:rsidR="00E039EF" w:rsidRDefault="003F2D22">
      <w:pPr>
        <w:pStyle w:val="Default"/>
        <w:spacing w:line="360" w:lineRule="auto"/>
        <w:ind w:firstLineChars="200" w:firstLine="360"/>
        <w:rPr>
          <w:rFonts w:asciiTheme="majorEastAsia" w:eastAsiaTheme="majorEastAsia" w:hAnsiTheme="majorEastAsia"/>
          <w:bCs/>
          <w:color w:val="auto"/>
          <w:sz w:val="18"/>
          <w:szCs w:val="18"/>
        </w:rPr>
      </w:pPr>
      <w:r>
        <w:rPr>
          <w:rFonts w:asciiTheme="majorEastAsia" w:eastAsiaTheme="majorEastAsia" w:hAnsiTheme="majorEastAsia" w:hint="eastAsia"/>
          <w:bCs/>
          <w:color w:val="auto"/>
          <w:sz w:val="18"/>
          <w:szCs w:val="18"/>
        </w:rPr>
        <w:t>理财产品资产总值是指理财产品拥有的各类有价证券、银行存款、应收款项及其他资产的价值总和。</w:t>
      </w:r>
    </w:p>
    <w:p w:rsidR="00E039EF" w:rsidRDefault="003F2D22">
      <w:pPr>
        <w:pStyle w:val="Default"/>
        <w:spacing w:line="360" w:lineRule="auto"/>
        <w:ind w:firstLineChars="200" w:firstLine="360"/>
        <w:rPr>
          <w:rFonts w:asciiTheme="majorEastAsia" w:eastAsiaTheme="majorEastAsia" w:hAnsiTheme="majorEastAsia"/>
          <w:bCs/>
          <w:color w:val="auto"/>
          <w:sz w:val="18"/>
          <w:szCs w:val="18"/>
        </w:rPr>
      </w:pPr>
      <w:r>
        <w:rPr>
          <w:rFonts w:asciiTheme="majorEastAsia" w:eastAsiaTheme="majorEastAsia" w:hAnsiTheme="majorEastAsia" w:hint="eastAsia"/>
          <w:bCs/>
          <w:color w:val="auto"/>
          <w:sz w:val="18"/>
          <w:szCs w:val="18"/>
        </w:rPr>
        <w:t>理财产品负债总值是指理财产品运作及融资时形成的负债价值总和，包括融资资金本息、应付各项费用（包括托管费、认购费、固定管理费、计入负债的业绩报酬、其他费用等）、应付税金及其他应付款项等。</w:t>
      </w:r>
    </w:p>
    <w:p w:rsidR="00E039EF" w:rsidRDefault="003F2D22">
      <w:pPr>
        <w:pStyle w:val="Default"/>
        <w:spacing w:line="360" w:lineRule="auto"/>
        <w:ind w:firstLineChars="200" w:firstLine="360"/>
        <w:rPr>
          <w:rFonts w:asciiTheme="majorEastAsia" w:eastAsiaTheme="majorEastAsia" w:hAnsiTheme="majorEastAsia"/>
          <w:bCs/>
          <w:color w:val="auto"/>
          <w:sz w:val="18"/>
          <w:szCs w:val="18"/>
        </w:rPr>
      </w:pPr>
      <w:r>
        <w:rPr>
          <w:rFonts w:asciiTheme="majorEastAsia" w:eastAsiaTheme="majorEastAsia" w:hAnsiTheme="majorEastAsia" w:hint="eastAsia"/>
          <w:bCs/>
          <w:color w:val="auto"/>
          <w:sz w:val="18"/>
          <w:szCs w:val="18"/>
        </w:rPr>
        <w:t>（</w:t>
      </w:r>
      <w:r>
        <w:rPr>
          <w:rFonts w:asciiTheme="majorEastAsia" w:eastAsiaTheme="majorEastAsia" w:hAnsiTheme="majorEastAsia"/>
          <w:bCs/>
          <w:color w:val="auto"/>
          <w:sz w:val="18"/>
          <w:szCs w:val="18"/>
        </w:rPr>
        <w:t>9</w:t>
      </w:r>
      <w:r>
        <w:rPr>
          <w:rFonts w:asciiTheme="majorEastAsia" w:eastAsiaTheme="majorEastAsia" w:hAnsiTheme="majorEastAsia" w:hint="eastAsia"/>
          <w:bCs/>
          <w:color w:val="auto"/>
          <w:sz w:val="18"/>
          <w:szCs w:val="18"/>
        </w:rPr>
        <w:t>）理财产品份额净值/理财份额净值/产品份额净值：指理财产品份额的单位净值，即每</w:t>
      </w:r>
      <w:r>
        <w:rPr>
          <w:rFonts w:asciiTheme="majorEastAsia" w:eastAsiaTheme="majorEastAsia" w:hAnsiTheme="majorEastAsia"/>
          <w:bCs/>
          <w:color w:val="auto"/>
          <w:sz w:val="18"/>
          <w:szCs w:val="18"/>
        </w:rPr>
        <w:t>1</w:t>
      </w:r>
      <w:r>
        <w:rPr>
          <w:rFonts w:asciiTheme="majorEastAsia" w:eastAsiaTheme="majorEastAsia" w:hAnsiTheme="majorEastAsia" w:hint="eastAsia"/>
          <w:bCs/>
          <w:color w:val="auto"/>
          <w:sz w:val="18"/>
          <w:szCs w:val="18"/>
        </w:rPr>
        <w:t>份理财产品份额以人民币计价的价格。理财产品份额净值</w:t>
      </w:r>
      <w:r>
        <w:rPr>
          <w:rFonts w:asciiTheme="majorEastAsia" w:eastAsiaTheme="majorEastAsia" w:hAnsiTheme="majorEastAsia"/>
          <w:bCs/>
          <w:color w:val="auto"/>
          <w:sz w:val="18"/>
          <w:szCs w:val="18"/>
        </w:rPr>
        <w:t>=</w:t>
      </w:r>
      <w:r>
        <w:rPr>
          <w:rFonts w:asciiTheme="majorEastAsia" w:eastAsiaTheme="majorEastAsia" w:hAnsiTheme="majorEastAsia" w:hint="eastAsia"/>
          <w:bCs/>
          <w:color w:val="auto"/>
          <w:sz w:val="18"/>
          <w:szCs w:val="18"/>
        </w:rPr>
        <w:t>理财资产净值</w:t>
      </w:r>
      <w:r>
        <w:rPr>
          <w:rFonts w:asciiTheme="majorEastAsia" w:eastAsiaTheme="majorEastAsia" w:hAnsiTheme="majorEastAsia"/>
          <w:bCs/>
          <w:color w:val="auto"/>
          <w:sz w:val="18"/>
          <w:szCs w:val="18"/>
        </w:rPr>
        <w:t>/产品</w:t>
      </w:r>
      <w:r>
        <w:rPr>
          <w:rFonts w:asciiTheme="majorEastAsia" w:eastAsiaTheme="majorEastAsia" w:hAnsiTheme="majorEastAsia" w:hint="eastAsia"/>
          <w:bCs/>
          <w:color w:val="auto"/>
          <w:sz w:val="18"/>
          <w:szCs w:val="18"/>
        </w:rPr>
        <w:t>总</w:t>
      </w:r>
      <w:r>
        <w:rPr>
          <w:rFonts w:asciiTheme="majorEastAsia" w:eastAsiaTheme="majorEastAsia" w:hAnsiTheme="majorEastAsia"/>
          <w:bCs/>
          <w:color w:val="auto"/>
          <w:sz w:val="18"/>
          <w:szCs w:val="18"/>
        </w:rPr>
        <w:t>份额</w:t>
      </w:r>
      <w:r>
        <w:rPr>
          <w:rFonts w:asciiTheme="majorEastAsia" w:eastAsiaTheme="majorEastAsia" w:hAnsiTheme="majorEastAsia" w:hint="eastAsia"/>
          <w:bCs/>
          <w:color w:val="auto"/>
          <w:sz w:val="18"/>
          <w:szCs w:val="18"/>
        </w:rPr>
        <w:t>。投资者按该份额净值进行理财产品申购、赎回和终止时分配。理财</w:t>
      </w:r>
      <w:r>
        <w:rPr>
          <w:rFonts w:asciiTheme="majorEastAsia" w:eastAsiaTheme="majorEastAsia" w:hAnsiTheme="majorEastAsia"/>
          <w:bCs/>
          <w:color w:val="auto"/>
          <w:sz w:val="18"/>
          <w:szCs w:val="18"/>
        </w:rPr>
        <w:t>产品份额净值四舍五入保留5位小数。</w:t>
      </w:r>
    </w:p>
    <w:p w:rsidR="00E039EF" w:rsidRDefault="003F2D22">
      <w:pPr>
        <w:pStyle w:val="Default"/>
        <w:spacing w:line="360" w:lineRule="auto"/>
        <w:ind w:firstLineChars="200" w:firstLine="360"/>
        <w:rPr>
          <w:rFonts w:asciiTheme="majorEastAsia" w:eastAsiaTheme="majorEastAsia" w:hAnsiTheme="majorEastAsia"/>
          <w:bCs/>
          <w:color w:val="auto"/>
          <w:sz w:val="18"/>
          <w:szCs w:val="18"/>
        </w:rPr>
      </w:pPr>
      <w:r>
        <w:rPr>
          <w:rFonts w:asciiTheme="majorEastAsia" w:eastAsiaTheme="majorEastAsia" w:hAnsiTheme="majorEastAsia"/>
          <w:bCs/>
          <w:color w:val="auto"/>
          <w:sz w:val="18"/>
          <w:szCs w:val="18"/>
        </w:rPr>
        <w:t>理财产品份额净值</w:t>
      </w:r>
      <w:r>
        <w:rPr>
          <w:rFonts w:asciiTheme="majorEastAsia" w:eastAsiaTheme="majorEastAsia" w:hAnsiTheme="majorEastAsia" w:hint="eastAsia"/>
          <w:bCs/>
          <w:color w:val="auto"/>
          <w:sz w:val="18"/>
          <w:szCs w:val="18"/>
        </w:rPr>
        <w:t>可以展示为</w:t>
      </w:r>
      <w:r>
        <w:rPr>
          <w:rFonts w:asciiTheme="majorEastAsia" w:eastAsiaTheme="majorEastAsia" w:hAnsiTheme="majorEastAsia"/>
          <w:bCs/>
          <w:color w:val="auto"/>
          <w:sz w:val="18"/>
          <w:szCs w:val="18"/>
        </w:rPr>
        <w:t>当前理财产品份额净值</w:t>
      </w:r>
      <w:r>
        <w:rPr>
          <w:rFonts w:asciiTheme="majorEastAsia" w:eastAsiaTheme="majorEastAsia" w:hAnsiTheme="majorEastAsia" w:hint="eastAsia"/>
          <w:bCs/>
          <w:color w:val="auto"/>
          <w:sz w:val="18"/>
          <w:szCs w:val="18"/>
        </w:rPr>
        <w:t>和累计理财产品份额净值。</w:t>
      </w:r>
    </w:p>
    <w:p w:rsidR="00E039EF" w:rsidRDefault="003F2D22">
      <w:pPr>
        <w:pStyle w:val="Default"/>
        <w:spacing w:line="360" w:lineRule="auto"/>
        <w:ind w:firstLineChars="200" w:firstLine="360"/>
        <w:rPr>
          <w:rFonts w:asciiTheme="majorEastAsia" w:eastAsiaTheme="majorEastAsia" w:hAnsiTheme="majorEastAsia"/>
          <w:bCs/>
          <w:color w:val="auto"/>
          <w:sz w:val="18"/>
          <w:szCs w:val="18"/>
        </w:rPr>
      </w:pPr>
      <w:r>
        <w:rPr>
          <w:rFonts w:asciiTheme="majorEastAsia" w:eastAsiaTheme="majorEastAsia" w:hAnsiTheme="majorEastAsia" w:hint="eastAsia"/>
          <w:bCs/>
          <w:color w:val="auto"/>
          <w:sz w:val="18"/>
          <w:szCs w:val="18"/>
        </w:rPr>
        <w:t>当前理财产品份额净值，指</w:t>
      </w:r>
      <w:r>
        <w:rPr>
          <w:rFonts w:asciiTheme="majorEastAsia" w:eastAsiaTheme="majorEastAsia" w:hAnsiTheme="majorEastAsia"/>
          <w:bCs/>
          <w:color w:val="auto"/>
          <w:sz w:val="18"/>
          <w:szCs w:val="18"/>
        </w:rPr>
        <w:t>产品</w:t>
      </w:r>
      <w:r>
        <w:rPr>
          <w:rFonts w:asciiTheme="majorEastAsia" w:eastAsiaTheme="majorEastAsia" w:hAnsiTheme="majorEastAsia" w:hint="eastAsia"/>
          <w:bCs/>
          <w:color w:val="auto"/>
          <w:sz w:val="18"/>
          <w:szCs w:val="18"/>
        </w:rPr>
        <w:t>当前</w:t>
      </w:r>
      <w:r>
        <w:rPr>
          <w:rFonts w:asciiTheme="majorEastAsia" w:eastAsiaTheme="majorEastAsia" w:hAnsiTheme="majorEastAsia"/>
          <w:bCs/>
          <w:color w:val="auto"/>
          <w:sz w:val="18"/>
          <w:szCs w:val="18"/>
        </w:rPr>
        <w:t>的</w:t>
      </w:r>
      <w:r>
        <w:rPr>
          <w:rFonts w:asciiTheme="majorEastAsia" w:eastAsiaTheme="majorEastAsia" w:hAnsiTheme="majorEastAsia" w:hint="eastAsia"/>
          <w:bCs/>
          <w:color w:val="auto"/>
          <w:sz w:val="18"/>
          <w:szCs w:val="18"/>
        </w:rPr>
        <w:t>份额净值。</w:t>
      </w:r>
    </w:p>
    <w:p w:rsidR="00E039EF" w:rsidRDefault="003F2D22">
      <w:pPr>
        <w:pStyle w:val="Default"/>
        <w:spacing w:line="360" w:lineRule="auto"/>
        <w:ind w:firstLineChars="200" w:firstLine="360"/>
        <w:rPr>
          <w:rFonts w:asciiTheme="majorEastAsia" w:eastAsiaTheme="majorEastAsia" w:hAnsiTheme="majorEastAsia"/>
          <w:bCs/>
          <w:color w:val="auto"/>
          <w:sz w:val="18"/>
          <w:szCs w:val="18"/>
        </w:rPr>
      </w:pPr>
      <w:r>
        <w:rPr>
          <w:rFonts w:asciiTheme="majorEastAsia" w:eastAsiaTheme="majorEastAsia" w:hAnsiTheme="majorEastAsia"/>
          <w:bCs/>
          <w:color w:val="auto"/>
          <w:sz w:val="18"/>
          <w:szCs w:val="18"/>
        </w:rPr>
        <w:t>累计理财产品份额净值</w:t>
      </w:r>
      <w:r>
        <w:rPr>
          <w:rFonts w:asciiTheme="majorEastAsia" w:eastAsiaTheme="majorEastAsia" w:hAnsiTheme="majorEastAsia" w:hint="eastAsia"/>
          <w:bCs/>
          <w:color w:val="auto"/>
          <w:sz w:val="18"/>
          <w:szCs w:val="18"/>
        </w:rPr>
        <w:t>，</w:t>
      </w:r>
      <w:r>
        <w:rPr>
          <w:rFonts w:asciiTheme="majorEastAsia" w:eastAsiaTheme="majorEastAsia" w:hAnsiTheme="majorEastAsia"/>
          <w:bCs/>
          <w:color w:val="auto"/>
          <w:sz w:val="18"/>
          <w:szCs w:val="18"/>
        </w:rPr>
        <w:t>指产品当前份额净值及产品成立到现在</w:t>
      </w:r>
      <w:r>
        <w:rPr>
          <w:rFonts w:asciiTheme="majorEastAsia" w:eastAsiaTheme="majorEastAsia" w:hAnsiTheme="majorEastAsia" w:hint="eastAsia"/>
          <w:bCs/>
          <w:color w:val="auto"/>
          <w:sz w:val="18"/>
          <w:szCs w:val="18"/>
        </w:rPr>
        <w:t>单位</w:t>
      </w:r>
      <w:r>
        <w:rPr>
          <w:rFonts w:asciiTheme="majorEastAsia" w:eastAsiaTheme="majorEastAsia" w:hAnsiTheme="majorEastAsia"/>
          <w:bCs/>
          <w:color w:val="auto"/>
          <w:sz w:val="18"/>
          <w:szCs w:val="18"/>
        </w:rPr>
        <w:t>理财产品</w:t>
      </w:r>
      <w:r>
        <w:rPr>
          <w:rFonts w:asciiTheme="majorEastAsia" w:eastAsiaTheme="majorEastAsia" w:hAnsiTheme="majorEastAsia" w:hint="eastAsia"/>
          <w:bCs/>
          <w:color w:val="auto"/>
          <w:sz w:val="18"/>
          <w:szCs w:val="18"/>
        </w:rPr>
        <w:t>份额</w:t>
      </w:r>
      <w:r>
        <w:rPr>
          <w:rFonts w:asciiTheme="majorEastAsia" w:eastAsiaTheme="majorEastAsia" w:hAnsiTheme="majorEastAsia"/>
          <w:bCs/>
          <w:color w:val="auto"/>
          <w:sz w:val="18"/>
          <w:szCs w:val="18"/>
        </w:rPr>
        <w:t>分红之和</w:t>
      </w:r>
      <w:r>
        <w:rPr>
          <w:rFonts w:asciiTheme="majorEastAsia" w:eastAsiaTheme="majorEastAsia" w:hAnsiTheme="majorEastAsia" w:hint="eastAsia"/>
          <w:bCs/>
          <w:color w:val="auto"/>
          <w:sz w:val="18"/>
          <w:szCs w:val="18"/>
        </w:rPr>
        <w:t>。</w:t>
      </w:r>
    </w:p>
    <w:p w:rsidR="00E039EF" w:rsidRDefault="003F2D22">
      <w:pPr>
        <w:pStyle w:val="Default"/>
        <w:spacing w:line="360" w:lineRule="auto"/>
        <w:ind w:firstLineChars="200" w:firstLine="360"/>
        <w:rPr>
          <w:rFonts w:asciiTheme="majorEastAsia" w:eastAsiaTheme="majorEastAsia" w:hAnsiTheme="majorEastAsia"/>
          <w:bCs/>
          <w:color w:val="auto"/>
          <w:sz w:val="18"/>
          <w:szCs w:val="18"/>
        </w:rPr>
      </w:pPr>
      <w:r>
        <w:rPr>
          <w:rFonts w:asciiTheme="majorEastAsia" w:eastAsiaTheme="majorEastAsia" w:hAnsiTheme="majorEastAsia" w:hint="eastAsia"/>
          <w:bCs/>
          <w:color w:val="auto"/>
          <w:sz w:val="18"/>
          <w:szCs w:val="18"/>
        </w:rPr>
        <w:t>（注：若无特别说明，理财产品份额净值通常指当前理财产品份额净值）</w:t>
      </w:r>
    </w:p>
    <w:p w:rsidR="00E039EF" w:rsidRDefault="003F2D22">
      <w:pPr>
        <w:pStyle w:val="Default"/>
        <w:spacing w:line="360" w:lineRule="auto"/>
        <w:ind w:firstLineChars="200" w:firstLine="360"/>
        <w:rPr>
          <w:rFonts w:asciiTheme="majorEastAsia" w:eastAsiaTheme="majorEastAsia" w:hAnsiTheme="majorEastAsia"/>
          <w:bCs/>
          <w:color w:val="auto"/>
          <w:sz w:val="18"/>
          <w:szCs w:val="18"/>
        </w:rPr>
      </w:pPr>
      <w:r>
        <w:rPr>
          <w:rFonts w:asciiTheme="majorEastAsia" w:eastAsiaTheme="majorEastAsia" w:hAnsiTheme="majorEastAsia" w:hint="eastAsia"/>
          <w:bCs/>
          <w:color w:val="auto"/>
          <w:sz w:val="18"/>
          <w:szCs w:val="18"/>
        </w:rPr>
        <w:t>（</w:t>
      </w:r>
      <w:r>
        <w:rPr>
          <w:rFonts w:asciiTheme="majorEastAsia" w:eastAsiaTheme="majorEastAsia" w:hAnsiTheme="majorEastAsia"/>
          <w:bCs/>
          <w:color w:val="auto"/>
          <w:sz w:val="18"/>
          <w:szCs w:val="18"/>
        </w:rPr>
        <w:t>1</w:t>
      </w:r>
      <w:r>
        <w:rPr>
          <w:rFonts w:asciiTheme="majorEastAsia" w:eastAsiaTheme="majorEastAsia" w:hAnsiTheme="majorEastAsia" w:hint="eastAsia"/>
          <w:bCs/>
          <w:color w:val="auto"/>
          <w:sz w:val="18"/>
          <w:szCs w:val="18"/>
        </w:rPr>
        <w:t>0）理财产品估值：指计算评估理财产品资产和理财产品负债的价值，以确定理财产品份额净值的过程。</w:t>
      </w:r>
    </w:p>
    <w:p w:rsidR="00E039EF" w:rsidRDefault="003F2D22">
      <w:pPr>
        <w:pStyle w:val="Default"/>
        <w:spacing w:line="360" w:lineRule="auto"/>
        <w:ind w:firstLineChars="200" w:firstLine="360"/>
        <w:rPr>
          <w:rFonts w:ascii="黑体" w:eastAsia="黑体" w:hAnsi="黑体"/>
          <w:bCs/>
          <w:color w:val="auto"/>
          <w:sz w:val="18"/>
          <w:szCs w:val="18"/>
        </w:rPr>
      </w:pPr>
      <w:r>
        <w:rPr>
          <w:rFonts w:asciiTheme="majorEastAsia" w:eastAsiaTheme="majorEastAsia" w:hAnsiTheme="majorEastAsia" w:hint="eastAsia"/>
          <w:bCs/>
          <w:color w:val="auto"/>
          <w:sz w:val="18"/>
          <w:szCs w:val="18"/>
        </w:rPr>
        <w:t>（</w:t>
      </w:r>
      <w:r>
        <w:rPr>
          <w:rFonts w:asciiTheme="majorEastAsia" w:eastAsiaTheme="majorEastAsia" w:hAnsiTheme="majorEastAsia"/>
          <w:bCs/>
          <w:color w:val="auto"/>
          <w:sz w:val="18"/>
          <w:szCs w:val="18"/>
        </w:rPr>
        <w:t>1</w:t>
      </w:r>
      <w:r>
        <w:rPr>
          <w:rFonts w:asciiTheme="majorEastAsia" w:eastAsiaTheme="majorEastAsia" w:hAnsiTheme="majorEastAsia" w:hint="eastAsia"/>
          <w:bCs/>
          <w:color w:val="auto"/>
          <w:sz w:val="18"/>
          <w:szCs w:val="18"/>
        </w:rPr>
        <w:t>1）</w:t>
      </w:r>
      <w:r>
        <w:rPr>
          <w:rFonts w:ascii="黑体" w:eastAsia="黑体" w:hAnsi="黑体" w:hint="eastAsia"/>
          <w:bCs/>
          <w:color w:val="auto"/>
          <w:sz w:val="18"/>
          <w:szCs w:val="18"/>
        </w:rPr>
        <w:t>★业绩比较基准：</w:t>
      </w:r>
      <w:r>
        <w:rPr>
          <w:rFonts w:asciiTheme="majorEastAsia" w:eastAsiaTheme="majorEastAsia" w:hAnsiTheme="majorEastAsia" w:hint="eastAsia"/>
          <w:bCs/>
          <w:color w:val="auto"/>
          <w:sz w:val="18"/>
          <w:szCs w:val="18"/>
        </w:rPr>
        <w:t>指管理人综合考虑市场环境、产品性质、投资策略、过往表现等因素，对理财产品设置的投资目标和相关解释说明。</w:t>
      </w:r>
      <w:r>
        <w:rPr>
          <w:rFonts w:ascii="黑体" w:eastAsia="黑体" w:hAnsi="黑体" w:hint="eastAsia"/>
          <w:bCs/>
          <w:color w:val="auto"/>
          <w:sz w:val="18"/>
          <w:szCs w:val="18"/>
        </w:rPr>
        <w:t>业绩比较基准不是预期收益率，不代表产品的未来表现和实际收益，</w:t>
      </w:r>
      <w:r>
        <w:rPr>
          <w:rFonts w:ascii="黑体" w:hAnsi="黑体" w:hint="eastAsia"/>
          <w:sz w:val="18"/>
        </w:rPr>
        <w:t>不</w:t>
      </w:r>
      <w:r>
        <w:rPr>
          <w:rFonts w:ascii="黑体" w:eastAsia="黑体" w:hAnsi="黑体" w:hint="eastAsia"/>
          <w:bCs/>
          <w:sz w:val="18"/>
          <w:szCs w:val="18"/>
        </w:rPr>
        <w:t>构成对</w:t>
      </w:r>
      <w:r>
        <w:rPr>
          <w:rFonts w:ascii="黑体" w:hAnsi="黑体" w:hint="eastAsia"/>
          <w:sz w:val="18"/>
        </w:rPr>
        <w:t>产品收益的</w:t>
      </w:r>
      <w:r>
        <w:rPr>
          <w:rFonts w:ascii="黑体" w:eastAsia="黑体" w:hAnsi="黑体" w:hint="eastAsia"/>
          <w:bCs/>
          <w:sz w:val="18"/>
          <w:szCs w:val="18"/>
        </w:rPr>
        <w:t>承诺</w:t>
      </w:r>
      <w:r>
        <w:rPr>
          <w:rFonts w:ascii="黑体" w:hAnsi="黑体" w:hint="eastAsia"/>
          <w:sz w:val="18"/>
        </w:rPr>
        <w:t>，</w:t>
      </w:r>
      <w:r>
        <w:rPr>
          <w:rFonts w:ascii="黑体" w:eastAsia="黑体" w:hAnsi="黑体" w:hint="eastAsia"/>
          <w:bCs/>
          <w:color w:val="auto"/>
          <w:sz w:val="18"/>
          <w:szCs w:val="18"/>
        </w:rPr>
        <w:t>投资须谨慎。</w:t>
      </w:r>
    </w:p>
    <w:p w:rsidR="00E039EF" w:rsidRDefault="003F2D22">
      <w:pPr>
        <w:pStyle w:val="Default"/>
        <w:spacing w:line="360" w:lineRule="auto"/>
        <w:ind w:firstLineChars="200" w:firstLine="360"/>
        <w:rPr>
          <w:rFonts w:ascii="黑体" w:eastAsia="黑体" w:hAnsi="黑体"/>
          <w:bCs/>
          <w:color w:val="auto"/>
          <w:sz w:val="18"/>
          <w:szCs w:val="18"/>
        </w:rPr>
      </w:pPr>
      <w:r>
        <w:rPr>
          <w:rFonts w:asciiTheme="majorEastAsia" w:eastAsiaTheme="majorEastAsia" w:hAnsiTheme="majorEastAsia" w:hint="eastAsia"/>
          <w:bCs/>
          <w:color w:val="auto"/>
          <w:sz w:val="18"/>
          <w:szCs w:val="18"/>
        </w:rPr>
        <w:t>（</w:t>
      </w:r>
      <w:r>
        <w:rPr>
          <w:rFonts w:asciiTheme="majorEastAsia" w:eastAsiaTheme="majorEastAsia" w:hAnsiTheme="majorEastAsia"/>
          <w:bCs/>
          <w:color w:val="auto"/>
          <w:sz w:val="18"/>
          <w:szCs w:val="18"/>
        </w:rPr>
        <w:t>1</w:t>
      </w:r>
      <w:r>
        <w:rPr>
          <w:rFonts w:asciiTheme="majorEastAsia" w:eastAsiaTheme="majorEastAsia" w:hAnsiTheme="majorEastAsia" w:hint="eastAsia"/>
          <w:bCs/>
          <w:color w:val="auto"/>
          <w:sz w:val="18"/>
          <w:szCs w:val="18"/>
        </w:rPr>
        <w:t>2）</w:t>
      </w:r>
      <w:r>
        <w:rPr>
          <w:rFonts w:ascii="黑体" w:eastAsia="黑体" w:hAnsi="黑体" w:hint="eastAsia"/>
          <w:bCs/>
          <w:color w:val="auto"/>
          <w:sz w:val="18"/>
          <w:szCs w:val="18"/>
        </w:rPr>
        <w:t>★业绩报酬计提基准：</w:t>
      </w:r>
      <w:r>
        <w:rPr>
          <w:rFonts w:asciiTheme="majorEastAsia" w:eastAsiaTheme="majorEastAsia" w:hAnsiTheme="majorEastAsia" w:hint="eastAsia"/>
          <w:bCs/>
          <w:color w:val="auto"/>
          <w:sz w:val="18"/>
          <w:szCs w:val="18"/>
        </w:rPr>
        <w:t>指管理人计算超额业绩报酬的参照</w:t>
      </w:r>
      <w:r>
        <w:rPr>
          <w:rFonts w:asciiTheme="majorEastAsia" w:eastAsiaTheme="majorEastAsia" w:hAnsiTheme="majorEastAsia"/>
          <w:bCs/>
          <w:color w:val="auto"/>
          <w:sz w:val="18"/>
          <w:szCs w:val="18"/>
        </w:rPr>
        <w:t>标准</w:t>
      </w:r>
      <w:r>
        <w:rPr>
          <w:rFonts w:asciiTheme="majorEastAsia" w:eastAsiaTheme="majorEastAsia" w:hAnsiTheme="majorEastAsia" w:hint="eastAsia"/>
          <w:bCs/>
          <w:color w:val="auto"/>
          <w:sz w:val="18"/>
          <w:szCs w:val="18"/>
        </w:rPr>
        <w:t>。</w:t>
      </w:r>
      <w:r>
        <w:rPr>
          <w:rFonts w:ascii="黑体" w:eastAsia="黑体" w:hAnsi="黑体" w:hint="eastAsia"/>
          <w:bCs/>
          <w:color w:val="auto"/>
          <w:sz w:val="18"/>
          <w:szCs w:val="18"/>
        </w:rPr>
        <w:t>业绩报酬计提基准不是预期收益率，不代表产品的未来表现和实际收益，不构成对产品收益的承诺，投资须谨慎。</w:t>
      </w:r>
    </w:p>
    <w:p w:rsidR="00E039EF" w:rsidRDefault="003F2D22">
      <w:pPr>
        <w:pStyle w:val="Default"/>
        <w:spacing w:line="360" w:lineRule="auto"/>
        <w:ind w:firstLineChars="200" w:firstLine="360"/>
        <w:rPr>
          <w:rFonts w:asciiTheme="majorEastAsia" w:eastAsiaTheme="majorEastAsia" w:hAnsiTheme="majorEastAsia"/>
          <w:bCs/>
          <w:color w:val="auto"/>
          <w:sz w:val="18"/>
          <w:szCs w:val="18"/>
        </w:rPr>
      </w:pPr>
      <w:r>
        <w:rPr>
          <w:rFonts w:asciiTheme="majorEastAsia" w:eastAsiaTheme="majorEastAsia" w:hAnsiTheme="majorEastAsia" w:hint="eastAsia"/>
          <w:bCs/>
          <w:color w:val="auto"/>
          <w:sz w:val="18"/>
          <w:szCs w:val="18"/>
        </w:rPr>
        <w:t>（</w:t>
      </w:r>
      <w:r>
        <w:rPr>
          <w:rFonts w:asciiTheme="majorEastAsia" w:eastAsiaTheme="majorEastAsia" w:hAnsiTheme="majorEastAsia"/>
          <w:bCs/>
          <w:color w:val="auto"/>
          <w:sz w:val="18"/>
          <w:szCs w:val="18"/>
        </w:rPr>
        <w:t>1</w:t>
      </w:r>
      <w:r>
        <w:rPr>
          <w:rFonts w:asciiTheme="majorEastAsia" w:eastAsiaTheme="majorEastAsia" w:hAnsiTheme="majorEastAsia" w:hint="eastAsia"/>
          <w:bCs/>
          <w:color w:val="auto"/>
          <w:sz w:val="18"/>
          <w:szCs w:val="18"/>
        </w:rPr>
        <w:t>3）理财产品利益/理财利益：指投资者因持有理财产品份额，按照销售文件约定取得或有权取得的理财产品管理人分配的理财产品资产。</w:t>
      </w:r>
    </w:p>
    <w:p w:rsidR="00E039EF" w:rsidRDefault="003F2D22">
      <w:pPr>
        <w:pStyle w:val="Default"/>
        <w:spacing w:line="360" w:lineRule="auto"/>
        <w:ind w:firstLineChars="200" w:firstLine="360"/>
        <w:rPr>
          <w:rFonts w:asciiTheme="majorEastAsia" w:eastAsiaTheme="majorEastAsia" w:hAnsiTheme="majorEastAsia"/>
          <w:bCs/>
          <w:color w:val="auto"/>
          <w:sz w:val="18"/>
          <w:szCs w:val="18"/>
        </w:rPr>
      </w:pPr>
      <w:r>
        <w:rPr>
          <w:rFonts w:asciiTheme="majorEastAsia" w:eastAsiaTheme="majorEastAsia" w:hAnsiTheme="majorEastAsia" w:hint="eastAsia"/>
          <w:bCs/>
          <w:color w:val="auto"/>
          <w:sz w:val="18"/>
          <w:szCs w:val="18"/>
        </w:rPr>
        <w:t>（</w:t>
      </w:r>
      <w:r>
        <w:rPr>
          <w:rFonts w:asciiTheme="majorEastAsia" w:eastAsiaTheme="majorEastAsia" w:hAnsiTheme="majorEastAsia"/>
          <w:bCs/>
          <w:color w:val="auto"/>
          <w:sz w:val="18"/>
          <w:szCs w:val="18"/>
        </w:rPr>
        <w:t>1</w:t>
      </w:r>
      <w:r>
        <w:rPr>
          <w:rFonts w:asciiTheme="majorEastAsia" w:eastAsiaTheme="majorEastAsia" w:hAnsiTheme="majorEastAsia" w:hint="eastAsia"/>
          <w:bCs/>
          <w:color w:val="auto"/>
          <w:sz w:val="18"/>
          <w:szCs w:val="18"/>
        </w:rPr>
        <w:t>4</w:t>
      </w:r>
      <w:r>
        <w:rPr>
          <w:rFonts w:asciiTheme="majorEastAsia" w:eastAsiaTheme="majorEastAsia" w:hAnsiTheme="majorEastAsia"/>
          <w:bCs/>
          <w:color w:val="auto"/>
          <w:sz w:val="18"/>
          <w:szCs w:val="18"/>
        </w:rPr>
        <w:t xml:space="preserve">）利益分配：指产品管理人向投资者进行理财产品利益分配。 </w:t>
      </w:r>
    </w:p>
    <w:p w:rsidR="00E039EF" w:rsidRDefault="003F2D22">
      <w:pPr>
        <w:pStyle w:val="Default"/>
        <w:spacing w:line="360" w:lineRule="auto"/>
        <w:ind w:firstLineChars="200" w:firstLine="360"/>
        <w:rPr>
          <w:rFonts w:asciiTheme="majorEastAsia" w:eastAsiaTheme="majorEastAsia" w:hAnsiTheme="majorEastAsia"/>
          <w:bCs/>
          <w:color w:val="auto"/>
          <w:sz w:val="18"/>
          <w:szCs w:val="18"/>
        </w:rPr>
      </w:pPr>
      <w:r>
        <w:rPr>
          <w:rFonts w:asciiTheme="majorEastAsia" w:eastAsiaTheme="majorEastAsia" w:hAnsiTheme="majorEastAsia" w:hint="eastAsia"/>
          <w:bCs/>
          <w:color w:val="auto"/>
          <w:sz w:val="18"/>
          <w:szCs w:val="18"/>
        </w:rPr>
        <w:t>（</w:t>
      </w:r>
      <w:r>
        <w:rPr>
          <w:rFonts w:asciiTheme="majorEastAsia" w:eastAsiaTheme="majorEastAsia" w:hAnsiTheme="majorEastAsia"/>
          <w:bCs/>
          <w:color w:val="auto"/>
          <w:sz w:val="18"/>
          <w:szCs w:val="18"/>
        </w:rPr>
        <w:t>1</w:t>
      </w:r>
      <w:r>
        <w:rPr>
          <w:rFonts w:asciiTheme="majorEastAsia" w:eastAsiaTheme="majorEastAsia" w:hAnsiTheme="majorEastAsia" w:hint="eastAsia"/>
          <w:bCs/>
          <w:color w:val="auto"/>
          <w:sz w:val="18"/>
          <w:szCs w:val="18"/>
        </w:rPr>
        <w:t>5</w:t>
      </w:r>
      <w:r>
        <w:rPr>
          <w:rFonts w:asciiTheme="majorEastAsia" w:eastAsiaTheme="majorEastAsia" w:hAnsiTheme="majorEastAsia"/>
          <w:bCs/>
          <w:color w:val="auto"/>
          <w:sz w:val="18"/>
          <w:szCs w:val="18"/>
        </w:rPr>
        <w:t xml:space="preserve">）期间分配：指在理财产品终止日（不含当日）前的理财产品利益分配。 </w:t>
      </w:r>
    </w:p>
    <w:p w:rsidR="00E039EF" w:rsidRDefault="003F2D22">
      <w:pPr>
        <w:pStyle w:val="Default"/>
        <w:spacing w:line="360" w:lineRule="auto"/>
        <w:ind w:firstLineChars="200" w:firstLine="360"/>
        <w:rPr>
          <w:rFonts w:asciiTheme="majorEastAsia" w:eastAsiaTheme="majorEastAsia" w:hAnsiTheme="majorEastAsia"/>
          <w:bCs/>
          <w:color w:val="auto"/>
          <w:sz w:val="18"/>
          <w:szCs w:val="18"/>
        </w:rPr>
      </w:pPr>
      <w:r>
        <w:rPr>
          <w:rFonts w:asciiTheme="majorEastAsia" w:eastAsiaTheme="majorEastAsia" w:hAnsiTheme="majorEastAsia" w:hint="eastAsia"/>
          <w:bCs/>
          <w:color w:val="auto"/>
          <w:sz w:val="18"/>
          <w:szCs w:val="18"/>
        </w:rPr>
        <w:t>（</w:t>
      </w:r>
      <w:r>
        <w:rPr>
          <w:rFonts w:asciiTheme="majorEastAsia" w:eastAsiaTheme="majorEastAsia" w:hAnsiTheme="majorEastAsia"/>
          <w:bCs/>
          <w:color w:val="auto"/>
          <w:sz w:val="18"/>
          <w:szCs w:val="18"/>
        </w:rPr>
        <w:t>1</w:t>
      </w:r>
      <w:r>
        <w:rPr>
          <w:rFonts w:asciiTheme="majorEastAsia" w:eastAsiaTheme="majorEastAsia" w:hAnsiTheme="majorEastAsia" w:hint="eastAsia"/>
          <w:bCs/>
          <w:color w:val="auto"/>
          <w:sz w:val="18"/>
          <w:szCs w:val="18"/>
        </w:rPr>
        <w:t>6</w:t>
      </w:r>
      <w:r>
        <w:rPr>
          <w:rFonts w:asciiTheme="majorEastAsia" w:eastAsiaTheme="majorEastAsia" w:hAnsiTheme="majorEastAsia"/>
          <w:bCs/>
          <w:color w:val="auto"/>
          <w:sz w:val="18"/>
          <w:szCs w:val="18"/>
        </w:rPr>
        <w:t>）终止分配：指在理财产品终止日当日及之后的理财产品利益分配。</w:t>
      </w:r>
    </w:p>
    <w:p w:rsidR="00E039EF" w:rsidRDefault="003F2D22">
      <w:pPr>
        <w:pStyle w:val="Default"/>
        <w:spacing w:line="360" w:lineRule="auto"/>
        <w:ind w:firstLineChars="200" w:firstLine="360"/>
        <w:rPr>
          <w:rFonts w:asciiTheme="majorEastAsia" w:eastAsiaTheme="majorEastAsia" w:hAnsiTheme="majorEastAsia"/>
          <w:bCs/>
          <w:color w:val="auto"/>
          <w:sz w:val="18"/>
          <w:szCs w:val="18"/>
        </w:rPr>
      </w:pPr>
      <w:r>
        <w:rPr>
          <w:rFonts w:asciiTheme="majorEastAsia" w:eastAsiaTheme="majorEastAsia" w:hAnsiTheme="majorEastAsia" w:hint="eastAsia"/>
          <w:bCs/>
          <w:color w:val="auto"/>
          <w:sz w:val="18"/>
          <w:szCs w:val="18"/>
        </w:rPr>
        <w:t>（</w:t>
      </w:r>
      <w:r>
        <w:rPr>
          <w:rFonts w:asciiTheme="majorEastAsia" w:eastAsiaTheme="majorEastAsia" w:hAnsiTheme="majorEastAsia"/>
          <w:bCs/>
          <w:color w:val="auto"/>
          <w:sz w:val="18"/>
          <w:szCs w:val="18"/>
        </w:rPr>
        <w:t>1</w:t>
      </w:r>
      <w:r>
        <w:rPr>
          <w:rFonts w:asciiTheme="majorEastAsia" w:eastAsiaTheme="majorEastAsia" w:hAnsiTheme="majorEastAsia" w:hint="eastAsia"/>
          <w:bCs/>
          <w:color w:val="auto"/>
          <w:sz w:val="18"/>
          <w:szCs w:val="18"/>
        </w:rPr>
        <w:t>7）认购：指投资者根据本销售文件约定在认购期</w:t>
      </w:r>
      <w:r>
        <w:rPr>
          <w:rFonts w:asciiTheme="majorEastAsia" w:eastAsiaTheme="majorEastAsia" w:hAnsiTheme="majorEastAsia"/>
          <w:bCs/>
          <w:color w:val="auto"/>
          <w:sz w:val="18"/>
          <w:szCs w:val="18"/>
        </w:rPr>
        <w:t>/</w:t>
      </w:r>
      <w:r>
        <w:rPr>
          <w:rFonts w:asciiTheme="majorEastAsia" w:eastAsiaTheme="majorEastAsia" w:hAnsiTheme="majorEastAsia" w:hint="eastAsia"/>
          <w:bCs/>
          <w:color w:val="auto"/>
          <w:sz w:val="18"/>
          <w:szCs w:val="18"/>
        </w:rPr>
        <w:t>募集期内申请购买理财产品份额的行为。</w:t>
      </w:r>
      <w:r>
        <w:rPr>
          <w:rFonts w:asciiTheme="majorEastAsia" w:eastAsiaTheme="majorEastAsia" w:hAnsiTheme="majorEastAsia"/>
          <w:bCs/>
          <w:color w:val="auto"/>
          <w:sz w:val="18"/>
          <w:szCs w:val="18"/>
        </w:rPr>
        <w:t xml:space="preserve"> </w:t>
      </w:r>
    </w:p>
    <w:p w:rsidR="00E039EF" w:rsidRDefault="003F2D22">
      <w:pPr>
        <w:pStyle w:val="Default"/>
        <w:spacing w:line="360" w:lineRule="auto"/>
        <w:ind w:firstLineChars="200" w:firstLine="360"/>
        <w:rPr>
          <w:rFonts w:asciiTheme="minorEastAsia" w:eastAsiaTheme="minorEastAsia" w:hAnsiTheme="minorEastAsia"/>
          <w:color w:val="auto"/>
          <w:sz w:val="18"/>
          <w:szCs w:val="18"/>
        </w:rPr>
      </w:pPr>
      <w:r>
        <w:rPr>
          <w:rFonts w:asciiTheme="majorEastAsia" w:eastAsiaTheme="majorEastAsia" w:hAnsiTheme="majorEastAsia" w:hint="eastAsia"/>
          <w:bCs/>
          <w:color w:val="auto"/>
          <w:sz w:val="18"/>
          <w:szCs w:val="18"/>
        </w:rPr>
        <w:t>（</w:t>
      </w:r>
      <w:r>
        <w:rPr>
          <w:rFonts w:asciiTheme="majorEastAsia" w:eastAsiaTheme="majorEastAsia" w:hAnsiTheme="majorEastAsia"/>
          <w:bCs/>
          <w:color w:val="auto"/>
          <w:sz w:val="18"/>
          <w:szCs w:val="18"/>
        </w:rPr>
        <w:t>18</w:t>
      </w:r>
      <w:r>
        <w:rPr>
          <w:rFonts w:asciiTheme="majorEastAsia" w:eastAsiaTheme="majorEastAsia" w:hAnsiTheme="majorEastAsia" w:hint="eastAsia"/>
          <w:bCs/>
          <w:color w:val="auto"/>
          <w:sz w:val="18"/>
          <w:szCs w:val="18"/>
        </w:rPr>
        <w:t>）申购：</w:t>
      </w:r>
      <w:r>
        <w:rPr>
          <w:rFonts w:asciiTheme="minorEastAsia" w:eastAsiaTheme="minorEastAsia" w:hAnsiTheme="minorEastAsia" w:hint="eastAsia"/>
          <w:color w:val="auto"/>
          <w:sz w:val="18"/>
          <w:szCs w:val="18"/>
        </w:rPr>
        <w:t>指开放式理财产品成立后，投资者申请购买理财产品份额的行为。</w:t>
      </w:r>
    </w:p>
    <w:p w:rsidR="00E039EF" w:rsidRDefault="003F2D22">
      <w:pPr>
        <w:pStyle w:val="Default"/>
        <w:spacing w:line="360" w:lineRule="auto"/>
        <w:ind w:firstLineChars="200" w:firstLine="360"/>
        <w:rPr>
          <w:rFonts w:asciiTheme="minorEastAsia" w:eastAsiaTheme="minorEastAsia" w:hAnsiTheme="minorEastAsia"/>
          <w:color w:val="auto"/>
          <w:sz w:val="18"/>
          <w:szCs w:val="18"/>
        </w:rPr>
      </w:pPr>
      <w:r>
        <w:rPr>
          <w:rFonts w:asciiTheme="minorEastAsia" w:eastAsiaTheme="minorEastAsia" w:hAnsiTheme="minorEastAsia" w:hint="eastAsia"/>
          <w:color w:val="auto"/>
          <w:sz w:val="18"/>
          <w:szCs w:val="18"/>
        </w:rPr>
        <w:lastRenderedPageBreak/>
        <w:t>首次申购，指未进行认购的投资者，在理财产品成立后申请购买理财产品份额的行为。</w:t>
      </w:r>
      <w:r>
        <w:rPr>
          <w:rFonts w:asciiTheme="minorEastAsia" w:eastAsiaTheme="minorEastAsia" w:hAnsiTheme="minorEastAsia"/>
          <w:color w:val="auto"/>
          <w:sz w:val="18"/>
          <w:szCs w:val="18"/>
        </w:rPr>
        <w:t>投资者全额赎回不再持有理财产品份额后再次申购</w:t>
      </w:r>
      <w:r>
        <w:rPr>
          <w:rFonts w:asciiTheme="minorEastAsia" w:eastAsiaTheme="minorEastAsia" w:hAnsiTheme="minorEastAsia" w:hint="eastAsia"/>
          <w:color w:val="auto"/>
          <w:sz w:val="18"/>
          <w:szCs w:val="18"/>
        </w:rPr>
        <w:t>的</w:t>
      </w:r>
      <w:r>
        <w:rPr>
          <w:rFonts w:asciiTheme="minorEastAsia" w:eastAsiaTheme="minorEastAsia" w:hAnsiTheme="minorEastAsia"/>
          <w:color w:val="auto"/>
          <w:sz w:val="18"/>
          <w:szCs w:val="18"/>
        </w:rPr>
        <w:t>，视同首次申购处理。</w:t>
      </w:r>
    </w:p>
    <w:p w:rsidR="00E039EF" w:rsidRDefault="003F2D22">
      <w:pPr>
        <w:pStyle w:val="Default"/>
        <w:spacing w:line="360" w:lineRule="auto"/>
        <w:ind w:firstLineChars="200" w:firstLine="360"/>
        <w:rPr>
          <w:rFonts w:asciiTheme="minorEastAsia" w:eastAsiaTheme="minorEastAsia" w:hAnsiTheme="minorEastAsia"/>
          <w:color w:val="auto"/>
          <w:sz w:val="18"/>
          <w:szCs w:val="18"/>
        </w:rPr>
      </w:pPr>
      <w:r>
        <w:rPr>
          <w:rFonts w:asciiTheme="minorEastAsia" w:eastAsiaTheme="minorEastAsia" w:hAnsiTheme="minorEastAsia" w:hint="eastAsia"/>
          <w:color w:val="auto"/>
          <w:sz w:val="18"/>
          <w:szCs w:val="18"/>
        </w:rPr>
        <w:t>追加申购，指已经完成认购或首次申购的投资者，在理财产品成立后申请购买理财产品份额的行为。</w:t>
      </w:r>
    </w:p>
    <w:p w:rsidR="00E039EF" w:rsidRDefault="003F2D22">
      <w:pPr>
        <w:pStyle w:val="Default"/>
        <w:spacing w:line="360" w:lineRule="auto"/>
        <w:ind w:firstLineChars="200" w:firstLine="360"/>
        <w:rPr>
          <w:rFonts w:asciiTheme="minorEastAsia" w:eastAsiaTheme="minorEastAsia" w:hAnsiTheme="minorEastAsia"/>
          <w:color w:val="auto"/>
          <w:sz w:val="18"/>
          <w:szCs w:val="18"/>
        </w:rPr>
      </w:pPr>
      <w:r>
        <w:rPr>
          <w:rFonts w:asciiTheme="majorEastAsia" w:eastAsiaTheme="majorEastAsia" w:hAnsiTheme="majorEastAsia" w:hint="eastAsia"/>
          <w:bCs/>
          <w:color w:val="auto"/>
          <w:sz w:val="18"/>
          <w:szCs w:val="18"/>
        </w:rPr>
        <w:t>（</w:t>
      </w:r>
      <w:r>
        <w:rPr>
          <w:rFonts w:asciiTheme="majorEastAsia" w:eastAsiaTheme="majorEastAsia" w:hAnsiTheme="majorEastAsia"/>
          <w:bCs/>
          <w:color w:val="auto"/>
          <w:sz w:val="18"/>
          <w:szCs w:val="18"/>
        </w:rPr>
        <w:t>19</w:t>
      </w:r>
      <w:r>
        <w:rPr>
          <w:rFonts w:asciiTheme="majorEastAsia" w:eastAsiaTheme="majorEastAsia" w:hAnsiTheme="majorEastAsia" w:hint="eastAsia"/>
          <w:bCs/>
          <w:color w:val="auto"/>
          <w:sz w:val="18"/>
          <w:szCs w:val="18"/>
        </w:rPr>
        <w:t>）赎回：</w:t>
      </w:r>
      <w:r>
        <w:rPr>
          <w:rFonts w:asciiTheme="minorEastAsia" w:eastAsiaTheme="minorEastAsia" w:hAnsiTheme="minorEastAsia" w:hint="eastAsia"/>
          <w:color w:val="auto"/>
          <w:sz w:val="18"/>
          <w:szCs w:val="18"/>
        </w:rPr>
        <w:t>指开放式理财产品成立后，投资者申请赎回理财产品份额的行为，即投资者申请将理财产品份额兑换为现金。</w:t>
      </w:r>
    </w:p>
    <w:p w:rsidR="00E039EF" w:rsidRDefault="003F2D22">
      <w:pPr>
        <w:pStyle w:val="Default"/>
        <w:spacing w:line="360" w:lineRule="auto"/>
        <w:ind w:firstLineChars="200" w:firstLine="361"/>
        <w:rPr>
          <w:rFonts w:asciiTheme="majorEastAsia" w:eastAsiaTheme="majorEastAsia" w:hAnsiTheme="majorEastAsia"/>
          <w:b/>
          <w:bCs/>
          <w:color w:val="auto"/>
          <w:sz w:val="18"/>
          <w:szCs w:val="18"/>
        </w:rPr>
      </w:pPr>
      <w:r>
        <w:rPr>
          <w:rFonts w:asciiTheme="majorEastAsia" w:eastAsiaTheme="majorEastAsia" w:hAnsiTheme="majorEastAsia"/>
          <w:b/>
          <w:bCs/>
          <w:color w:val="auto"/>
          <w:sz w:val="18"/>
          <w:szCs w:val="18"/>
        </w:rPr>
        <w:t xml:space="preserve">4. </w:t>
      </w:r>
      <w:r>
        <w:rPr>
          <w:rFonts w:asciiTheme="majorEastAsia" w:eastAsiaTheme="majorEastAsia" w:hAnsiTheme="majorEastAsia" w:hint="eastAsia"/>
          <w:b/>
          <w:bCs/>
          <w:color w:val="auto"/>
          <w:sz w:val="18"/>
          <w:szCs w:val="18"/>
        </w:rPr>
        <w:t>期间与日期</w:t>
      </w:r>
      <w:r>
        <w:rPr>
          <w:rFonts w:asciiTheme="majorEastAsia" w:eastAsiaTheme="majorEastAsia" w:hAnsiTheme="majorEastAsia"/>
          <w:b/>
          <w:bCs/>
          <w:color w:val="auto"/>
          <w:sz w:val="18"/>
          <w:szCs w:val="18"/>
        </w:rPr>
        <w:t xml:space="preserve"> </w:t>
      </w:r>
    </w:p>
    <w:p w:rsidR="00E039EF" w:rsidRDefault="003F2D22">
      <w:pPr>
        <w:pStyle w:val="Default"/>
        <w:spacing w:line="360" w:lineRule="auto"/>
        <w:ind w:firstLineChars="200" w:firstLine="360"/>
        <w:rPr>
          <w:rFonts w:asciiTheme="majorEastAsia" w:eastAsiaTheme="majorEastAsia" w:hAnsiTheme="majorEastAsia"/>
          <w:bCs/>
          <w:color w:val="auto"/>
          <w:sz w:val="18"/>
          <w:szCs w:val="18"/>
        </w:rPr>
      </w:pPr>
      <w:r>
        <w:rPr>
          <w:rFonts w:asciiTheme="majorEastAsia" w:eastAsiaTheme="majorEastAsia" w:hAnsiTheme="majorEastAsia" w:hint="eastAsia"/>
          <w:bCs/>
          <w:color w:val="auto"/>
          <w:sz w:val="18"/>
          <w:szCs w:val="18"/>
        </w:rPr>
        <w:t>（</w:t>
      </w:r>
      <w:r>
        <w:rPr>
          <w:rFonts w:asciiTheme="majorEastAsia" w:eastAsiaTheme="majorEastAsia" w:hAnsiTheme="majorEastAsia"/>
          <w:bCs/>
          <w:color w:val="auto"/>
          <w:sz w:val="18"/>
          <w:szCs w:val="18"/>
        </w:rPr>
        <w:t>1）日</w:t>
      </w:r>
      <w:r>
        <w:rPr>
          <w:rFonts w:asciiTheme="majorEastAsia" w:eastAsiaTheme="majorEastAsia" w:hAnsiTheme="majorEastAsia" w:hint="eastAsia"/>
          <w:bCs/>
          <w:color w:val="auto"/>
          <w:sz w:val="18"/>
          <w:szCs w:val="18"/>
        </w:rPr>
        <w:t>：</w:t>
      </w:r>
      <w:r>
        <w:rPr>
          <w:rFonts w:asciiTheme="majorEastAsia" w:eastAsiaTheme="majorEastAsia" w:hAnsiTheme="majorEastAsia"/>
          <w:bCs/>
          <w:color w:val="auto"/>
          <w:sz w:val="18"/>
          <w:szCs w:val="18"/>
        </w:rPr>
        <w:t>指自然日</w:t>
      </w:r>
      <w:r>
        <w:rPr>
          <w:rFonts w:asciiTheme="majorEastAsia" w:eastAsiaTheme="majorEastAsia" w:hAnsiTheme="majorEastAsia" w:hint="eastAsia"/>
          <w:bCs/>
          <w:color w:val="auto"/>
          <w:sz w:val="18"/>
          <w:szCs w:val="18"/>
        </w:rPr>
        <w:t>。</w:t>
      </w:r>
    </w:p>
    <w:p w:rsidR="00E039EF" w:rsidRDefault="003F2D22">
      <w:pPr>
        <w:pStyle w:val="Default"/>
        <w:spacing w:line="360" w:lineRule="auto"/>
        <w:ind w:firstLineChars="200" w:firstLine="360"/>
        <w:rPr>
          <w:rFonts w:asciiTheme="majorEastAsia" w:eastAsiaTheme="majorEastAsia" w:hAnsiTheme="majorEastAsia"/>
          <w:bCs/>
          <w:color w:val="auto"/>
          <w:sz w:val="18"/>
          <w:szCs w:val="18"/>
        </w:rPr>
      </w:pPr>
      <w:r>
        <w:rPr>
          <w:rFonts w:asciiTheme="majorEastAsia" w:eastAsiaTheme="majorEastAsia" w:hAnsiTheme="majorEastAsia" w:hint="eastAsia"/>
          <w:bCs/>
          <w:color w:val="auto"/>
          <w:sz w:val="18"/>
          <w:szCs w:val="18"/>
        </w:rPr>
        <w:t>（2）交易日：指银行间市场、证券交易所市场的共同正常开盘交易日。</w:t>
      </w:r>
      <w:r>
        <w:rPr>
          <w:rFonts w:asciiTheme="majorEastAsia" w:eastAsiaTheme="majorEastAsia" w:hAnsiTheme="majorEastAsia"/>
          <w:bCs/>
          <w:color w:val="auto"/>
          <w:sz w:val="18"/>
          <w:szCs w:val="18"/>
        </w:rPr>
        <w:t xml:space="preserve"> </w:t>
      </w:r>
    </w:p>
    <w:p w:rsidR="00E039EF" w:rsidRDefault="003F2D22">
      <w:pPr>
        <w:pStyle w:val="Default"/>
        <w:spacing w:line="360" w:lineRule="auto"/>
        <w:ind w:firstLineChars="200" w:firstLine="360"/>
        <w:rPr>
          <w:rFonts w:asciiTheme="majorEastAsia" w:eastAsiaTheme="majorEastAsia" w:hAnsiTheme="majorEastAsia"/>
          <w:bCs/>
          <w:color w:val="auto"/>
          <w:sz w:val="18"/>
          <w:szCs w:val="18"/>
        </w:rPr>
      </w:pPr>
      <w:r>
        <w:rPr>
          <w:rFonts w:asciiTheme="majorEastAsia" w:eastAsiaTheme="majorEastAsia" w:hAnsiTheme="majorEastAsia" w:hint="eastAsia"/>
          <w:bCs/>
          <w:color w:val="auto"/>
          <w:sz w:val="18"/>
          <w:szCs w:val="18"/>
        </w:rPr>
        <w:t>（</w:t>
      </w:r>
      <w:r>
        <w:rPr>
          <w:rFonts w:asciiTheme="majorEastAsia" w:eastAsiaTheme="majorEastAsia" w:hAnsiTheme="majorEastAsia"/>
          <w:bCs/>
          <w:color w:val="auto"/>
          <w:sz w:val="18"/>
          <w:szCs w:val="18"/>
        </w:rPr>
        <w:t>3）</w:t>
      </w:r>
      <w:r>
        <w:rPr>
          <w:rFonts w:asciiTheme="majorEastAsia" w:eastAsiaTheme="majorEastAsia" w:hAnsiTheme="majorEastAsia" w:hint="eastAsia"/>
          <w:bCs/>
          <w:color w:val="auto"/>
          <w:sz w:val="18"/>
          <w:szCs w:val="18"/>
        </w:rPr>
        <w:t>工作日：指国家法定工作日。</w:t>
      </w:r>
      <w:r>
        <w:rPr>
          <w:rFonts w:asciiTheme="majorEastAsia" w:eastAsiaTheme="majorEastAsia" w:hAnsiTheme="majorEastAsia"/>
          <w:bCs/>
          <w:color w:val="auto"/>
          <w:sz w:val="18"/>
          <w:szCs w:val="18"/>
        </w:rPr>
        <w:t xml:space="preserve"> </w:t>
      </w:r>
    </w:p>
    <w:p w:rsidR="00E039EF" w:rsidRDefault="003F2D22">
      <w:pPr>
        <w:pStyle w:val="Default"/>
        <w:spacing w:line="360" w:lineRule="auto"/>
        <w:ind w:firstLineChars="200" w:firstLine="360"/>
        <w:rPr>
          <w:color w:val="auto"/>
          <w:sz w:val="18"/>
          <w:szCs w:val="18"/>
        </w:rPr>
      </w:pPr>
      <w:r>
        <w:rPr>
          <w:rFonts w:hint="eastAsia"/>
          <w:color w:val="auto"/>
          <w:sz w:val="18"/>
          <w:szCs w:val="18"/>
        </w:rPr>
        <w:t>（</w:t>
      </w:r>
      <w:r>
        <w:rPr>
          <w:color w:val="auto"/>
          <w:sz w:val="18"/>
          <w:szCs w:val="18"/>
        </w:rPr>
        <w:t>4</w:t>
      </w:r>
      <w:r>
        <w:rPr>
          <w:rFonts w:hint="eastAsia"/>
          <w:color w:val="auto"/>
          <w:sz w:val="18"/>
          <w:szCs w:val="18"/>
        </w:rPr>
        <w:t>）成立日：指</w:t>
      </w:r>
      <w:r>
        <w:rPr>
          <w:color w:val="auto"/>
          <w:sz w:val="18"/>
          <w:szCs w:val="18"/>
        </w:rPr>
        <w:t>理财</w:t>
      </w:r>
      <w:r>
        <w:rPr>
          <w:rFonts w:hint="eastAsia"/>
          <w:color w:val="auto"/>
          <w:sz w:val="18"/>
          <w:szCs w:val="18"/>
        </w:rPr>
        <w:t>产品开始运作的日期。</w:t>
      </w:r>
    </w:p>
    <w:p w:rsidR="00E039EF" w:rsidRDefault="003F2D22">
      <w:pPr>
        <w:pStyle w:val="Default"/>
        <w:spacing w:line="360" w:lineRule="auto"/>
        <w:ind w:firstLineChars="200" w:firstLine="360"/>
        <w:rPr>
          <w:color w:val="auto"/>
          <w:sz w:val="18"/>
          <w:szCs w:val="18"/>
        </w:rPr>
      </w:pPr>
      <w:r>
        <w:rPr>
          <w:rFonts w:hint="eastAsia"/>
          <w:color w:val="auto"/>
          <w:sz w:val="18"/>
          <w:szCs w:val="18"/>
        </w:rPr>
        <w:t>（</w:t>
      </w:r>
      <w:r>
        <w:rPr>
          <w:color w:val="auto"/>
          <w:sz w:val="18"/>
          <w:szCs w:val="18"/>
        </w:rPr>
        <w:t>5</w:t>
      </w:r>
      <w:r>
        <w:rPr>
          <w:rFonts w:hint="eastAsia"/>
          <w:color w:val="auto"/>
          <w:sz w:val="18"/>
          <w:szCs w:val="18"/>
        </w:rPr>
        <w:t>）终止日：指</w:t>
      </w:r>
      <w:r>
        <w:rPr>
          <w:color w:val="auto"/>
          <w:sz w:val="18"/>
          <w:szCs w:val="18"/>
        </w:rPr>
        <w:t>理财</w:t>
      </w:r>
      <w:r>
        <w:rPr>
          <w:rFonts w:hint="eastAsia"/>
          <w:color w:val="auto"/>
          <w:sz w:val="18"/>
          <w:szCs w:val="18"/>
        </w:rPr>
        <w:t>产品终止的日期。</w:t>
      </w:r>
    </w:p>
    <w:p w:rsidR="00E039EF" w:rsidRDefault="003F2D22">
      <w:pPr>
        <w:pStyle w:val="Default"/>
        <w:spacing w:line="360" w:lineRule="auto"/>
        <w:ind w:firstLineChars="200" w:firstLine="360"/>
        <w:rPr>
          <w:color w:val="auto"/>
          <w:sz w:val="18"/>
          <w:szCs w:val="18"/>
        </w:rPr>
      </w:pPr>
      <w:r>
        <w:rPr>
          <w:rFonts w:hint="eastAsia"/>
          <w:color w:val="auto"/>
          <w:sz w:val="18"/>
          <w:szCs w:val="18"/>
        </w:rPr>
        <w:t>（</w:t>
      </w:r>
      <w:r>
        <w:rPr>
          <w:color w:val="auto"/>
          <w:sz w:val="18"/>
          <w:szCs w:val="18"/>
        </w:rPr>
        <w:t>6</w:t>
      </w:r>
      <w:r>
        <w:rPr>
          <w:rFonts w:hint="eastAsia"/>
          <w:color w:val="auto"/>
          <w:sz w:val="18"/>
          <w:szCs w:val="18"/>
        </w:rPr>
        <w:t>）估值日：指产品管理人对理财产品项下资产进行估值的日期。</w:t>
      </w:r>
    </w:p>
    <w:p w:rsidR="00E039EF" w:rsidRDefault="003F2D22">
      <w:pPr>
        <w:pStyle w:val="Default"/>
        <w:spacing w:line="360" w:lineRule="auto"/>
        <w:ind w:firstLineChars="200" w:firstLine="360"/>
        <w:rPr>
          <w:color w:val="auto"/>
          <w:sz w:val="18"/>
          <w:szCs w:val="18"/>
        </w:rPr>
      </w:pPr>
      <w:r>
        <w:rPr>
          <w:rFonts w:hint="eastAsia"/>
          <w:color w:val="auto"/>
          <w:sz w:val="18"/>
          <w:szCs w:val="18"/>
        </w:rPr>
        <w:t>（</w:t>
      </w:r>
      <w:r>
        <w:rPr>
          <w:color w:val="auto"/>
          <w:sz w:val="18"/>
          <w:szCs w:val="18"/>
        </w:rPr>
        <w:t>7</w:t>
      </w:r>
      <w:r>
        <w:rPr>
          <w:rFonts w:hint="eastAsia"/>
          <w:color w:val="auto"/>
          <w:sz w:val="18"/>
          <w:szCs w:val="18"/>
        </w:rPr>
        <w:t>）分配基准日：指本产品管理人以该</w:t>
      </w:r>
      <w:r>
        <w:rPr>
          <w:rFonts w:hAnsi="宋体"/>
          <w:color w:val="auto"/>
          <w:sz w:val="18"/>
          <w:szCs w:val="18"/>
        </w:rPr>
        <w:t>日</w:t>
      </w:r>
      <w:r>
        <w:rPr>
          <w:rFonts w:hAnsi="宋体" w:hint="eastAsia"/>
          <w:color w:val="auto"/>
          <w:sz w:val="18"/>
          <w:szCs w:val="18"/>
        </w:rPr>
        <w:t>日</w:t>
      </w:r>
      <w:r>
        <w:rPr>
          <w:rFonts w:hAnsi="宋体"/>
          <w:color w:val="auto"/>
          <w:sz w:val="18"/>
          <w:szCs w:val="18"/>
        </w:rPr>
        <w:t>终</w:t>
      </w:r>
      <w:r>
        <w:rPr>
          <w:rFonts w:hAnsi="宋体" w:hint="eastAsia"/>
          <w:color w:val="auto"/>
          <w:sz w:val="18"/>
          <w:szCs w:val="18"/>
        </w:rPr>
        <w:t>产品份额净值</w:t>
      </w:r>
      <w:r>
        <w:rPr>
          <w:rFonts w:hAnsi="宋体"/>
          <w:color w:val="auto"/>
          <w:sz w:val="18"/>
          <w:szCs w:val="18"/>
        </w:rPr>
        <w:t>计算</w:t>
      </w:r>
      <w:r>
        <w:rPr>
          <w:rFonts w:hAnsi="宋体" w:hint="eastAsia"/>
          <w:color w:val="auto"/>
          <w:sz w:val="18"/>
          <w:szCs w:val="18"/>
        </w:rPr>
        <w:t>并确定可供分配的</w:t>
      </w:r>
      <w:r>
        <w:rPr>
          <w:rFonts w:hAnsi="宋体"/>
          <w:color w:val="auto"/>
          <w:sz w:val="18"/>
          <w:szCs w:val="18"/>
        </w:rPr>
        <w:t>投资</w:t>
      </w:r>
      <w:r>
        <w:rPr>
          <w:rFonts w:hAnsi="宋体" w:hint="eastAsia"/>
          <w:color w:val="auto"/>
          <w:sz w:val="18"/>
          <w:szCs w:val="18"/>
        </w:rPr>
        <w:t>期间</w:t>
      </w:r>
      <w:r>
        <w:rPr>
          <w:rFonts w:hAnsi="宋体"/>
          <w:color w:val="auto"/>
          <w:sz w:val="18"/>
          <w:szCs w:val="18"/>
        </w:rPr>
        <w:t>理财利益</w:t>
      </w:r>
      <w:r>
        <w:rPr>
          <w:rFonts w:hAnsi="宋体" w:hint="eastAsia"/>
          <w:color w:val="auto"/>
          <w:sz w:val="18"/>
          <w:szCs w:val="18"/>
        </w:rPr>
        <w:t>的日期。</w:t>
      </w:r>
    </w:p>
    <w:p w:rsidR="00E039EF" w:rsidRDefault="003F2D22">
      <w:pPr>
        <w:pStyle w:val="Default"/>
        <w:spacing w:line="360" w:lineRule="auto"/>
        <w:ind w:firstLineChars="200" w:firstLine="360"/>
        <w:rPr>
          <w:rFonts w:hAnsi="宋体"/>
          <w:bCs/>
          <w:color w:val="auto"/>
          <w:sz w:val="18"/>
          <w:szCs w:val="18"/>
        </w:rPr>
      </w:pPr>
      <w:r>
        <w:rPr>
          <w:rFonts w:hAnsi="宋体" w:hint="eastAsia"/>
          <w:bCs/>
          <w:color w:val="auto"/>
          <w:sz w:val="18"/>
          <w:szCs w:val="18"/>
        </w:rPr>
        <w:t>（</w:t>
      </w:r>
      <w:r>
        <w:rPr>
          <w:rFonts w:hAnsi="宋体"/>
          <w:bCs/>
          <w:color w:val="auto"/>
          <w:sz w:val="18"/>
          <w:szCs w:val="18"/>
        </w:rPr>
        <w:t>8</w:t>
      </w:r>
      <w:r>
        <w:rPr>
          <w:rFonts w:hAnsi="宋体" w:hint="eastAsia"/>
          <w:bCs/>
          <w:color w:val="auto"/>
          <w:sz w:val="18"/>
          <w:szCs w:val="18"/>
        </w:rPr>
        <w:t>）分配日：指</w:t>
      </w:r>
      <w:r>
        <w:rPr>
          <w:rFonts w:asciiTheme="majorEastAsia" w:eastAsiaTheme="majorEastAsia" w:hAnsiTheme="majorEastAsia"/>
          <w:bCs/>
          <w:color w:val="auto"/>
          <w:sz w:val="18"/>
          <w:szCs w:val="18"/>
        </w:rPr>
        <w:t>产品管理人向投资者进行理财产品利益分配</w:t>
      </w:r>
      <w:r>
        <w:rPr>
          <w:rFonts w:hAnsi="宋体" w:hint="eastAsia"/>
          <w:bCs/>
          <w:color w:val="auto"/>
          <w:sz w:val="18"/>
          <w:szCs w:val="18"/>
        </w:rPr>
        <w:t>的日期。</w:t>
      </w:r>
    </w:p>
    <w:p w:rsidR="00E039EF" w:rsidRDefault="003F2D22">
      <w:pPr>
        <w:pStyle w:val="Default"/>
        <w:spacing w:line="360" w:lineRule="auto"/>
        <w:ind w:firstLineChars="200" w:firstLine="360"/>
        <w:rPr>
          <w:rFonts w:asciiTheme="majorEastAsia" w:eastAsiaTheme="majorEastAsia" w:hAnsiTheme="majorEastAsia"/>
          <w:bCs/>
          <w:color w:val="auto"/>
          <w:sz w:val="18"/>
          <w:szCs w:val="18"/>
        </w:rPr>
      </w:pPr>
      <w:r>
        <w:rPr>
          <w:rFonts w:asciiTheme="majorEastAsia" w:eastAsiaTheme="majorEastAsia" w:hAnsiTheme="majorEastAsia" w:hint="eastAsia"/>
          <w:bCs/>
          <w:color w:val="auto"/>
          <w:sz w:val="18"/>
          <w:szCs w:val="18"/>
        </w:rPr>
        <w:t>（</w:t>
      </w:r>
      <w:r>
        <w:rPr>
          <w:rFonts w:asciiTheme="majorEastAsia" w:eastAsiaTheme="majorEastAsia" w:hAnsiTheme="majorEastAsia"/>
          <w:bCs/>
          <w:color w:val="auto"/>
          <w:sz w:val="18"/>
          <w:szCs w:val="18"/>
        </w:rPr>
        <w:t>9</w:t>
      </w:r>
      <w:r>
        <w:rPr>
          <w:rFonts w:asciiTheme="majorEastAsia" w:eastAsiaTheme="majorEastAsia" w:hAnsiTheme="majorEastAsia" w:hint="eastAsia"/>
          <w:bCs/>
          <w:color w:val="auto"/>
          <w:sz w:val="18"/>
          <w:szCs w:val="18"/>
        </w:rPr>
        <w:t>）募集期：指理财产品成立前，理财产品管理人接受理财产品认购的时间。</w:t>
      </w:r>
    </w:p>
    <w:p w:rsidR="00E039EF" w:rsidRDefault="003F2D22">
      <w:pPr>
        <w:pStyle w:val="Default"/>
        <w:spacing w:line="360" w:lineRule="auto"/>
        <w:ind w:firstLineChars="200" w:firstLine="360"/>
        <w:rPr>
          <w:rFonts w:asciiTheme="majorEastAsia" w:eastAsiaTheme="majorEastAsia" w:hAnsiTheme="majorEastAsia"/>
          <w:bCs/>
          <w:color w:val="auto"/>
          <w:sz w:val="18"/>
          <w:szCs w:val="18"/>
        </w:rPr>
      </w:pPr>
      <w:r>
        <w:rPr>
          <w:rFonts w:asciiTheme="majorEastAsia" w:eastAsiaTheme="majorEastAsia" w:hAnsiTheme="majorEastAsia" w:hint="eastAsia"/>
          <w:bCs/>
          <w:color w:val="auto"/>
          <w:sz w:val="18"/>
          <w:szCs w:val="18"/>
        </w:rPr>
        <w:t>（10）持有期：指自产品成立日/申购确认日起，投资者持有该产品份额的期间。</w:t>
      </w:r>
    </w:p>
    <w:p w:rsidR="00E039EF" w:rsidRDefault="003F2D22">
      <w:pPr>
        <w:pStyle w:val="Default"/>
        <w:spacing w:line="360" w:lineRule="auto"/>
        <w:ind w:firstLineChars="200" w:firstLine="360"/>
        <w:rPr>
          <w:rFonts w:asciiTheme="majorEastAsia" w:eastAsiaTheme="majorEastAsia" w:hAnsiTheme="majorEastAsia"/>
          <w:bCs/>
          <w:color w:val="auto"/>
          <w:sz w:val="18"/>
          <w:szCs w:val="18"/>
        </w:rPr>
      </w:pPr>
      <w:r>
        <w:rPr>
          <w:rFonts w:asciiTheme="majorEastAsia" w:eastAsiaTheme="majorEastAsia" w:hAnsiTheme="majorEastAsia" w:hint="eastAsia"/>
          <w:bCs/>
          <w:color w:val="auto"/>
          <w:sz w:val="18"/>
          <w:szCs w:val="18"/>
        </w:rPr>
        <w:t>（11）产品存续期：指自理财产品成立日起，至理财产品终止日的期间。</w:t>
      </w:r>
    </w:p>
    <w:p w:rsidR="00E039EF" w:rsidRDefault="003F2D22">
      <w:pPr>
        <w:pStyle w:val="Default"/>
        <w:spacing w:line="360" w:lineRule="auto"/>
        <w:ind w:firstLineChars="200" w:firstLine="360"/>
        <w:rPr>
          <w:rFonts w:asciiTheme="majorEastAsia" w:eastAsiaTheme="majorEastAsia" w:hAnsiTheme="majorEastAsia"/>
          <w:bCs/>
          <w:color w:val="auto"/>
          <w:sz w:val="18"/>
          <w:szCs w:val="18"/>
        </w:rPr>
      </w:pPr>
      <w:r>
        <w:rPr>
          <w:rFonts w:asciiTheme="majorEastAsia" w:eastAsiaTheme="majorEastAsia" w:hAnsiTheme="majorEastAsia" w:hint="eastAsia"/>
          <w:bCs/>
          <w:color w:val="auto"/>
          <w:sz w:val="18"/>
          <w:szCs w:val="18"/>
        </w:rPr>
        <w:t>（</w:t>
      </w:r>
      <w:r>
        <w:rPr>
          <w:rFonts w:asciiTheme="majorEastAsia" w:eastAsiaTheme="majorEastAsia" w:hAnsiTheme="majorEastAsia"/>
          <w:bCs/>
          <w:color w:val="auto"/>
          <w:sz w:val="18"/>
          <w:szCs w:val="18"/>
        </w:rPr>
        <w:t>1</w:t>
      </w:r>
      <w:r>
        <w:rPr>
          <w:rFonts w:asciiTheme="majorEastAsia" w:eastAsiaTheme="majorEastAsia" w:hAnsiTheme="majorEastAsia" w:hint="eastAsia"/>
          <w:bCs/>
          <w:color w:val="auto"/>
          <w:sz w:val="18"/>
          <w:szCs w:val="18"/>
        </w:rPr>
        <w:t>2）清算期：指自本理财产品终止日至投资者理财利益到账日之间的期间。</w:t>
      </w:r>
    </w:p>
    <w:p w:rsidR="00E039EF" w:rsidRDefault="003F2D22">
      <w:pPr>
        <w:pStyle w:val="Default"/>
        <w:spacing w:line="360" w:lineRule="auto"/>
        <w:ind w:firstLineChars="200" w:firstLine="361"/>
        <w:rPr>
          <w:rFonts w:asciiTheme="majorEastAsia" w:eastAsiaTheme="majorEastAsia" w:hAnsiTheme="majorEastAsia"/>
          <w:b/>
          <w:bCs/>
          <w:color w:val="auto"/>
          <w:sz w:val="18"/>
          <w:szCs w:val="18"/>
        </w:rPr>
      </w:pPr>
      <w:r>
        <w:rPr>
          <w:rFonts w:asciiTheme="majorEastAsia" w:eastAsiaTheme="majorEastAsia" w:hAnsiTheme="majorEastAsia"/>
          <w:b/>
          <w:bCs/>
          <w:color w:val="auto"/>
          <w:sz w:val="18"/>
          <w:szCs w:val="18"/>
        </w:rPr>
        <w:t xml:space="preserve">5. </w:t>
      </w:r>
      <w:r>
        <w:rPr>
          <w:rFonts w:asciiTheme="majorEastAsia" w:eastAsiaTheme="majorEastAsia" w:hAnsiTheme="majorEastAsia" w:hint="eastAsia"/>
          <w:b/>
          <w:bCs/>
          <w:color w:val="auto"/>
          <w:sz w:val="18"/>
          <w:szCs w:val="18"/>
        </w:rPr>
        <w:t>费用</w:t>
      </w:r>
    </w:p>
    <w:p w:rsidR="00E039EF" w:rsidRDefault="003F2D22">
      <w:pPr>
        <w:pStyle w:val="Default"/>
        <w:spacing w:line="360" w:lineRule="auto"/>
        <w:ind w:firstLineChars="200" w:firstLine="360"/>
        <w:rPr>
          <w:rFonts w:hAnsi="宋体"/>
          <w:sz w:val="18"/>
          <w:szCs w:val="18"/>
        </w:rPr>
      </w:pPr>
      <w:r>
        <w:rPr>
          <w:rFonts w:hAnsi="宋体" w:hint="eastAsia"/>
          <w:sz w:val="18"/>
          <w:szCs w:val="18"/>
        </w:rPr>
        <w:t>（1）</w:t>
      </w:r>
      <w:r>
        <w:rPr>
          <w:rFonts w:ascii="黑体" w:eastAsia="黑体" w:hAnsi="黑体" w:cs="仿宋_GB2312" w:hint="eastAsia"/>
          <w:bCs/>
          <w:color w:val="auto"/>
          <w:sz w:val="18"/>
          <w:szCs w:val="18"/>
        </w:rPr>
        <w:t>★</w:t>
      </w:r>
      <w:r>
        <w:rPr>
          <w:rFonts w:hAnsi="宋体"/>
          <w:sz w:val="18"/>
          <w:szCs w:val="18"/>
        </w:rPr>
        <w:t>认购费：</w:t>
      </w:r>
      <w:r>
        <w:rPr>
          <w:rFonts w:hAnsi="宋体" w:hint="eastAsia"/>
          <w:sz w:val="18"/>
          <w:szCs w:val="18"/>
        </w:rPr>
        <w:t>指</w:t>
      </w:r>
      <w:r>
        <w:rPr>
          <w:rFonts w:hAnsi="宋体"/>
          <w:sz w:val="18"/>
          <w:szCs w:val="18"/>
        </w:rPr>
        <w:t>投资者认购产品时</w:t>
      </w:r>
      <w:r>
        <w:rPr>
          <w:rFonts w:hAnsi="宋体" w:hint="eastAsia"/>
          <w:sz w:val="18"/>
          <w:szCs w:val="18"/>
        </w:rPr>
        <w:t>需缴纳的费用。</w:t>
      </w:r>
    </w:p>
    <w:p w:rsidR="00E039EF" w:rsidRDefault="003F2D22">
      <w:pPr>
        <w:pStyle w:val="Default"/>
        <w:spacing w:line="360" w:lineRule="auto"/>
        <w:ind w:firstLineChars="200" w:firstLine="360"/>
        <w:rPr>
          <w:rFonts w:hAnsi="宋体"/>
          <w:sz w:val="18"/>
          <w:szCs w:val="18"/>
        </w:rPr>
      </w:pPr>
      <w:r>
        <w:rPr>
          <w:rFonts w:hAnsi="宋体" w:hint="eastAsia"/>
          <w:sz w:val="18"/>
          <w:szCs w:val="18"/>
        </w:rPr>
        <w:t>（2）</w:t>
      </w:r>
      <w:r>
        <w:rPr>
          <w:rFonts w:ascii="黑体" w:eastAsia="黑体" w:hAnsi="黑体" w:cs="仿宋_GB2312" w:hint="eastAsia"/>
          <w:bCs/>
          <w:color w:val="auto"/>
          <w:sz w:val="18"/>
          <w:szCs w:val="18"/>
        </w:rPr>
        <w:t>★</w:t>
      </w:r>
      <w:r>
        <w:rPr>
          <w:rFonts w:hAnsi="宋体" w:hint="eastAsia"/>
          <w:sz w:val="18"/>
          <w:szCs w:val="18"/>
        </w:rPr>
        <w:t>销售服务费：指因理财产品销售行为产生的费用。</w:t>
      </w:r>
    </w:p>
    <w:p w:rsidR="00E039EF" w:rsidRDefault="003F2D22">
      <w:pPr>
        <w:pStyle w:val="Default"/>
        <w:spacing w:line="360" w:lineRule="auto"/>
        <w:ind w:firstLineChars="200" w:firstLine="360"/>
        <w:rPr>
          <w:rFonts w:hAnsi="宋体"/>
          <w:sz w:val="18"/>
          <w:szCs w:val="18"/>
        </w:rPr>
      </w:pPr>
      <w:r>
        <w:rPr>
          <w:rFonts w:hAnsi="宋体" w:hint="eastAsia"/>
          <w:sz w:val="18"/>
          <w:szCs w:val="18"/>
        </w:rPr>
        <w:t>（3）</w:t>
      </w:r>
      <w:r>
        <w:rPr>
          <w:rFonts w:ascii="黑体" w:eastAsia="黑体" w:hAnsi="黑体" w:cs="仿宋_GB2312" w:hint="eastAsia"/>
          <w:bCs/>
          <w:color w:val="auto"/>
          <w:sz w:val="18"/>
          <w:szCs w:val="18"/>
        </w:rPr>
        <w:t>★</w:t>
      </w:r>
      <w:r>
        <w:rPr>
          <w:rFonts w:hAnsi="宋体" w:hint="eastAsia"/>
          <w:sz w:val="18"/>
          <w:szCs w:val="18"/>
        </w:rPr>
        <w:t>投资管理费：指因理财产品投资管理产生的费用。</w:t>
      </w:r>
    </w:p>
    <w:p w:rsidR="00E039EF" w:rsidRDefault="003F2D22">
      <w:pPr>
        <w:pStyle w:val="Default"/>
        <w:spacing w:line="360" w:lineRule="auto"/>
        <w:ind w:firstLineChars="200" w:firstLine="360"/>
        <w:rPr>
          <w:rFonts w:hAnsi="宋体"/>
          <w:sz w:val="18"/>
          <w:szCs w:val="18"/>
        </w:rPr>
      </w:pPr>
      <w:r>
        <w:rPr>
          <w:rFonts w:hAnsi="宋体" w:hint="eastAsia"/>
          <w:sz w:val="18"/>
          <w:szCs w:val="18"/>
        </w:rPr>
        <w:t>（4）</w:t>
      </w:r>
      <w:r>
        <w:rPr>
          <w:rFonts w:ascii="黑体" w:eastAsia="黑体" w:hAnsi="黑体" w:cs="仿宋_GB2312" w:hint="eastAsia"/>
          <w:bCs/>
          <w:color w:val="auto"/>
          <w:sz w:val="18"/>
          <w:szCs w:val="18"/>
        </w:rPr>
        <w:t>★</w:t>
      </w:r>
      <w:r>
        <w:rPr>
          <w:rFonts w:hAnsi="宋体" w:hint="eastAsia"/>
          <w:sz w:val="18"/>
          <w:szCs w:val="18"/>
        </w:rPr>
        <w:t>产品托管费：指因理财产品进行托管产生的费用。</w:t>
      </w:r>
    </w:p>
    <w:p w:rsidR="00E039EF" w:rsidRDefault="003F2D22">
      <w:pPr>
        <w:pStyle w:val="Default"/>
        <w:spacing w:line="360" w:lineRule="auto"/>
        <w:ind w:firstLineChars="200" w:firstLine="360"/>
        <w:rPr>
          <w:rFonts w:asciiTheme="majorEastAsia" w:eastAsiaTheme="majorEastAsia" w:hAnsiTheme="majorEastAsia"/>
          <w:bCs/>
          <w:color w:val="auto"/>
          <w:sz w:val="18"/>
          <w:szCs w:val="18"/>
        </w:rPr>
      </w:pPr>
      <w:r>
        <w:rPr>
          <w:rFonts w:hAnsi="宋体" w:hint="eastAsia"/>
          <w:sz w:val="18"/>
          <w:szCs w:val="18"/>
        </w:rPr>
        <w:t>（5）</w:t>
      </w:r>
      <w:r>
        <w:rPr>
          <w:rFonts w:ascii="黑体" w:eastAsia="黑体" w:hAnsi="黑体" w:cs="仿宋_GB2312" w:hint="eastAsia"/>
          <w:bCs/>
          <w:color w:val="auto"/>
          <w:sz w:val="18"/>
          <w:szCs w:val="18"/>
        </w:rPr>
        <w:t>★</w:t>
      </w:r>
      <w:r>
        <w:rPr>
          <w:rFonts w:hAnsi="宋体" w:hint="eastAsia"/>
          <w:sz w:val="18"/>
          <w:szCs w:val="18"/>
        </w:rPr>
        <w:t>超额业绩报酬/业绩报酬：指产品管理人依照理财产品销售</w:t>
      </w:r>
      <w:r>
        <w:rPr>
          <w:rFonts w:hAnsi="宋体"/>
          <w:sz w:val="18"/>
          <w:szCs w:val="18"/>
        </w:rPr>
        <w:t>文件</w:t>
      </w:r>
      <w:r>
        <w:rPr>
          <w:rFonts w:hAnsi="宋体" w:hint="eastAsia"/>
          <w:sz w:val="18"/>
          <w:szCs w:val="18"/>
        </w:rPr>
        <w:t>约定规则收取的浮动性质的管理费用。</w:t>
      </w:r>
    </w:p>
    <w:p w:rsidR="00E039EF" w:rsidRDefault="003F2D22">
      <w:pPr>
        <w:pStyle w:val="Default"/>
        <w:spacing w:line="360" w:lineRule="auto"/>
        <w:ind w:firstLineChars="200" w:firstLine="361"/>
        <w:rPr>
          <w:rFonts w:asciiTheme="majorEastAsia" w:eastAsiaTheme="majorEastAsia" w:hAnsiTheme="majorEastAsia"/>
          <w:b/>
          <w:bCs/>
          <w:color w:val="auto"/>
          <w:sz w:val="18"/>
          <w:szCs w:val="18"/>
        </w:rPr>
      </w:pPr>
      <w:r>
        <w:rPr>
          <w:rFonts w:asciiTheme="majorEastAsia" w:eastAsiaTheme="majorEastAsia" w:hAnsiTheme="majorEastAsia"/>
          <w:b/>
          <w:bCs/>
          <w:color w:val="auto"/>
          <w:sz w:val="18"/>
          <w:szCs w:val="18"/>
        </w:rPr>
        <w:t xml:space="preserve">6. </w:t>
      </w:r>
      <w:r>
        <w:rPr>
          <w:rFonts w:asciiTheme="majorEastAsia" w:eastAsiaTheme="majorEastAsia" w:hAnsiTheme="majorEastAsia" w:hint="eastAsia"/>
          <w:b/>
          <w:bCs/>
          <w:color w:val="auto"/>
          <w:sz w:val="18"/>
          <w:szCs w:val="18"/>
        </w:rPr>
        <w:t>其他</w:t>
      </w:r>
      <w:r>
        <w:rPr>
          <w:rFonts w:asciiTheme="majorEastAsia" w:eastAsiaTheme="majorEastAsia" w:hAnsiTheme="majorEastAsia"/>
          <w:b/>
          <w:bCs/>
          <w:color w:val="auto"/>
          <w:sz w:val="18"/>
          <w:szCs w:val="18"/>
        </w:rPr>
        <w:t xml:space="preserve"> </w:t>
      </w:r>
    </w:p>
    <w:p w:rsidR="00E039EF" w:rsidRDefault="003F2D22">
      <w:pPr>
        <w:pStyle w:val="Default"/>
        <w:spacing w:line="360" w:lineRule="auto"/>
        <w:ind w:firstLineChars="200" w:firstLine="360"/>
        <w:rPr>
          <w:rFonts w:asciiTheme="majorEastAsia" w:eastAsiaTheme="majorEastAsia" w:hAnsiTheme="majorEastAsia"/>
          <w:bCs/>
          <w:color w:val="auto"/>
          <w:sz w:val="18"/>
          <w:szCs w:val="18"/>
        </w:rPr>
      </w:pPr>
      <w:r>
        <w:rPr>
          <w:rFonts w:asciiTheme="majorEastAsia" w:eastAsiaTheme="majorEastAsia" w:hAnsiTheme="majorEastAsia" w:hint="eastAsia"/>
          <w:bCs/>
          <w:color w:val="auto"/>
          <w:sz w:val="18"/>
          <w:szCs w:val="18"/>
        </w:rPr>
        <w:t>（</w:t>
      </w:r>
      <w:r>
        <w:rPr>
          <w:rFonts w:asciiTheme="majorEastAsia" w:eastAsiaTheme="majorEastAsia" w:hAnsiTheme="majorEastAsia"/>
          <w:bCs/>
          <w:color w:val="auto"/>
          <w:sz w:val="18"/>
          <w:szCs w:val="18"/>
        </w:rPr>
        <w:t>1）</w:t>
      </w:r>
      <w:r>
        <w:rPr>
          <w:rFonts w:asciiTheme="majorEastAsia" w:eastAsiaTheme="majorEastAsia" w:hAnsiTheme="majorEastAsia" w:hint="eastAsia"/>
          <w:bCs/>
          <w:color w:val="auto"/>
          <w:sz w:val="18"/>
          <w:szCs w:val="18"/>
        </w:rPr>
        <w:t>元：指人民币元。</w:t>
      </w:r>
      <w:r>
        <w:rPr>
          <w:rFonts w:asciiTheme="majorEastAsia" w:eastAsiaTheme="majorEastAsia" w:hAnsiTheme="majorEastAsia"/>
          <w:bCs/>
          <w:color w:val="auto"/>
          <w:sz w:val="18"/>
          <w:szCs w:val="18"/>
        </w:rPr>
        <w:t xml:space="preserve"> </w:t>
      </w:r>
    </w:p>
    <w:p w:rsidR="00E039EF" w:rsidRDefault="003F2D22">
      <w:pPr>
        <w:pStyle w:val="Default"/>
        <w:spacing w:line="360" w:lineRule="auto"/>
        <w:ind w:firstLineChars="200" w:firstLine="360"/>
        <w:rPr>
          <w:rFonts w:asciiTheme="majorEastAsia" w:eastAsiaTheme="majorEastAsia" w:hAnsiTheme="majorEastAsia"/>
          <w:bCs/>
          <w:color w:val="auto"/>
          <w:sz w:val="18"/>
          <w:szCs w:val="18"/>
        </w:rPr>
      </w:pPr>
      <w:r>
        <w:rPr>
          <w:rFonts w:asciiTheme="majorEastAsia" w:eastAsiaTheme="majorEastAsia" w:hAnsiTheme="majorEastAsia" w:hint="eastAsia"/>
          <w:bCs/>
          <w:sz w:val="18"/>
          <w:szCs w:val="18"/>
        </w:rPr>
        <w:t>（</w:t>
      </w:r>
      <w:r>
        <w:rPr>
          <w:rFonts w:asciiTheme="majorEastAsia" w:eastAsiaTheme="majorEastAsia" w:hAnsiTheme="majorEastAsia"/>
          <w:bCs/>
          <w:sz w:val="18"/>
          <w:szCs w:val="18"/>
        </w:rPr>
        <w:t>2</w:t>
      </w:r>
      <w:r>
        <w:rPr>
          <w:rFonts w:asciiTheme="majorEastAsia" w:eastAsiaTheme="majorEastAsia" w:hAnsiTheme="majorEastAsia" w:hint="eastAsia"/>
          <w:bCs/>
          <w:sz w:val="18"/>
          <w:szCs w:val="18"/>
        </w:rPr>
        <w:t>）国家金融监督管理总局：为免歧义，原中国银行业监督管理委员会、原中国银行保险监督管理委员会与国家金融监督管理总局均统称为“国家金融监督管理总局”。</w:t>
      </w:r>
    </w:p>
    <w:p w:rsidR="00E039EF" w:rsidRDefault="003F2D22">
      <w:pPr>
        <w:spacing w:line="360" w:lineRule="auto"/>
        <w:ind w:firstLineChars="200" w:firstLine="360"/>
        <w:rPr>
          <w:rFonts w:ascii="宋体" w:hAnsi="宋体"/>
          <w:color w:val="000000"/>
          <w:kern w:val="0"/>
          <w:sz w:val="28"/>
          <w:szCs w:val="28"/>
        </w:rPr>
      </w:pPr>
      <w:r>
        <w:rPr>
          <w:rFonts w:asciiTheme="majorEastAsia" w:eastAsiaTheme="majorEastAsia" w:hAnsiTheme="majorEastAsia" w:hint="eastAsia"/>
          <w:bCs/>
          <w:sz w:val="18"/>
          <w:szCs w:val="18"/>
        </w:rPr>
        <w:lastRenderedPageBreak/>
        <w:t>（</w:t>
      </w:r>
      <w:r>
        <w:rPr>
          <w:rFonts w:asciiTheme="majorEastAsia" w:eastAsiaTheme="majorEastAsia" w:hAnsiTheme="majorEastAsia"/>
          <w:bCs/>
          <w:sz w:val="18"/>
          <w:szCs w:val="18"/>
        </w:rPr>
        <w:t>3</w:t>
      </w:r>
      <w:r>
        <w:rPr>
          <w:rFonts w:asciiTheme="majorEastAsia" w:eastAsiaTheme="majorEastAsia" w:hAnsiTheme="majorEastAsia" w:hint="eastAsia"/>
          <w:bCs/>
          <w:sz w:val="18"/>
          <w:szCs w:val="18"/>
        </w:rPr>
        <w:t>）适用法律：指在理财销售文件签署日和履行过程中，适用中华人民共和国法律（为本销售文件之目的，在此不包括香港、澳门特别行政区和台湾地区的法律），包括中国任何立法机构、政府部门、银行业</w:t>
      </w:r>
      <w:r>
        <w:rPr>
          <w:rFonts w:asciiTheme="majorEastAsia" w:eastAsiaTheme="majorEastAsia" w:hAnsiTheme="majorEastAsia"/>
          <w:bCs/>
          <w:sz w:val="18"/>
          <w:szCs w:val="18"/>
        </w:rPr>
        <w:t>理财登记托管中心、</w:t>
      </w:r>
      <w:r>
        <w:rPr>
          <w:rFonts w:asciiTheme="majorEastAsia" w:eastAsiaTheme="majorEastAsia" w:hAnsiTheme="majorEastAsia" w:hint="eastAsia"/>
          <w:bCs/>
          <w:sz w:val="18"/>
          <w:szCs w:val="18"/>
        </w:rPr>
        <w:t>银行间交易商协会、证券交易所、证券登记结算机构、相关</w:t>
      </w:r>
      <w:r>
        <w:rPr>
          <w:rFonts w:asciiTheme="majorEastAsia" w:eastAsiaTheme="majorEastAsia" w:hAnsiTheme="majorEastAsia"/>
          <w:bCs/>
          <w:sz w:val="18"/>
          <w:szCs w:val="18"/>
        </w:rPr>
        <w:t>行</w:t>
      </w:r>
      <w:r>
        <w:rPr>
          <w:rFonts w:asciiTheme="majorEastAsia" w:eastAsiaTheme="majorEastAsia" w:hAnsiTheme="majorEastAsia" w:hint="eastAsia"/>
          <w:bCs/>
          <w:sz w:val="18"/>
          <w:szCs w:val="18"/>
        </w:rPr>
        <w:t>业协会依法颁布的，适用于本理财产品相关事宜的法律、行政法规、地方法规、部委规章、地方政府规章、规范性文件、规则、通知、须知、业务指南、指引或操作规程，及其有效的修改、更新或补充。</w:t>
      </w:r>
      <w:r>
        <w:rPr>
          <w:rFonts w:hAnsi="宋体"/>
          <w:sz w:val="28"/>
          <w:szCs w:val="28"/>
        </w:rPr>
        <w:br w:type="page"/>
      </w:r>
    </w:p>
    <w:p w:rsidR="00E039EF" w:rsidRDefault="003F2D22">
      <w:pPr>
        <w:pStyle w:val="1"/>
        <w:spacing w:before="0" w:after="0" w:line="360" w:lineRule="auto"/>
        <w:jc w:val="center"/>
        <w:rPr>
          <w:rFonts w:hAnsi="宋体"/>
          <w:sz w:val="28"/>
          <w:szCs w:val="28"/>
        </w:rPr>
      </w:pPr>
      <w:bookmarkStart w:id="2" w:name="_Toc79154665"/>
      <w:bookmarkStart w:id="3" w:name="_Toc116649650"/>
      <w:r>
        <w:rPr>
          <w:rFonts w:hAnsi="宋体" w:hint="eastAsia"/>
          <w:sz w:val="28"/>
          <w:szCs w:val="28"/>
        </w:rPr>
        <w:lastRenderedPageBreak/>
        <w:t>第二条</w:t>
      </w:r>
      <w:r>
        <w:rPr>
          <w:rFonts w:hAnsi="宋体" w:hint="eastAsia"/>
          <w:sz w:val="28"/>
          <w:szCs w:val="28"/>
        </w:rPr>
        <w:t xml:space="preserve">  </w:t>
      </w:r>
      <w:r>
        <w:rPr>
          <w:rFonts w:hAnsi="宋体" w:hint="eastAsia"/>
          <w:sz w:val="28"/>
          <w:szCs w:val="28"/>
        </w:rPr>
        <w:t>理财产品基本情况</w:t>
      </w:r>
      <w:bookmarkEnd w:id="2"/>
      <w:r>
        <w:rPr>
          <w:rFonts w:hAnsi="宋体" w:hint="eastAsia"/>
          <w:sz w:val="28"/>
          <w:szCs w:val="28"/>
        </w:rPr>
        <w:t xml:space="preserve"> </w:t>
      </w:r>
      <w:bookmarkEnd w:id="3"/>
    </w:p>
    <w:tbl>
      <w:tblPr>
        <w:tblW w:w="9644" w:type="dxa"/>
        <w:jc w:val="center"/>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shd w:val="solid" w:color="FFFFFF" w:fill="FFFFFF"/>
        <w:tblLayout w:type="fixed"/>
        <w:tblLook w:val="04A0" w:firstRow="1" w:lastRow="0" w:firstColumn="1" w:lastColumn="0" w:noHBand="0" w:noVBand="1"/>
      </w:tblPr>
      <w:tblGrid>
        <w:gridCol w:w="1970"/>
        <w:gridCol w:w="7674"/>
      </w:tblGrid>
      <w:tr w:rsidR="00E039EF">
        <w:trPr>
          <w:trHeight w:val="401"/>
          <w:jc w:val="center"/>
        </w:trPr>
        <w:tc>
          <w:tcPr>
            <w:tcW w:w="1970" w:type="dxa"/>
            <w:shd w:val="solid" w:color="FFFFFF" w:fill="FFFFFF"/>
          </w:tcPr>
          <w:p w:rsidR="00E039EF" w:rsidRDefault="003F2D22">
            <w:pPr>
              <w:spacing w:line="360" w:lineRule="auto"/>
              <w:jc w:val="left"/>
              <w:rPr>
                <w:rFonts w:ascii="宋体" w:hAnsi="宋体"/>
                <w:b/>
                <w:bCs/>
                <w:sz w:val="18"/>
                <w:szCs w:val="18"/>
              </w:rPr>
            </w:pPr>
            <w:permStart w:id="1059210048" w:edGrp="everyone"/>
            <w:r>
              <w:rPr>
                <w:rFonts w:hAnsi="宋体" w:hint="eastAsia"/>
                <w:sz w:val="18"/>
                <w:szCs w:val="18"/>
              </w:rPr>
              <w:t>★</w:t>
            </w:r>
            <w:r>
              <w:rPr>
                <w:rFonts w:ascii="宋体" w:hAnsi="宋体" w:hint="eastAsia"/>
                <w:b/>
                <w:bCs/>
                <w:sz w:val="18"/>
                <w:szCs w:val="18"/>
              </w:rPr>
              <w:t>理财产品名称</w:t>
            </w:r>
          </w:p>
        </w:tc>
        <w:tc>
          <w:tcPr>
            <w:tcW w:w="7674" w:type="dxa"/>
            <w:shd w:val="solid" w:color="FFFFFF" w:fill="FFFFFF"/>
          </w:tcPr>
          <w:p w:rsidR="00E039EF" w:rsidRDefault="00093F35" w:rsidP="00262A44">
            <w:pPr>
              <w:spacing w:line="360" w:lineRule="auto"/>
              <w:rPr>
                <w:rFonts w:ascii="宋体" w:hAnsi="宋体"/>
                <w:bCs/>
                <w:sz w:val="18"/>
                <w:szCs w:val="18"/>
              </w:rPr>
            </w:pPr>
            <w:r w:rsidRPr="00093F35">
              <w:rPr>
                <w:rFonts w:ascii="宋体" w:hAnsi="宋体" w:hint="eastAsia"/>
                <w:bCs/>
                <w:sz w:val="18"/>
                <w:szCs w:val="18"/>
              </w:rPr>
              <w:t>兴银理财稳利丰收封闭式600</w:t>
            </w:r>
            <w:r w:rsidR="00262A44">
              <w:rPr>
                <w:rFonts w:ascii="宋体" w:hAnsi="宋体"/>
                <w:bCs/>
                <w:sz w:val="18"/>
                <w:szCs w:val="18"/>
              </w:rPr>
              <w:t>7</w:t>
            </w:r>
            <w:r w:rsidRPr="00093F35">
              <w:rPr>
                <w:rFonts w:ascii="宋体" w:hAnsi="宋体" w:hint="eastAsia"/>
                <w:bCs/>
                <w:sz w:val="18"/>
                <w:szCs w:val="18"/>
              </w:rPr>
              <w:t>号固收类理财产品</w:t>
            </w:r>
          </w:p>
        </w:tc>
      </w:tr>
      <w:tr w:rsidR="00E039EF">
        <w:trPr>
          <w:trHeight w:val="383"/>
          <w:jc w:val="center"/>
        </w:trPr>
        <w:tc>
          <w:tcPr>
            <w:tcW w:w="1970" w:type="dxa"/>
            <w:shd w:val="solid" w:color="FFFFFF" w:fill="FFFFFF"/>
          </w:tcPr>
          <w:p w:rsidR="00E039EF" w:rsidRDefault="003F2D22">
            <w:pPr>
              <w:spacing w:line="360" w:lineRule="auto"/>
              <w:jc w:val="left"/>
              <w:rPr>
                <w:rFonts w:ascii="宋体" w:hAnsi="宋体"/>
                <w:b/>
                <w:bCs/>
                <w:sz w:val="18"/>
                <w:szCs w:val="18"/>
              </w:rPr>
            </w:pPr>
            <w:r>
              <w:rPr>
                <w:rFonts w:hAnsi="宋体" w:hint="eastAsia"/>
                <w:sz w:val="18"/>
                <w:szCs w:val="18"/>
              </w:rPr>
              <w:t>★</w:t>
            </w:r>
            <w:r>
              <w:rPr>
                <w:rFonts w:ascii="宋体" w:hAnsi="宋体" w:hint="eastAsia"/>
                <w:b/>
                <w:bCs/>
                <w:sz w:val="18"/>
                <w:szCs w:val="18"/>
              </w:rPr>
              <w:t>产品销售名称</w:t>
            </w:r>
          </w:p>
        </w:tc>
        <w:tc>
          <w:tcPr>
            <w:tcW w:w="7674" w:type="dxa"/>
            <w:shd w:val="solid" w:color="FFFFFF" w:fill="FFFFFF"/>
          </w:tcPr>
          <w:p w:rsidR="00E039EF" w:rsidRDefault="003F2D22">
            <w:pPr>
              <w:spacing w:line="360" w:lineRule="auto"/>
              <w:rPr>
                <w:rFonts w:ascii="宋体" w:hAnsi="宋体"/>
                <w:bCs/>
                <w:color w:val="000000" w:themeColor="text1"/>
                <w:sz w:val="18"/>
                <w:szCs w:val="18"/>
              </w:rPr>
            </w:pPr>
            <w:r>
              <w:rPr>
                <w:rFonts w:ascii="宋体" w:hAnsi="宋体"/>
                <w:bCs/>
                <w:sz w:val="18"/>
                <w:szCs w:val="18"/>
              </w:rPr>
              <w:t>【</w:t>
            </w:r>
            <w:r w:rsidR="00093F35" w:rsidRPr="00093F35">
              <w:rPr>
                <w:rFonts w:ascii="宋体" w:hAnsi="宋体" w:hint="eastAsia"/>
                <w:bCs/>
                <w:sz w:val="18"/>
                <w:szCs w:val="18"/>
              </w:rPr>
              <w:t>稳利丰收封闭式600</w:t>
            </w:r>
            <w:r w:rsidR="00262A44">
              <w:rPr>
                <w:rFonts w:ascii="宋体" w:hAnsi="宋体"/>
                <w:bCs/>
                <w:sz w:val="18"/>
                <w:szCs w:val="18"/>
              </w:rPr>
              <w:t>7</w:t>
            </w:r>
            <w:r w:rsidR="00093F35" w:rsidRPr="00093F35">
              <w:rPr>
                <w:rFonts w:ascii="宋体" w:hAnsi="宋体" w:hint="eastAsia"/>
                <w:bCs/>
                <w:sz w:val="18"/>
                <w:szCs w:val="18"/>
              </w:rPr>
              <w:t>号A</w:t>
            </w:r>
            <w:r>
              <w:rPr>
                <w:rFonts w:ascii="宋体" w:hAnsi="宋体" w:hint="eastAsia"/>
                <w:bCs/>
                <w:sz w:val="18"/>
                <w:szCs w:val="18"/>
              </w:rPr>
              <w:t>】</w:t>
            </w:r>
            <w:r>
              <w:rPr>
                <w:rFonts w:ascii="宋体" w:hAnsi="宋体" w:hint="eastAsia"/>
                <w:bCs/>
                <w:color w:val="000000" w:themeColor="text1"/>
                <w:sz w:val="18"/>
                <w:szCs w:val="18"/>
              </w:rPr>
              <w:t>（适用【A】类份额）</w:t>
            </w:r>
          </w:p>
          <w:p w:rsidR="00093F35" w:rsidRDefault="00093F35" w:rsidP="00262A44">
            <w:pPr>
              <w:spacing w:line="360" w:lineRule="auto"/>
              <w:rPr>
                <w:rFonts w:ascii="宋体" w:hAnsi="宋体"/>
                <w:bCs/>
                <w:color w:val="000000" w:themeColor="text1"/>
                <w:sz w:val="18"/>
                <w:szCs w:val="18"/>
              </w:rPr>
            </w:pPr>
            <w:r>
              <w:rPr>
                <w:rFonts w:ascii="宋体" w:hAnsi="宋体"/>
                <w:bCs/>
                <w:sz w:val="18"/>
                <w:szCs w:val="18"/>
              </w:rPr>
              <w:t>【</w:t>
            </w:r>
            <w:r w:rsidRPr="00093F35">
              <w:rPr>
                <w:rFonts w:ascii="宋体" w:hAnsi="宋体" w:hint="eastAsia"/>
                <w:bCs/>
                <w:sz w:val="18"/>
                <w:szCs w:val="18"/>
              </w:rPr>
              <w:t>稳利丰收封闭式600</w:t>
            </w:r>
            <w:r w:rsidR="00262A44">
              <w:rPr>
                <w:rFonts w:ascii="宋体" w:hAnsi="宋体"/>
                <w:bCs/>
                <w:sz w:val="18"/>
                <w:szCs w:val="18"/>
              </w:rPr>
              <w:t>7</w:t>
            </w:r>
            <w:r w:rsidRPr="00093F35">
              <w:rPr>
                <w:rFonts w:ascii="宋体" w:hAnsi="宋体" w:hint="eastAsia"/>
                <w:bCs/>
                <w:sz w:val="18"/>
                <w:szCs w:val="18"/>
              </w:rPr>
              <w:t>号</w:t>
            </w:r>
            <w:r>
              <w:rPr>
                <w:rFonts w:ascii="宋体" w:hAnsi="宋体"/>
                <w:bCs/>
                <w:sz w:val="18"/>
                <w:szCs w:val="18"/>
              </w:rPr>
              <w:t>B</w:t>
            </w:r>
            <w:r>
              <w:rPr>
                <w:rFonts w:ascii="宋体" w:hAnsi="宋体" w:hint="eastAsia"/>
                <w:bCs/>
                <w:sz w:val="18"/>
                <w:szCs w:val="18"/>
              </w:rPr>
              <w:t>】</w:t>
            </w:r>
            <w:r>
              <w:rPr>
                <w:rFonts w:ascii="宋体" w:hAnsi="宋体" w:hint="eastAsia"/>
                <w:bCs/>
                <w:color w:val="000000" w:themeColor="text1"/>
                <w:sz w:val="18"/>
                <w:szCs w:val="18"/>
              </w:rPr>
              <w:t>（适用【</w:t>
            </w:r>
            <w:r>
              <w:rPr>
                <w:rFonts w:ascii="宋体" w:hAnsi="宋体"/>
                <w:bCs/>
                <w:color w:val="000000" w:themeColor="text1"/>
                <w:sz w:val="18"/>
                <w:szCs w:val="18"/>
              </w:rPr>
              <w:t>B</w:t>
            </w:r>
            <w:r>
              <w:rPr>
                <w:rFonts w:ascii="宋体" w:hAnsi="宋体" w:hint="eastAsia"/>
                <w:bCs/>
                <w:color w:val="000000" w:themeColor="text1"/>
                <w:sz w:val="18"/>
                <w:szCs w:val="18"/>
              </w:rPr>
              <w:t>】类份额）</w:t>
            </w:r>
          </w:p>
        </w:tc>
      </w:tr>
      <w:tr w:rsidR="00E039EF">
        <w:trPr>
          <w:trHeight w:val="251"/>
          <w:jc w:val="center"/>
        </w:trPr>
        <w:tc>
          <w:tcPr>
            <w:tcW w:w="1970" w:type="dxa"/>
            <w:shd w:val="solid" w:color="FFFFFF" w:fill="FFFFFF"/>
          </w:tcPr>
          <w:p w:rsidR="00E039EF" w:rsidRDefault="003F2D22">
            <w:pPr>
              <w:spacing w:line="360" w:lineRule="auto"/>
              <w:jc w:val="left"/>
              <w:rPr>
                <w:rFonts w:ascii="宋体" w:hAnsi="宋体"/>
                <w:b/>
                <w:bCs/>
                <w:sz w:val="18"/>
                <w:szCs w:val="18"/>
              </w:rPr>
            </w:pPr>
            <w:r>
              <w:rPr>
                <w:rFonts w:hAnsi="宋体" w:hint="eastAsia"/>
                <w:sz w:val="18"/>
                <w:szCs w:val="18"/>
              </w:rPr>
              <w:t>★</w:t>
            </w:r>
            <w:r>
              <w:rPr>
                <w:rFonts w:ascii="宋体" w:hAnsi="宋体" w:hint="eastAsia"/>
                <w:b/>
                <w:bCs/>
                <w:sz w:val="18"/>
                <w:szCs w:val="18"/>
              </w:rPr>
              <w:t>产品登记编码</w:t>
            </w:r>
          </w:p>
        </w:tc>
        <w:tc>
          <w:tcPr>
            <w:tcW w:w="7674" w:type="dxa"/>
            <w:shd w:val="solid" w:color="FFFFFF" w:fill="FFFFFF"/>
          </w:tcPr>
          <w:p w:rsidR="00E039EF" w:rsidRDefault="003F2D22">
            <w:pPr>
              <w:spacing w:line="360" w:lineRule="auto"/>
              <w:rPr>
                <w:rFonts w:ascii="宋体" w:hAnsi="宋体"/>
                <w:b/>
                <w:sz w:val="18"/>
                <w:szCs w:val="18"/>
              </w:rPr>
            </w:pPr>
            <w:r>
              <w:rPr>
                <w:rFonts w:asciiTheme="minorEastAsia" w:hAnsiTheme="minorEastAsia" w:hint="eastAsia"/>
                <w:sz w:val="18"/>
                <w:szCs w:val="18"/>
              </w:rPr>
              <w:t>【</w:t>
            </w:r>
            <w:r w:rsidR="00262A44" w:rsidRPr="00262A44">
              <w:rPr>
                <w:rFonts w:ascii="宋体" w:hAnsi="宋体"/>
                <w:bCs/>
                <w:sz w:val="18"/>
                <w:szCs w:val="18"/>
              </w:rPr>
              <w:t>Z7002024000003</w:t>
            </w:r>
            <w:r>
              <w:rPr>
                <w:rFonts w:asciiTheme="minorEastAsia" w:hAnsiTheme="minorEastAsia" w:hint="eastAsia"/>
                <w:sz w:val="18"/>
                <w:szCs w:val="18"/>
              </w:rPr>
              <w:t>】</w:t>
            </w:r>
            <w:r>
              <w:rPr>
                <w:rFonts w:asciiTheme="majorEastAsia" w:eastAsiaTheme="majorEastAsia" w:hAnsiTheme="majorEastAsia" w:hint="eastAsia"/>
                <w:sz w:val="18"/>
                <w:szCs w:val="18"/>
              </w:rPr>
              <w:t>投资者可依据理财产品登记编码在中国理财网</w:t>
            </w:r>
            <w:r>
              <w:rPr>
                <w:rFonts w:asciiTheme="majorEastAsia" w:eastAsiaTheme="majorEastAsia" w:hAnsiTheme="majorEastAsia"/>
                <w:sz w:val="18"/>
                <w:szCs w:val="18"/>
              </w:rPr>
              <w:t>(</w:t>
            </w:r>
            <w:hyperlink r:id="rId26" w:history="1">
              <w:r>
                <w:rPr>
                  <w:rFonts w:asciiTheme="majorEastAsia" w:eastAsiaTheme="majorEastAsia" w:hAnsiTheme="majorEastAsia"/>
                  <w:sz w:val="18"/>
                  <w:szCs w:val="18"/>
                </w:rPr>
                <w:t>www.chinawealth.com.cn</w:t>
              </w:r>
            </w:hyperlink>
            <w:r>
              <w:rPr>
                <w:rFonts w:asciiTheme="majorEastAsia" w:eastAsiaTheme="majorEastAsia" w:hAnsiTheme="majorEastAsia"/>
                <w:sz w:val="18"/>
                <w:szCs w:val="18"/>
              </w:rPr>
              <w:t>）</w:t>
            </w:r>
            <w:r>
              <w:rPr>
                <w:rFonts w:asciiTheme="majorEastAsia" w:eastAsiaTheme="majorEastAsia" w:hAnsiTheme="majorEastAsia" w:hint="eastAsia"/>
                <w:sz w:val="18"/>
                <w:szCs w:val="18"/>
              </w:rPr>
              <w:t>查询产品信息。</w:t>
            </w:r>
          </w:p>
        </w:tc>
      </w:tr>
      <w:tr w:rsidR="00E039EF">
        <w:trPr>
          <w:trHeight w:val="251"/>
          <w:jc w:val="center"/>
        </w:trPr>
        <w:tc>
          <w:tcPr>
            <w:tcW w:w="1970" w:type="dxa"/>
            <w:shd w:val="solid" w:color="FFFFFF" w:fill="FFFFFF"/>
            <w:vAlign w:val="center"/>
          </w:tcPr>
          <w:p w:rsidR="00E039EF" w:rsidRDefault="003F2D22">
            <w:pPr>
              <w:spacing w:line="360" w:lineRule="auto"/>
              <w:jc w:val="left"/>
              <w:rPr>
                <w:rFonts w:ascii="宋体" w:hAnsi="宋体"/>
                <w:b/>
                <w:bCs/>
                <w:sz w:val="18"/>
                <w:szCs w:val="18"/>
              </w:rPr>
            </w:pPr>
            <w:r>
              <w:rPr>
                <w:rFonts w:hAnsi="宋体" w:hint="eastAsia"/>
                <w:sz w:val="18"/>
                <w:szCs w:val="18"/>
              </w:rPr>
              <w:t>★</w:t>
            </w:r>
            <w:r>
              <w:rPr>
                <w:rFonts w:ascii="宋体" w:hAnsi="宋体" w:hint="eastAsia"/>
                <w:b/>
                <w:bCs/>
                <w:sz w:val="18"/>
                <w:szCs w:val="18"/>
              </w:rPr>
              <w:t>产品代码</w:t>
            </w:r>
          </w:p>
        </w:tc>
        <w:tc>
          <w:tcPr>
            <w:tcW w:w="7674" w:type="dxa"/>
            <w:shd w:val="solid" w:color="FFFFFF" w:fill="FFFFFF"/>
            <w:vAlign w:val="center"/>
          </w:tcPr>
          <w:p w:rsidR="00E039EF" w:rsidRDefault="003F2D22" w:rsidP="00262A44">
            <w:pPr>
              <w:spacing w:line="360" w:lineRule="auto"/>
              <w:rPr>
                <w:rFonts w:ascii="宋体" w:hAnsi="宋体"/>
                <w:bCs/>
                <w:sz w:val="18"/>
                <w:szCs w:val="18"/>
              </w:rPr>
            </w:pPr>
            <w:r>
              <w:rPr>
                <w:rFonts w:ascii="宋体" w:hAnsi="宋体"/>
                <w:bCs/>
                <w:sz w:val="18"/>
                <w:szCs w:val="18"/>
              </w:rPr>
              <w:t>【</w:t>
            </w:r>
            <w:r w:rsidR="00093F35" w:rsidRPr="00093F35">
              <w:rPr>
                <w:rFonts w:ascii="宋体" w:hAnsi="宋体"/>
                <w:bCs/>
                <w:color w:val="000000" w:themeColor="text1"/>
                <w:sz w:val="18"/>
                <w:szCs w:val="18"/>
              </w:rPr>
              <w:t>9C3360</w:t>
            </w:r>
            <w:r w:rsidR="00262A44">
              <w:rPr>
                <w:rFonts w:ascii="宋体" w:hAnsi="宋体"/>
                <w:bCs/>
                <w:color w:val="000000" w:themeColor="text1"/>
                <w:sz w:val="18"/>
                <w:szCs w:val="18"/>
              </w:rPr>
              <w:t>7</w:t>
            </w:r>
            <w:r w:rsidR="00093F35" w:rsidRPr="00093F35">
              <w:rPr>
                <w:rFonts w:ascii="宋体" w:hAnsi="宋体"/>
                <w:bCs/>
                <w:color w:val="000000" w:themeColor="text1"/>
                <w:sz w:val="18"/>
                <w:szCs w:val="18"/>
              </w:rPr>
              <w:t>0</w:t>
            </w:r>
            <w:r>
              <w:rPr>
                <w:rFonts w:ascii="宋体" w:hAnsi="宋体" w:hint="eastAsia"/>
                <w:bCs/>
                <w:sz w:val="18"/>
                <w:szCs w:val="18"/>
              </w:rPr>
              <w:t>】</w:t>
            </w:r>
          </w:p>
        </w:tc>
      </w:tr>
      <w:tr w:rsidR="00E039EF">
        <w:trPr>
          <w:trHeight w:val="251"/>
          <w:jc w:val="center"/>
        </w:trPr>
        <w:tc>
          <w:tcPr>
            <w:tcW w:w="1970" w:type="dxa"/>
            <w:shd w:val="solid" w:color="FFFFFF" w:fill="FFFFFF"/>
          </w:tcPr>
          <w:p w:rsidR="00E039EF" w:rsidRDefault="003F2D22">
            <w:pPr>
              <w:spacing w:line="360" w:lineRule="auto"/>
              <w:jc w:val="left"/>
              <w:rPr>
                <w:rFonts w:hAnsi="宋体"/>
                <w:b/>
                <w:sz w:val="18"/>
                <w:szCs w:val="18"/>
              </w:rPr>
            </w:pPr>
            <w:r>
              <w:rPr>
                <w:rFonts w:hAnsi="宋体" w:hint="eastAsia"/>
                <w:b/>
                <w:sz w:val="18"/>
                <w:szCs w:val="18"/>
              </w:rPr>
              <w:t>★销售代码</w:t>
            </w:r>
          </w:p>
        </w:tc>
        <w:tc>
          <w:tcPr>
            <w:tcW w:w="7674" w:type="dxa"/>
            <w:shd w:val="solid" w:color="FFFFFF" w:fill="FFFFFF"/>
          </w:tcPr>
          <w:p w:rsidR="00E039EF" w:rsidRDefault="003F2D22">
            <w:pPr>
              <w:spacing w:line="360" w:lineRule="auto"/>
              <w:rPr>
                <w:rFonts w:ascii="宋体" w:hAnsi="宋体"/>
                <w:sz w:val="18"/>
                <w:szCs w:val="18"/>
              </w:rPr>
            </w:pPr>
            <w:r>
              <w:rPr>
                <w:rFonts w:ascii="宋体" w:hAnsi="宋体" w:hint="eastAsia"/>
                <w:sz w:val="18"/>
                <w:szCs w:val="18"/>
              </w:rPr>
              <w:t>【</w:t>
            </w:r>
            <w:r w:rsidR="00093F35" w:rsidRPr="00093F35">
              <w:rPr>
                <w:rFonts w:ascii="宋体" w:hAnsi="宋体"/>
                <w:sz w:val="18"/>
                <w:szCs w:val="18"/>
              </w:rPr>
              <w:t>9C3360</w:t>
            </w:r>
            <w:r w:rsidR="00262A44">
              <w:rPr>
                <w:rFonts w:ascii="宋体" w:hAnsi="宋体"/>
                <w:sz w:val="18"/>
                <w:szCs w:val="18"/>
              </w:rPr>
              <w:t>7</w:t>
            </w:r>
            <w:r w:rsidR="00093F35" w:rsidRPr="00093F35">
              <w:rPr>
                <w:rFonts w:ascii="宋体" w:hAnsi="宋体"/>
                <w:sz w:val="18"/>
                <w:szCs w:val="18"/>
              </w:rPr>
              <w:t>A</w:t>
            </w:r>
            <w:r>
              <w:rPr>
                <w:rFonts w:ascii="宋体" w:hAnsi="宋体" w:hint="eastAsia"/>
                <w:sz w:val="18"/>
                <w:szCs w:val="18"/>
              </w:rPr>
              <w:t>】（适用【</w:t>
            </w:r>
            <w:r>
              <w:rPr>
                <w:rFonts w:ascii="宋体" w:hAnsi="宋体"/>
                <w:sz w:val="18"/>
                <w:szCs w:val="18"/>
              </w:rPr>
              <w:t>A</w:t>
            </w:r>
            <w:r>
              <w:rPr>
                <w:rFonts w:ascii="宋体" w:hAnsi="宋体" w:hint="eastAsia"/>
                <w:sz w:val="18"/>
                <w:szCs w:val="18"/>
              </w:rPr>
              <w:t>】类份额）</w:t>
            </w:r>
          </w:p>
          <w:p w:rsidR="00093F35" w:rsidRDefault="00093F35" w:rsidP="00262A44">
            <w:pPr>
              <w:spacing w:line="360" w:lineRule="auto"/>
              <w:rPr>
                <w:rFonts w:ascii="宋体" w:hAnsi="宋体"/>
                <w:sz w:val="18"/>
                <w:szCs w:val="18"/>
              </w:rPr>
            </w:pPr>
            <w:r>
              <w:rPr>
                <w:rFonts w:ascii="宋体" w:hAnsi="宋体" w:hint="eastAsia"/>
                <w:sz w:val="18"/>
                <w:szCs w:val="18"/>
              </w:rPr>
              <w:t>【</w:t>
            </w:r>
            <w:r w:rsidRPr="00093F35">
              <w:rPr>
                <w:rFonts w:ascii="宋体" w:hAnsi="宋体"/>
                <w:sz w:val="18"/>
                <w:szCs w:val="18"/>
              </w:rPr>
              <w:t>9C3360</w:t>
            </w:r>
            <w:r w:rsidR="00262A44">
              <w:rPr>
                <w:rFonts w:ascii="宋体" w:hAnsi="宋体"/>
                <w:sz w:val="18"/>
                <w:szCs w:val="18"/>
              </w:rPr>
              <w:t>7</w:t>
            </w:r>
            <w:r>
              <w:rPr>
                <w:rFonts w:ascii="宋体" w:hAnsi="宋体"/>
                <w:sz w:val="18"/>
                <w:szCs w:val="18"/>
              </w:rPr>
              <w:t>B</w:t>
            </w:r>
            <w:r>
              <w:rPr>
                <w:rFonts w:ascii="宋体" w:hAnsi="宋体" w:hint="eastAsia"/>
                <w:sz w:val="18"/>
                <w:szCs w:val="18"/>
              </w:rPr>
              <w:t>】（适用【</w:t>
            </w:r>
            <w:r>
              <w:rPr>
                <w:rFonts w:ascii="宋体" w:hAnsi="宋体"/>
                <w:sz w:val="18"/>
                <w:szCs w:val="18"/>
              </w:rPr>
              <w:t>B</w:t>
            </w:r>
            <w:r>
              <w:rPr>
                <w:rFonts w:ascii="宋体" w:hAnsi="宋体" w:hint="eastAsia"/>
                <w:sz w:val="18"/>
                <w:szCs w:val="18"/>
              </w:rPr>
              <w:t>】类份额）</w:t>
            </w:r>
          </w:p>
        </w:tc>
      </w:tr>
      <w:tr w:rsidR="00E039EF">
        <w:trPr>
          <w:trHeight w:val="251"/>
          <w:jc w:val="center"/>
        </w:trPr>
        <w:tc>
          <w:tcPr>
            <w:tcW w:w="1970" w:type="dxa"/>
            <w:shd w:val="solid" w:color="FFFFFF" w:fill="FFFFFF"/>
            <w:vAlign w:val="center"/>
          </w:tcPr>
          <w:p w:rsidR="00E039EF" w:rsidRDefault="003F2D22">
            <w:pPr>
              <w:spacing w:line="360" w:lineRule="auto"/>
              <w:jc w:val="left"/>
              <w:rPr>
                <w:rFonts w:hAnsi="宋体"/>
                <w:sz w:val="18"/>
                <w:szCs w:val="18"/>
              </w:rPr>
            </w:pPr>
            <w:r>
              <w:rPr>
                <w:rFonts w:hAnsi="宋体" w:hint="eastAsia"/>
                <w:sz w:val="18"/>
                <w:szCs w:val="18"/>
              </w:rPr>
              <w:t>★</w:t>
            </w:r>
            <w:r>
              <w:rPr>
                <w:rFonts w:hAnsi="宋体" w:hint="eastAsia"/>
                <w:b/>
                <w:sz w:val="18"/>
                <w:szCs w:val="18"/>
              </w:rPr>
              <w:t>产品</w:t>
            </w:r>
            <w:r>
              <w:rPr>
                <w:rFonts w:hAnsi="宋体"/>
                <w:b/>
                <w:sz w:val="18"/>
                <w:szCs w:val="18"/>
              </w:rPr>
              <w:t>份额类别</w:t>
            </w:r>
          </w:p>
        </w:tc>
        <w:tc>
          <w:tcPr>
            <w:tcW w:w="7674" w:type="dxa"/>
            <w:shd w:val="solid" w:color="FFFFFF" w:fill="FFFFFF"/>
            <w:vAlign w:val="center"/>
          </w:tcPr>
          <w:p w:rsidR="00E039EF" w:rsidRDefault="003F2D22">
            <w:pPr>
              <w:spacing w:line="360" w:lineRule="auto"/>
              <w:rPr>
                <w:rFonts w:ascii="宋体" w:hAnsi="宋体"/>
                <w:bCs/>
                <w:sz w:val="18"/>
                <w:szCs w:val="18"/>
              </w:rPr>
            </w:pPr>
            <w:r>
              <w:rPr>
                <w:rFonts w:ascii="宋体" w:hAnsi="宋体"/>
                <w:bCs/>
                <w:sz w:val="18"/>
                <w:szCs w:val="18"/>
              </w:rPr>
              <w:t>1</w:t>
            </w:r>
            <w:r>
              <w:rPr>
                <w:rFonts w:ascii="宋体" w:hAnsi="宋体" w:hint="eastAsia"/>
                <w:bCs/>
                <w:sz w:val="18"/>
                <w:szCs w:val="18"/>
              </w:rPr>
              <w:t>.本产品根据投资者购买理财产品的金额、</w:t>
            </w:r>
            <w:r>
              <w:rPr>
                <w:rFonts w:ascii="宋体" w:hAnsi="宋体"/>
                <w:bCs/>
                <w:sz w:val="18"/>
                <w:szCs w:val="18"/>
              </w:rPr>
              <w:t>投资者</w:t>
            </w:r>
            <w:r>
              <w:rPr>
                <w:rFonts w:ascii="宋体" w:hAnsi="宋体" w:hint="eastAsia"/>
                <w:bCs/>
                <w:sz w:val="18"/>
                <w:szCs w:val="18"/>
              </w:rPr>
              <w:t>类型、</w:t>
            </w:r>
            <w:r>
              <w:rPr>
                <w:rFonts w:ascii="宋体" w:hAnsi="宋体"/>
                <w:bCs/>
                <w:sz w:val="18"/>
                <w:szCs w:val="18"/>
              </w:rPr>
              <w:t>销售渠道</w:t>
            </w:r>
            <w:r>
              <w:rPr>
                <w:rFonts w:ascii="宋体" w:hAnsi="宋体" w:hint="eastAsia"/>
                <w:bCs/>
                <w:sz w:val="18"/>
                <w:szCs w:val="18"/>
              </w:rPr>
              <w:t>等因素，对投资者所持有的理财产品份额设置不同的理财产品份额类别。</w:t>
            </w:r>
          </w:p>
          <w:p w:rsidR="00E039EF" w:rsidRDefault="003F2D22">
            <w:pPr>
              <w:spacing w:line="360" w:lineRule="auto"/>
              <w:rPr>
                <w:rFonts w:ascii="宋体" w:hAnsi="宋体"/>
                <w:bCs/>
                <w:sz w:val="18"/>
                <w:szCs w:val="18"/>
              </w:rPr>
            </w:pPr>
            <w:r>
              <w:rPr>
                <w:rFonts w:ascii="宋体" w:hAnsi="宋体"/>
                <w:bCs/>
                <w:sz w:val="18"/>
                <w:szCs w:val="18"/>
              </w:rPr>
              <w:t>2</w:t>
            </w:r>
            <w:r>
              <w:rPr>
                <w:rFonts w:ascii="宋体" w:hAnsi="宋体" w:hint="eastAsia"/>
                <w:bCs/>
                <w:sz w:val="18"/>
                <w:szCs w:val="18"/>
              </w:rPr>
              <w:t>.本产品设置不同的理财产品份额，每类理财产品份额以下内容</w:t>
            </w:r>
            <w:r>
              <w:rPr>
                <w:rFonts w:ascii="宋体" w:hAnsi="宋体"/>
                <w:bCs/>
                <w:sz w:val="18"/>
                <w:szCs w:val="18"/>
              </w:rPr>
              <w:t>可能</w:t>
            </w:r>
            <w:r>
              <w:rPr>
                <w:rFonts w:ascii="宋体" w:hAnsi="宋体" w:hint="eastAsia"/>
                <w:bCs/>
                <w:sz w:val="18"/>
                <w:szCs w:val="18"/>
              </w:rPr>
              <w:t>单独设置：</w:t>
            </w:r>
          </w:p>
          <w:p w:rsidR="00E039EF" w:rsidRDefault="003F2D22">
            <w:pPr>
              <w:spacing w:line="360" w:lineRule="auto"/>
              <w:rPr>
                <w:rFonts w:ascii="宋体" w:hAnsi="宋体"/>
                <w:bCs/>
                <w:sz w:val="18"/>
                <w:szCs w:val="18"/>
              </w:rPr>
            </w:pPr>
            <w:r>
              <w:rPr>
                <w:rFonts w:ascii="宋体" w:hAnsi="宋体" w:hint="eastAsia"/>
                <w:bCs/>
                <w:sz w:val="18"/>
                <w:szCs w:val="18"/>
              </w:rPr>
              <w:t>（1）销售名称</w:t>
            </w:r>
          </w:p>
          <w:p w:rsidR="00E039EF" w:rsidRDefault="003F2D22">
            <w:pPr>
              <w:spacing w:line="360" w:lineRule="auto"/>
              <w:rPr>
                <w:rFonts w:ascii="宋体" w:hAnsi="宋体"/>
                <w:bCs/>
                <w:sz w:val="18"/>
                <w:szCs w:val="18"/>
              </w:rPr>
            </w:pPr>
            <w:r>
              <w:rPr>
                <w:rFonts w:ascii="宋体" w:hAnsi="宋体" w:hint="eastAsia"/>
                <w:bCs/>
                <w:sz w:val="18"/>
                <w:szCs w:val="18"/>
              </w:rPr>
              <w:t>（2）收费方式</w:t>
            </w:r>
          </w:p>
          <w:p w:rsidR="00E039EF" w:rsidRDefault="003F2D22">
            <w:pPr>
              <w:spacing w:line="360" w:lineRule="auto"/>
              <w:rPr>
                <w:rFonts w:ascii="宋体" w:hAnsi="宋体"/>
                <w:bCs/>
                <w:sz w:val="18"/>
                <w:szCs w:val="18"/>
              </w:rPr>
            </w:pPr>
            <w:r>
              <w:rPr>
                <w:rFonts w:ascii="宋体" w:hAnsi="宋体" w:hint="eastAsia"/>
                <w:bCs/>
                <w:sz w:val="18"/>
                <w:szCs w:val="18"/>
              </w:rPr>
              <w:t>（3）销售服务费</w:t>
            </w:r>
          </w:p>
          <w:p w:rsidR="00E039EF" w:rsidRDefault="003F2D22">
            <w:pPr>
              <w:spacing w:line="360" w:lineRule="auto"/>
              <w:rPr>
                <w:rFonts w:ascii="宋体" w:hAnsi="宋体"/>
                <w:bCs/>
                <w:sz w:val="18"/>
                <w:szCs w:val="18"/>
              </w:rPr>
            </w:pPr>
            <w:r>
              <w:rPr>
                <w:rFonts w:ascii="宋体" w:hAnsi="宋体" w:hint="eastAsia"/>
                <w:bCs/>
                <w:sz w:val="18"/>
                <w:szCs w:val="18"/>
              </w:rPr>
              <w:t>（4）销售代码</w:t>
            </w:r>
          </w:p>
          <w:p w:rsidR="00E039EF" w:rsidRDefault="003F2D22">
            <w:pPr>
              <w:spacing w:line="360" w:lineRule="auto"/>
              <w:rPr>
                <w:rFonts w:ascii="宋体" w:hAnsi="宋体"/>
                <w:bCs/>
                <w:sz w:val="18"/>
                <w:szCs w:val="18"/>
              </w:rPr>
            </w:pPr>
            <w:r>
              <w:rPr>
                <w:rFonts w:ascii="宋体" w:hAnsi="宋体" w:hint="eastAsia"/>
                <w:bCs/>
                <w:sz w:val="18"/>
                <w:szCs w:val="18"/>
              </w:rPr>
              <w:t>（5）销售对象</w:t>
            </w:r>
          </w:p>
          <w:p w:rsidR="00E039EF" w:rsidRDefault="003F2D22">
            <w:pPr>
              <w:spacing w:line="360" w:lineRule="auto"/>
              <w:rPr>
                <w:rFonts w:ascii="宋体" w:hAnsi="宋体"/>
                <w:bCs/>
                <w:sz w:val="18"/>
                <w:szCs w:val="18"/>
              </w:rPr>
            </w:pPr>
            <w:r>
              <w:rPr>
                <w:rFonts w:ascii="宋体" w:hAnsi="宋体" w:hint="eastAsia"/>
                <w:bCs/>
                <w:sz w:val="18"/>
                <w:szCs w:val="18"/>
              </w:rPr>
              <w:t>（6）销售起点金额（认购、申购的起点金额）</w:t>
            </w:r>
          </w:p>
          <w:p w:rsidR="00E039EF" w:rsidRDefault="003F2D22">
            <w:pPr>
              <w:spacing w:line="360" w:lineRule="auto"/>
              <w:rPr>
                <w:rFonts w:ascii="宋体" w:hAnsi="宋体"/>
                <w:bCs/>
                <w:sz w:val="18"/>
                <w:szCs w:val="18"/>
              </w:rPr>
            </w:pPr>
            <w:r>
              <w:rPr>
                <w:rFonts w:ascii="宋体" w:hAnsi="宋体" w:hint="eastAsia"/>
                <w:bCs/>
                <w:sz w:val="18"/>
                <w:szCs w:val="18"/>
              </w:rPr>
              <w:t>（7）投资者认购、申购和赎回的数量限制</w:t>
            </w:r>
          </w:p>
          <w:p w:rsidR="00E039EF" w:rsidRDefault="003F2D22">
            <w:pPr>
              <w:spacing w:line="360" w:lineRule="auto"/>
              <w:rPr>
                <w:rFonts w:ascii="宋体" w:hAnsi="宋体"/>
                <w:bCs/>
                <w:sz w:val="18"/>
                <w:szCs w:val="18"/>
              </w:rPr>
            </w:pPr>
            <w:r>
              <w:rPr>
                <w:rFonts w:ascii="宋体" w:hAnsi="宋体" w:hint="eastAsia"/>
                <w:bCs/>
                <w:sz w:val="18"/>
                <w:szCs w:val="18"/>
              </w:rPr>
              <w:t>（8）投资者</w:t>
            </w:r>
            <w:r>
              <w:rPr>
                <w:rFonts w:asciiTheme="minorEastAsia" w:hAnsiTheme="minorEastAsia" w:hint="eastAsia"/>
                <w:bCs/>
                <w:sz w:val="18"/>
                <w:szCs w:val="18"/>
              </w:rPr>
              <w:t>持有本产品的最高限额、最低限额</w:t>
            </w:r>
          </w:p>
          <w:p w:rsidR="00E039EF" w:rsidRDefault="003F2D22">
            <w:pPr>
              <w:spacing w:line="360" w:lineRule="auto"/>
              <w:rPr>
                <w:rFonts w:ascii="宋体" w:hAnsi="宋体"/>
                <w:bCs/>
                <w:sz w:val="18"/>
                <w:szCs w:val="18"/>
              </w:rPr>
            </w:pPr>
            <w:r>
              <w:rPr>
                <w:rFonts w:ascii="宋体" w:hAnsi="宋体" w:hint="eastAsia"/>
                <w:bCs/>
                <w:sz w:val="18"/>
                <w:szCs w:val="18"/>
              </w:rPr>
              <w:t>（9）分别计算和公告产品份额净值</w:t>
            </w:r>
          </w:p>
          <w:p w:rsidR="00E039EF" w:rsidRDefault="003F2D22">
            <w:pPr>
              <w:spacing w:line="360" w:lineRule="auto"/>
              <w:rPr>
                <w:rFonts w:ascii="宋体" w:hAnsi="宋体"/>
                <w:bCs/>
                <w:sz w:val="18"/>
                <w:szCs w:val="18"/>
              </w:rPr>
            </w:pPr>
            <w:r>
              <w:rPr>
                <w:rFonts w:ascii="宋体" w:hAnsi="宋体"/>
                <w:bCs/>
                <w:sz w:val="18"/>
                <w:szCs w:val="18"/>
              </w:rPr>
              <w:t>3</w:t>
            </w:r>
            <w:r>
              <w:rPr>
                <w:rFonts w:ascii="宋体" w:hAnsi="宋体" w:hint="eastAsia"/>
                <w:bCs/>
                <w:sz w:val="18"/>
                <w:szCs w:val="18"/>
              </w:rPr>
              <w:t>.投资者可根据实际情况自行选择认购的产品份额类别。</w:t>
            </w:r>
          </w:p>
          <w:p w:rsidR="00E039EF" w:rsidRDefault="003F2D22">
            <w:pPr>
              <w:spacing w:line="360" w:lineRule="auto"/>
              <w:rPr>
                <w:rFonts w:ascii="宋体" w:hAnsi="宋体"/>
                <w:b/>
                <w:bCs/>
                <w:sz w:val="18"/>
                <w:szCs w:val="18"/>
              </w:rPr>
            </w:pPr>
            <w:r>
              <w:rPr>
                <w:rFonts w:ascii="黑体" w:eastAsia="黑体" w:hAnsi="黑体" w:hint="eastAsia"/>
                <w:sz w:val="18"/>
                <w:szCs w:val="18"/>
              </w:rPr>
              <w:t>注：本产品说明书所列示产品份额类别仅为本产品项下某一类产品份额。其他类别的产品份额情况以产品管理人披露为准。</w:t>
            </w:r>
          </w:p>
        </w:tc>
      </w:tr>
      <w:tr w:rsidR="00E039EF">
        <w:trPr>
          <w:trHeight w:val="275"/>
          <w:jc w:val="center"/>
        </w:trPr>
        <w:tc>
          <w:tcPr>
            <w:tcW w:w="1970" w:type="dxa"/>
            <w:shd w:val="solid" w:color="FFFFFF" w:fill="FFFFFF"/>
            <w:vAlign w:val="center"/>
          </w:tcPr>
          <w:p w:rsidR="00E039EF" w:rsidRDefault="003F2D22">
            <w:pPr>
              <w:spacing w:line="360" w:lineRule="auto"/>
              <w:jc w:val="left"/>
              <w:rPr>
                <w:rFonts w:hAnsi="宋体"/>
                <w:sz w:val="18"/>
                <w:szCs w:val="18"/>
              </w:rPr>
            </w:pPr>
            <w:r>
              <w:rPr>
                <w:rFonts w:hAnsi="宋体" w:hint="eastAsia"/>
                <w:sz w:val="18"/>
                <w:szCs w:val="18"/>
              </w:rPr>
              <w:t>★</w:t>
            </w:r>
            <w:r>
              <w:rPr>
                <w:rFonts w:asciiTheme="majorEastAsia" w:eastAsiaTheme="majorEastAsia" w:hAnsiTheme="majorEastAsia" w:hint="eastAsia"/>
                <w:b/>
                <w:sz w:val="18"/>
                <w:szCs w:val="18"/>
              </w:rPr>
              <w:t>产品基本类型</w:t>
            </w:r>
          </w:p>
        </w:tc>
        <w:tc>
          <w:tcPr>
            <w:tcW w:w="7674" w:type="dxa"/>
            <w:shd w:val="solid" w:color="FFFFFF" w:fill="FFFFFF"/>
            <w:vAlign w:val="center"/>
          </w:tcPr>
          <w:p w:rsidR="00E039EF" w:rsidRDefault="003F2D22">
            <w:pPr>
              <w:spacing w:line="360" w:lineRule="auto"/>
              <w:rPr>
                <w:rFonts w:ascii="宋体" w:hAnsi="宋体"/>
                <w:bCs/>
                <w:sz w:val="18"/>
                <w:szCs w:val="18"/>
              </w:rPr>
            </w:pPr>
            <w:r>
              <w:rPr>
                <w:rFonts w:asciiTheme="majorEastAsia" w:eastAsiaTheme="majorEastAsia" w:hAnsiTheme="majorEastAsia" w:hint="eastAsia"/>
                <w:sz w:val="18"/>
                <w:szCs w:val="18"/>
              </w:rPr>
              <w:t>公募</w:t>
            </w:r>
            <w:r>
              <w:rPr>
                <w:rFonts w:ascii="宋体" w:hAnsi="宋体" w:hint="eastAsia"/>
                <w:bCs/>
                <w:sz w:val="18"/>
                <w:szCs w:val="18"/>
              </w:rPr>
              <w:t>、封闭式、固定</w:t>
            </w:r>
            <w:r>
              <w:rPr>
                <w:rFonts w:ascii="宋体" w:hAnsi="宋体"/>
                <w:bCs/>
                <w:sz w:val="18"/>
                <w:szCs w:val="18"/>
              </w:rPr>
              <w:t>收益</w:t>
            </w:r>
            <w:r>
              <w:rPr>
                <w:rFonts w:ascii="宋体" w:hAnsi="宋体" w:hint="eastAsia"/>
                <w:bCs/>
                <w:sz w:val="18"/>
                <w:szCs w:val="18"/>
              </w:rPr>
              <w:t>类、非保本浮动</w:t>
            </w:r>
            <w:r>
              <w:rPr>
                <w:rFonts w:ascii="宋体" w:hAnsi="宋体"/>
                <w:bCs/>
                <w:sz w:val="18"/>
                <w:szCs w:val="18"/>
              </w:rPr>
              <w:t>收益</w:t>
            </w:r>
            <w:r>
              <w:rPr>
                <w:rFonts w:ascii="宋体" w:hAnsi="宋体" w:hint="eastAsia"/>
                <w:bCs/>
                <w:sz w:val="18"/>
                <w:szCs w:val="18"/>
              </w:rPr>
              <w:t>、净值型</w:t>
            </w:r>
          </w:p>
        </w:tc>
      </w:tr>
      <w:tr w:rsidR="00E039EF">
        <w:trPr>
          <w:trHeight w:val="275"/>
          <w:jc w:val="center"/>
        </w:trPr>
        <w:tc>
          <w:tcPr>
            <w:tcW w:w="1970" w:type="dxa"/>
            <w:shd w:val="solid" w:color="FFFFFF" w:fill="FFFFFF"/>
            <w:vAlign w:val="center"/>
          </w:tcPr>
          <w:p w:rsidR="00E039EF" w:rsidRDefault="003F2D22">
            <w:pPr>
              <w:spacing w:line="360" w:lineRule="auto"/>
              <w:jc w:val="left"/>
              <w:rPr>
                <w:rFonts w:ascii="宋体" w:hAnsi="宋体"/>
                <w:b/>
                <w:bCs/>
                <w:sz w:val="18"/>
                <w:szCs w:val="18"/>
              </w:rPr>
            </w:pPr>
            <w:r>
              <w:rPr>
                <w:rFonts w:asciiTheme="majorEastAsia" w:eastAsiaTheme="majorEastAsia" w:hAnsiTheme="majorEastAsia" w:hint="eastAsia"/>
                <w:b/>
                <w:sz w:val="18"/>
                <w:szCs w:val="18"/>
              </w:rPr>
              <w:t>产品募集方式</w:t>
            </w:r>
          </w:p>
        </w:tc>
        <w:tc>
          <w:tcPr>
            <w:tcW w:w="7674" w:type="dxa"/>
            <w:shd w:val="solid" w:color="FFFFFF" w:fill="FFFFFF"/>
            <w:vAlign w:val="center"/>
          </w:tcPr>
          <w:p w:rsidR="00E039EF" w:rsidRDefault="003F2D22">
            <w:pPr>
              <w:spacing w:line="360" w:lineRule="auto"/>
              <w:rPr>
                <w:rFonts w:ascii="宋体" w:hAnsi="宋体"/>
                <w:bCs/>
                <w:sz w:val="18"/>
                <w:szCs w:val="18"/>
              </w:rPr>
            </w:pPr>
            <w:r>
              <w:rPr>
                <w:rFonts w:asciiTheme="majorEastAsia" w:eastAsiaTheme="majorEastAsia" w:hAnsiTheme="majorEastAsia" w:hint="eastAsia"/>
                <w:sz w:val="18"/>
                <w:szCs w:val="18"/>
              </w:rPr>
              <w:t>公募</w:t>
            </w:r>
          </w:p>
        </w:tc>
      </w:tr>
      <w:tr w:rsidR="00E039EF">
        <w:trPr>
          <w:trHeight w:val="275"/>
          <w:jc w:val="center"/>
        </w:trPr>
        <w:tc>
          <w:tcPr>
            <w:tcW w:w="1970" w:type="dxa"/>
            <w:shd w:val="solid" w:color="FFFFFF" w:fill="FFFFFF"/>
            <w:vAlign w:val="center"/>
          </w:tcPr>
          <w:p w:rsidR="00E039EF" w:rsidRDefault="003F2D22">
            <w:pPr>
              <w:spacing w:line="360" w:lineRule="auto"/>
              <w:jc w:val="left"/>
              <w:rPr>
                <w:rFonts w:ascii="宋体" w:hAnsi="宋体"/>
                <w:b/>
                <w:bCs/>
                <w:sz w:val="18"/>
                <w:szCs w:val="18"/>
              </w:rPr>
            </w:pPr>
            <w:r>
              <w:rPr>
                <w:rFonts w:asciiTheme="majorEastAsia" w:eastAsiaTheme="majorEastAsia" w:hAnsiTheme="majorEastAsia" w:hint="eastAsia"/>
                <w:b/>
                <w:sz w:val="18"/>
                <w:szCs w:val="18"/>
              </w:rPr>
              <w:t>产品运作方式</w:t>
            </w:r>
          </w:p>
        </w:tc>
        <w:tc>
          <w:tcPr>
            <w:tcW w:w="7674" w:type="dxa"/>
            <w:shd w:val="solid" w:color="FFFFFF" w:fill="FFFFFF"/>
            <w:vAlign w:val="center"/>
          </w:tcPr>
          <w:p w:rsidR="00E039EF" w:rsidRDefault="003F2D22">
            <w:pPr>
              <w:spacing w:line="360" w:lineRule="auto"/>
              <w:rPr>
                <w:rFonts w:ascii="宋体" w:hAnsi="宋体"/>
                <w:bCs/>
                <w:sz w:val="18"/>
                <w:szCs w:val="18"/>
              </w:rPr>
            </w:pPr>
            <w:r>
              <w:rPr>
                <w:rFonts w:ascii="宋体" w:hAnsi="宋体" w:hint="eastAsia"/>
                <w:bCs/>
                <w:sz w:val="18"/>
                <w:szCs w:val="18"/>
              </w:rPr>
              <w:t>封闭式</w:t>
            </w:r>
          </w:p>
        </w:tc>
      </w:tr>
      <w:tr w:rsidR="00E039EF">
        <w:trPr>
          <w:trHeight w:val="275"/>
          <w:jc w:val="center"/>
        </w:trPr>
        <w:tc>
          <w:tcPr>
            <w:tcW w:w="1970" w:type="dxa"/>
            <w:shd w:val="solid" w:color="FFFFFF" w:fill="FFFFFF"/>
            <w:vAlign w:val="center"/>
          </w:tcPr>
          <w:p w:rsidR="00E039EF" w:rsidRDefault="003F2D22">
            <w:pPr>
              <w:spacing w:line="360" w:lineRule="auto"/>
              <w:jc w:val="left"/>
              <w:rPr>
                <w:rFonts w:ascii="宋体" w:hAnsi="宋体"/>
                <w:b/>
                <w:bCs/>
                <w:sz w:val="18"/>
                <w:szCs w:val="18"/>
              </w:rPr>
            </w:pPr>
            <w:r>
              <w:rPr>
                <w:rFonts w:asciiTheme="majorEastAsia" w:eastAsiaTheme="majorEastAsia" w:hAnsiTheme="majorEastAsia" w:hint="eastAsia"/>
                <w:b/>
                <w:sz w:val="18"/>
                <w:szCs w:val="18"/>
              </w:rPr>
              <w:t>产品投资性质</w:t>
            </w:r>
          </w:p>
        </w:tc>
        <w:tc>
          <w:tcPr>
            <w:tcW w:w="7674" w:type="dxa"/>
            <w:shd w:val="solid" w:color="FFFFFF" w:fill="FFFFFF"/>
            <w:vAlign w:val="center"/>
          </w:tcPr>
          <w:p w:rsidR="00E039EF" w:rsidRDefault="003F2D22">
            <w:pPr>
              <w:adjustRightInd w:val="0"/>
              <w:snapToGrid w:val="0"/>
              <w:spacing w:line="360" w:lineRule="auto"/>
              <w:rPr>
                <w:rFonts w:asciiTheme="majorEastAsia" w:eastAsiaTheme="majorEastAsia" w:hAnsiTheme="majorEastAsia"/>
                <w:b/>
                <w:color w:val="000000" w:themeColor="text1"/>
                <w:sz w:val="18"/>
                <w:szCs w:val="18"/>
              </w:rPr>
            </w:pPr>
            <w:r>
              <w:rPr>
                <w:rFonts w:asciiTheme="majorEastAsia" w:eastAsiaTheme="majorEastAsia" w:hAnsiTheme="majorEastAsia" w:hint="eastAsia"/>
                <w:b/>
                <w:color w:val="000000" w:themeColor="text1"/>
                <w:sz w:val="18"/>
                <w:szCs w:val="18"/>
              </w:rPr>
              <w:t>固定收益类</w:t>
            </w:r>
          </w:p>
          <w:p w:rsidR="00E039EF" w:rsidRDefault="003F2D22">
            <w:pPr>
              <w:adjustRightInd w:val="0"/>
              <w:snapToGrid w:val="0"/>
              <w:spacing w:line="360" w:lineRule="auto"/>
              <w:rPr>
                <w:rFonts w:ascii="宋体" w:hAnsi="宋体"/>
                <w:bCs/>
                <w:sz w:val="18"/>
                <w:szCs w:val="18"/>
              </w:rPr>
            </w:pPr>
            <w:r>
              <w:rPr>
                <w:rFonts w:asciiTheme="majorEastAsia" w:eastAsiaTheme="majorEastAsia" w:hAnsiTheme="majorEastAsia" w:hint="eastAsia"/>
                <w:sz w:val="18"/>
                <w:szCs w:val="18"/>
              </w:rPr>
              <w:t>固定</w:t>
            </w:r>
            <w:r>
              <w:rPr>
                <w:rFonts w:asciiTheme="majorEastAsia" w:eastAsiaTheme="majorEastAsia" w:hAnsiTheme="majorEastAsia"/>
                <w:sz w:val="18"/>
                <w:szCs w:val="18"/>
              </w:rPr>
              <w:t>收益</w:t>
            </w:r>
            <w:r>
              <w:rPr>
                <w:rFonts w:asciiTheme="majorEastAsia" w:eastAsiaTheme="majorEastAsia" w:hAnsiTheme="majorEastAsia" w:hint="eastAsia"/>
                <w:sz w:val="18"/>
                <w:szCs w:val="18"/>
              </w:rPr>
              <w:t>类</w:t>
            </w:r>
            <w:r>
              <w:rPr>
                <w:rFonts w:asciiTheme="majorEastAsia" w:eastAsiaTheme="majorEastAsia" w:hAnsiTheme="majorEastAsia"/>
                <w:sz w:val="18"/>
                <w:szCs w:val="18"/>
              </w:rPr>
              <w:t>产品是指根据监管</w:t>
            </w:r>
            <w:r>
              <w:rPr>
                <w:rFonts w:asciiTheme="majorEastAsia" w:eastAsiaTheme="majorEastAsia" w:hAnsiTheme="majorEastAsia" w:hint="eastAsia"/>
                <w:sz w:val="18"/>
                <w:szCs w:val="18"/>
              </w:rPr>
              <w:t>相关规定</w:t>
            </w:r>
            <w:r>
              <w:rPr>
                <w:rFonts w:asciiTheme="majorEastAsia" w:eastAsiaTheme="majorEastAsia" w:hAnsiTheme="majorEastAsia"/>
                <w:sz w:val="18"/>
                <w:szCs w:val="18"/>
              </w:rPr>
              <w:t>，投资于</w:t>
            </w:r>
            <w:r>
              <w:rPr>
                <w:rFonts w:asciiTheme="majorEastAsia" w:eastAsiaTheme="majorEastAsia" w:hAnsiTheme="majorEastAsia" w:hint="eastAsia"/>
                <w:sz w:val="18"/>
                <w:szCs w:val="18"/>
              </w:rPr>
              <w:t>存款</w:t>
            </w:r>
            <w:r>
              <w:rPr>
                <w:rFonts w:asciiTheme="majorEastAsia" w:eastAsiaTheme="majorEastAsia" w:hAnsiTheme="majorEastAsia"/>
                <w:sz w:val="18"/>
                <w:szCs w:val="18"/>
              </w:rPr>
              <w:t>、债券等债权类资产的</w:t>
            </w:r>
            <w:r>
              <w:rPr>
                <w:rFonts w:asciiTheme="majorEastAsia" w:eastAsiaTheme="majorEastAsia" w:hAnsiTheme="majorEastAsia" w:hint="eastAsia"/>
                <w:sz w:val="18"/>
                <w:szCs w:val="18"/>
              </w:rPr>
              <w:t>比例</w:t>
            </w:r>
            <w:r>
              <w:rPr>
                <w:rFonts w:asciiTheme="majorEastAsia" w:eastAsiaTheme="majorEastAsia" w:hAnsiTheme="majorEastAsia"/>
                <w:sz w:val="18"/>
                <w:szCs w:val="18"/>
              </w:rPr>
              <w:t>不低于80%的产</w:t>
            </w:r>
            <w:r>
              <w:rPr>
                <w:rFonts w:asciiTheme="majorEastAsia" w:eastAsiaTheme="majorEastAsia" w:hAnsiTheme="majorEastAsia"/>
                <w:sz w:val="18"/>
                <w:szCs w:val="18"/>
              </w:rPr>
              <w:lastRenderedPageBreak/>
              <w:t>品</w:t>
            </w:r>
            <w:r>
              <w:rPr>
                <w:rFonts w:ascii="宋体" w:hAnsi="宋体" w:hint="eastAsia"/>
                <w:bCs/>
                <w:sz w:val="18"/>
                <w:szCs w:val="18"/>
              </w:rPr>
              <w:t>。</w:t>
            </w:r>
          </w:p>
        </w:tc>
      </w:tr>
      <w:tr w:rsidR="00E039EF">
        <w:trPr>
          <w:trHeight w:val="275"/>
          <w:jc w:val="center"/>
        </w:trPr>
        <w:tc>
          <w:tcPr>
            <w:tcW w:w="1970" w:type="dxa"/>
            <w:shd w:val="solid" w:color="FFFFFF" w:fill="FFFFFF"/>
            <w:vAlign w:val="center"/>
          </w:tcPr>
          <w:p w:rsidR="00E039EF" w:rsidRDefault="003F2D22">
            <w:pPr>
              <w:spacing w:line="360" w:lineRule="auto"/>
              <w:jc w:val="left"/>
              <w:rPr>
                <w:rFonts w:asciiTheme="majorEastAsia" w:eastAsiaTheme="majorEastAsia" w:hAnsiTheme="majorEastAsia"/>
                <w:b/>
                <w:sz w:val="18"/>
                <w:szCs w:val="18"/>
              </w:rPr>
            </w:pPr>
            <w:r>
              <w:rPr>
                <w:rFonts w:asciiTheme="majorEastAsia" w:eastAsiaTheme="majorEastAsia" w:hAnsiTheme="majorEastAsia" w:hint="eastAsia"/>
                <w:b/>
                <w:sz w:val="18"/>
                <w:szCs w:val="18"/>
              </w:rPr>
              <w:lastRenderedPageBreak/>
              <w:t>产品</w:t>
            </w:r>
            <w:r>
              <w:rPr>
                <w:rFonts w:asciiTheme="majorEastAsia" w:eastAsiaTheme="majorEastAsia" w:hAnsiTheme="majorEastAsia"/>
                <w:b/>
                <w:sz w:val="18"/>
                <w:szCs w:val="18"/>
              </w:rPr>
              <w:t>收益特征</w:t>
            </w:r>
          </w:p>
        </w:tc>
        <w:tc>
          <w:tcPr>
            <w:tcW w:w="7674" w:type="dxa"/>
            <w:shd w:val="solid" w:color="FFFFFF" w:fill="FFFFFF"/>
            <w:vAlign w:val="center"/>
          </w:tcPr>
          <w:p w:rsidR="00E039EF" w:rsidRDefault="003F2D22">
            <w:pPr>
              <w:adjustRightInd w:val="0"/>
              <w:snapToGrid w:val="0"/>
              <w:spacing w:line="360" w:lineRule="auto"/>
              <w:rPr>
                <w:rFonts w:asciiTheme="majorEastAsia" w:eastAsiaTheme="majorEastAsia" w:hAnsiTheme="majorEastAsia"/>
                <w:b/>
                <w:sz w:val="18"/>
                <w:szCs w:val="18"/>
              </w:rPr>
            </w:pPr>
            <w:r>
              <w:rPr>
                <w:rFonts w:asciiTheme="majorEastAsia" w:eastAsiaTheme="majorEastAsia" w:hAnsiTheme="majorEastAsia" w:hint="eastAsia"/>
                <w:b/>
                <w:sz w:val="18"/>
                <w:szCs w:val="18"/>
              </w:rPr>
              <w:t>非保本浮动收益</w:t>
            </w:r>
          </w:p>
          <w:p w:rsidR="00E039EF" w:rsidRDefault="003F2D22">
            <w:pPr>
              <w:adjustRightInd w:val="0"/>
              <w:snapToGrid w:val="0"/>
              <w:spacing w:line="360" w:lineRule="auto"/>
              <w:rPr>
                <w:rFonts w:asciiTheme="majorEastAsia" w:eastAsiaTheme="majorEastAsia" w:hAnsiTheme="majorEastAsia"/>
                <w:sz w:val="18"/>
                <w:szCs w:val="18"/>
              </w:rPr>
            </w:pPr>
            <w:r>
              <w:rPr>
                <w:rFonts w:asciiTheme="majorEastAsia" w:eastAsiaTheme="majorEastAsia" w:hAnsiTheme="majorEastAsia" w:hint="eastAsia"/>
                <w:sz w:val="18"/>
                <w:szCs w:val="18"/>
              </w:rPr>
              <w:t>本产品不保证本金且不保证收益。本产品的收益随投资收益浮动，投资者可能会因市场变动而蒙受损失。</w:t>
            </w:r>
          </w:p>
          <w:p w:rsidR="00E039EF" w:rsidRDefault="003F2D22">
            <w:pPr>
              <w:adjustRightInd w:val="0"/>
              <w:snapToGrid w:val="0"/>
              <w:spacing w:line="360" w:lineRule="auto"/>
              <w:rPr>
                <w:rFonts w:asciiTheme="majorEastAsia" w:eastAsiaTheme="majorEastAsia" w:hAnsiTheme="majorEastAsia"/>
                <w:b/>
                <w:color w:val="000000" w:themeColor="text1"/>
                <w:sz w:val="18"/>
                <w:szCs w:val="18"/>
              </w:rPr>
            </w:pPr>
            <w:r>
              <w:rPr>
                <w:rFonts w:ascii="宋体" w:hAnsi="宋体" w:hint="eastAsia"/>
                <w:b/>
                <w:sz w:val="18"/>
                <w:szCs w:val="18"/>
              </w:rPr>
              <w:t>产品管理人对本产品的本金并不提供保证，也不承诺任何固定收益。</w:t>
            </w:r>
          </w:p>
        </w:tc>
      </w:tr>
      <w:tr w:rsidR="00E039EF">
        <w:trPr>
          <w:trHeight w:val="275"/>
          <w:jc w:val="center"/>
        </w:trPr>
        <w:tc>
          <w:tcPr>
            <w:tcW w:w="1970" w:type="dxa"/>
            <w:shd w:val="solid" w:color="FFFFFF" w:fill="FFFFFF"/>
            <w:vAlign w:val="center"/>
          </w:tcPr>
          <w:p w:rsidR="00E039EF" w:rsidRDefault="003F2D22">
            <w:pPr>
              <w:spacing w:line="360" w:lineRule="auto"/>
              <w:jc w:val="left"/>
              <w:rPr>
                <w:rFonts w:ascii="宋体" w:hAnsi="宋体"/>
                <w:b/>
                <w:bCs/>
                <w:sz w:val="18"/>
                <w:szCs w:val="18"/>
              </w:rPr>
            </w:pPr>
            <w:r>
              <w:rPr>
                <w:rFonts w:asciiTheme="majorEastAsia" w:eastAsiaTheme="majorEastAsia" w:hAnsiTheme="majorEastAsia" w:hint="eastAsia"/>
                <w:b/>
                <w:sz w:val="18"/>
                <w:szCs w:val="18"/>
              </w:rPr>
              <w:t>理财币种</w:t>
            </w:r>
          </w:p>
        </w:tc>
        <w:tc>
          <w:tcPr>
            <w:tcW w:w="7674" w:type="dxa"/>
            <w:shd w:val="solid" w:color="FFFFFF" w:fill="FFFFFF"/>
            <w:vAlign w:val="center"/>
          </w:tcPr>
          <w:p w:rsidR="00E039EF" w:rsidRDefault="003F2D22">
            <w:pPr>
              <w:spacing w:line="360" w:lineRule="auto"/>
              <w:rPr>
                <w:rFonts w:ascii="宋体" w:hAnsi="宋体"/>
                <w:bCs/>
                <w:sz w:val="18"/>
                <w:szCs w:val="18"/>
              </w:rPr>
            </w:pPr>
            <w:r>
              <w:rPr>
                <w:rFonts w:asciiTheme="majorEastAsia" w:eastAsiaTheme="majorEastAsia" w:hAnsiTheme="majorEastAsia" w:hint="eastAsia"/>
                <w:sz w:val="18"/>
                <w:szCs w:val="18"/>
              </w:rPr>
              <w:t>人民币</w:t>
            </w:r>
          </w:p>
        </w:tc>
      </w:tr>
      <w:tr w:rsidR="00E039EF">
        <w:trPr>
          <w:trHeight w:val="275"/>
          <w:jc w:val="center"/>
        </w:trPr>
        <w:tc>
          <w:tcPr>
            <w:tcW w:w="1970" w:type="dxa"/>
            <w:shd w:val="solid" w:color="FFFFFF" w:fill="FFFFFF"/>
            <w:vAlign w:val="center"/>
          </w:tcPr>
          <w:p w:rsidR="00E039EF" w:rsidRDefault="003F2D22">
            <w:pPr>
              <w:spacing w:line="360" w:lineRule="auto"/>
              <w:jc w:val="left"/>
              <w:rPr>
                <w:rFonts w:ascii="宋体" w:hAnsi="宋体"/>
                <w:b/>
                <w:bCs/>
                <w:sz w:val="18"/>
                <w:szCs w:val="18"/>
              </w:rPr>
            </w:pPr>
            <w:r>
              <w:rPr>
                <w:rFonts w:hAnsi="宋体" w:hint="eastAsia"/>
                <w:sz w:val="18"/>
                <w:szCs w:val="18"/>
              </w:rPr>
              <w:t>★</w:t>
            </w:r>
            <w:r>
              <w:rPr>
                <w:rFonts w:asciiTheme="majorEastAsia" w:eastAsiaTheme="majorEastAsia" w:hAnsiTheme="majorEastAsia" w:hint="eastAsia"/>
                <w:b/>
                <w:bCs/>
                <w:sz w:val="18"/>
                <w:szCs w:val="18"/>
              </w:rPr>
              <w:t>产品风险评级</w:t>
            </w:r>
          </w:p>
        </w:tc>
        <w:tc>
          <w:tcPr>
            <w:tcW w:w="7674" w:type="dxa"/>
            <w:shd w:val="solid" w:color="FFFFFF" w:fill="FFFFFF"/>
          </w:tcPr>
          <w:p w:rsidR="00E039EF" w:rsidRDefault="003F2D22">
            <w:pPr>
              <w:spacing w:line="360" w:lineRule="auto"/>
              <w:rPr>
                <w:rFonts w:asciiTheme="majorEastAsia" w:eastAsiaTheme="majorEastAsia" w:hAnsiTheme="majorEastAsia"/>
                <w:bCs/>
                <w:sz w:val="18"/>
                <w:szCs w:val="18"/>
              </w:rPr>
            </w:pPr>
            <w:r>
              <w:rPr>
                <w:rFonts w:asciiTheme="majorEastAsia" w:eastAsiaTheme="majorEastAsia" w:hAnsiTheme="majorEastAsia" w:hint="eastAsia"/>
                <w:bCs/>
                <w:sz w:val="18"/>
                <w:szCs w:val="18"/>
              </w:rPr>
              <w:t>本产品属于【□</w:t>
            </w:r>
            <w:r>
              <w:rPr>
                <w:rFonts w:asciiTheme="majorEastAsia" w:eastAsiaTheme="majorEastAsia" w:hAnsiTheme="majorEastAsia"/>
                <w:bCs/>
                <w:sz w:val="18"/>
                <w:szCs w:val="18"/>
              </w:rPr>
              <w:t>R1、</w:t>
            </w:r>
            <w:r>
              <w:rPr>
                <w:rFonts w:asciiTheme="majorEastAsia" w:eastAsiaTheme="majorEastAsia" w:hAnsiTheme="majorEastAsia" w:hint="eastAsia"/>
                <w:bCs/>
                <w:sz w:val="18"/>
                <w:szCs w:val="18"/>
              </w:rPr>
              <w:t>■</w:t>
            </w:r>
            <w:r>
              <w:rPr>
                <w:rFonts w:asciiTheme="majorEastAsia" w:eastAsiaTheme="majorEastAsia" w:hAnsiTheme="majorEastAsia"/>
                <w:bCs/>
                <w:sz w:val="18"/>
                <w:szCs w:val="18"/>
              </w:rPr>
              <w:t xml:space="preserve"> R2、</w:t>
            </w:r>
            <w:r>
              <w:rPr>
                <w:rFonts w:asciiTheme="majorEastAsia" w:eastAsiaTheme="majorEastAsia" w:hAnsiTheme="majorEastAsia" w:hint="eastAsia"/>
                <w:bCs/>
                <w:sz w:val="18"/>
                <w:szCs w:val="18"/>
              </w:rPr>
              <w:t>□</w:t>
            </w:r>
            <w:r>
              <w:rPr>
                <w:rFonts w:asciiTheme="majorEastAsia" w:eastAsiaTheme="majorEastAsia" w:hAnsiTheme="majorEastAsia"/>
                <w:bCs/>
                <w:sz w:val="18"/>
                <w:szCs w:val="18"/>
              </w:rPr>
              <w:t xml:space="preserve"> R3、</w:t>
            </w:r>
            <w:r>
              <w:rPr>
                <w:rFonts w:asciiTheme="majorEastAsia" w:eastAsiaTheme="majorEastAsia" w:hAnsiTheme="majorEastAsia" w:hint="eastAsia"/>
                <w:bCs/>
                <w:sz w:val="18"/>
                <w:szCs w:val="18"/>
              </w:rPr>
              <w:t>□</w:t>
            </w:r>
            <w:r>
              <w:rPr>
                <w:rFonts w:asciiTheme="majorEastAsia" w:eastAsiaTheme="majorEastAsia" w:hAnsiTheme="majorEastAsia"/>
                <w:bCs/>
                <w:sz w:val="18"/>
                <w:szCs w:val="18"/>
              </w:rPr>
              <w:t xml:space="preserve"> R4、</w:t>
            </w:r>
            <w:r>
              <w:rPr>
                <w:rFonts w:asciiTheme="majorEastAsia" w:eastAsiaTheme="majorEastAsia" w:hAnsiTheme="majorEastAsia" w:hint="eastAsia"/>
                <w:bCs/>
                <w:sz w:val="18"/>
                <w:szCs w:val="18"/>
              </w:rPr>
              <w:t>□</w:t>
            </w:r>
            <w:r>
              <w:rPr>
                <w:rFonts w:asciiTheme="majorEastAsia" w:eastAsiaTheme="majorEastAsia" w:hAnsiTheme="majorEastAsia"/>
                <w:bCs/>
                <w:sz w:val="18"/>
                <w:szCs w:val="18"/>
              </w:rPr>
              <w:t xml:space="preserve"> R5】理财产品</w:t>
            </w:r>
            <w:r>
              <w:rPr>
                <w:rFonts w:asciiTheme="majorEastAsia" w:eastAsiaTheme="majorEastAsia" w:hAnsiTheme="majorEastAsia" w:hint="eastAsia"/>
                <w:bCs/>
                <w:sz w:val="18"/>
                <w:szCs w:val="18"/>
              </w:rPr>
              <w:t>。</w:t>
            </w:r>
          </w:p>
          <w:p w:rsidR="00E039EF" w:rsidRDefault="003F2D22">
            <w:pPr>
              <w:spacing w:line="360" w:lineRule="auto"/>
              <w:rPr>
                <w:rFonts w:ascii="黑体" w:eastAsia="黑体" w:hAnsi="黑体"/>
                <w:sz w:val="18"/>
                <w:szCs w:val="18"/>
              </w:rPr>
            </w:pPr>
            <w:r>
              <w:rPr>
                <w:rFonts w:ascii="黑体" w:eastAsia="黑体" w:hAnsi="黑体" w:hint="eastAsia"/>
                <w:sz w:val="18"/>
                <w:szCs w:val="18"/>
              </w:rPr>
              <w:t>本评级为理财产品管理人内部评级，仅供参考。</w:t>
            </w:r>
          </w:p>
          <w:p w:rsidR="00E039EF" w:rsidRDefault="003F2D22">
            <w:pPr>
              <w:spacing w:line="360" w:lineRule="auto"/>
              <w:rPr>
                <w:rFonts w:ascii="宋体" w:hAnsi="宋体"/>
                <w:b/>
                <w:bCs/>
                <w:sz w:val="18"/>
                <w:szCs w:val="18"/>
              </w:rPr>
            </w:pPr>
            <w:r>
              <w:rPr>
                <w:rFonts w:ascii="黑体" w:eastAsia="黑体" w:hAnsi="黑体" w:hint="eastAsia"/>
                <w:bCs/>
                <w:sz w:val="18"/>
                <w:szCs w:val="18"/>
              </w:rPr>
              <w:t>注</w:t>
            </w:r>
            <w:r>
              <w:rPr>
                <w:rFonts w:ascii="黑体" w:eastAsia="黑体" w:hAnsi="黑体"/>
                <w:bCs/>
                <w:sz w:val="18"/>
                <w:szCs w:val="18"/>
              </w:rPr>
              <w:t>：</w:t>
            </w:r>
            <w:r>
              <w:rPr>
                <w:rFonts w:ascii="黑体" w:eastAsia="黑体" w:hAnsi="黑体" w:hint="eastAsia"/>
                <w:bCs/>
                <w:sz w:val="18"/>
                <w:szCs w:val="18"/>
              </w:rPr>
              <w:t>若本</w:t>
            </w:r>
            <w:r>
              <w:rPr>
                <w:rFonts w:ascii="黑体" w:eastAsia="黑体" w:hAnsi="黑体"/>
                <w:bCs/>
                <w:sz w:val="18"/>
                <w:szCs w:val="18"/>
              </w:rPr>
              <w:t>产品通过代理销售机构销售的，</w:t>
            </w:r>
            <w:r>
              <w:rPr>
                <w:rFonts w:ascii="黑体" w:eastAsia="黑体" w:hAnsi="黑体" w:hint="eastAsia"/>
                <w:bCs/>
                <w:sz w:val="18"/>
                <w:szCs w:val="18"/>
              </w:rPr>
              <w:t>理财产品</w:t>
            </w:r>
            <w:r>
              <w:rPr>
                <w:rFonts w:ascii="黑体" w:eastAsia="黑体" w:hAnsi="黑体"/>
                <w:bCs/>
                <w:sz w:val="18"/>
                <w:szCs w:val="18"/>
              </w:rPr>
              <w:t>评级</w:t>
            </w:r>
            <w:r>
              <w:rPr>
                <w:rFonts w:ascii="黑体" w:eastAsia="黑体" w:hAnsi="黑体" w:hint="eastAsia"/>
                <w:bCs/>
                <w:sz w:val="18"/>
                <w:szCs w:val="18"/>
              </w:rPr>
              <w:t>以</w:t>
            </w:r>
            <w:r>
              <w:rPr>
                <w:rFonts w:ascii="黑体" w:eastAsia="黑体" w:hAnsi="黑体"/>
                <w:bCs/>
                <w:sz w:val="18"/>
                <w:szCs w:val="18"/>
              </w:rPr>
              <w:t>代理销售机构最终披露的评级结果为准。</w:t>
            </w:r>
          </w:p>
        </w:tc>
      </w:tr>
      <w:tr w:rsidR="00E039EF">
        <w:trPr>
          <w:trHeight w:val="275"/>
          <w:jc w:val="center"/>
        </w:trPr>
        <w:tc>
          <w:tcPr>
            <w:tcW w:w="1970" w:type="dxa"/>
            <w:shd w:val="solid" w:color="FFFFFF" w:fill="FFFFFF"/>
            <w:vAlign w:val="center"/>
          </w:tcPr>
          <w:p w:rsidR="00E039EF" w:rsidRDefault="003F2D22">
            <w:pPr>
              <w:spacing w:line="360" w:lineRule="auto"/>
              <w:jc w:val="left"/>
              <w:rPr>
                <w:rFonts w:hAnsi="宋体"/>
                <w:sz w:val="18"/>
                <w:szCs w:val="18"/>
              </w:rPr>
            </w:pPr>
            <w:r>
              <w:rPr>
                <w:rFonts w:hAnsi="宋体" w:hint="eastAsia"/>
                <w:sz w:val="18"/>
                <w:szCs w:val="18"/>
              </w:rPr>
              <w:t>★</w:t>
            </w:r>
            <w:r>
              <w:rPr>
                <w:rFonts w:asciiTheme="majorEastAsia" w:eastAsiaTheme="majorEastAsia" w:hAnsiTheme="majorEastAsia" w:hint="eastAsia"/>
                <w:b/>
                <w:bCs/>
                <w:sz w:val="18"/>
                <w:szCs w:val="18"/>
              </w:rPr>
              <w:t>销售对象</w:t>
            </w:r>
          </w:p>
        </w:tc>
        <w:tc>
          <w:tcPr>
            <w:tcW w:w="7674" w:type="dxa"/>
            <w:shd w:val="solid" w:color="FFFFFF" w:fill="FFFFFF"/>
            <w:vAlign w:val="bottom"/>
          </w:tcPr>
          <w:p w:rsidR="00E039EF" w:rsidRDefault="003F2D22">
            <w:pPr>
              <w:spacing w:line="360" w:lineRule="auto"/>
              <w:rPr>
                <w:rFonts w:asciiTheme="majorEastAsia" w:eastAsiaTheme="majorEastAsia" w:hAnsiTheme="majorEastAsia"/>
                <w:bCs/>
                <w:color w:val="000000" w:themeColor="text1"/>
                <w:sz w:val="18"/>
                <w:szCs w:val="18"/>
              </w:rPr>
            </w:pPr>
            <w:r>
              <w:rPr>
                <w:rFonts w:asciiTheme="majorEastAsia" w:eastAsiaTheme="majorEastAsia" w:hAnsiTheme="majorEastAsia"/>
                <w:bCs/>
                <w:color w:val="000000" w:themeColor="text1"/>
                <w:sz w:val="18"/>
                <w:szCs w:val="18"/>
              </w:rPr>
              <w:t>本产品适合以下类型投资者：</w:t>
            </w:r>
          </w:p>
          <w:p w:rsidR="00E039EF" w:rsidRDefault="003F2D22">
            <w:pPr>
              <w:spacing w:line="360" w:lineRule="auto"/>
              <w:rPr>
                <w:rFonts w:asciiTheme="majorEastAsia" w:eastAsiaTheme="majorEastAsia" w:hAnsiTheme="majorEastAsia"/>
                <w:bCs/>
                <w:color w:val="000000" w:themeColor="text1"/>
                <w:sz w:val="18"/>
                <w:szCs w:val="18"/>
              </w:rPr>
            </w:pPr>
            <w:r>
              <w:rPr>
                <w:rFonts w:asciiTheme="majorEastAsia" w:eastAsiaTheme="majorEastAsia" w:hAnsiTheme="majorEastAsia" w:hint="eastAsia"/>
                <w:bCs/>
                <w:sz w:val="18"/>
                <w:szCs w:val="18"/>
              </w:rPr>
              <w:t>■</w:t>
            </w:r>
            <w:r>
              <w:rPr>
                <w:rFonts w:asciiTheme="majorEastAsia" w:eastAsiaTheme="majorEastAsia" w:hAnsiTheme="majorEastAsia" w:hint="eastAsia"/>
                <w:bCs/>
                <w:color w:val="000000" w:themeColor="text1"/>
                <w:sz w:val="18"/>
                <w:szCs w:val="18"/>
              </w:rPr>
              <w:t>个人投资者</w:t>
            </w:r>
          </w:p>
          <w:p w:rsidR="00E039EF" w:rsidRDefault="003F2D22">
            <w:pPr>
              <w:spacing w:line="360" w:lineRule="auto"/>
              <w:rPr>
                <w:rFonts w:asciiTheme="majorEastAsia" w:eastAsiaTheme="majorEastAsia" w:hAnsiTheme="majorEastAsia"/>
                <w:bCs/>
                <w:sz w:val="18"/>
                <w:szCs w:val="18"/>
              </w:rPr>
            </w:pPr>
            <w:r>
              <w:rPr>
                <w:rFonts w:asciiTheme="majorEastAsia" w:eastAsiaTheme="majorEastAsia" w:hAnsiTheme="majorEastAsia" w:hint="eastAsia"/>
                <w:bCs/>
                <w:color w:val="000000" w:themeColor="text1"/>
                <w:sz w:val="18"/>
                <w:szCs w:val="18"/>
              </w:rPr>
              <w:t>□机构投资者：□一般</w:t>
            </w:r>
            <w:r>
              <w:rPr>
                <w:rFonts w:asciiTheme="majorEastAsia" w:eastAsiaTheme="majorEastAsia" w:hAnsiTheme="majorEastAsia"/>
                <w:bCs/>
                <w:color w:val="000000" w:themeColor="text1"/>
                <w:sz w:val="18"/>
                <w:szCs w:val="18"/>
              </w:rPr>
              <w:t>机构</w:t>
            </w:r>
            <w:r>
              <w:rPr>
                <w:rFonts w:asciiTheme="majorEastAsia" w:eastAsiaTheme="majorEastAsia" w:hAnsiTheme="majorEastAsia" w:hint="eastAsia"/>
                <w:bCs/>
                <w:color w:val="000000" w:themeColor="text1"/>
                <w:sz w:val="18"/>
                <w:szCs w:val="18"/>
              </w:rPr>
              <w:t xml:space="preserve">客户 </w:t>
            </w:r>
            <w:r>
              <w:rPr>
                <w:rFonts w:asciiTheme="majorEastAsia" w:eastAsiaTheme="majorEastAsia" w:hAnsiTheme="majorEastAsia"/>
                <w:bCs/>
                <w:color w:val="000000" w:themeColor="text1"/>
                <w:sz w:val="18"/>
                <w:szCs w:val="18"/>
              </w:rPr>
              <w:t xml:space="preserve">  </w:t>
            </w:r>
            <w:r>
              <w:rPr>
                <w:rFonts w:asciiTheme="majorEastAsia" w:eastAsiaTheme="majorEastAsia" w:hAnsiTheme="majorEastAsia" w:hint="eastAsia"/>
                <w:bCs/>
                <w:color w:val="000000" w:themeColor="text1"/>
                <w:sz w:val="18"/>
                <w:szCs w:val="18"/>
              </w:rPr>
              <w:t>□金融同业客户</w:t>
            </w:r>
          </w:p>
        </w:tc>
      </w:tr>
      <w:tr w:rsidR="00E039EF">
        <w:trPr>
          <w:trHeight w:val="275"/>
          <w:jc w:val="center"/>
        </w:trPr>
        <w:tc>
          <w:tcPr>
            <w:tcW w:w="1970" w:type="dxa"/>
            <w:shd w:val="solid" w:color="FFFFFF" w:fill="FFFFFF"/>
            <w:vAlign w:val="center"/>
          </w:tcPr>
          <w:p w:rsidR="00E039EF" w:rsidRDefault="003F2D22">
            <w:pPr>
              <w:spacing w:line="360" w:lineRule="auto"/>
              <w:jc w:val="left"/>
              <w:rPr>
                <w:rFonts w:hAnsi="宋体"/>
                <w:sz w:val="18"/>
                <w:szCs w:val="18"/>
              </w:rPr>
            </w:pPr>
            <w:r>
              <w:rPr>
                <w:rFonts w:hAnsi="宋体" w:hint="eastAsia"/>
                <w:sz w:val="18"/>
                <w:szCs w:val="18"/>
              </w:rPr>
              <w:t>★</w:t>
            </w:r>
            <w:r>
              <w:rPr>
                <w:rFonts w:asciiTheme="majorEastAsia" w:eastAsiaTheme="majorEastAsia" w:hAnsiTheme="majorEastAsia" w:hint="eastAsia"/>
                <w:b/>
                <w:bCs/>
                <w:sz w:val="18"/>
                <w:szCs w:val="18"/>
              </w:rPr>
              <w:t>销售场景</w:t>
            </w:r>
          </w:p>
        </w:tc>
        <w:tc>
          <w:tcPr>
            <w:tcW w:w="7674" w:type="dxa"/>
            <w:shd w:val="solid" w:color="FFFFFF" w:fill="FFFFFF"/>
            <w:vAlign w:val="center"/>
          </w:tcPr>
          <w:p w:rsidR="00E039EF" w:rsidRDefault="003F2D22">
            <w:pPr>
              <w:spacing w:line="360" w:lineRule="auto"/>
              <w:rPr>
                <w:rFonts w:asciiTheme="majorEastAsia" w:eastAsiaTheme="majorEastAsia" w:hAnsiTheme="majorEastAsia"/>
                <w:bCs/>
                <w:sz w:val="18"/>
                <w:szCs w:val="18"/>
              </w:rPr>
            </w:pPr>
            <w:r>
              <w:rPr>
                <w:rFonts w:asciiTheme="majorEastAsia" w:eastAsiaTheme="majorEastAsia" w:hAnsiTheme="majorEastAsia" w:hint="eastAsia"/>
                <w:bCs/>
                <w:sz w:val="18"/>
                <w:szCs w:val="18"/>
              </w:rPr>
              <w:t>本产品可在销售机构线上渠道和线下渠道等场景进行销售。</w:t>
            </w:r>
          </w:p>
          <w:p w:rsidR="00E039EF" w:rsidRDefault="003F2D22">
            <w:pPr>
              <w:spacing w:line="360" w:lineRule="auto"/>
              <w:rPr>
                <w:rFonts w:asciiTheme="majorEastAsia" w:eastAsiaTheme="majorEastAsia" w:hAnsiTheme="majorEastAsia"/>
                <w:b/>
                <w:bCs/>
                <w:color w:val="000000" w:themeColor="text1"/>
                <w:sz w:val="18"/>
                <w:szCs w:val="18"/>
              </w:rPr>
            </w:pPr>
            <w:r>
              <w:rPr>
                <w:rFonts w:ascii="黑体" w:eastAsia="黑体" w:hAnsi="黑体" w:cs="黑体" w:hint="eastAsia"/>
                <w:sz w:val="18"/>
                <w:szCs w:val="18"/>
              </w:rPr>
              <w:t>★特别提示：当销售机构销售产品风险评级为R4及以上的理财产品时，可在销售机构的营业网点进行，也可依据销售机构的政策在营业网点之外的其他场景进行（具体政策以销售机构公布执行的为准）。</w:t>
            </w:r>
          </w:p>
        </w:tc>
      </w:tr>
      <w:tr w:rsidR="00E039EF">
        <w:trPr>
          <w:trHeight w:val="275"/>
          <w:jc w:val="center"/>
        </w:trPr>
        <w:tc>
          <w:tcPr>
            <w:tcW w:w="1970" w:type="dxa"/>
            <w:shd w:val="solid" w:color="FFFFFF" w:fill="FFFFFF"/>
            <w:vAlign w:val="center"/>
          </w:tcPr>
          <w:p w:rsidR="00E039EF" w:rsidRDefault="003F2D22">
            <w:pPr>
              <w:spacing w:line="360" w:lineRule="auto"/>
              <w:jc w:val="left"/>
              <w:rPr>
                <w:rFonts w:hAnsi="宋体"/>
                <w:sz w:val="18"/>
                <w:szCs w:val="18"/>
              </w:rPr>
            </w:pPr>
            <w:r>
              <w:rPr>
                <w:rFonts w:asciiTheme="majorEastAsia" w:eastAsiaTheme="majorEastAsia" w:hAnsiTheme="majorEastAsia" w:hint="eastAsia"/>
                <w:b/>
                <w:sz w:val="18"/>
                <w:szCs w:val="18"/>
              </w:rPr>
              <w:t>销售机构</w:t>
            </w:r>
          </w:p>
        </w:tc>
        <w:tc>
          <w:tcPr>
            <w:tcW w:w="7674" w:type="dxa"/>
            <w:shd w:val="solid" w:color="FFFFFF" w:fill="FFFFFF"/>
            <w:vAlign w:val="center"/>
          </w:tcPr>
          <w:p w:rsidR="00E039EF" w:rsidRDefault="003F2D22">
            <w:pPr>
              <w:spacing w:line="360" w:lineRule="auto"/>
              <w:jc w:val="left"/>
              <w:rPr>
                <w:rFonts w:ascii="宋体" w:hAnsi="宋体"/>
                <w:sz w:val="18"/>
                <w:szCs w:val="18"/>
              </w:rPr>
            </w:pPr>
            <w:r>
              <w:rPr>
                <w:rFonts w:ascii="宋体" w:hAnsi="宋体" w:hint="eastAsia"/>
                <w:sz w:val="18"/>
                <w:szCs w:val="18"/>
              </w:rPr>
              <w:t>□ 直销适用</w:t>
            </w:r>
          </w:p>
          <w:p w:rsidR="00E039EF" w:rsidRDefault="003F2D22">
            <w:pPr>
              <w:spacing w:line="360" w:lineRule="auto"/>
              <w:jc w:val="left"/>
              <w:rPr>
                <w:rFonts w:ascii="宋体" w:hAnsi="宋体"/>
                <w:sz w:val="18"/>
                <w:szCs w:val="18"/>
              </w:rPr>
            </w:pPr>
            <w:r>
              <w:rPr>
                <w:rFonts w:ascii="宋体" w:hAnsi="宋体" w:hint="eastAsia"/>
                <w:sz w:val="18"/>
                <w:szCs w:val="18"/>
              </w:rPr>
              <w:t>本产品由产品管理人销售。</w:t>
            </w:r>
          </w:p>
          <w:p w:rsidR="00E039EF" w:rsidRDefault="003F2D22">
            <w:pPr>
              <w:spacing w:line="360" w:lineRule="auto"/>
              <w:jc w:val="left"/>
              <w:rPr>
                <w:rFonts w:ascii="宋体" w:hAnsi="宋体"/>
                <w:sz w:val="18"/>
                <w:szCs w:val="18"/>
              </w:rPr>
            </w:pPr>
            <w:r>
              <w:rPr>
                <w:rFonts w:asciiTheme="majorEastAsia" w:eastAsiaTheme="majorEastAsia" w:hAnsiTheme="majorEastAsia" w:hint="eastAsia"/>
                <w:bCs/>
                <w:sz w:val="18"/>
                <w:szCs w:val="18"/>
              </w:rPr>
              <w:t>■</w:t>
            </w:r>
            <w:r>
              <w:rPr>
                <w:rFonts w:ascii="宋体" w:hAnsi="宋体" w:hint="eastAsia"/>
                <w:sz w:val="18"/>
                <w:szCs w:val="18"/>
              </w:rPr>
              <w:t xml:space="preserve"> 代销适用</w:t>
            </w:r>
          </w:p>
          <w:p w:rsidR="00E039EF" w:rsidRDefault="003F2D22">
            <w:pPr>
              <w:spacing w:line="360" w:lineRule="auto"/>
              <w:jc w:val="left"/>
              <w:rPr>
                <w:rFonts w:ascii="宋体" w:hAnsi="宋体"/>
                <w:sz w:val="18"/>
                <w:szCs w:val="18"/>
              </w:rPr>
            </w:pPr>
            <w:r>
              <w:rPr>
                <w:rFonts w:ascii="宋体" w:hAnsi="宋体" w:hint="eastAsia"/>
                <w:sz w:val="18"/>
                <w:szCs w:val="18"/>
              </w:rPr>
              <w:t>本产品由代理销售机构</w:t>
            </w:r>
            <w:r>
              <w:rPr>
                <w:rFonts w:ascii="宋体" w:hAnsi="宋体"/>
                <w:sz w:val="18"/>
                <w:szCs w:val="18"/>
              </w:rPr>
              <w:t>销售</w:t>
            </w:r>
            <w:r>
              <w:rPr>
                <w:rFonts w:ascii="宋体" w:hAnsi="宋体" w:hint="eastAsia"/>
                <w:sz w:val="18"/>
                <w:szCs w:val="18"/>
              </w:rPr>
              <w:t>。</w:t>
            </w:r>
          </w:p>
          <w:p w:rsidR="00E039EF" w:rsidRDefault="003F2D22">
            <w:pPr>
              <w:spacing w:line="360" w:lineRule="auto"/>
              <w:rPr>
                <w:rFonts w:asciiTheme="majorEastAsia" w:eastAsiaTheme="majorEastAsia" w:hAnsiTheme="majorEastAsia"/>
                <w:bCs/>
                <w:sz w:val="18"/>
                <w:szCs w:val="18"/>
              </w:rPr>
            </w:pPr>
            <w:r>
              <w:rPr>
                <w:rFonts w:ascii="宋体" w:hAnsi="宋体" w:hint="eastAsia"/>
                <w:sz w:val="18"/>
                <w:szCs w:val="18"/>
              </w:rPr>
              <w:t>代理销售</w:t>
            </w:r>
            <w:r>
              <w:rPr>
                <w:rFonts w:ascii="宋体" w:hAnsi="宋体"/>
                <w:sz w:val="18"/>
                <w:szCs w:val="18"/>
              </w:rPr>
              <w:t>机构</w:t>
            </w:r>
            <w:r>
              <w:rPr>
                <w:rFonts w:ascii="宋体" w:hAnsi="宋体" w:hint="eastAsia"/>
                <w:sz w:val="18"/>
                <w:szCs w:val="18"/>
              </w:rPr>
              <w:t>合作业务</w:t>
            </w:r>
            <w:r>
              <w:rPr>
                <w:rFonts w:ascii="宋体" w:hAnsi="宋体"/>
                <w:sz w:val="18"/>
                <w:szCs w:val="18"/>
              </w:rPr>
              <w:t>情况</w:t>
            </w:r>
            <w:r>
              <w:rPr>
                <w:rFonts w:ascii="宋体" w:hAnsi="宋体" w:hint="eastAsia"/>
                <w:sz w:val="18"/>
                <w:szCs w:val="18"/>
              </w:rPr>
              <w:t>以</w:t>
            </w:r>
            <w:r>
              <w:rPr>
                <w:rFonts w:ascii="宋体" w:hAnsi="宋体"/>
                <w:sz w:val="18"/>
                <w:szCs w:val="18"/>
              </w:rPr>
              <w:t>产品管理人</w:t>
            </w:r>
            <w:r>
              <w:rPr>
                <w:rFonts w:ascii="宋体" w:hAnsi="宋体" w:hint="eastAsia"/>
                <w:sz w:val="18"/>
                <w:szCs w:val="18"/>
              </w:rPr>
              <w:t>公告为准，</w:t>
            </w:r>
            <w:r>
              <w:rPr>
                <w:rFonts w:ascii="宋体" w:hAnsi="宋体"/>
                <w:sz w:val="18"/>
                <w:szCs w:val="18"/>
              </w:rPr>
              <w:t>具体代理</w:t>
            </w:r>
            <w:r>
              <w:rPr>
                <w:rFonts w:ascii="宋体" w:hAnsi="宋体" w:hint="eastAsia"/>
                <w:sz w:val="18"/>
                <w:szCs w:val="18"/>
              </w:rPr>
              <w:t>销售机构</w:t>
            </w:r>
            <w:r>
              <w:rPr>
                <w:rFonts w:ascii="宋体" w:hAnsi="宋体"/>
                <w:sz w:val="18"/>
                <w:szCs w:val="18"/>
              </w:rPr>
              <w:t>以《</w:t>
            </w:r>
            <w:r>
              <w:rPr>
                <w:rFonts w:ascii="宋体" w:hAnsi="宋体" w:hint="eastAsia"/>
                <w:sz w:val="18"/>
                <w:szCs w:val="18"/>
              </w:rPr>
              <w:t>（代理）</w:t>
            </w:r>
            <w:r>
              <w:rPr>
                <w:rFonts w:ascii="宋体" w:hAnsi="宋体"/>
                <w:sz w:val="18"/>
                <w:szCs w:val="18"/>
              </w:rPr>
              <w:t>销售协议书》</w:t>
            </w:r>
            <w:r>
              <w:rPr>
                <w:rFonts w:ascii="宋体" w:hAnsi="宋体" w:hint="eastAsia"/>
                <w:sz w:val="18"/>
                <w:szCs w:val="18"/>
              </w:rPr>
              <w:t>为准</w:t>
            </w:r>
            <w:r>
              <w:rPr>
                <w:rFonts w:ascii="宋体" w:hAnsi="宋体"/>
                <w:sz w:val="18"/>
                <w:szCs w:val="18"/>
              </w:rPr>
              <w:t>。</w:t>
            </w:r>
          </w:p>
        </w:tc>
      </w:tr>
      <w:tr w:rsidR="00E039EF">
        <w:trPr>
          <w:trHeight w:val="275"/>
          <w:jc w:val="center"/>
        </w:trPr>
        <w:tc>
          <w:tcPr>
            <w:tcW w:w="1970" w:type="dxa"/>
            <w:shd w:val="solid" w:color="FFFFFF" w:fill="FFFFFF"/>
            <w:vAlign w:val="center"/>
          </w:tcPr>
          <w:p w:rsidR="00E039EF" w:rsidRDefault="003F2D22">
            <w:pPr>
              <w:spacing w:line="360" w:lineRule="auto"/>
              <w:jc w:val="left"/>
              <w:rPr>
                <w:rFonts w:hAnsi="宋体"/>
                <w:sz w:val="18"/>
                <w:szCs w:val="18"/>
              </w:rPr>
            </w:pPr>
            <w:r>
              <w:rPr>
                <w:rFonts w:asciiTheme="majorEastAsia" w:eastAsiaTheme="majorEastAsia" w:hAnsiTheme="majorEastAsia" w:hint="eastAsia"/>
                <w:b/>
                <w:bCs/>
                <w:sz w:val="18"/>
                <w:szCs w:val="18"/>
              </w:rPr>
              <w:t>理财产品</w:t>
            </w:r>
            <w:r>
              <w:rPr>
                <w:rFonts w:asciiTheme="majorEastAsia" w:eastAsiaTheme="majorEastAsia" w:hAnsiTheme="majorEastAsia"/>
                <w:b/>
                <w:bCs/>
                <w:sz w:val="18"/>
                <w:szCs w:val="18"/>
              </w:rPr>
              <w:t>管理人</w:t>
            </w:r>
          </w:p>
        </w:tc>
        <w:tc>
          <w:tcPr>
            <w:tcW w:w="7674" w:type="dxa"/>
            <w:shd w:val="solid" w:color="FFFFFF" w:fill="FFFFFF"/>
            <w:vAlign w:val="center"/>
          </w:tcPr>
          <w:p w:rsidR="00E039EF" w:rsidRDefault="003F2D22">
            <w:pPr>
              <w:spacing w:line="360" w:lineRule="auto"/>
              <w:rPr>
                <w:rFonts w:asciiTheme="majorEastAsia" w:eastAsiaTheme="majorEastAsia" w:hAnsiTheme="majorEastAsia"/>
                <w:bCs/>
                <w:sz w:val="18"/>
                <w:szCs w:val="18"/>
              </w:rPr>
            </w:pPr>
            <w:r>
              <w:rPr>
                <w:rFonts w:asciiTheme="majorEastAsia" w:eastAsiaTheme="majorEastAsia" w:hAnsiTheme="majorEastAsia" w:hint="eastAsia"/>
                <w:bCs/>
                <w:sz w:val="18"/>
                <w:szCs w:val="18"/>
              </w:rPr>
              <w:t>兴银理财有限责任公司</w:t>
            </w:r>
          </w:p>
        </w:tc>
      </w:tr>
      <w:tr w:rsidR="00E039EF">
        <w:trPr>
          <w:trHeight w:val="275"/>
          <w:jc w:val="center"/>
        </w:trPr>
        <w:tc>
          <w:tcPr>
            <w:tcW w:w="1970" w:type="dxa"/>
            <w:shd w:val="solid" w:color="FFFFFF" w:fill="FFFFFF"/>
            <w:vAlign w:val="center"/>
          </w:tcPr>
          <w:p w:rsidR="00E039EF" w:rsidRDefault="003F2D22">
            <w:pPr>
              <w:spacing w:line="360" w:lineRule="auto"/>
              <w:jc w:val="left"/>
              <w:rPr>
                <w:rFonts w:hAnsi="宋体"/>
                <w:sz w:val="18"/>
                <w:szCs w:val="18"/>
              </w:rPr>
            </w:pPr>
            <w:r>
              <w:rPr>
                <w:rFonts w:asciiTheme="majorEastAsia" w:eastAsiaTheme="majorEastAsia" w:hAnsiTheme="majorEastAsia" w:hint="eastAsia"/>
                <w:b/>
                <w:bCs/>
                <w:sz w:val="18"/>
                <w:szCs w:val="18"/>
              </w:rPr>
              <w:t>理财产品托管人</w:t>
            </w:r>
          </w:p>
        </w:tc>
        <w:tc>
          <w:tcPr>
            <w:tcW w:w="7674" w:type="dxa"/>
            <w:shd w:val="solid" w:color="FFFFFF" w:fill="FFFFFF"/>
            <w:vAlign w:val="center"/>
          </w:tcPr>
          <w:p w:rsidR="00E039EF" w:rsidRDefault="003F2D22">
            <w:pPr>
              <w:spacing w:line="360" w:lineRule="auto"/>
              <w:rPr>
                <w:rFonts w:asciiTheme="majorEastAsia" w:eastAsiaTheme="majorEastAsia" w:hAnsiTheme="majorEastAsia"/>
                <w:bCs/>
                <w:sz w:val="18"/>
                <w:szCs w:val="18"/>
              </w:rPr>
            </w:pPr>
            <w:r>
              <w:rPr>
                <w:rFonts w:asciiTheme="majorEastAsia" w:eastAsiaTheme="majorEastAsia" w:hAnsiTheme="majorEastAsia" w:hint="eastAsia"/>
                <w:bCs/>
                <w:sz w:val="18"/>
                <w:szCs w:val="18"/>
              </w:rPr>
              <w:t>兴业银行股份有限公司</w:t>
            </w:r>
          </w:p>
        </w:tc>
      </w:tr>
      <w:tr w:rsidR="00E039EF">
        <w:trPr>
          <w:trHeight w:val="275"/>
          <w:jc w:val="center"/>
        </w:trPr>
        <w:tc>
          <w:tcPr>
            <w:tcW w:w="1970" w:type="dxa"/>
            <w:shd w:val="solid" w:color="FFFFFF" w:fill="FFFFFF"/>
            <w:vAlign w:val="center"/>
          </w:tcPr>
          <w:p w:rsidR="00E039EF" w:rsidRDefault="003F2D22">
            <w:pPr>
              <w:spacing w:line="360" w:lineRule="auto"/>
              <w:jc w:val="left"/>
              <w:rPr>
                <w:rFonts w:asciiTheme="majorEastAsia" w:eastAsiaTheme="majorEastAsia" w:hAnsiTheme="majorEastAsia"/>
                <w:b/>
                <w:bCs/>
                <w:sz w:val="18"/>
                <w:szCs w:val="18"/>
              </w:rPr>
            </w:pPr>
            <w:r>
              <w:rPr>
                <w:rFonts w:asciiTheme="majorEastAsia" w:eastAsiaTheme="majorEastAsia" w:hAnsiTheme="majorEastAsia" w:hint="eastAsia"/>
                <w:b/>
                <w:bCs/>
                <w:sz w:val="18"/>
                <w:szCs w:val="18"/>
              </w:rPr>
              <w:t>产品规模</w:t>
            </w:r>
          </w:p>
        </w:tc>
        <w:tc>
          <w:tcPr>
            <w:tcW w:w="7674" w:type="dxa"/>
            <w:shd w:val="solid" w:color="FFFFFF" w:fill="FFFFFF"/>
            <w:vAlign w:val="center"/>
          </w:tcPr>
          <w:p w:rsidR="00E039EF" w:rsidRDefault="003F2D22">
            <w:pPr>
              <w:spacing w:line="360" w:lineRule="auto"/>
              <w:rPr>
                <w:rFonts w:asciiTheme="majorEastAsia" w:eastAsiaTheme="majorEastAsia" w:hAnsiTheme="majorEastAsia"/>
                <w:bCs/>
                <w:sz w:val="18"/>
                <w:szCs w:val="18"/>
              </w:rPr>
            </w:pPr>
            <w:r>
              <w:rPr>
                <w:rFonts w:asciiTheme="majorEastAsia" w:eastAsiaTheme="majorEastAsia" w:hAnsiTheme="majorEastAsia" w:hint="eastAsia"/>
                <w:bCs/>
                <w:sz w:val="18"/>
                <w:szCs w:val="18"/>
              </w:rPr>
              <w:t>1.本产品计划初始</w:t>
            </w:r>
            <w:r>
              <w:rPr>
                <w:rFonts w:asciiTheme="majorEastAsia" w:eastAsiaTheme="majorEastAsia" w:hAnsiTheme="majorEastAsia"/>
                <w:bCs/>
                <w:sz w:val="18"/>
                <w:szCs w:val="18"/>
              </w:rPr>
              <w:t>募集</w:t>
            </w:r>
            <w:r>
              <w:rPr>
                <w:rFonts w:asciiTheme="majorEastAsia" w:eastAsiaTheme="majorEastAsia" w:hAnsiTheme="majorEastAsia" w:hint="eastAsia"/>
                <w:bCs/>
                <w:sz w:val="18"/>
                <w:szCs w:val="18"/>
              </w:rPr>
              <w:t>规模为【10】亿元，最小成立规模为【/】亿元。</w:t>
            </w:r>
          </w:p>
          <w:p w:rsidR="00E039EF" w:rsidRDefault="003F2D22">
            <w:pPr>
              <w:spacing w:line="360" w:lineRule="auto"/>
              <w:rPr>
                <w:rFonts w:asciiTheme="majorEastAsia" w:eastAsiaTheme="majorEastAsia" w:hAnsiTheme="majorEastAsia"/>
                <w:bCs/>
                <w:sz w:val="18"/>
                <w:szCs w:val="18"/>
              </w:rPr>
            </w:pPr>
            <w:r>
              <w:rPr>
                <w:rFonts w:asciiTheme="majorEastAsia" w:eastAsiaTheme="majorEastAsia" w:hAnsiTheme="majorEastAsia" w:hint="eastAsia"/>
                <w:bCs/>
                <w:sz w:val="18"/>
                <w:szCs w:val="18"/>
              </w:rPr>
              <w:t>2.产品管理人</w:t>
            </w:r>
            <w:r>
              <w:rPr>
                <w:rFonts w:asciiTheme="majorEastAsia" w:eastAsiaTheme="majorEastAsia" w:hAnsiTheme="majorEastAsia"/>
                <w:bCs/>
                <w:sz w:val="18"/>
                <w:szCs w:val="18"/>
              </w:rPr>
              <w:t>有权根据实际需要对产品规模进行调整，产品最终规模以</w:t>
            </w:r>
            <w:r>
              <w:rPr>
                <w:rFonts w:asciiTheme="majorEastAsia" w:eastAsiaTheme="majorEastAsia" w:hAnsiTheme="majorEastAsia" w:hint="eastAsia"/>
                <w:bCs/>
                <w:sz w:val="18"/>
                <w:szCs w:val="18"/>
              </w:rPr>
              <w:t>产品管理人</w:t>
            </w:r>
            <w:r>
              <w:rPr>
                <w:rFonts w:asciiTheme="majorEastAsia" w:eastAsiaTheme="majorEastAsia" w:hAnsiTheme="majorEastAsia"/>
                <w:bCs/>
                <w:sz w:val="18"/>
                <w:szCs w:val="18"/>
              </w:rPr>
              <w:t>实际募集/管理的</w:t>
            </w:r>
            <w:r>
              <w:rPr>
                <w:rFonts w:asciiTheme="majorEastAsia" w:eastAsiaTheme="majorEastAsia" w:hAnsiTheme="majorEastAsia" w:hint="eastAsia"/>
                <w:bCs/>
                <w:sz w:val="18"/>
                <w:szCs w:val="18"/>
              </w:rPr>
              <w:t>金</w:t>
            </w:r>
            <w:r>
              <w:rPr>
                <w:rFonts w:asciiTheme="majorEastAsia" w:eastAsiaTheme="majorEastAsia" w:hAnsiTheme="majorEastAsia"/>
                <w:bCs/>
                <w:sz w:val="18"/>
                <w:szCs w:val="18"/>
              </w:rPr>
              <w:t>额为准。</w:t>
            </w:r>
          </w:p>
        </w:tc>
      </w:tr>
      <w:tr w:rsidR="00E039EF">
        <w:trPr>
          <w:trHeight w:val="275"/>
          <w:jc w:val="center"/>
        </w:trPr>
        <w:tc>
          <w:tcPr>
            <w:tcW w:w="1970" w:type="dxa"/>
            <w:shd w:val="solid" w:color="FFFFFF" w:fill="FFFFFF"/>
            <w:vAlign w:val="center"/>
          </w:tcPr>
          <w:p w:rsidR="00E039EF" w:rsidRDefault="003F2D22">
            <w:pPr>
              <w:spacing w:line="360" w:lineRule="auto"/>
              <w:jc w:val="left"/>
              <w:rPr>
                <w:rFonts w:asciiTheme="majorEastAsia" w:eastAsiaTheme="majorEastAsia" w:hAnsiTheme="majorEastAsia"/>
                <w:b/>
                <w:bCs/>
                <w:sz w:val="18"/>
                <w:szCs w:val="18"/>
              </w:rPr>
            </w:pPr>
            <w:r>
              <w:rPr>
                <w:rFonts w:asciiTheme="majorEastAsia" w:eastAsiaTheme="majorEastAsia" w:hAnsiTheme="majorEastAsia" w:hint="eastAsia"/>
                <w:b/>
                <w:sz w:val="18"/>
                <w:szCs w:val="18"/>
              </w:rPr>
              <w:t>产品期限</w:t>
            </w:r>
          </w:p>
        </w:tc>
        <w:tc>
          <w:tcPr>
            <w:tcW w:w="7674" w:type="dxa"/>
            <w:shd w:val="solid" w:color="FFFFFF" w:fill="FFFFFF"/>
            <w:vAlign w:val="center"/>
          </w:tcPr>
          <w:p w:rsidR="00E039EF" w:rsidRDefault="003F2D22">
            <w:pPr>
              <w:spacing w:line="360" w:lineRule="auto"/>
              <w:rPr>
                <w:rFonts w:asciiTheme="majorEastAsia" w:eastAsiaTheme="majorEastAsia" w:hAnsiTheme="majorEastAsia"/>
                <w:bCs/>
                <w:sz w:val="18"/>
                <w:szCs w:val="18"/>
              </w:rPr>
            </w:pPr>
            <w:r>
              <w:rPr>
                <w:rFonts w:asciiTheme="majorEastAsia" w:eastAsiaTheme="majorEastAsia" w:hAnsiTheme="majorEastAsia" w:hint="eastAsia"/>
                <w:bCs/>
                <w:sz w:val="18"/>
                <w:szCs w:val="18"/>
              </w:rPr>
              <w:t>■有固定期限：【</w:t>
            </w:r>
            <w:r w:rsidR="004227D0">
              <w:rPr>
                <w:rFonts w:asciiTheme="majorEastAsia" w:eastAsiaTheme="majorEastAsia" w:hAnsiTheme="majorEastAsia"/>
                <w:bCs/>
                <w:sz w:val="18"/>
                <w:szCs w:val="18"/>
              </w:rPr>
              <w:t>6个月</w:t>
            </w:r>
            <w:r w:rsidR="004227D0">
              <w:rPr>
                <w:rFonts w:asciiTheme="majorEastAsia" w:eastAsiaTheme="majorEastAsia" w:hAnsiTheme="majorEastAsia" w:hint="eastAsia"/>
                <w:bCs/>
                <w:sz w:val="18"/>
                <w:szCs w:val="18"/>
              </w:rPr>
              <w:t>】</w:t>
            </w:r>
          </w:p>
          <w:p w:rsidR="00E039EF" w:rsidRDefault="003F2D22">
            <w:pPr>
              <w:spacing w:line="360" w:lineRule="auto"/>
              <w:rPr>
                <w:rFonts w:asciiTheme="majorEastAsia" w:eastAsiaTheme="majorEastAsia" w:hAnsiTheme="majorEastAsia"/>
                <w:bCs/>
                <w:sz w:val="18"/>
                <w:szCs w:val="18"/>
              </w:rPr>
            </w:pPr>
            <w:r>
              <w:rPr>
                <w:rFonts w:asciiTheme="majorEastAsia" w:eastAsiaTheme="majorEastAsia" w:hAnsiTheme="majorEastAsia" w:hint="eastAsia"/>
                <w:bCs/>
                <w:sz w:val="18"/>
                <w:szCs w:val="18"/>
              </w:rPr>
              <w:t>□无固定期限</w:t>
            </w:r>
          </w:p>
          <w:p w:rsidR="00E039EF" w:rsidRDefault="003F2D22">
            <w:pPr>
              <w:spacing w:line="360" w:lineRule="auto"/>
              <w:rPr>
                <w:rFonts w:asciiTheme="majorEastAsia" w:eastAsiaTheme="majorEastAsia" w:hAnsiTheme="majorEastAsia"/>
                <w:bCs/>
                <w:sz w:val="18"/>
                <w:szCs w:val="18"/>
              </w:rPr>
            </w:pPr>
            <w:r>
              <w:rPr>
                <w:rFonts w:ascii="黑体" w:eastAsia="黑体" w:hAnsi="黑体" w:hint="eastAsia"/>
                <w:bCs/>
                <w:sz w:val="18"/>
                <w:szCs w:val="18"/>
              </w:rPr>
              <w:lastRenderedPageBreak/>
              <w:t>注：本产品的实际期限受制于本理财产品销售文件“提前终止”及“延期终止”情形。</w:t>
            </w:r>
          </w:p>
        </w:tc>
      </w:tr>
      <w:tr w:rsidR="00E039EF">
        <w:trPr>
          <w:trHeight w:val="275"/>
          <w:jc w:val="center"/>
        </w:trPr>
        <w:tc>
          <w:tcPr>
            <w:tcW w:w="1970" w:type="dxa"/>
            <w:shd w:val="solid" w:color="FFFFFF" w:fill="FFFFFF"/>
            <w:vAlign w:val="center"/>
          </w:tcPr>
          <w:p w:rsidR="00E039EF" w:rsidRDefault="003F2D22">
            <w:pPr>
              <w:spacing w:line="360" w:lineRule="auto"/>
              <w:jc w:val="left"/>
              <w:rPr>
                <w:rFonts w:asciiTheme="majorEastAsia" w:eastAsiaTheme="majorEastAsia" w:hAnsiTheme="majorEastAsia"/>
                <w:b/>
                <w:bCs/>
                <w:sz w:val="18"/>
                <w:szCs w:val="18"/>
              </w:rPr>
            </w:pPr>
            <w:r>
              <w:rPr>
                <w:rFonts w:asciiTheme="minorEastAsia" w:hAnsiTheme="minorEastAsia" w:hint="eastAsia"/>
                <w:b/>
                <w:sz w:val="18"/>
                <w:szCs w:val="18"/>
              </w:rPr>
              <w:lastRenderedPageBreak/>
              <w:t>认购期/募集期</w:t>
            </w:r>
          </w:p>
        </w:tc>
        <w:tc>
          <w:tcPr>
            <w:tcW w:w="7674" w:type="dxa"/>
            <w:shd w:val="solid" w:color="FFFFFF" w:fill="FFFFFF"/>
            <w:vAlign w:val="center"/>
          </w:tcPr>
          <w:p w:rsidR="00E039EF" w:rsidRDefault="003F2D22">
            <w:pPr>
              <w:spacing w:line="360" w:lineRule="auto"/>
              <w:rPr>
                <w:rFonts w:asciiTheme="minorEastAsia" w:hAnsiTheme="minorEastAsia"/>
                <w:bCs/>
                <w:sz w:val="18"/>
                <w:szCs w:val="18"/>
              </w:rPr>
            </w:pPr>
            <w:r>
              <w:rPr>
                <w:rFonts w:asciiTheme="minorEastAsia" w:hAnsiTheme="minorEastAsia"/>
                <w:bCs/>
                <w:sz w:val="18"/>
                <w:szCs w:val="18"/>
              </w:rPr>
              <w:t>1</w:t>
            </w:r>
            <w:r>
              <w:rPr>
                <w:rFonts w:asciiTheme="minorEastAsia" w:hAnsiTheme="minorEastAsia" w:hint="eastAsia"/>
                <w:bCs/>
                <w:sz w:val="18"/>
                <w:szCs w:val="18"/>
              </w:rPr>
              <w:t>.</w:t>
            </w:r>
            <w:r>
              <w:rPr>
                <w:rFonts w:asciiTheme="minorEastAsia" w:hAnsiTheme="minorEastAsia"/>
                <w:bCs/>
                <w:sz w:val="18"/>
                <w:szCs w:val="18"/>
              </w:rPr>
              <w:t>本产品认购期/募集期为</w:t>
            </w:r>
            <w:r>
              <w:rPr>
                <w:rFonts w:asciiTheme="minorEastAsia" w:hAnsiTheme="minorEastAsia" w:hint="eastAsia"/>
                <w:bCs/>
                <w:sz w:val="18"/>
                <w:szCs w:val="18"/>
              </w:rPr>
              <w:t>：</w:t>
            </w:r>
            <w:r>
              <w:rPr>
                <w:rFonts w:asciiTheme="minorEastAsia" w:hAnsiTheme="minorEastAsia" w:cs="Times New Roman" w:hint="eastAsia"/>
                <w:sz w:val="18"/>
                <w:szCs w:val="18"/>
              </w:rPr>
              <w:t>【2023</w:t>
            </w:r>
            <w:r>
              <w:rPr>
                <w:rFonts w:asciiTheme="minorEastAsia" w:hAnsiTheme="minorEastAsia" w:cs="Times New Roman"/>
                <w:sz w:val="18"/>
                <w:szCs w:val="18"/>
              </w:rPr>
              <w:t>】年【</w:t>
            </w:r>
            <w:r w:rsidR="007A6A71">
              <w:rPr>
                <w:rFonts w:asciiTheme="minorEastAsia" w:hAnsiTheme="minorEastAsia" w:cs="Times New Roman"/>
                <w:sz w:val="18"/>
                <w:szCs w:val="18"/>
              </w:rPr>
              <w:t>12</w:t>
            </w:r>
            <w:r>
              <w:rPr>
                <w:rFonts w:asciiTheme="minorEastAsia" w:hAnsiTheme="minorEastAsia" w:cs="Times New Roman" w:hint="eastAsia"/>
                <w:sz w:val="18"/>
                <w:szCs w:val="18"/>
              </w:rPr>
              <w:t>】月【</w:t>
            </w:r>
            <w:r w:rsidR="00262A44">
              <w:rPr>
                <w:rFonts w:asciiTheme="minorEastAsia" w:hAnsiTheme="minorEastAsia" w:cs="Times New Roman"/>
                <w:sz w:val="18"/>
                <w:szCs w:val="18"/>
              </w:rPr>
              <w:t>20</w:t>
            </w:r>
            <w:r>
              <w:rPr>
                <w:rFonts w:asciiTheme="minorEastAsia" w:hAnsiTheme="minorEastAsia" w:cs="Times New Roman" w:hint="eastAsia"/>
                <w:sz w:val="18"/>
                <w:szCs w:val="18"/>
              </w:rPr>
              <w:t>】日【09:00】</w:t>
            </w:r>
            <w:r>
              <w:rPr>
                <w:rFonts w:asciiTheme="minorEastAsia" w:hAnsiTheme="minorEastAsia" w:cs="仿宋_GB2312" w:hint="eastAsia"/>
                <w:sz w:val="18"/>
                <w:szCs w:val="18"/>
              </w:rPr>
              <w:t>至</w:t>
            </w:r>
            <w:r>
              <w:rPr>
                <w:rFonts w:asciiTheme="minorEastAsia" w:hAnsiTheme="minorEastAsia" w:cs="Times New Roman" w:hint="eastAsia"/>
                <w:sz w:val="18"/>
                <w:szCs w:val="18"/>
              </w:rPr>
              <w:t>【2023</w:t>
            </w:r>
            <w:r>
              <w:rPr>
                <w:rFonts w:asciiTheme="minorEastAsia" w:hAnsiTheme="minorEastAsia" w:cs="Times New Roman"/>
                <w:sz w:val="18"/>
                <w:szCs w:val="18"/>
              </w:rPr>
              <w:t>】年【</w:t>
            </w:r>
            <w:r>
              <w:rPr>
                <w:rFonts w:asciiTheme="minorEastAsia" w:hAnsiTheme="minorEastAsia" w:cs="Times New Roman" w:hint="eastAsia"/>
                <w:sz w:val="18"/>
                <w:szCs w:val="18"/>
              </w:rPr>
              <w:t>1</w:t>
            </w:r>
            <w:r w:rsidR="00093F35">
              <w:rPr>
                <w:rFonts w:asciiTheme="minorEastAsia" w:hAnsiTheme="minorEastAsia" w:cs="Times New Roman"/>
                <w:sz w:val="18"/>
                <w:szCs w:val="18"/>
              </w:rPr>
              <w:t>2</w:t>
            </w:r>
            <w:r>
              <w:rPr>
                <w:rFonts w:asciiTheme="minorEastAsia" w:hAnsiTheme="minorEastAsia" w:cs="Times New Roman" w:hint="eastAsia"/>
                <w:sz w:val="18"/>
                <w:szCs w:val="18"/>
              </w:rPr>
              <w:t>】月【</w:t>
            </w:r>
            <w:r w:rsidR="00262A44">
              <w:rPr>
                <w:rFonts w:asciiTheme="minorEastAsia" w:hAnsiTheme="minorEastAsia" w:cs="Times New Roman"/>
                <w:sz w:val="18"/>
                <w:szCs w:val="18"/>
              </w:rPr>
              <w:t>26</w:t>
            </w:r>
            <w:r>
              <w:rPr>
                <w:rFonts w:asciiTheme="minorEastAsia" w:hAnsiTheme="minorEastAsia" w:cs="Times New Roman" w:hint="eastAsia"/>
                <w:sz w:val="18"/>
                <w:szCs w:val="18"/>
              </w:rPr>
              <w:t>】日</w:t>
            </w:r>
            <w:r>
              <w:rPr>
                <w:rFonts w:asciiTheme="majorEastAsia" w:eastAsiaTheme="majorEastAsia" w:hAnsiTheme="majorEastAsia" w:hint="eastAsia"/>
                <w:sz w:val="18"/>
                <w:szCs w:val="18"/>
              </w:rPr>
              <w:t>【17：00】</w:t>
            </w:r>
            <w:r>
              <w:rPr>
                <w:rFonts w:asciiTheme="majorEastAsia" w:eastAsiaTheme="majorEastAsia" w:hAnsiTheme="majorEastAsia"/>
                <w:sz w:val="18"/>
                <w:szCs w:val="18"/>
              </w:rPr>
              <w:t>。</w:t>
            </w:r>
          </w:p>
          <w:p w:rsidR="00E039EF" w:rsidRDefault="003F2D22">
            <w:pPr>
              <w:spacing w:line="360" w:lineRule="auto"/>
              <w:rPr>
                <w:rFonts w:ascii="宋体" w:hAnsi="宋体"/>
                <w:bCs/>
                <w:sz w:val="18"/>
                <w:szCs w:val="18"/>
              </w:rPr>
            </w:pPr>
            <w:r>
              <w:rPr>
                <w:rFonts w:ascii="宋体" w:hAnsi="宋体"/>
                <w:bCs/>
                <w:sz w:val="18"/>
                <w:szCs w:val="18"/>
              </w:rPr>
              <w:t>2</w:t>
            </w:r>
            <w:r>
              <w:rPr>
                <w:rFonts w:asciiTheme="minorEastAsia" w:hAnsiTheme="minorEastAsia" w:hint="eastAsia"/>
                <w:bCs/>
                <w:sz w:val="18"/>
                <w:szCs w:val="18"/>
              </w:rPr>
              <w:t>.</w:t>
            </w:r>
            <w:r>
              <w:rPr>
                <w:rFonts w:ascii="宋体" w:hAnsi="宋体" w:hint="eastAsia"/>
                <w:bCs/>
                <w:sz w:val="18"/>
                <w:szCs w:val="18"/>
              </w:rPr>
              <w:t>投资者在认购期/募集</w:t>
            </w:r>
            <w:r>
              <w:rPr>
                <w:rFonts w:ascii="宋体" w:hAnsi="宋体" w:hint="eastAsia"/>
                <w:sz w:val="18"/>
              </w:rPr>
              <w:t>期内认购</w:t>
            </w:r>
            <w:r>
              <w:rPr>
                <w:rFonts w:ascii="宋体" w:hAnsi="宋体" w:hint="eastAsia"/>
                <w:bCs/>
                <w:sz w:val="18"/>
                <w:szCs w:val="18"/>
              </w:rPr>
              <w:t>本</w:t>
            </w:r>
            <w:r>
              <w:rPr>
                <w:rFonts w:ascii="宋体" w:hAnsi="宋体" w:hint="eastAsia"/>
                <w:sz w:val="18"/>
              </w:rPr>
              <w:t>理财</w:t>
            </w:r>
            <w:r>
              <w:rPr>
                <w:rFonts w:ascii="宋体" w:hAnsi="宋体" w:hint="eastAsia"/>
                <w:bCs/>
                <w:sz w:val="18"/>
                <w:szCs w:val="18"/>
              </w:rPr>
              <w:t>产品后，</w:t>
            </w:r>
            <w:r>
              <w:rPr>
                <w:rFonts w:ascii="宋体" w:hAnsi="宋体" w:hint="eastAsia"/>
                <w:sz w:val="18"/>
              </w:rPr>
              <w:t>理财</w:t>
            </w:r>
            <w:r>
              <w:rPr>
                <w:rFonts w:ascii="宋体" w:hAnsi="宋体" w:hint="eastAsia"/>
                <w:bCs/>
                <w:sz w:val="18"/>
                <w:szCs w:val="18"/>
              </w:rPr>
              <w:t>资金将在成立日开始进行投资。</w:t>
            </w:r>
          </w:p>
          <w:p w:rsidR="00E039EF" w:rsidRDefault="003F2D22">
            <w:pPr>
              <w:spacing w:line="360" w:lineRule="auto"/>
              <w:rPr>
                <w:rFonts w:ascii="宋体" w:hAnsi="宋体"/>
                <w:sz w:val="18"/>
              </w:rPr>
            </w:pPr>
            <w:r>
              <w:rPr>
                <w:rFonts w:ascii="宋体" w:hAnsi="宋体"/>
                <w:bCs/>
                <w:sz w:val="18"/>
                <w:szCs w:val="18"/>
              </w:rPr>
              <w:t>3</w:t>
            </w:r>
            <w:r>
              <w:rPr>
                <w:rFonts w:asciiTheme="minorEastAsia" w:hAnsiTheme="minorEastAsia" w:hint="eastAsia"/>
                <w:bCs/>
                <w:sz w:val="18"/>
                <w:szCs w:val="18"/>
              </w:rPr>
              <w:t>.</w:t>
            </w:r>
            <w:r>
              <w:rPr>
                <w:rFonts w:ascii="宋体" w:hAnsi="宋体" w:hint="eastAsia"/>
                <w:bCs/>
                <w:sz w:val="18"/>
                <w:szCs w:val="18"/>
              </w:rPr>
              <w:t>认购期/募集期内资金产生的利息不计入认购资金</w:t>
            </w:r>
            <w:r>
              <w:rPr>
                <w:rFonts w:ascii="宋体" w:hAnsi="宋体" w:hint="eastAsia"/>
                <w:sz w:val="18"/>
              </w:rPr>
              <w:t>。</w:t>
            </w:r>
          </w:p>
          <w:p w:rsidR="00E039EF" w:rsidRDefault="003F2D22">
            <w:pPr>
              <w:spacing w:line="360" w:lineRule="auto"/>
              <w:rPr>
                <w:rFonts w:ascii="黑体" w:eastAsia="黑体" w:hAnsi="黑体" w:cs="黑体"/>
                <w:bCs/>
                <w:color w:val="000000" w:themeColor="text1"/>
                <w:sz w:val="18"/>
                <w:szCs w:val="18"/>
              </w:rPr>
            </w:pPr>
            <w:r>
              <w:rPr>
                <w:rFonts w:ascii="黑体" w:eastAsia="黑体" w:hAnsi="黑体" w:cs="黑体" w:hint="eastAsia"/>
                <w:bCs/>
                <w:color w:val="000000" w:themeColor="text1"/>
                <w:sz w:val="18"/>
                <w:szCs w:val="18"/>
              </w:rPr>
              <w:t>注：关于代理销售机构的实际工作服务时段的提示</w:t>
            </w:r>
          </w:p>
          <w:p w:rsidR="00E039EF" w:rsidRDefault="003F2D22">
            <w:pPr>
              <w:spacing w:line="360" w:lineRule="auto"/>
              <w:rPr>
                <w:rFonts w:ascii="黑体" w:eastAsia="黑体" w:hAnsi="黑体" w:cs="黑体"/>
                <w:bCs/>
                <w:color w:val="000000" w:themeColor="text1"/>
                <w:sz w:val="18"/>
                <w:szCs w:val="18"/>
              </w:rPr>
            </w:pPr>
            <w:r>
              <w:rPr>
                <w:rFonts w:ascii="黑体" w:eastAsia="黑体" w:hAnsi="黑体" w:cs="黑体" w:hint="eastAsia"/>
                <w:bCs/>
                <w:color w:val="000000" w:themeColor="text1"/>
                <w:sz w:val="18"/>
                <w:szCs w:val="18"/>
              </w:rPr>
              <w:t>①为本产品办理相关交易的实际工作服务时段，因代理销售机构的不同可能存在差异（可能晚于销售文件约定的起始时点开始或早于销售文件约定的终止时点结束），投资者应当以代理销售机构的展示为准。</w:t>
            </w:r>
          </w:p>
          <w:p w:rsidR="00E039EF" w:rsidRDefault="003F2D22">
            <w:pPr>
              <w:spacing w:line="360" w:lineRule="auto"/>
              <w:rPr>
                <w:rFonts w:asciiTheme="majorEastAsia" w:eastAsiaTheme="majorEastAsia" w:hAnsiTheme="majorEastAsia"/>
                <w:bCs/>
                <w:sz w:val="18"/>
                <w:szCs w:val="18"/>
              </w:rPr>
            </w:pPr>
            <w:r>
              <w:rPr>
                <w:rFonts w:ascii="黑体" w:eastAsia="黑体" w:hAnsi="黑体" w:cs="黑体" w:hint="eastAsia"/>
                <w:bCs/>
                <w:color w:val="000000" w:themeColor="text1"/>
                <w:sz w:val="18"/>
                <w:szCs w:val="18"/>
              </w:rPr>
              <w:t>②代理销售机构的实际工作服务时段，最早不得早于销售文件约定的起始时点、最晚不得晚于销售文件约定的终止时点。</w:t>
            </w:r>
          </w:p>
        </w:tc>
      </w:tr>
      <w:tr w:rsidR="00E039EF">
        <w:trPr>
          <w:trHeight w:val="275"/>
          <w:jc w:val="center"/>
        </w:trPr>
        <w:tc>
          <w:tcPr>
            <w:tcW w:w="1970" w:type="dxa"/>
            <w:shd w:val="solid" w:color="FFFFFF" w:fill="FFFFFF"/>
            <w:vAlign w:val="center"/>
          </w:tcPr>
          <w:p w:rsidR="00E039EF" w:rsidRDefault="003F2D22">
            <w:pPr>
              <w:spacing w:line="360" w:lineRule="auto"/>
              <w:jc w:val="left"/>
              <w:rPr>
                <w:rFonts w:asciiTheme="majorEastAsia" w:eastAsiaTheme="majorEastAsia" w:hAnsiTheme="majorEastAsia"/>
                <w:b/>
                <w:bCs/>
                <w:sz w:val="18"/>
                <w:szCs w:val="18"/>
              </w:rPr>
            </w:pPr>
            <w:r>
              <w:rPr>
                <w:rFonts w:hAnsi="宋体" w:hint="eastAsia"/>
                <w:sz w:val="18"/>
                <w:szCs w:val="18"/>
              </w:rPr>
              <w:t>★</w:t>
            </w:r>
            <w:r>
              <w:rPr>
                <w:rFonts w:asciiTheme="majorEastAsia" w:eastAsiaTheme="majorEastAsia" w:hAnsiTheme="majorEastAsia" w:hint="eastAsia"/>
                <w:b/>
                <w:bCs/>
                <w:sz w:val="18"/>
                <w:szCs w:val="18"/>
              </w:rPr>
              <w:t>投资冷静期</w:t>
            </w:r>
          </w:p>
        </w:tc>
        <w:tc>
          <w:tcPr>
            <w:tcW w:w="7674" w:type="dxa"/>
            <w:shd w:val="solid" w:color="FFFFFF" w:fill="FFFFFF"/>
            <w:vAlign w:val="center"/>
          </w:tcPr>
          <w:p w:rsidR="00E039EF" w:rsidRDefault="003F2D22">
            <w:pPr>
              <w:spacing w:line="360" w:lineRule="auto"/>
              <w:rPr>
                <w:rFonts w:asciiTheme="majorEastAsia" w:eastAsiaTheme="majorEastAsia" w:hAnsiTheme="majorEastAsia"/>
                <w:bCs/>
                <w:sz w:val="18"/>
                <w:szCs w:val="18"/>
              </w:rPr>
            </w:pPr>
            <w:r>
              <w:rPr>
                <w:rFonts w:asciiTheme="majorEastAsia" w:eastAsiaTheme="majorEastAsia" w:hAnsiTheme="majorEastAsia" w:hint="eastAsia"/>
                <w:bCs/>
                <w:sz w:val="18"/>
                <w:szCs w:val="18"/>
              </w:rPr>
              <w:t>本产品为公募理财产品，无投资冷静期设置。</w:t>
            </w:r>
          </w:p>
        </w:tc>
      </w:tr>
      <w:tr w:rsidR="00E039EF">
        <w:trPr>
          <w:trHeight w:val="275"/>
          <w:jc w:val="center"/>
        </w:trPr>
        <w:tc>
          <w:tcPr>
            <w:tcW w:w="1970" w:type="dxa"/>
            <w:shd w:val="solid" w:color="FFFFFF" w:fill="FFFFFF"/>
            <w:vAlign w:val="center"/>
          </w:tcPr>
          <w:p w:rsidR="00E039EF" w:rsidRDefault="003F2D22">
            <w:pPr>
              <w:spacing w:line="360" w:lineRule="auto"/>
              <w:jc w:val="left"/>
              <w:rPr>
                <w:rFonts w:asciiTheme="majorEastAsia" w:eastAsiaTheme="majorEastAsia" w:hAnsiTheme="majorEastAsia"/>
                <w:b/>
                <w:bCs/>
                <w:sz w:val="18"/>
                <w:szCs w:val="18"/>
              </w:rPr>
            </w:pPr>
            <w:r>
              <w:rPr>
                <w:rFonts w:asciiTheme="minorEastAsia" w:hAnsiTheme="minorEastAsia" w:hint="eastAsia"/>
                <w:b/>
                <w:bCs/>
                <w:sz w:val="18"/>
                <w:szCs w:val="18"/>
              </w:rPr>
              <w:t>成立日</w:t>
            </w:r>
          </w:p>
        </w:tc>
        <w:tc>
          <w:tcPr>
            <w:tcW w:w="7674" w:type="dxa"/>
            <w:shd w:val="solid" w:color="FFFFFF" w:fill="FFFFFF"/>
            <w:vAlign w:val="center"/>
          </w:tcPr>
          <w:p w:rsidR="00E039EF" w:rsidRDefault="003F2D22">
            <w:pPr>
              <w:spacing w:line="360" w:lineRule="auto"/>
              <w:rPr>
                <w:rFonts w:asciiTheme="minorEastAsia" w:hAnsiTheme="minorEastAsia"/>
                <w:bCs/>
                <w:sz w:val="18"/>
                <w:szCs w:val="18"/>
              </w:rPr>
            </w:pPr>
            <w:r>
              <w:rPr>
                <w:rFonts w:asciiTheme="minorEastAsia" w:hAnsiTheme="minorEastAsia"/>
                <w:bCs/>
                <w:sz w:val="18"/>
                <w:szCs w:val="18"/>
              </w:rPr>
              <w:t>1</w:t>
            </w:r>
            <w:r>
              <w:rPr>
                <w:rFonts w:asciiTheme="minorEastAsia" w:hAnsiTheme="minorEastAsia" w:hint="eastAsia"/>
                <w:bCs/>
                <w:sz w:val="18"/>
                <w:szCs w:val="18"/>
              </w:rPr>
              <w:t>.本产品的计划成立日为</w:t>
            </w:r>
            <w:r>
              <w:rPr>
                <w:rFonts w:asciiTheme="minorEastAsia" w:hAnsiTheme="minorEastAsia"/>
                <w:bCs/>
                <w:sz w:val="18"/>
                <w:szCs w:val="18"/>
              </w:rPr>
              <w:t>：</w:t>
            </w:r>
            <w:r>
              <w:rPr>
                <w:rFonts w:asciiTheme="minorEastAsia" w:hAnsiTheme="minorEastAsia" w:cs="Times New Roman" w:hint="eastAsia"/>
                <w:sz w:val="18"/>
                <w:szCs w:val="18"/>
              </w:rPr>
              <w:t>【2023</w:t>
            </w:r>
            <w:r>
              <w:rPr>
                <w:rFonts w:asciiTheme="minorEastAsia" w:hAnsiTheme="minorEastAsia" w:cs="Times New Roman"/>
                <w:sz w:val="18"/>
                <w:szCs w:val="18"/>
              </w:rPr>
              <w:t>】年【</w:t>
            </w:r>
            <w:r>
              <w:rPr>
                <w:rFonts w:asciiTheme="minorEastAsia" w:hAnsiTheme="minorEastAsia" w:cs="Times New Roman" w:hint="eastAsia"/>
                <w:sz w:val="18"/>
                <w:szCs w:val="18"/>
              </w:rPr>
              <w:t>1</w:t>
            </w:r>
            <w:r w:rsidR="00093F35">
              <w:rPr>
                <w:rFonts w:asciiTheme="minorEastAsia" w:hAnsiTheme="minorEastAsia" w:cs="Times New Roman"/>
                <w:sz w:val="18"/>
                <w:szCs w:val="18"/>
              </w:rPr>
              <w:t>2</w:t>
            </w:r>
            <w:r>
              <w:rPr>
                <w:rFonts w:asciiTheme="minorEastAsia" w:hAnsiTheme="minorEastAsia" w:cs="Times New Roman" w:hint="eastAsia"/>
                <w:sz w:val="18"/>
                <w:szCs w:val="18"/>
              </w:rPr>
              <w:t>】月【</w:t>
            </w:r>
            <w:r w:rsidR="00262A44">
              <w:rPr>
                <w:rFonts w:asciiTheme="minorEastAsia" w:hAnsiTheme="minorEastAsia" w:cs="Times New Roman"/>
                <w:sz w:val="18"/>
                <w:szCs w:val="18"/>
              </w:rPr>
              <w:t>27</w:t>
            </w:r>
            <w:r>
              <w:rPr>
                <w:rFonts w:asciiTheme="minorEastAsia" w:hAnsiTheme="minorEastAsia" w:cs="Times New Roman" w:hint="eastAsia"/>
                <w:sz w:val="18"/>
                <w:szCs w:val="18"/>
              </w:rPr>
              <w:t>】日（遇节假日顺延）</w:t>
            </w:r>
            <w:r>
              <w:rPr>
                <w:rFonts w:asciiTheme="minorEastAsia" w:hAnsiTheme="minorEastAsia" w:hint="eastAsia"/>
                <w:bCs/>
                <w:sz w:val="18"/>
                <w:szCs w:val="18"/>
              </w:rPr>
              <w:t>。</w:t>
            </w:r>
          </w:p>
          <w:p w:rsidR="00E039EF" w:rsidRDefault="003F2D22">
            <w:pPr>
              <w:spacing w:line="360" w:lineRule="auto"/>
              <w:rPr>
                <w:rFonts w:asciiTheme="majorEastAsia" w:eastAsiaTheme="majorEastAsia" w:hAnsiTheme="majorEastAsia"/>
                <w:bCs/>
                <w:sz w:val="18"/>
                <w:szCs w:val="18"/>
              </w:rPr>
            </w:pPr>
            <w:r>
              <w:rPr>
                <w:rFonts w:asciiTheme="minorEastAsia" w:hAnsiTheme="minorEastAsia"/>
                <w:bCs/>
                <w:sz w:val="18"/>
                <w:szCs w:val="18"/>
              </w:rPr>
              <w:t>2</w:t>
            </w:r>
            <w:r>
              <w:rPr>
                <w:rFonts w:asciiTheme="minorEastAsia" w:hAnsiTheme="minorEastAsia" w:hint="eastAsia"/>
                <w:bCs/>
                <w:sz w:val="18"/>
                <w:szCs w:val="18"/>
              </w:rPr>
              <w:t>.</w:t>
            </w:r>
            <w:r>
              <w:rPr>
                <w:rFonts w:asciiTheme="minorEastAsia" w:hAnsiTheme="minorEastAsia"/>
                <w:bCs/>
                <w:sz w:val="18"/>
                <w:szCs w:val="18"/>
              </w:rPr>
              <w:t>产品管理人有权根据实际募集情况提前或延后产品成立日期，并相应调整其他产品要素</w:t>
            </w:r>
            <w:r>
              <w:rPr>
                <w:rFonts w:asciiTheme="minorEastAsia" w:hAnsiTheme="minorEastAsia" w:hint="eastAsia"/>
                <w:bCs/>
                <w:sz w:val="18"/>
                <w:szCs w:val="18"/>
              </w:rPr>
              <w:t>，</w:t>
            </w:r>
            <w:r>
              <w:rPr>
                <w:rFonts w:asciiTheme="minorEastAsia" w:hAnsiTheme="minorEastAsia"/>
                <w:bCs/>
                <w:sz w:val="18"/>
                <w:szCs w:val="18"/>
              </w:rPr>
              <w:t>将依约</w:t>
            </w:r>
            <w:r>
              <w:rPr>
                <w:rFonts w:asciiTheme="minorEastAsia" w:hAnsiTheme="minorEastAsia" w:hint="eastAsia"/>
                <w:bCs/>
                <w:sz w:val="18"/>
                <w:szCs w:val="18"/>
              </w:rPr>
              <w:t>定进行公告。</w:t>
            </w:r>
          </w:p>
        </w:tc>
      </w:tr>
      <w:tr w:rsidR="00E039EF">
        <w:trPr>
          <w:trHeight w:val="275"/>
          <w:jc w:val="center"/>
        </w:trPr>
        <w:tc>
          <w:tcPr>
            <w:tcW w:w="1970" w:type="dxa"/>
            <w:shd w:val="solid" w:color="FFFFFF" w:fill="FFFFFF"/>
            <w:vAlign w:val="center"/>
          </w:tcPr>
          <w:p w:rsidR="00E039EF" w:rsidRDefault="003F2D22">
            <w:pPr>
              <w:spacing w:line="360" w:lineRule="auto"/>
              <w:jc w:val="left"/>
              <w:rPr>
                <w:rFonts w:ascii="宋体" w:hAnsi="宋体"/>
                <w:b/>
                <w:bCs/>
                <w:sz w:val="18"/>
                <w:szCs w:val="18"/>
              </w:rPr>
            </w:pPr>
            <w:r>
              <w:rPr>
                <w:rFonts w:asciiTheme="minorEastAsia" w:hAnsiTheme="minorEastAsia" w:hint="eastAsia"/>
                <w:b/>
                <w:bCs/>
                <w:sz w:val="18"/>
                <w:szCs w:val="18"/>
              </w:rPr>
              <w:t>终止日</w:t>
            </w:r>
          </w:p>
        </w:tc>
        <w:tc>
          <w:tcPr>
            <w:tcW w:w="7674" w:type="dxa"/>
            <w:shd w:val="solid" w:color="FFFFFF" w:fill="FFFFFF"/>
            <w:vAlign w:val="center"/>
          </w:tcPr>
          <w:p w:rsidR="00E039EF" w:rsidRDefault="003F2D22">
            <w:pPr>
              <w:spacing w:line="360" w:lineRule="auto"/>
              <w:rPr>
                <w:rFonts w:asciiTheme="minorEastAsia" w:hAnsiTheme="minorEastAsia"/>
                <w:bCs/>
                <w:sz w:val="18"/>
                <w:szCs w:val="18"/>
              </w:rPr>
            </w:pPr>
            <w:r>
              <w:rPr>
                <w:rFonts w:asciiTheme="minorEastAsia" w:hAnsiTheme="minorEastAsia"/>
                <w:bCs/>
                <w:sz w:val="18"/>
                <w:szCs w:val="18"/>
              </w:rPr>
              <w:t>1</w:t>
            </w:r>
            <w:r>
              <w:rPr>
                <w:rFonts w:asciiTheme="minorEastAsia" w:hAnsiTheme="minorEastAsia" w:hint="eastAsia"/>
                <w:bCs/>
                <w:sz w:val="18"/>
                <w:szCs w:val="18"/>
              </w:rPr>
              <w:t>.本产品的计划终止日为</w:t>
            </w:r>
            <w:r>
              <w:rPr>
                <w:rFonts w:asciiTheme="minorEastAsia" w:hAnsiTheme="minorEastAsia"/>
                <w:bCs/>
                <w:sz w:val="18"/>
                <w:szCs w:val="18"/>
              </w:rPr>
              <w:t>：</w:t>
            </w:r>
            <w:r>
              <w:rPr>
                <w:rFonts w:asciiTheme="minorEastAsia" w:hAnsiTheme="minorEastAsia" w:cs="Times New Roman" w:hint="eastAsia"/>
                <w:sz w:val="18"/>
                <w:szCs w:val="18"/>
              </w:rPr>
              <w:t>【2024</w:t>
            </w:r>
            <w:r>
              <w:rPr>
                <w:rFonts w:asciiTheme="minorEastAsia" w:hAnsiTheme="minorEastAsia" w:cs="Times New Roman"/>
                <w:sz w:val="18"/>
                <w:szCs w:val="18"/>
              </w:rPr>
              <w:t>】年【</w:t>
            </w:r>
            <w:r w:rsidR="00262A44">
              <w:rPr>
                <w:rFonts w:asciiTheme="minorEastAsia" w:hAnsiTheme="minorEastAsia" w:cs="Times New Roman"/>
                <w:sz w:val="18"/>
                <w:szCs w:val="18"/>
              </w:rPr>
              <w:t>7</w:t>
            </w:r>
            <w:r>
              <w:rPr>
                <w:rFonts w:asciiTheme="minorEastAsia" w:hAnsiTheme="minorEastAsia" w:cs="Times New Roman" w:hint="eastAsia"/>
                <w:sz w:val="18"/>
                <w:szCs w:val="18"/>
              </w:rPr>
              <w:t>】月【</w:t>
            </w:r>
            <w:r w:rsidR="00262A44">
              <w:rPr>
                <w:rFonts w:asciiTheme="minorEastAsia" w:hAnsiTheme="minorEastAsia" w:cs="Times New Roman"/>
                <w:sz w:val="18"/>
                <w:szCs w:val="18"/>
              </w:rPr>
              <w:t>2</w:t>
            </w:r>
            <w:r>
              <w:rPr>
                <w:rFonts w:asciiTheme="minorEastAsia" w:hAnsiTheme="minorEastAsia" w:cs="Times New Roman" w:hint="eastAsia"/>
                <w:sz w:val="18"/>
                <w:szCs w:val="18"/>
              </w:rPr>
              <w:t>】日（遇节假日顺延）</w:t>
            </w:r>
            <w:r>
              <w:rPr>
                <w:rFonts w:asciiTheme="minorEastAsia" w:hAnsiTheme="minorEastAsia" w:hint="eastAsia"/>
                <w:bCs/>
                <w:sz w:val="18"/>
                <w:szCs w:val="18"/>
              </w:rPr>
              <w:t>。</w:t>
            </w:r>
          </w:p>
          <w:p w:rsidR="00E039EF" w:rsidRDefault="003F2D22">
            <w:pPr>
              <w:spacing w:line="360" w:lineRule="auto"/>
              <w:rPr>
                <w:rFonts w:asciiTheme="minorEastAsia" w:hAnsiTheme="minorEastAsia" w:cs="Times New Roman"/>
                <w:sz w:val="18"/>
                <w:szCs w:val="18"/>
              </w:rPr>
            </w:pPr>
            <w:r>
              <w:rPr>
                <w:rFonts w:ascii="宋体" w:hAnsi="宋体" w:hint="eastAsia"/>
                <w:bCs/>
                <w:sz w:val="18"/>
                <w:szCs w:val="18"/>
              </w:rPr>
              <w:t>2.本产品的实际终止日受制于本理财产品销售文件“提前终止”及“延期终止”情形。</w:t>
            </w:r>
          </w:p>
        </w:tc>
      </w:tr>
      <w:tr w:rsidR="00E039EF">
        <w:trPr>
          <w:trHeight w:val="275"/>
          <w:jc w:val="center"/>
        </w:trPr>
        <w:tc>
          <w:tcPr>
            <w:tcW w:w="1970" w:type="dxa"/>
            <w:shd w:val="solid" w:color="FFFFFF" w:fill="FFFFFF"/>
            <w:vAlign w:val="center"/>
          </w:tcPr>
          <w:p w:rsidR="00E039EF" w:rsidRDefault="003F2D22">
            <w:pPr>
              <w:spacing w:line="360" w:lineRule="auto"/>
              <w:jc w:val="left"/>
              <w:rPr>
                <w:rFonts w:asciiTheme="majorEastAsia" w:eastAsiaTheme="majorEastAsia" w:hAnsiTheme="majorEastAsia"/>
                <w:b/>
                <w:sz w:val="18"/>
                <w:szCs w:val="18"/>
              </w:rPr>
            </w:pPr>
            <w:r>
              <w:rPr>
                <w:rFonts w:hAnsi="宋体" w:hint="eastAsia"/>
                <w:sz w:val="18"/>
                <w:szCs w:val="18"/>
              </w:rPr>
              <w:t>★</w:t>
            </w:r>
            <w:r>
              <w:rPr>
                <w:rFonts w:ascii="宋体" w:hAnsi="宋体" w:hint="eastAsia"/>
                <w:b/>
                <w:bCs/>
                <w:kern w:val="0"/>
                <w:sz w:val="18"/>
                <w:szCs w:val="18"/>
              </w:rPr>
              <w:t>销售起点金额</w:t>
            </w:r>
            <w:r>
              <w:rPr>
                <w:rFonts w:asciiTheme="majorEastAsia" w:eastAsiaTheme="majorEastAsia" w:hAnsiTheme="majorEastAsia" w:hint="eastAsia"/>
                <w:b/>
                <w:bCs/>
                <w:sz w:val="18"/>
                <w:szCs w:val="18"/>
              </w:rPr>
              <w:t>及</w:t>
            </w:r>
            <w:r>
              <w:rPr>
                <w:rFonts w:asciiTheme="majorEastAsia" w:eastAsiaTheme="majorEastAsia" w:hAnsiTheme="majorEastAsia"/>
                <w:b/>
                <w:bCs/>
                <w:sz w:val="18"/>
                <w:szCs w:val="18"/>
              </w:rPr>
              <w:t>递增金额</w:t>
            </w:r>
          </w:p>
        </w:tc>
        <w:tc>
          <w:tcPr>
            <w:tcW w:w="7674" w:type="dxa"/>
            <w:shd w:val="solid" w:color="FFFFFF" w:fill="FFFFFF"/>
            <w:vAlign w:val="center"/>
          </w:tcPr>
          <w:p w:rsidR="00E039EF" w:rsidRDefault="003F2D22">
            <w:pPr>
              <w:spacing w:line="360" w:lineRule="auto"/>
              <w:rPr>
                <w:rFonts w:asciiTheme="majorEastAsia" w:eastAsiaTheme="majorEastAsia" w:hAnsiTheme="majorEastAsia"/>
                <w:bCs/>
                <w:sz w:val="18"/>
                <w:szCs w:val="18"/>
              </w:rPr>
            </w:pPr>
            <w:r>
              <w:rPr>
                <w:rFonts w:asciiTheme="majorEastAsia" w:eastAsiaTheme="majorEastAsia" w:hAnsiTheme="majorEastAsia" w:hint="eastAsia"/>
                <w:sz w:val="18"/>
                <w:szCs w:val="18"/>
              </w:rPr>
              <w:t>每笔购买起点金额为【1</w:t>
            </w:r>
            <w:r w:rsidR="004227D0">
              <w:rPr>
                <w:rFonts w:asciiTheme="majorEastAsia" w:eastAsiaTheme="majorEastAsia" w:hAnsiTheme="majorEastAsia"/>
                <w:sz w:val="18"/>
                <w:szCs w:val="18"/>
              </w:rPr>
              <w:t>.00</w:t>
            </w:r>
            <w:r>
              <w:rPr>
                <w:rFonts w:asciiTheme="majorEastAsia" w:eastAsiaTheme="majorEastAsia" w:hAnsiTheme="majorEastAsia" w:hint="eastAsia"/>
                <w:sz w:val="18"/>
                <w:szCs w:val="18"/>
              </w:rPr>
              <w:t>】元；超出起点金额的部分以【</w:t>
            </w:r>
            <w:r w:rsidR="004227D0">
              <w:rPr>
                <w:rFonts w:asciiTheme="majorEastAsia" w:eastAsiaTheme="majorEastAsia" w:hAnsiTheme="majorEastAsia"/>
                <w:sz w:val="18"/>
                <w:szCs w:val="18"/>
              </w:rPr>
              <w:t>0.01</w:t>
            </w:r>
            <w:r>
              <w:rPr>
                <w:rFonts w:asciiTheme="majorEastAsia" w:eastAsiaTheme="majorEastAsia" w:hAnsiTheme="majorEastAsia" w:hint="eastAsia"/>
                <w:sz w:val="18"/>
                <w:szCs w:val="18"/>
              </w:rPr>
              <w:t>】元的整数倍递增。（适用【</w:t>
            </w:r>
            <w:r w:rsidR="004227D0">
              <w:rPr>
                <w:rFonts w:asciiTheme="majorEastAsia" w:eastAsiaTheme="majorEastAsia" w:hAnsiTheme="majorEastAsia"/>
                <w:sz w:val="18"/>
                <w:szCs w:val="18"/>
              </w:rPr>
              <w:t>/</w:t>
            </w:r>
            <w:r>
              <w:rPr>
                <w:rFonts w:asciiTheme="majorEastAsia" w:eastAsiaTheme="majorEastAsia" w:hAnsiTheme="majorEastAsia" w:hint="eastAsia"/>
                <w:sz w:val="18"/>
                <w:szCs w:val="18"/>
              </w:rPr>
              <w:t>】类份额）</w:t>
            </w:r>
          </w:p>
          <w:p w:rsidR="00E039EF" w:rsidRDefault="003F2D22">
            <w:pPr>
              <w:spacing w:line="360" w:lineRule="auto"/>
              <w:rPr>
                <w:rFonts w:ascii="黑体" w:eastAsia="黑体" w:hAnsi="黑体"/>
                <w:color w:val="000000" w:themeColor="text1"/>
                <w:sz w:val="18"/>
                <w:szCs w:val="18"/>
              </w:rPr>
            </w:pPr>
            <w:r>
              <w:rPr>
                <w:rFonts w:ascii="黑体" w:eastAsia="黑体" w:hAnsi="黑体" w:hint="eastAsia"/>
                <w:color w:val="000000" w:themeColor="text1"/>
                <w:sz w:val="18"/>
                <w:szCs w:val="18"/>
              </w:rPr>
              <w:t>注</w:t>
            </w:r>
            <w:r>
              <w:rPr>
                <w:rFonts w:ascii="黑体" w:eastAsia="黑体" w:hAnsi="黑体"/>
                <w:color w:val="000000" w:themeColor="text1"/>
                <w:sz w:val="18"/>
                <w:szCs w:val="18"/>
              </w:rPr>
              <w:t>：</w:t>
            </w:r>
            <w:r>
              <w:rPr>
                <w:rFonts w:ascii="黑体" w:eastAsia="黑体" w:hAnsi="黑体" w:hint="eastAsia"/>
                <w:color w:val="000000" w:themeColor="text1"/>
                <w:sz w:val="18"/>
                <w:szCs w:val="18"/>
              </w:rPr>
              <w:t>关于代理销售机构的实际销售</w:t>
            </w:r>
            <w:r>
              <w:rPr>
                <w:rFonts w:ascii="黑体" w:eastAsia="黑体" w:hAnsi="黑体"/>
                <w:color w:val="000000" w:themeColor="text1"/>
                <w:sz w:val="18"/>
                <w:szCs w:val="18"/>
              </w:rPr>
              <w:t>起点金额</w:t>
            </w:r>
            <w:r>
              <w:rPr>
                <w:rFonts w:ascii="黑体" w:eastAsia="黑体" w:hAnsi="黑体" w:hint="eastAsia"/>
                <w:color w:val="000000" w:themeColor="text1"/>
                <w:sz w:val="18"/>
                <w:szCs w:val="18"/>
              </w:rPr>
              <w:t>的提示</w:t>
            </w:r>
          </w:p>
          <w:p w:rsidR="00E039EF" w:rsidRDefault="003F2D22">
            <w:pPr>
              <w:spacing w:line="360" w:lineRule="auto"/>
              <w:rPr>
                <w:rFonts w:ascii="黑体" w:eastAsia="黑体" w:hAnsi="黑体"/>
                <w:color w:val="000000" w:themeColor="text1"/>
                <w:sz w:val="18"/>
                <w:szCs w:val="18"/>
              </w:rPr>
            </w:pPr>
            <w:r>
              <w:rPr>
                <w:rFonts w:ascii="黑体" w:eastAsia="黑体" w:hAnsi="黑体" w:hint="eastAsia"/>
                <w:color w:val="000000" w:themeColor="text1"/>
                <w:sz w:val="18"/>
                <w:szCs w:val="18"/>
              </w:rPr>
              <w:t>①本产品在代理销售机构的实际销售起点金额，因代理销售机构的不同可能存在差异（可能高于销售文件约定的销售起点金额），应当</w:t>
            </w:r>
            <w:r>
              <w:rPr>
                <w:rFonts w:ascii="黑体" w:eastAsia="黑体" w:hAnsi="黑体"/>
                <w:color w:val="000000" w:themeColor="text1"/>
                <w:sz w:val="18"/>
                <w:szCs w:val="18"/>
              </w:rPr>
              <w:t>以</w:t>
            </w:r>
            <w:r>
              <w:rPr>
                <w:rFonts w:ascii="黑体" w:eastAsia="黑体" w:hAnsi="黑体" w:hint="eastAsia"/>
                <w:color w:val="000000" w:themeColor="text1"/>
                <w:sz w:val="18"/>
                <w:szCs w:val="18"/>
              </w:rPr>
              <w:t>代理销售机构展示</w:t>
            </w:r>
            <w:r>
              <w:rPr>
                <w:rFonts w:ascii="黑体" w:eastAsia="黑体" w:hAnsi="黑体"/>
                <w:color w:val="000000" w:themeColor="text1"/>
                <w:sz w:val="18"/>
                <w:szCs w:val="18"/>
              </w:rPr>
              <w:t>为准</w:t>
            </w:r>
            <w:r>
              <w:rPr>
                <w:rFonts w:ascii="黑体" w:eastAsia="黑体" w:hAnsi="黑体" w:hint="eastAsia"/>
                <w:color w:val="000000" w:themeColor="text1"/>
                <w:sz w:val="18"/>
                <w:szCs w:val="18"/>
              </w:rPr>
              <w:t>。</w:t>
            </w:r>
          </w:p>
          <w:p w:rsidR="00E039EF" w:rsidRDefault="003F2D22">
            <w:pPr>
              <w:spacing w:line="360" w:lineRule="auto"/>
              <w:jc w:val="left"/>
              <w:rPr>
                <w:rFonts w:asciiTheme="minorEastAsia" w:hAnsiTheme="minorEastAsia" w:cs="Times New Roman"/>
                <w:sz w:val="18"/>
                <w:szCs w:val="18"/>
              </w:rPr>
            </w:pPr>
            <w:r>
              <w:rPr>
                <w:rFonts w:ascii="黑体" w:eastAsia="黑体" w:hAnsi="黑体" w:hint="eastAsia"/>
                <w:color w:val="000000" w:themeColor="text1"/>
                <w:sz w:val="18"/>
                <w:szCs w:val="18"/>
              </w:rPr>
              <w:t>②代理销售机构的实际销售起点金额，</w:t>
            </w:r>
            <w:r>
              <w:rPr>
                <w:rFonts w:ascii="黑体" w:eastAsia="黑体" w:hAnsi="黑体"/>
                <w:color w:val="000000" w:themeColor="text1"/>
                <w:sz w:val="18"/>
                <w:szCs w:val="18"/>
              </w:rPr>
              <w:t>不得低于</w:t>
            </w:r>
            <w:r>
              <w:rPr>
                <w:rFonts w:ascii="黑体" w:eastAsia="黑体" w:hAnsi="黑体" w:hint="eastAsia"/>
                <w:color w:val="000000" w:themeColor="text1"/>
                <w:sz w:val="18"/>
                <w:szCs w:val="18"/>
              </w:rPr>
              <w:t>销售</w:t>
            </w:r>
            <w:r>
              <w:rPr>
                <w:rFonts w:ascii="黑体" w:eastAsia="黑体" w:hAnsi="黑体"/>
                <w:color w:val="000000" w:themeColor="text1"/>
                <w:sz w:val="18"/>
                <w:szCs w:val="18"/>
              </w:rPr>
              <w:t>文件约定的</w:t>
            </w:r>
            <w:r>
              <w:rPr>
                <w:rFonts w:ascii="黑体" w:eastAsia="黑体" w:hAnsi="黑体" w:hint="eastAsia"/>
                <w:color w:val="000000" w:themeColor="text1"/>
                <w:sz w:val="18"/>
                <w:szCs w:val="18"/>
              </w:rPr>
              <w:t>销售</w:t>
            </w:r>
            <w:r>
              <w:rPr>
                <w:rFonts w:ascii="黑体" w:eastAsia="黑体" w:hAnsi="黑体"/>
                <w:color w:val="000000" w:themeColor="text1"/>
                <w:sz w:val="18"/>
                <w:szCs w:val="18"/>
              </w:rPr>
              <w:t>起点金额</w:t>
            </w:r>
            <w:r>
              <w:rPr>
                <w:rFonts w:ascii="黑体" w:eastAsia="黑体" w:hAnsi="黑体" w:hint="eastAsia"/>
                <w:color w:val="000000" w:themeColor="text1"/>
                <w:sz w:val="18"/>
                <w:szCs w:val="18"/>
              </w:rPr>
              <w:t>。</w:t>
            </w:r>
          </w:p>
        </w:tc>
      </w:tr>
      <w:tr w:rsidR="00E039EF">
        <w:trPr>
          <w:trHeight w:val="275"/>
          <w:jc w:val="center"/>
        </w:trPr>
        <w:tc>
          <w:tcPr>
            <w:tcW w:w="1970" w:type="dxa"/>
            <w:shd w:val="solid" w:color="FFFFFF" w:fill="FFFFFF"/>
            <w:vAlign w:val="center"/>
          </w:tcPr>
          <w:p w:rsidR="00E039EF" w:rsidRDefault="003F2D22">
            <w:pPr>
              <w:spacing w:line="360" w:lineRule="auto"/>
              <w:jc w:val="left"/>
              <w:rPr>
                <w:rFonts w:hAnsi="宋体"/>
                <w:sz w:val="18"/>
                <w:szCs w:val="18"/>
              </w:rPr>
            </w:pPr>
            <w:r>
              <w:rPr>
                <w:rFonts w:hAnsi="宋体" w:hint="eastAsia"/>
                <w:b/>
                <w:sz w:val="18"/>
                <w:szCs w:val="18"/>
              </w:rPr>
              <w:t>★认购的数量限制</w:t>
            </w:r>
          </w:p>
        </w:tc>
        <w:tc>
          <w:tcPr>
            <w:tcW w:w="7674" w:type="dxa"/>
            <w:shd w:val="solid" w:color="FFFFFF" w:fill="FFFFFF"/>
            <w:vAlign w:val="center"/>
          </w:tcPr>
          <w:p w:rsidR="00E039EF" w:rsidRDefault="003F2D22">
            <w:pPr>
              <w:pStyle w:val="Default"/>
              <w:spacing w:line="360" w:lineRule="auto"/>
              <w:rPr>
                <w:rFonts w:hAnsi="宋体"/>
                <w:bCs/>
                <w:sz w:val="18"/>
                <w:szCs w:val="18"/>
              </w:rPr>
            </w:pPr>
            <w:r>
              <w:rPr>
                <w:rFonts w:hAnsi="宋体" w:hint="eastAsia"/>
                <w:bCs/>
                <w:sz w:val="18"/>
                <w:szCs w:val="18"/>
              </w:rPr>
              <w:t>（适用【</w:t>
            </w:r>
            <w:r>
              <w:rPr>
                <w:rFonts w:asciiTheme="majorEastAsia" w:eastAsiaTheme="majorEastAsia" w:hAnsiTheme="majorEastAsia" w:hint="eastAsia"/>
                <w:sz w:val="18"/>
                <w:szCs w:val="18"/>
              </w:rPr>
              <w:t>/</w:t>
            </w:r>
            <w:r>
              <w:rPr>
                <w:rFonts w:hAnsi="宋体" w:hint="eastAsia"/>
                <w:bCs/>
                <w:sz w:val="18"/>
                <w:szCs w:val="18"/>
              </w:rPr>
              <w:t>】类</w:t>
            </w:r>
            <w:r>
              <w:rPr>
                <w:rFonts w:hAnsi="宋体"/>
                <w:bCs/>
                <w:sz w:val="18"/>
                <w:szCs w:val="18"/>
              </w:rPr>
              <w:t>份额</w:t>
            </w:r>
            <w:r>
              <w:rPr>
                <w:rFonts w:hAnsi="宋体" w:hint="eastAsia"/>
                <w:bCs/>
                <w:sz w:val="18"/>
                <w:szCs w:val="18"/>
              </w:rPr>
              <w:t>）</w:t>
            </w:r>
          </w:p>
          <w:p w:rsidR="00E039EF" w:rsidRDefault="003F2D22">
            <w:pPr>
              <w:pStyle w:val="Default"/>
              <w:spacing w:line="360" w:lineRule="auto"/>
              <w:rPr>
                <w:rFonts w:asciiTheme="minorEastAsia" w:eastAsiaTheme="minorEastAsia" w:hAnsiTheme="minorEastAsia"/>
                <w:color w:val="auto"/>
                <w:sz w:val="18"/>
                <w:szCs w:val="18"/>
              </w:rPr>
            </w:pPr>
            <w:r>
              <w:rPr>
                <w:rFonts w:asciiTheme="minorEastAsia" w:eastAsiaTheme="minorEastAsia" w:hAnsiTheme="minorEastAsia" w:hint="eastAsia"/>
                <w:color w:val="auto"/>
                <w:sz w:val="18"/>
                <w:szCs w:val="18"/>
              </w:rPr>
              <w:t>认购的数量限制</w:t>
            </w:r>
          </w:p>
          <w:p w:rsidR="00E039EF" w:rsidRDefault="003F2D22">
            <w:pPr>
              <w:pStyle w:val="Default"/>
              <w:spacing w:line="360" w:lineRule="auto"/>
              <w:rPr>
                <w:rFonts w:asciiTheme="minorEastAsia" w:eastAsiaTheme="minorEastAsia" w:hAnsiTheme="minorEastAsia"/>
                <w:color w:val="auto"/>
                <w:sz w:val="18"/>
                <w:szCs w:val="18"/>
              </w:rPr>
            </w:pPr>
            <w:r>
              <w:rPr>
                <w:rFonts w:asciiTheme="minorEastAsia" w:eastAsiaTheme="minorEastAsia" w:hAnsiTheme="minorEastAsia" w:hint="eastAsia"/>
                <w:color w:val="auto"/>
                <w:sz w:val="18"/>
                <w:szCs w:val="18"/>
              </w:rPr>
              <w:t>（1）单一投资者认购上限为【/】。</w:t>
            </w:r>
          </w:p>
          <w:p w:rsidR="00E039EF" w:rsidRDefault="003F2D22">
            <w:pPr>
              <w:pStyle w:val="Default"/>
              <w:spacing w:line="360" w:lineRule="auto"/>
              <w:rPr>
                <w:rFonts w:asciiTheme="minorEastAsia" w:eastAsiaTheme="minorEastAsia" w:hAnsiTheme="minorEastAsia"/>
                <w:color w:val="auto"/>
                <w:sz w:val="18"/>
                <w:szCs w:val="18"/>
              </w:rPr>
            </w:pPr>
            <w:r>
              <w:rPr>
                <w:rFonts w:asciiTheme="minorEastAsia" w:eastAsiaTheme="minorEastAsia" w:hAnsiTheme="minorEastAsia" w:hint="eastAsia"/>
                <w:color w:val="auto"/>
                <w:sz w:val="18"/>
                <w:szCs w:val="18"/>
              </w:rPr>
              <w:t>（2）产品</w:t>
            </w:r>
            <w:r>
              <w:rPr>
                <w:rFonts w:asciiTheme="minorEastAsia" w:eastAsiaTheme="minorEastAsia" w:hAnsiTheme="minorEastAsia"/>
                <w:color w:val="auto"/>
                <w:sz w:val="18"/>
                <w:szCs w:val="18"/>
              </w:rPr>
              <w:t>存续期间，</w:t>
            </w:r>
            <w:r>
              <w:rPr>
                <w:rFonts w:asciiTheme="minorEastAsia" w:eastAsiaTheme="minorEastAsia" w:hAnsiTheme="minorEastAsia" w:hint="eastAsia"/>
                <w:color w:val="auto"/>
                <w:sz w:val="18"/>
                <w:szCs w:val="18"/>
              </w:rPr>
              <w:t>单一投资者</w:t>
            </w:r>
            <w:r>
              <w:rPr>
                <w:rFonts w:asciiTheme="minorEastAsia" w:eastAsiaTheme="minorEastAsia" w:hAnsiTheme="minorEastAsia"/>
                <w:color w:val="auto"/>
                <w:sz w:val="18"/>
                <w:szCs w:val="18"/>
              </w:rPr>
              <w:t>最高</w:t>
            </w:r>
            <w:r>
              <w:rPr>
                <w:rFonts w:asciiTheme="minorEastAsia" w:eastAsiaTheme="minorEastAsia" w:hAnsiTheme="minorEastAsia" w:hint="eastAsia"/>
                <w:color w:val="auto"/>
                <w:sz w:val="18"/>
                <w:szCs w:val="18"/>
              </w:rPr>
              <w:t>持有</w:t>
            </w:r>
            <w:r>
              <w:rPr>
                <w:rFonts w:asciiTheme="minorEastAsia" w:eastAsiaTheme="minorEastAsia" w:hAnsiTheme="minorEastAsia"/>
                <w:color w:val="auto"/>
                <w:sz w:val="18"/>
                <w:szCs w:val="18"/>
              </w:rPr>
              <w:t>份额上限为</w:t>
            </w:r>
            <w:r>
              <w:rPr>
                <w:rFonts w:asciiTheme="minorEastAsia" w:eastAsiaTheme="minorEastAsia" w:hAnsiTheme="minorEastAsia" w:hint="eastAsia"/>
                <w:color w:val="auto"/>
                <w:sz w:val="18"/>
                <w:szCs w:val="18"/>
              </w:rPr>
              <w:t>【/】份，符合产品管理人流动性管理的稳定资金除外。</w:t>
            </w:r>
          </w:p>
          <w:p w:rsidR="00E039EF" w:rsidRDefault="003F2D22">
            <w:pPr>
              <w:pStyle w:val="Default"/>
              <w:spacing w:line="360" w:lineRule="auto"/>
              <w:rPr>
                <w:rFonts w:asciiTheme="minorEastAsia" w:eastAsiaTheme="minorEastAsia" w:hAnsiTheme="minorEastAsia"/>
                <w:color w:val="auto"/>
                <w:sz w:val="18"/>
                <w:szCs w:val="18"/>
              </w:rPr>
            </w:pPr>
            <w:r>
              <w:rPr>
                <w:rFonts w:asciiTheme="minorEastAsia" w:eastAsiaTheme="minorEastAsia" w:hAnsiTheme="minorEastAsia" w:hint="eastAsia"/>
                <w:color w:val="auto"/>
                <w:sz w:val="18"/>
                <w:szCs w:val="18"/>
              </w:rPr>
              <w:t xml:space="preserve">如需突破上限，请与产品管理人或销售机构客户经理联系。 </w:t>
            </w:r>
          </w:p>
          <w:p w:rsidR="00E039EF" w:rsidRDefault="003F2D22">
            <w:pPr>
              <w:pStyle w:val="Default"/>
              <w:spacing w:line="360" w:lineRule="auto"/>
              <w:rPr>
                <w:rFonts w:ascii="黑体" w:eastAsia="黑体" w:hAnsi="黑体"/>
                <w:color w:val="000000" w:themeColor="text1"/>
                <w:sz w:val="18"/>
                <w:szCs w:val="18"/>
              </w:rPr>
            </w:pPr>
            <w:r>
              <w:rPr>
                <w:rFonts w:ascii="黑体" w:eastAsia="黑体" w:hAnsi="黑体" w:hint="eastAsia"/>
                <w:color w:val="000000" w:themeColor="text1"/>
                <w:sz w:val="18"/>
                <w:szCs w:val="18"/>
              </w:rPr>
              <w:lastRenderedPageBreak/>
              <w:t>注</w:t>
            </w:r>
            <w:r>
              <w:rPr>
                <w:rFonts w:ascii="黑体" w:eastAsia="黑体" w:hAnsi="黑体"/>
                <w:color w:val="000000" w:themeColor="text1"/>
                <w:sz w:val="18"/>
                <w:szCs w:val="18"/>
              </w:rPr>
              <w:t>：</w:t>
            </w:r>
            <w:r>
              <w:rPr>
                <w:rFonts w:ascii="黑体" w:eastAsia="黑体" w:hAnsi="黑体" w:hint="eastAsia"/>
                <w:color w:val="000000" w:themeColor="text1"/>
                <w:sz w:val="18"/>
                <w:szCs w:val="18"/>
              </w:rPr>
              <w:t>本产品单一投资者持有份额不得超过产品总份额</w:t>
            </w:r>
            <w:r>
              <w:rPr>
                <w:rFonts w:ascii="黑体" w:eastAsia="黑体" w:hAnsi="黑体"/>
                <w:color w:val="000000" w:themeColor="text1"/>
                <w:sz w:val="18"/>
                <w:szCs w:val="18"/>
              </w:rPr>
              <w:t>50%。</w:t>
            </w:r>
          </w:p>
          <w:p w:rsidR="00E039EF" w:rsidRDefault="003F2D22">
            <w:pPr>
              <w:pStyle w:val="Default"/>
              <w:spacing w:line="360" w:lineRule="auto"/>
              <w:rPr>
                <w:rFonts w:ascii="黑体" w:eastAsia="黑体" w:hAnsi="黑体"/>
                <w:color w:val="000000" w:themeColor="text1"/>
                <w:sz w:val="18"/>
                <w:szCs w:val="18"/>
              </w:rPr>
            </w:pPr>
            <w:r>
              <w:rPr>
                <w:rFonts w:ascii="黑体" w:eastAsia="黑体" w:hAnsi="黑体" w:hint="eastAsia"/>
                <w:color w:val="000000" w:themeColor="text1"/>
                <w:sz w:val="18"/>
                <w:szCs w:val="18"/>
              </w:rPr>
              <w:t>（</w:t>
            </w:r>
            <w:r>
              <w:rPr>
                <w:rFonts w:ascii="黑体" w:eastAsia="黑体" w:hAnsi="黑体"/>
                <w:color w:val="000000" w:themeColor="text1"/>
                <w:sz w:val="18"/>
                <w:szCs w:val="18"/>
              </w:rPr>
              <w:t>1）投资者认购或申购确认后可能导致其持有份额超过产品总份额50%的，管理人有权拒绝或暂停认购、申购。</w:t>
            </w:r>
          </w:p>
          <w:p w:rsidR="00E039EF" w:rsidRDefault="003F2D22">
            <w:pPr>
              <w:spacing w:line="360" w:lineRule="auto"/>
              <w:rPr>
                <w:rFonts w:asciiTheme="majorEastAsia" w:eastAsiaTheme="majorEastAsia" w:hAnsiTheme="majorEastAsia"/>
                <w:sz w:val="18"/>
                <w:szCs w:val="18"/>
              </w:rPr>
            </w:pPr>
            <w:r>
              <w:rPr>
                <w:rFonts w:ascii="黑体" w:eastAsia="黑体" w:hAnsi="黑体" w:hint="eastAsia"/>
                <w:color w:val="000000" w:themeColor="text1"/>
                <w:sz w:val="18"/>
                <w:szCs w:val="18"/>
              </w:rPr>
              <w:t>（</w:t>
            </w:r>
            <w:r>
              <w:rPr>
                <w:rFonts w:ascii="黑体" w:eastAsia="黑体" w:hAnsi="黑体"/>
                <w:color w:val="000000" w:themeColor="text1"/>
                <w:sz w:val="18"/>
                <w:szCs w:val="18"/>
              </w:rPr>
              <w:t>2）非因管理人主观因素导致突破该比例限制的，在单一投资者持有比例降至50%以下之前，管理人不再接受该投资者对本产品的认购、申购申请。</w:t>
            </w:r>
          </w:p>
        </w:tc>
      </w:tr>
      <w:tr w:rsidR="00E039EF">
        <w:trPr>
          <w:trHeight w:val="275"/>
          <w:jc w:val="center"/>
        </w:trPr>
        <w:tc>
          <w:tcPr>
            <w:tcW w:w="1970" w:type="dxa"/>
            <w:shd w:val="solid" w:color="FFFFFF" w:fill="FFFFFF"/>
            <w:vAlign w:val="center"/>
          </w:tcPr>
          <w:p w:rsidR="00E039EF" w:rsidRDefault="003F2D22">
            <w:pPr>
              <w:spacing w:line="360" w:lineRule="auto"/>
              <w:jc w:val="left"/>
              <w:rPr>
                <w:rFonts w:hAnsi="宋体"/>
                <w:sz w:val="18"/>
                <w:szCs w:val="18"/>
              </w:rPr>
            </w:pPr>
            <w:r>
              <w:rPr>
                <w:rFonts w:asciiTheme="majorEastAsia" w:eastAsiaTheme="majorEastAsia" w:hAnsiTheme="majorEastAsia" w:hint="eastAsia"/>
                <w:b/>
                <w:bCs/>
                <w:sz w:val="18"/>
                <w:szCs w:val="18"/>
              </w:rPr>
              <w:lastRenderedPageBreak/>
              <w:t>理财产品</w:t>
            </w:r>
            <w:r>
              <w:rPr>
                <w:rFonts w:asciiTheme="majorEastAsia" w:eastAsiaTheme="majorEastAsia" w:hAnsiTheme="majorEastAsia"/>
                <w:b/>
                <w:bCs/>
                <w:sz w:val="18"/>
                <w:szCs w:val="18"/>
              </w:rPr>
              <w:t>份额发售面值</w:t>
            </w:r>
          </w:p>
        </w:tc>
        <w:tc>
          <w:tcPr>
            <w:tcW w:w="7674" w:type="dxa"/>
            <w:shd w:val="solid" w:color="FFFFFF" w:fill="FFFFFF"/>
            <w:vAlign w:val="center"/>
          </w:tcPr>
          <w:p w:rsidR="00E039EF" w:rsidRDefault="003F2D22">
            <w:pPr>
              <w:spacing w:line="360" w:lineRule="auto"/>
              <w:rPr>
                <w:rFonts w:asciiTheme="majorEastAsia" w:eastAsiaTheme="majorEastAsia" w:hAnsiTheme="majorEastAsia"/>
                <w:sz w:val="18"/>
                <w:szCs w:val="18"/>
              </w:rPr>
            </w:pPr>
            <w:r>
              <w:rPr>
                <w:rFonts w:asciiTheme="majorEastAsia" w:eastAsiaTheme="majorEastAsia" w:hAnsiTheme="majorEastAsia" w:cs="仿宋_GB2312"/>
                <w:kern w:val="0"/>
                <w:sz w:val="18"/>
                <w:szCs w:val="18"/>
              </w:rPr>
              <w:t>1.00</w:t>
            </w:r>
            <w:r>
              <w:rPr>
                <w:rFonts w:asciiTheme="majorEastAsia" w:eastAsiaTheme="majorEastAsia" w:hAnsiTheme="majorEastAsia" w:cs="仿宋_GB2312" w:hint="eastAsia"/>
                <w:kern w:val="0"/>
                <w:sz w:val="18"/>
                <w:szCs w:val="18"/>
              </w:rPr>
              <w:t>元</w:t>
            </w:r>
          </w:p>
        </w:tc>
      </w:tr>
      <w:tr w:rsidR="00E039EF">
        <w:trPr>
          <w:trHeight w:val="275"/>
          <w:jc w:val="center"/>
        </w:trPr>
        <w:tc>
          <w:tcPr>
            <w:tcW w:w="1970" w:type="dxa"/>
            <w:shd w:val="solid" w:color="FFFFFF" w:fill="FFFFFF"/>
            <w:vAlign w:val="center"/>
          </w:tcPr>
          <w:p w:rsidR="00E039EF" w:rsidRDefault="003F2D22">
            <w:pPr>
              <w:spacing w:line="360" w:lineRule="auto"/>
              <w:jc w:val="left"/>
              <w:rPr>
                <w:rFonts w:asciiTheme="majorEastAsia" w:eastAsiaTheme="majorEastAsia" w:hAnsiTheme="majorEastAsia"/>
                <w:b/>
                <w:sz w:val="18"/>
                <w:szCs w:val="18"/>
              </w:rPr>
            </w:pPr>
            <w:r>
              <w:rPr>
                <w:rFonts w:ascii="宋体" w:hAnsi="宋体" w:hint="eastAsia"/>
                <w:b/>
                <w:bCs/>
                <w:kern w:val="0"/>
                <w:sz w:val="18"/>
                <w:szCs w:val="18"/>
              </w:rPr>
              <w:t>理财产品份额净值</w:t>
            </w:r>
          </w:p>
        </w:tc>
        <w:tc>
          <w:tcPr>
            <w:tcW w:w="7674" w:type="dxa"/>
            <w:shd w:val="solid" w:color="FFFFFF" w:fill="FFFFFF"/>
            <w:vAlign w:val="center"/>
          </w:tcPr>
          <w:p w:rsidR="00E039EF" w:rsidRDefault="003F2D22">
            <w:pPr>
              <w:spacing w:line="360" w:lineRule="auto"/>
              <w:jc w:val="left"/>
              <w:rPr>
                <w:rFonts w:asciiTheme="majorEastAsia" w:eastAsiaTheme="majorEastAsia" w:hAnsiTheme="majorEastAsia"/>
                <w:bCs/>
                <w:sz w:val="18"/>
                <w:szCs w:val="18"/>
              </w:rPr>
            </w:pPr>
            <w:r>
              <w:rPr>
                <w:rFonts w:asciiTheme="majorEastAsia" w:eastAsiaTheme="majorEastAsia" w:hAnsiTheme="majorEastAsia" w:hint="eastAsia"/>
                <w:bCs/>
                <w:sz w:val="18"/>
                <w:szCs w:val="18"/>
              </w:rPr>
              <w:t>1</w:t>
            </w:r>
            <w:r>
              <w:rPr>
                <w:rFonts w:asciiTheme="majorEastAsia" w:eastAsiaTheme="majorEastAsia" w:hAnsiTheme="majorEastAsia"/>
                <w:color w:val="000000" w:themeColor="text1"/>
                <w:sz w:val="18"/>
                <w:szCs w:val="18"/>
              </w:rPr>
              <w:t>.</w:t>
            </w:r>
            <w:r>
              <w:rPr>
                <w:rFonts w:asciiTheme="majorEastAsia" w:eastAsiaTheme="majorEastAsia" w:hAnsiTheme="majorEastAsia"/>
                <w:bCs/>
                <w:sz w:val="18"/>
                <w:szCs w:val="18"/>
              </w:rPr>
              <w:t>若产品投资资产运作出现损失的，产品份额净值下降，投资</w:t>
            </w:r>
            <w:r>
              <w:rPr>
                <w:rFonts w:asciiTheme="majorEastAsia" w:eastAsiaTheme="majorEastAsia" w:hAnsiTheme="majorEastAsia" w:hint="eastAsia"/>
                <w:bCs/>
                <w:sz w:val="18"/>
                <w:szCs w:val="18"/>
              </w:rPr>
              <w:t>者</w:t>
            </w:r>
            <w:r>
              <w:rPr>
                <w:rFonts w:asciiTheme="majorEastAsia" w:eastAsiaTheme="majorEastAsia" w:hAnsiTheme="majorEastAsia"/>
                <w:bCs/>
                <w:sz w:val="18"/>
                <w:szCs w:val="18"/>
              </w:rPr>
              <w:t>分配所得可能小于投资</w:t>
            </w:r>
            <w:r>
              <w:rPr>
                <w:rFonts w:asciiTheme="majorEastAsia" w:eastAsiaTheme="majorEastAsia" w:hAnsiTheme="majorEastAsia" w:hint="eastAsia"/>
                <w:bCs/>
                <w:sz w:val="18"/>
                <w:szCs w:val="18"/>
              </w:rPr>
              <w:t>者</w:t>
            </w:r>
            <w:r>
              <w:rPr>
                <w:rFonts w:asciiTheme="majorEastAsia" w:eastAsiaTheme="majorEastAsia" w:hAnsiTheme="majorEastAsia"/>
                <w:bCs/>
                <w:sz w:val="18"/>
                <w:szCs w:val="18"/>
              </w:rPr>
              <w:t>初始投资资金。投资</w:t>
            </w:r>
            <w:r>
              <w:rPr>
                <w:rFonts w:asciiTheme="majorEastAsia" w:eastAsiaTheme="majorEastAsia" w:hAnsiTheme="majorEastAsia" w:hint="eastAsia"/>
                <w:bCs/>
                <w:sz w:val="18"/>
                <w:szCs w:val="18"/>
              </w:rPr>
              <w:t>者</w:t>
            </w:r>
            <w:r>
              <w:rPr>
                <w:rFonts w:asciiTheme="majorEastAsia" w:eastAsiaTheme="majorEastAsia" w:hAnsiTheme="majorEastAsia"/>
                <w:bCs/>
                <w:sz w:val="18"/>
                <w:szCs w:val="18"/>
              </w:rPr>
              <w:t>分配所得以实际到账金额为准。</w:t>
            </w:r>
          </w:p>
          <w:p w:rsidR="00E039EF" w:rsidRDefault="003F2D22">
            <w:pPr>
              <w:spacing w:line="360" w:lineRule="auto"/>
              <w:rPr>
                <w:rFonts w:asciiTheme="majorEastAsia" w:eastAsiaTheme="majorEastAsia" w:hAnsiTheme="majorEastAsia"/>
                <w:bCs/>
                <w:sz w:val="18"/>
                <w:szCs w:val="18"/>
              </w:rPr>
            </w:pPr>
            <w:r>
              <w:rPr>
                <w:rFonts w:asciiTheme="majorEastAsia" w:eastAsiaTheme="majorEastAsia" w:hAnsiTheme="majorEastAsia"/>
                <w:bCs/>
                <w:sz w:val="18"/>
                <w:szCs w:val="18"/>
              </w:rPr>
              <w:t>2．产品实际</w:t>
            </w:r>
            <w:r>
              <w:rPr>
                <w:rFonts w:asciiTheme="majorEastAsia" w:eastAsiaTheme="majorEastAsia" w:hAnsiTheme="majorEastAsia" w:hint="eastAsia"/>
                <w:bCs/>
                <w:sz w:val="18"/>
                <w:szCs w:val="18"/>
              </w:rPr>
              <w:t>终止</w:t>
            </w:r>
            <w:r>
              <w:rPr>
                <w:rFonts w:asciiTheme="majorEastAsia" w:eastAsiaTheme="majorEastAsia" w:hAnsiTheme="majorEastAsia"/>
                <w:bCs/>
                <w:sz w:val="18"/>
                <w:szCs w:val="18"/>
              </w:rPr>
              <w:t>日之前的估值日公布的产品份额净值已扣除</w:t>
            </w:r>
            <w:r>
              <w:rPr>
                <w:rFonts w:asciiTheme="majorEastAsia" w:eastAsiaTheme="majorEastAsia" w:hAnsiTheme="majorEastAsia" w:hint="eastAsia"/>
                <w:bCs/>
                <w:sz w:val="18"/>
                <w:szCs w:val="18"/>
              </w:rPr>
              <w:t>理财产品</w:t>
            </w:r>
            <w:r>
              <w:rPr>
                <w:rFonts w:asciiTheme="majorEastAsia" w:eastAsiaTheme="majorEastAsia" w:hAnsiTheme="majorEastAsia"/>
                <w:bCs/>
                <w:sz w:val="18"/>
                <w:szCs w:val="18"/>
              </w:rPr>
              <w:t>的费用和税收。</w:t>
            </w:r>
          </w:p>
          <w:p w:rsidR="00E039EF" w:rsidRDefault="003F2D22">
            <w:pPr>
              <w:spacing w:line="360" w:lineRule="auto"/>
              <w:jc w:val="left"/>
              <w:rPr>
                <w:rFonts w:asciiTheme="minorEastAsia" w:hAnsiTheme="minorEastAsia" w:cs="Times New Roman"/>
                <w:sz w:val="18"/>
                <w:szCs w:val="18"/>
              </w:rPr>
            </w:pPr>
            <w:r>
              <w:rPr>
                <w:rFonts w:asciiTheme="majorEastAsia" w:eastAsiaTheme="majorEastAsia" w:hAnsiTheme="majorEastAsia"/>
                <w:bCs/>
                <w:sz w:val="18"/>
                <w:szCs w:val="18"/>
              </w:rPr>
              <w:t>3．产品管理人依约定公布产品份额净值</w:t>
            </w:r>
            <w:r>
              <w:rPr>
                <w:rFonts w:asciiTheme="majorEastAsia" w:eastAsiaTheme="majorEastAsia" w:hAnsiTheme="majorEastAsia" w:hint="eastAsia"/>
                <w:bCs/>
                <w:sz w:val="18"/>
                <w:szCs w:val="18"/>
              </w:rPr>
              <w:t>，产品管理人</w:t>
            </w:r>
            <w:r>
              <w:rPr>
                <w:rFonts w:asciiTheme="majorEastAsia" w:eastAsiaTheme="majorEastAsia" w:hAnsiTheme="majorEastAsia"/>
                <w:bCs/>
                <w:sz w:val="18"/>
                <w:szCs w:val="18"/>
              </w:rPr>
              <w:t>以</w:t>
            </w:r>
            <w:r>
              <w:rPr>
                <w:rFonts w:asciiTheme="majorEastAsia" w:eastAsiaTheme="majorEastAsia" w:hAnsiTheme="majorEastAsia" w:hint="eastAsia"/>
                <w:bCs/>
                <w:sz w:val="18"/>
                <w:szCs w:val="18"/>
              </w:rPr>
              <w:t>产品终止日</w:t>
            </w:r>
            <w:r>
              <w:rPr>
                <w:rFonts w:asciiTheme="majorEastAsia" w:eastAsiaTheme="majorEastAsia" w:hAnsiTheme="majorEastAsia"/>
                <w:bCs/>
                <w:sz w:val="18"/>
                <w:szCs w:val="18"/>
              </w:rPr>
              <w:t>产品份额净值为基础进行利益分配。</w:t>
            </w:r>
          </w:p>
        </w:tc>
      </w:tr>
      <w:tr w:rsidR="00E039EF">
        <w:trPr>
          <w:trHeight w:val="1078"/>
          <w:jc w:val="center"/>
        </w:trPr>
        <w:tc>
          <w:tcPr>
            <w:tcW w:w="1970" w:type="dxa"/>
            <w:shd w:val="solid" w:color="FFFFFF" w:fill="FFFFFF"/>
            <w:vAlign w:val="center"/>
          </w:tcPr>
          <w:p w:rsidR="00E039EF" w:rsidRDefault="003F2D22">
            <w:pPr>
              <w:spacing w:line="360" w:lineRule="auto"/>
              <w:jc w:val="left"/>
              <w:rPr>
                <w:rFonts w:asciiTheme="majorEastAsia" w:eastAsiaTheme="majorEastAsia" w:hAnsiTheme="majorEastAsia"/>
                <w:b/>
                <w:sz w:val="18"/>
                <w:szCs w:val="18"/>
              </w:rPr>
            </w:pPr>
            <w:r>
              <w:rPr>
                <w:rFonts w:hint="eastAsia"/>
                <w:sz w:val="18"/>
                <w:szCs w:val="18"/>
              </w:rPr>
              <w:t>★</w:t>
            </w:r>
            <w:r>
              <w:rPr>
                <w:rFonts w:asciiTheme="majorEastAsia" w:eastAsiaTheme="majorEastAsia" w:hAnsiTheme="majorEastAsia" w:hint="eastAsia"/>
                <w:b/>
                <w:bCs/>
                <w:sz w:val="18"/>
                <w:szCs w:val="18"/>
              </w:rPr>
              <w:t>业绩比较基准</w:t>
            </w:r>
          </w:p>
        </w:tc>
        <w:tc>
          <w:tcPr>
            <w:tcW w:w="7674" w:type="dxa"/>
            <w:shd w:val="solid" w:color="FFFFFF" w:fill="FFFFFF"/>
            <w:vAlign w:val="center"/>
          </w:tcPr>
          <w:p w:rsidR="00E039EF" w:rsidRDefault="003F2D22">
            <w:pPr>
              <w:autoSpaceDE w:val="0"/>
              <w:autoSpaceDN w:val="0"/>
              <w:adjustRightInd w:val="0"/>
              <w:spacing w:line="360" w:lineRule="auto"/>
              <w:jc w:val="left"/>
              <w:rPr>
                <w:rFonts w:hAnsi="宋体"/>
                <w:b/>
                <w:sz w:val="18"/>
                <w:szCs w:val="18"/>
              </w:rPr>
            </w:pPr>
            <w:r>
              <w:rPr>
                <w:rFonts w:hAnsi="宋体"/>
                <w:b/>
                <w:sz w:val="18"/>
                <w:szCs w:val="18"/>
              </w:rPr>
              <w:t>1.</w:t>
            </w:r>
            <w:r>
              <w:rPr>
                <w:rFonts w:hAnsi="宋体"/>
                <w:b/>
                <w:sz w:val="18"/>
                <w:szCs w:val="18"/>
              </w:rPr>
              <w:t>业绩比较基准的设置</w:t>
            </w:r>
          </w:p>
          <w:p w:rsidR="00E039EF" w:rsidRDefault="003F2D22">
            <w:pPr>
              <w:autoSpaceDE w:val="0"/>
              <w:autoSpaceDN w:val="0"/>
              <w:adjustRightInd w:val="0"/>
              <w:spacing w:line="360" w:lineRule="auto"/>
              <w:jc w:val="left"/>
              <w:rPr>
                <w:rFonts w:asciiTheme="majorEastAsia" w:eastAsiaTheme="majorEastAsia" w:hAnsiTheme="majorEastAsia"/>
                <w:b/>
                <w:kern w:val="0"/>
                <w:sz w:val="18"/>
                <w:szCs w:val="18"/>
              </w:rPr>
            </w:pPr>
            <w:r>
              <w:rPr>
                <w:rFonts w:asciiTheme="majorEastAsia" w:eastAsiaTheme="majorEastAsia" w:hAnsiTheme="majorEastAsia" w:hint="eastAsia"/>
                <w:bCs/>
                <w:sz w:val="18"/>
                <w:szCs w:val="18"/>
              </w:rPr>
              <w:t>■</w:t>
            </w:r>
            <w:r>
              <w:rPr>
                <w:rFonts w:asciiTheme="majorEastAsia" w:eastAsiaTheme="majorEastAsia" w:hAnsiTheme="majorEastAsia"/>
                <w:b/>
                <w:kern w:val="0"/>
                <w:sz w:val="18"/>
                <w:szCs w:val="18"/>
              </w:rPr>
              <w:t xml:space="preserve"> </w:t>
            </w:r>
            <w:r>
              <w:rPr>
                <w:rFonts w:asciiTheme="majorEastAsia" w:eastAsiaTheme="majorEastAsia" w:hAnsiTheme="majorEastAsia" w:hint="eastAsia"/>
                <w:b/>
                <w:kern w:val="0"/>
                <w:sz w:val="18"/>
                <w:szCs w:val="18"/>
              </w:rPr>
              <w:t>产品管理人设置业绩比较基准。</w:t>
            </w:r>
          </w:p>
          <w:p w:rsidR="00E039EF" w:rsidRDefault="003F2D22">
            <w:pPr>
              <w:spacing w:line="360" w:lineRule="auto"/>
              <w:jc w:val="left"/>
              <w:rPr>
                <w:rFonts w:ascii="宋体" w:hAnsi="宋体"/>
                <w:bCs/>
                <w:sz w:val="18"/>
                <w:szCs w:val="18"/>
              </w:rPr>
            </w:pPr>
            <w:r>
              <w:rPr>
                <w:rFonts w:ascii="宋体" w:hAnsi="宋体" w:hint="eastAsia"/>
                <w:bCs/>
                <w:sz w:val="18"/>
                <w:szCs w:val="18"/>
              </w:rPr>
              <w:t>（1）业绩比较基准的说明：【</w:t>
            </w:r>
            <w:r w:rsidR="004227D0">
              <w:rPr>
                <w:rFonts w:ascii="宋体" w:hAnsi="宋体" w:hint="eastAsia"/>
                <w:bCs/>
                <w:sz w:val="18"/>
                <w:szCs w:val="18"/>
              </w:rPr>
              <w:t>以一年期定期存款利率为无风险利率，基于当前对未来市场的判断，根据拟投资债权类资产的信用利差、久期敞口以及流动性溢价，预判组合的波动幅度</w:t>
            </w:r>
            <w:r>
              <w:rPr>
                <w:rFonts w:ascii="宋体" w:hAnsi="宋体" w:hint="eastAsia"/>
                <w:bCs/>
                <w:sz w:val="18"/>
                <w:szCs w:val="18"/>
              </w:rPr>
              <w:t>】。</w:t>
            </w:r>
          </w:p>
          <w:p w:rsidR="00E039EF" w:rsidRDefault="003F2D22">
            <w:pPr>
              <w:spacing w:line="360" w:lineRule="auto"/>
              <w:jc w:val="left"/>
              <w:rPr>
                <w:rFonts w:ascii="宋体" w:hAnsi="宋体"/>
                <w:bCs/>
                <w:sz w:val="18"/>
                <w:szCs w:val="18"/>
              </w:rPr>
            </w:pPr>
            <w:r>
              <w:rPr>
                <w:rFonts w:asciiTheme="majorEastAsia" w:eastAsiaTheme="majorEastAsia" w:hAnsiTheme="majorEastAsia" w:hint="eastAsia"/>
                <w:bCs/>
                <w:sz w:val="18"/>
                <w:szCs w:val="18"/>
              </w:rPr>
              <w:t>（</w:t>
            </w:r>
            <w:r>
              <w:rPr>
                <w:rFonts w:asciiTheme="majorEastAsia" w:eastAsiaTheme="majorEastAsia" w:hAnsiTheme="majorEastAsia"/>
                <w:bCs/>
                <w:sz w:val="18"/>
                <w:szCs w:val="18"/>
              </w:rPr>
              <w:t>2）业绩比较基准的设定：</w:t>
            </w:r>
            <w:r>
              <w:rPr>
                <w:rFonts w:asciiTheme="majorEastAsia" w:hAnsiTheme="majorEastAsia" w:hint="eastAsia"/>
                <w:sz w:val="18"/>
              </w:rPr>
              <w:t>管理人对</w:t>
            </w:r>
            <w:r>
              <w:rPr>
                <w:rFonts w:asciiTheme="majorEastAsia" w:hAnsiTheme="majorEastAsia"/>
                <w:sz w:val="18"/>
              </w:rPr>
              <w:t>本产品</w:t>
            </w:r>
            <w:bookmarkStart w:id="4" w:name="_GoBack"/>
            <w:bookmarkEnd w:id="4"/>
            <w:r>
              <w:rPr>
                <w:rFonts w:asciiTheme="majorEastAsia" w:hAnsiTheme="majorEastAsia"/>
                <w:sz w:val="18"/>
              </w:rPr>
              <w:t>设定</w:t>
            </w:r>
            <w:r>
              <w:rPr>
                <w:rFonts w:asciiTheme="majorEastAsia" w:hAnsiTheme="majorEastAsia" w:hint="eastAsia"/>
                <w:sz w:val="18"/>
              </w:rPr>
              <w:t>业绩比较基准：</w:t>
            </w:r>
          </w:p>
          <w:p w:rsidR="00E039EF" w:rsidRDefault="003F2D22">
            <w:pPr>
              <w:spacing w:line="360" w:lineRule="auto"/>
              <w:rPr>
                <w:rFonts w:ascii="宋体" w:hAnsi="宋体"/>
                <w:bCs/>
                <w:sz w:val="18"/>
                <w:szCs w:val="18"/>
              </w:rPr>
            </w:pPr>
            <w:r>
              <w:rPr>
                <w:rFonts w:asciiTheme="majorEastAsia" w:hAnsiTheme="majorEastAsia" w:hint="eastAsia"/>
                <w:sz w:val="18"/>
              </w:rPr>
              <w:t>A类份额：年化</w:t>
            </w:r>
            <w:r>
              <w:rPr>
                <w:rFonts w:ascii="宋体" w:hAnsi="宋体" w:hint="eastAsia"/>
                <w:bCs/>
                <w:sz w:val="18"/>
                <w:szCs w:val="18"/>
              </w:rPr>
              <w:t>【</w:t>
            </w:r>
            <w:r w:rsidR="004227D0">
              <w:rPr>
                <w:rFonts w:ascii="宋体" w:hAnsi="宋体"/>
                <w:bCs/>
                <w:sz w:val="18"/>
                <w:szCs w:val="18"/>
              </w:rPr>
              <w:t>3.2</w:t>
            </w:r>
            <w:r>
              <w:rPr>
                <w:rFonts w:ascii="宋体" w:hAnsi="宋体" w:hint="eastAsia"/>
                <w:bCs/>
                <w:sz w:val="18"/>
                <w:szCs w:val="18"/>
              </w:rPr>
              <w:t>%</w:t>
            </w:r>
            <w:r w:rsidR="004227D0">
              <w:rPr>
                <w:rFonts w:ascii="宋体" w:hAnsi="宋体"/>
                <w:bCs/>
                <w:sz w:val="18"/>
                <w:szCs w:val="18"/>
              </w:rPr>
              <w:t>-3.8</w:t>
            </w:r>
            <w:r w:rsidR="004227D0">
              <w:rPr>
                <w:rFonts w:ascii="宋体" w:hAnsi="宋体" w:hint="eastAsia"/>
                <w:bCs/>
                <w:sz w:val="18"/>
                <w:szCs w:val="18"/>
              </w:rPr>
              <w:t>%</w:t>
            </w:r>
            <w:r>
              <w:rPr>
                <w:rFonts w:ascii="宋体" w:hAnsi="宋体"/>
                <w:bCs/>
                <w:sz w:val="18"/>
                <w:szCs w:val="18"/>
              </w:rPr>
              <w:t>】</w:t>
            </w:r>
            <w:r>
              <w:rPr>
                <w:rFonts w:ascii="宋体" w:hAnsi="宋体" w:hint="eastAsia"/>
                <w:bCs/>
                <w:sz w:val="18"/>
                <w:szCs w:val="18"/>
              </w:rPr>
              <w:t>。</w:t>
            </w:r>
          </w:p>
          <w:p w:rsidR="00093F35" w:rsidRPr="00093F35" w:rsidRDefault="00093F35">
            <w:pPr>
              <w:spacing w:line="360" w:lineRule="auto"/>
              <w:rPr>
                <w:rFonts w:ascii="宋体" w:hAnsi="宋体"/>
                <w:bCs/>
                <w:sz w:val="18"/>
                <w:szCs w:val="18"/>
              </w:rPr>
            </w:pPr>
            <w:r>
              <w:rPr>
                <w:rFonts w:asciiTheme="majorEastAsia" w:hAnsiTheme="majorEastAsia"/>
                <w:sz w:val="18"/>
              </w:rPr>
              <w:t>B</w:t>
            </w:r>
            <w:r>
              <w:rPr>
                <w:rFonts w:asciiTheme="majorEastAsia" w:hAnsiTheme="majorEastAsia" w:hint="eastAsia"/>
                <w:sz w:val="18"/>
              </w:rPr>
              <w:t>类份额：年化</w:t>
            </w:r>
            <w:r>
              <w:rPr>
                <w:rFonts w:ascii="宋体" w:hAnsi="宋体" w:hint="eastAsia"/>
                <w:bCs/>
                <w:sz w:val="18"/>
                <w:szCs w:val="18"/>
              </w:rPr>
              <w:t>【</w:t>
            </w:r>
            <w:r>
              <w:rPr>
                <w:rFonts w:ascii="宋体" w:hAnsi="宋体"/>
                <w:bCs/>
                <w:sz w:val="18"/>
                <w:szCs w:val="18"/>
              </w:rPr>
              <w:t>3.35</w:t>
            </w:r>
            <w:r>
              <w:rPr>
                <w:rFonts w:ascii="宋体" w:hAnsi="宋体" w:hint="eastAsia"/>
                <w:bCs/>
                <w:sz w:val="18"/>
                <w:szCs w:val="18"/>
              </w:rPr>
              <w:t>%</w:t>
            </w:r>
            <w:r>
              <w:rPr>
                <w:rFonts w:ascii="宋体" w:hAnsi="宋体"/>
                <w:bCs/>
                <w:sz w:val="18"/>
                <w:szCs w:val="18"/>
              </w:rPr>
              <w:t>-3.95</w:t>
            </w:r>
            <w:r>
              <w:rPr>
                <w:rFonts w:ascii="宋体" w:hAnsi="宋体" w:hint="eastAsia"/>
                <w:bCs/>
                <w:sz w:val="18"/>
                <w:szCs w:val="18"/>
              </w:rPr>
              <w:t>%</w:t>
            </w:r>
            <w:r>
              <w:rPr>
                <w:rFonts w:ascii="宋体" w:hAnsi="宋体"/>
                <w:bCs/>
                <w:sz w:val="18"/>
                <w:szCs w:val="18"/>
              </w:rPr>
              <w:t>】</w:t>
            </w:r>
            <w:r>
              <w:rPr>
                <w:rFonts w:ascii="宋体" w:hAnsi="宋体" w:hint="eastAsia"/>
                <w:bCs/>
                <w:sz w:val="18"/>
                <w:szCs w:val="18"/>
              </w:rPr>
              <w:t>。</w:t>
            </w:r>
          </w:p>
          <w:p w:rsidR="00E039EF" w:rsidRDefault="003F2D22">
            <w:pPr>
              <w:autoSpaceDE w:val="0"/>
              <w:autoSpaceDN w:val="0"/>
              <w:adjustRightInd w:val="0"/>
              <w:spacing w:line="360" w:lineRule="auto"/>
              <w:jc w:val="left"/>
              <w:rPr>
                <w:rFonts w:asciiTheme="majorEastAsia" w:eastAsiaTheme="majorEastAsia" w:hAnsiTheme="majorEastAsia"/>
                <w:b/>
                <w:kern w:val="0"/>
                <w:sz w:val="18"/>
                <w:szCs w:val="18"/>
              </w:rPr>
            </w:pPr>
            <w:r>
              <w:rPr>
                <w:rFonts w:asciiTheme="majorEastAsia" w:eastAsiaTheme="majorEastAsia" w:hAnsiTheme="majorEastAsia" w:hint="eastAsia"/>
                <w:b/>
                <w:kern w:val="0"/>
                <w:sz w:val="18"/>
                <w:szCs w:val="18"/>
              </w:rPr>
              <w:t>□</w:t>
            </w:r>
            <w:r>
              <w:rPr>
                <w:rFonts w:asciiTheme="majorEastAsia" w:eastAsiaTheme="majorEastAsia" w:hAnsiTheme="majorEastAsia"/>
                <w:b/>
                <w:kern w:val="0"/>
                <w:sz w:val="18"/>
                <w:szCs w:val="18"/>
              </w:rPr>
              <w:t xml:space="preserve"> </w:t>
            </w:r>
            <w:r>
              <w:rPr>
                <w:rFonts w:asciiTheme="majorEastAsia" w:eastAsiaTheme="majorEastAsia" w:hAnsiTheme="majorEastAsia" w:hint="eastAsia"/>
                <w:b/>
                <w:kern w:val="0"/>
                <w:sz w:val="18"/>
                <w:szCs w:val="18"/>
              </w:rPr>
              <w:t>产品管理人不设置业绩比较基准。</w:t>
            </w:r>
          </w:p>
          <w:p w:rsidR="00E039EF" w:rsidRDefault="003F2D22">
            <w:pPr>
              <w:spacing w:line="360" w:lineRule="auto"/>
              <w:jc w:val="left"/>
              <w:rPr>
                <w:rFonts w:asciiTheme="majorEastAsia" w:eastAsiaTheme="majorEastAsia" w:hAnsiTheme="majorEastAsia"/>
                <w:b/>
                <w:bCs/>
                <w:sz w:val="18"/>
                <w:szCs w:val="18"/>
              </w:rPr>
            </w:pPr>
            <w:r>
              <w:rPr>
                <w:rFonts w:asciiTheme="majorEastAsia" w:eastAsiaTheme="majorEastAsia" w:hAnsiTheme="majorEastAsia"/>
                <w:b/>
                <w:bCs/>
                <w:sz w:val="18"/>
                <w:szCs w:val="18"/>
              </w:rPr>
              <w:t>2.业绩比较基准的提示：</w:t>
            </w:r>
          </w:p>
          <w:p w:rsidR="00E039EF" w:rsidRDefault="003F2D22">
            <w:pPr>
              <w:spacing w:line="360" w:lineRule="auto"/>
              <w:jc w:val="left"/>
              <w:rPr>
                <w:rFonts w:asciiTheme="majorEastAsia" w:hAnsiTheme="majorEastAsia"/>
                <w:b/>
                <w:sz w:val="18"/>
              </w:rPr>
            </w:pPr>
            <w:r>
              <w:rPr>
                <w:rFonts w:asciiTheme="majorEastAsia" w:hAnsiTheme="majorEastAsia" w:hint="eastAsia"/>
                <w:b/>
                <w:sz w:val="18"/>
              </w:rPr>
              <w:t>（1）</w:t>
            </w:r>
            <w:r>
              <w:rPr>
                <w:rFonts w:hint="eastAsia"/>
                <w:sz w:val="18"/>
                <w:szCs w:val="18"/>
              </w:rPr>
              <w:t>★</w:t>
            </w:r>
            <w:r>
              <w:rPr>
                <w:rFonts w:hint="eastAsia"/>
                <w:b/>
                <w:sz w:val="18"/>
              </w:rPr>
              <w:t>业绩比较基准</w:t>
            </w:r>
            <w:r>
              <w:rPr>
                <w:rFonts w:hint="eastAsia"/>
                <w:b/>
                <w:bCs/>
                <w:sz w:val="18"/>
                <w:szCs w:val="18"/>
              </w:rPr>
              <w:t>不是预期收益率，</w:t>
            </w:r>
            <w:r>
              <w:rPr>
                <w:rFonts w:hint="eastAsia"/>
                <w:b/>
                <w:sz w:val="18"/>
              </w:rPr>
              <w:t>不代表产品</w:t>
            </w:r>
            <w:r>
              <w:rPr>
                <w:rFonts w:hint="eastAsia"/>
                <w:b/>
                <w:bCs/>
                <w:sz w:val="18"/>
                <w:szCs w:val="18"/>
              </w:rPr>
              <w:t>的</w:t>
            </w:r>
            <w:r>
              <w:rPr>
                <w:rFonts w:hint="eastAsia"/>
                <w:b/>
                <w:sz w:val="18"/>
              </w:rPr>
              <w:t>未来表现</w:t>
            </w:r>
            <w:r>
              <w:rPr>
                <w:rFonts w:hint="eastAsia"/>
                <w:b/>
                <w:bCs/>
                <w:sz w:val="18"/>
                <w:szCs w:val="18"/>
              </w:rPr>
              <w:t>和</w:t>
            </w:r>
            <w:r>
              <w:rPr>
                <w:rFonts w:hint="eastAsia"/>
                <w:b/>
                <w:sz w:val="18"/>
              </w:rPr>
              <w:t>实际收益，不</w:t>
            </w:r>
            <w:r>
              <w:rPr>
                <w:rFonts w:hint="eastAsia"/>
                <w:b/>
                <w:bCs/>
                <w:sz w:val="18"/>
                <w:szCs w:val="18"/>
              </w:rPr>
              <w:t>构成对</w:t>
            </w:r>
            <w:r>
              <w:rPr>
                <w:rFonts w:hint="eastAsia"/>
                <w:b/>
                <w:sz w:val="18"/>
              </w:rPr>
              <w:t>产品收益的</w:t>
            </w:r>
            <w:r>
              <w:rPr>
                <w:rFonts w:hint="eastAsia"/>
                <w:b/>
                <w:bCs/>
                <w:sz w:val="18"/>
                <w:szCs w:val="18"/>
              </w:rPr>
              <w:t>承诺</w:t>
            </w:r>
            <w:r>
              <w:rPr>
                <w:rFonts w:hint="eastAsia"/>
                <w:b/>
                <w:sz w:val="18"/>
              </w:rPr>
              <w:t>，投资须谨慎。</w:t>
            </w:r>
          </w:p>
          <w:p w:rsidR="00E039EF" w:rsidRDefault="003F2D22">
            <w:pPr>
              <w:spacing w:line="360" w:lineRule="auto"/>
              <w:jc w:val="left"/>
              <w:rPr>
                <w:rFonts w:asciiTheme="majorEastAsia" w:eastAsiaTheme="majorEastAsia" w:hAnsiTheme="majorEastAsia"/>
                <w:b/>
                <w:bCs/>
                <w:sz w:val="18"/>
                <w:szCs w:val="18"/>
              </w:rPr>
            </w:pPr>
            <w:r>
              <w:rPr>
                <w:rFonts w:asciiTheme="majorEastAsia" w:eastAsiaTheme="majorEastAsia" w:hAnsiTheme="majorEastAsia" w:hint="eastAsia"/>
                <w:bCs/>
                <w:sz w:val="18"/>
                <w:szCs w:val="18"/>
              </w:rPr>
              <w:t>（</w:t>
            </w:r>
            <w:r>
              <w:rPr>
                <w:rFonts w:asciiTheme="majorEastAsia" w:eastAsiaTheme="majorEastAsia" w:hAnsiTheme="majorEastAsia"/>
                <w:bCs/>
                <w:sz w:val="18"/>
                <w:szCs w:val="18"/>
              </w:rPr>
              <w:t>2）</w:t>
            </w:r>
            <w:r>
              <w:rPr>
                <w:rFonts w:asciiTheme="majorEastAsia" w:eastAsiaTheme="majorEastAsia" w:hAnsiTheme="majorEastAsia" w:hint="eastAsia"/>
                <w:kern w:val="0"/>
                <w:sz w:val="18"/>
                <w:szCs w:val="18"/>
              </w:rPr>
              <w:t>如果今后法律法规发生变化，或者有其他代表性更强、更科学客观的业绩比较基准适用于本产品时，经产品管理人和产品托管人协商一致后，本产品可以变更业绩比较基准并及时公告</w:t>
            </w:r>
            <w:r>
              <w:rPr>
                <w:rFonts w:asciiTheme="majorEastAsia" w:eastAsiaTheme="majorEastAsia" w:hAnsiTheme="majorEastAsia" w:hint="eastAsia"/>
                <w:bCs/>
                <w:sz w:val="18"/>
                <w:szCs w:val="18"/>
              </w:rPr>
              <w:t>。</w:t>
            </w:r>
          </w:p>
        </w:tc>
      </w:tr>
      <w:tr w:rsidR="00E039EF">
        <w:trPr>
          <w:trHeight w:val="1078"/>
          <w:jc w:val="center"/>
        </w:trPr>
        <w:tc>
          <w:tcPr>
            <w:tcW w:w="1970" w:type="dxa"/>
            <w:shd w:val="solid" w:color="FFFFFF" w:fill="FFFFFF"/>
            <w:vAlign w:val="center"/>
          </w:tcPr>
          <w:p w:rsidR="00E039EF" w:rsidRDefault="003F2D22">
            <w:pPr>
              <w:spacing w:line="360" w:lineRule="auto"/>
              <w:jc w:val="left"/>
              <w:rPr>
                <w:sz w:val="18"/>
                <w:szCs w:val="18"/>
              </w:rPr>
            </w:pPr>
            <w:r>
              <w:rPr>
                <w:rFonts w:hint="eastAsia"/>
                <w:sz w:val="18"/>
                <w:szCs w:val="18"/>
              </w:rPr>
              <w:t>★</w:t>
            </w:r>
            <w:r>
              <w:rPr>
                <w:rFonts w:hint="eastAsia"/>
                <w:b/>
                <w:sz w:val="18"/>
                <w:szCs w:val="18"/>
              </w:rPr>
              <w:t>业绩报酬计提</w:t>
            </w:r>
            <w:r>
              <w:rPr>
                <w:rFonts w:ascii="宋体" w:hAnsi="宋体"/>
                <w:b/>
                <w:sz w:val="18"/>
                <w:szCs w:val="18"/>
              </w:rPr>
              <w:t>基准</w:t>
            </w:r>
          </w:p>
        </w:tc>
        <w:tc>
          <w:tcPr>
            <w:tcW w:w="7674" w:type="dxa"/>
            <w:shd w:val="solid" w:color="FFFFFF" w:fill="FFFFFF"/>
            <w:vAlign w:val="center"/>
          </w:tcPr>
          <w:p w:rsidR="00E039EF" w:rsidRDefault="003F2D22">
            <w:pPr>
              <w:spacing w:line="360" w:lineRule="auto"/>
              <w:jc w:val="left"/>
              <w:rPr>
                <w:rFonts w:hAnsi="宋体"/>
                <w:bCs/>
                <w:sz w:val="18"/>
                <w:szCs w:val="18"/>
              </w:rPr>
            </w:pPr>
            <w:r>
              <w:rPr>
                <w:rFonts w:hAnsi="宋体" w:hint="eastAsia"/>
                <w:bCs/>
                <w:sz w:val="18"/>
                <w:szCs w:val="18"/>
              </w:rPr>
              <w:t>（适用【</w:t>
            </w:r>
            <w:r w:rsidR="00093F35">
              <w:rPr>
                <w:rFonts w:asciiTheme="majorEastAsia" w:eastAsiaTheme="majorEastAsia" w:hAnsiTheme="majorEastAsia"/>
                <w:sz w:val="18"/>
                <w:szCs w:val="18"/>
              </w:rPr>
              <w:t>/</w:t>
            </w:r>
            <w:r>
              <w:rPr>
                <w:rFonts w:hAnsi="宋体" w:hint="eastAsia"/>
                <w:bCs/>
                <w:sz w:val="18"/>
                <w:szCs w:val="18"/>
              </w:rPr>
              <w:t>】类</w:t>
            </w:r>
            <w:r>
              <w:rPr>
                <w:rFonts w:hAnsi="宋体"/>
                <w:bCs/>
                <w:sz w:val="18"/>
                <w:szCs w:val="18"/>
              </w:rPr>
              <w:t>份额</w:t>
            </w:r>
            <w:r>
              <w:rPr>
                <w:rFonts w:hAnsi="宋体" w:hint="eastAsia"/>
                <w:bCs/>
                <w:sz w:val="18"/>
                <w:szCs w:val="18"/>
              </w:rPr>
              <w:t>）</w:t>
            </w:r>
          </w:p>
          <w:p w:rsidR="00E039EF" w:rsidRDefault="003F2D22">
            <w:pPr>
              <w:spacing w:line="360" w:lineRule="auto"/>
              <w:jc w:val="left"/>
              <w:rPr>
                <w:rFonts w:hAnsi="宋体"/>
                <w:b/>
                <w:bCs/>
                <w:sz w:val="18"/>
                <w:szCs w:val="18"/>
              </w:rPr>
            </w:pPr>
            <w:r>
              <w:rPr>
                <w:rFonts w:hAnsi="宋体"/>
                <w:b/>
                <w:bCs/>
                <w:sz w:val="18"/>
                <w:szCs w:val="18"/>
              </w:rPr>
              <w:t>1.</w:t>
            </w:r>
            <w:r>
              <w:rPr>
                <w:rFonts w:hAnsi="宋体"/>
                <w:b/>
                <w:bCs/>
                <w:sz w:val="18"/>
                <w:szCs w:val="18"/>
              </w:rPr>
              <w:t>业绩报酬计提基准的设置</w:t>
            </w:r>
          </w:p>
          <w:p w:rsidR="00E039EF" w:rsidRDefault="004227D0">
            <w:pPr>
              <w:autoSpaceDE w:val="0"/>
              <w:autoSpaceDN w:val="0"/>
              <w:adjustRightInd w:val="0"/>
              <w:spacing w:line="360" w:lineRule="auto"/>
              <w:jc w:val="left"/>
              <w:rPr>
                <w:rFonts w:asciiTheme="majorEastAsia" w:eastAsiaTheme="majorEastAsia" w:hAnsiTheme="majorEastAsia"/>
                <w:b/>
                <w:kern w:val="0"/>
                <w:sz w:val="18"/>
                <w:szCs w:val="18"/>
              </w:rPr>
            </w:pPr>
            <w:r>
              <w:rPr>
                <w:rFonts w:asciiTheme="majorEastAsia" w:eastAsiaTheme="majorEastAsia" w:hAnsiTheme="majorEastAsia" w:hint="eastAsia"/>
                <w:b/>
                <w:kern w:val="0"/>
                <w:sz w:val="18"/>
                <w:szCs w:val="18"/>
              </w:rPr>
              <w:lastRenderedPageBreak/>
              <w:t>□</w:t>
            </w:r>
            <w:r w:rsidR="003F2D22">
              <w:rPr>
                <w:rFonts w:asciiTheme="majorEastAsia" w:eastAsiaTheme="majorEastAsia" w:hAnsiTheme="majorEastAsia"/>
                <w:b/>
                <w:kern w:val="0"/>
                <w:sz w:val="18"/>
                <w:szCs w:val="18"/>
              </w:rPr>
              <w:t xml:space="preserve"> </w:t>
            </w:r>
            <w:r w:rsidR="003F2D22">
              <w:rPr>
                <w:rFonts w:asciiTheme="majorEastAsia" w:eastAsiaTheme="majorEastAsia" w:hAnsiTheme="majorEastAsia" w:hint="eastAsia"/>
                <w:b/>
                <w:kern w:val="0"/>
                <w:sz w:val="18"/>
                <w:szCs w:val="18"/>
              </w:rPr>
              <w:t>产品管理人设置业绩报酬计提基准。</w:t>
            </w:r>
          </w:p>
          <w:p w:rsidR="00E039EF" w:rsidRDefault="003F2D22">
            <w:pPr>
              <w:spacing w:line="360" w:lineRule="auto"/>
              <w:jc w:val="left"/>
              <w:rPr>
                <w:rFonts w:ascii="宋体" w:hAnsi="宋体"/>
                <w:bCs/>
                <w:sz w:val="18"/>
                <w:szCs w:val="18"/>
              </w:rPr>
            </w:pPr>
            <w:r>
              <w:rPr>
                <w:rFonts w:ascii="宋体" w:hAnsi="宋体"/>
                <w:bCs/>
                <w:sz w:val="18"/>
                <w:szCs w:val="18"/>
              </w:rPr>
              <w:t>业绩报酬计提基准的设定</w:t>
            </w:r>
            <w:r>
              <w:rPr>
                <w:rFonts w:ascii="宋体" w:hAnsi="宋体" w:hint="eastAsia"/>
                <w:bCs/>
                <w:sz w:val="18"/>
                <w:szCs w:val="18"/>
              </w:rPr>
              <w:t>：</w:t>
            </w:r>
            <w:r w:rsidR="004227D0">
              <w:rPr>
                <w:rFonts w:ascii="宋体" w:hAnsi="宋体" w:hint="eastAsia"/>
                <w:bCs/>
                <w:sz w:val="18"/>
                <w:szCs w:val="18"/>
              </w:rPr>
              <w:t>【】</w:t>
            </w:r>
          </w:p>
          <w:p w:rsidR="00E039EF" w:rsidRDefault="004227D0">
            <w:pPr>
              <w:spacing w:line="360" w:lineRule="auto"/>
              <w:jc w:val="left"/>
              <w:rPr>
                <w:rFonts w:ascii="宋体" w:hAnsi="宋体"/>
                <w:bCs/>
                <w:sz w:val="18"/>
                <w:szCs w:val="18"/>
              </w:rPr>
            </w:pPr>
            <w:r>
              <w:rPr>
                <w:rFonts w:asciiTheme="majorEastAsia" w:eastAsiaTheme="majorEastAsia" w:hAnsiTheme="majorEastAsia" w:hint="eastAsia"/>
                <w:bCs/>
                <w:sz w:val="18"/>
                <w:szCs w:val="18"/>
              </w:rPr>
              <w:t>■</w:t>
            </w:r>
            <w:r w:rsidR="003F2D22">
              <w:rPr>
                <w:rFonts w:asciiTheme="majorEastAsia" w:eastAsiaTheme="majorEastAsia" w:hAnsiTheme="majorEastAsia" w:hint="eastAsia"/>
                <w:b/>
                <w:kern w:val="0"/>
                <w:sz w:val="18"/>
                <w:szCs w:val="18"/>
              </w:rPr>
              <w:t xml:space="preserve"> 产品管理人不设置业绩报酬计提基准。</w:t>
            </w:r>
          </w:p>
          <w:p w:rsidR="00E039EF" w:rsidRDefault="003F2D22">
            <w:pPr>
              <w:spacing w:line="360" w:lineRule="auto"/>
              <w:jc w:val="left"/>
              <w:rPr>
                <w:rFonts w:ascii="宋体" w:hAnsi="宋体"/>
                <w:b/>
                <w:bCs/>
                <w:sz w:val="18"/>
                <w:szCs w:val="18"/>
              </w:rPr>
            </w:pPr>
            <w:r>
              <w:rPr>
                <w:rFonts w:ascii="宋体" w:hAnsi="宋体" w:hint="eastAsia"/>
                <w:b/>
                <w:bCs/>
                <w:sz w:val="18"/>
                <w:szCs w:val="18"/>
              </w:rPr>
              <w:t>2</w:t>
            </w:r>
            <w:r>
              <w:rPr>
                <w:rFonts w:ascii="宋体" w:hAnsi="宋体"/>
                <w:b/>
                <w:bCs/>
                <w:sz w:val="18"/>
                <w:szCs w:val="18"/>
              </w:rPr>
              <w:t>.业绩报酬计提基准的提示</w:t>
            </w:r>
            <w:r>
              <w:rPr>
                <w:rFonts w:ascii="宋体" w:hAnsi="宋体" w:hint="eastAsia"/>
                <w:b/>
                <w:bCs/>
                <w:sz w:val="18"/>
                <w:szCs w:val="18"/>
              </w:rPr>
              <w:t>：</w:t>
            </w:r>
          </w:p>
          <w:p w:rsidR="00E039EF" w:rsidRDefault="003F2D22">
            <w:pPr>
              <w:autoSpaceDE w:val="0"/>
              <w:autoSpaceDN w:val="0"/>
              <w:adjustRightInd w:val="0"/>
              <w:spacing w:line="360" w:lineRule="auto"/>
              <w:jc w:val="left"/>
              <w:rPr>
                <w:rFonts w:ascii="宋体" w:hAnsi="宋体"/>
                <w:b/>
                <w:sz w:val="18"/>
              </w:rPr>
            </w:pPr>
            <w:r>
              <w:rPr>
                <w:rFonts w:ascii="宋体" w:hAnsi="宋体" w:hint="eastAsia"/>
                <w:b/>
                <w:sz w:val="18"/>
              </w:rPr>
              <w:t>（1）</w:t>
            </w:r>
            <w:r>
              <w:rPr>
                <w:rFonts w:hint="eastAsia"/>
                <w:sz w:val="18"/>
                <w:szCs w:val="18"/>
              </w:rPr>
              <w:t>★</w:t>
            </w:r>
            <w:r>
              <w:rPr>
                <w:rFonts w:ascii="宋体" w:hAnsi="宋体" w:hint="eastAsia"/>
                <w:b/>
                <w:sz w:val="18"/>
              </w:rPr>
              <w:t>业绩报酬计提基准仅作为管理人计算超额业绩报酬的参照标准</w:t>
            </w:r>
            <w:r>
              <w:rPr>
                <w:rFonts w:ascii="宋体" w:hAnsi="宋体" w:hint="eastAsia"/>
                <w:b/>
                <w:bCs/>
                <w:sz w:val="18"/>
                <w:szCs w:val="18"/>
              </w:rPr>
              <w:t>。业绩报酬计提基准不是预期收益率</w:t>
            </w:r>
            <w:r>
              <w:rPr>
                <w:rFonts w:ascii="宋体" w:hAnsi="宋体" w:hint="eastAsia"/>
                <w:b/>
                <w:sz w:val="18"/>
              </w:rPr>
              <w:t>，不代表产品</w:t>
            </w:r>
            <w:r>
              <w:rPr>
                <w:rFonts w:ascii="宋体" w:hAnsi="宋体" w:hint="eastAsia"/>
                <w:b/>
                <w:bCs/>
                <w:sz w:val="18"/>
                <w:szCs w:val="18"/>
              </w:rPr>
              <w:t>的</w:t>
            </w:r>
            <w:r>
              <w:rPr>
                <w:rFonts w:ascii="宋体" w:hAnsi="宋体" w:hint="eastAsia"/>
                <w:b/>
                <w:sz w:val="18"/>
              </w:rPr>
              <w:t>未来表现</w:t>
            </w:r>
            <w:r>
              <w:rPr>
                <w:rFonts w:ascii="宋体" w:hAnsi="宋体" w:hint="eastAsia"/>
                <w:b/>
                <w:bCs/>
                <w:sz w:val="18"/>
                <w:szCs w:val="18"/>
              </w:rPr>
              <w:t>和</w:t>
            </w:r>
            <w:r>
              <w:rPr>
                <w:rFonts w:ascii="宋体" w:hAnsi="宋体" w:hint="eastAsia"/>
                <w:b/>
                <w:sz w:val="18"/>
              </w:rPr>
              <w:t>实际收益，不</w:t>
            </w:r>
            <w:r>
              <w:rPr>
                <w:rFonts w:ascii="宋体" w:hAnsi="宋体" w:hint="eastAsia"/>
                <w:b/>
                <w:bCs/>
                <w:sz w:val="18"/>
                <w:szCs w:val="18"/>
              </w:rPr>
              <w:t>构成对</w:t>
            </w:r>
            <w:r>
              <w:rPr>
                <w:rFonts w:ascii="宋体" w:hAnsi="宋体" w:hint="eastAsia"/>
                <w:b/>
                <w:sz w:val="18"/>
              </w:rPr>
              <w:t>产品收益的</w:t>
            </w:r>
            <w:r>
              <w:rPr>
                <w:rFonts w:ascii="宋体" w:hAnsi="宋体" w:hint="eastAsia"/>
                <w:b/>
                <w:bCs/>
                <w:sz w:val="18"/>
                <w:szCs w:val="18"/>
              </w:rPr>
              <w:t>承诺</w:t>
            </w:r>
            <w:r>
              <w:rPr>
                <w:rFonts w:ascii="宋体" w:hAnsi="宋体" w:hint="eastAsia"/>
                <w:b/>
                <w:sz w:val="18"/>
              </w:rPr>
              <w:t>，投资须谨慎。</w:t>
            </w:r>
          </w:p>
          <w:p w:rsidR="00E039EF" w:rsidRDefault="003F2D22">
            <w:pPr>
              <w:spacing w:line="360" w:lineRule="auto"/>
              <w:jc w:val="left"/>
              <w:rPr>
                <w:rFonts w:ascii="宋体" w:hAnsi="宋体"/>
                <w:b/>
                <w:bCs/>
                <w:sz w:val="18"/>
                <w:szCs w:val="18"/>
              </w:rPr>
            </w:pPr>
            <w:r>
              <w:rPr>
                <w:rFonts w:ascii="宋体" w:hAnsi="宋体" w:hint="eastAsia"/>
                <w:bCs/>
                <w:sz w:val="18"/>
                <w:szCs w:val="18"/>
              </w:rPr>
              <w:t>（</w:t>
            </w:r>
            <w:r>
              <w:rPr>
                <w:rFonts w:ascii="宋体" w:hAnsi="宋体"/>
                <w:bCs/>
                <w:sz w:val="18"/>
                <w:szCs w:val="18"/>
              </w:rPr>
              <w:t>2）</w:t>
            </w:r>
            <w:r>
              <w:rPr>
                <w:rFonts w:ascii="宋体" w:hAnsi="宋体" w:hint="eastAsia"/>
                <w:bCs/>
                <w:sz w:val="18"/>
                <w:szCs w:val="18"/>
              </w:rPr>
              <w:t>如果今后法律法规发生变化，或者有其他代表性更强、更科学客观的业绩报酬计提基准适用于本产品时，经产品管理人和产品托管人协商一致后，本产品可以变更业绩报酬计提基准并及时公告。</w:t>
            </w:r>
          </w:p>
        </w:tc>
      </w:tr>
      <w:tr w:rsidR="00E039EF">
        <w:trPr>
          <w:trHeight w:val="1078"/>
          <w:jc w:val="center"/>
        </w:trPr>
        <w:tc>
          <w:tcPr>
            <w:tcW w:w="1970" w:type="dxa"/>
            <w:shd w:val="solid" w:color="FFFFFF" w:fill="FFFFFF"/>
            <w:vAlign w:val="center"/>
          </w:tcPr>
          <w:p w:rsidR="00E039EF" w:rsidRDefault="003F2D22">
            <w:pPr>
              <w:spacing w:line="360" w:lineRule="auto"/>
              <w:jc w:val="left"/>
              <w:rPr>
                <w:sz w:val="18"/>
                <w:szCs w:val="18"/>
              </w:rPr>
            </w:pPr>
            <w:r>
              <w:rPr>
                <w:rFonts w:hAnsi="宋体" w:hint="eastAsia"/>
                <w:b/>
                <w:sz w:val="18"/>
                <w:szCs w:val="18"/>
              </w:rPr>
              <w:lastRenderedPageBreak/>
              <w:t>★</w:t>
            </w:r>
            <w:r>
              <w:rPr>
                <w:rFonts w:hint="eastAsia"/>
                <w:b/>
                <w:sz w:val="18"/>
                <w:szCs w:val="18"/>
              </w:rPr>
              <w:t>理财产品利益分配</w:t>
            </w:r>
          </w:p>
        </w:tc>
        <w:tc>
          <w:tcPr>
            <w:tcW w:w="7674" w:type="dxa"/>
            <w:shd w:val="solid" w:color="FFFFFF" w:fill="FFFFFF"/>
            <w:vAlign w:val="center"/>
          </w:tcPr>
          <w:p w:rsidR="00E039EF" w:rsidRDefault="003F2D22">
            <w:pPr>
              <w:spacing w:line="360" w:lineRule="auto"/>
              <w:jc w:val="left"/>
              <w:rPr>
                <w:rFonts w:hAnsi="宋体"/>
                <w:bCs/>
                <w:sz w:val="18"/>
                <w:szCs w:val="18"/>
              </w:rPr>
            </w:pPr>
            <w:r>
              <w:rPr>
                <w:rFonts w:hAnsi="宋体" w:hint="eastAsia"/>
                <w:bCs/>
                <w:sz w:val="18"/>
                <w:szCs w:val="18"/>
              </w:rPr>
              <w:t>1</w:t>
            </w:r>
            <w:r>
              <w:rPr>
                <w:rFonts w:hAnsi="宋体"/>
                <w:bCs/>
                <w:sz w:val="18"/>
                <w:szCs w:val="18"/>
              </w:rPr>
              <w:t>.</w:t>
            </w:r>
            <w:r>
              <w:rPr>
                <w:rFonts w:hAnsi="宋体" w:hint="eastAsia"/>
                <w:bCs/>
                <w:sz w:val="18"/>
                <w:szCs w:val="18"/>
              </w:rPr>
              <w:t>理财产品存续期间，产品管理人有权视理财产品收益情况进行主动分配，相应分配基准日、分配方案由管理人及时披露。</w:t>
            </w:r>
          </w:p>
          <w:p w:rsidR="00E039EF" w:rsidRDefault="003F2D22">
            <w:pPr>
              <w:spacing w:line="360" w:lineRule="auto"/>
              <w:jc w:val="left"/>
              <w:rPr>
                <w:rFonts w:hAnsi="宋体"/>
                <w:bCs/>
                <w:sz w:val="18"/>
                <w:szCs w:val="18"/>
              </w:rPr>
            </w:pPr>
            <w:r>
              <w:rPr>
                <w:rFonts w:hAnsi="宋体" w:hint="eastAsia"/>
                <w:bCs/>
                <w:sz w:val="18"/>
                <w:szCs w:val="18"/>
              </w:rPr>
              <w:t>2</w:t>
            </w:r>
            <w:r>
              <w:rPr>
                <w:rFonts w:hAnsi="宋体"/>
                <w:bCs/>
                <w:sz w:val="18"/>
                <w:szCs w:val="18"/>
              </w:rPr>
              <w:t>.</w:t>
            </w:r>
            <w:r>
              <w:rPr>
                <w:rFonts w:hAnsi="宋体"/>
                <w:bCs/>
                <w:sz w:val="18"/>
                <w:szCs w:val="18"/>
              </w:rPr>
              <w:t>具体理财产品利益分配</w:t>
            </w:r>
            <w:r>
              <w:rPr>
                <w:rFonts w:hAnsi="宋体" w:hint="eastAsia"/>
                <w:bCs/>
                <w:sz w:val="18"/>
                <w:szCs w:val="18"/>
              </w:rPr>
              <w:t>详见《产品说明书》“第八条</w:t>
            </w:r>
            <w:r>
              <w:rPr>
                <w:rFonts w:hAnsi="宋体" w:hint="eastAsia"/>
                <w:bCs/>
                <w:sz w:val="18"/>
                <w:szCs w:val="18"/>
              </w:rPr>
              <w:t xml:space="preserve"> </w:t>
            </w:r>
            <w:r>
              <w:rPr>
                <w:rFonts w:hAnsi="宋体" w:hint="eastAsia"/>
                <w:bCs/>
                <w:sz w:val="18"/>
                <w:szCs w:val="18"/>
              </w:rPr>
              <w:t>理财产品的利益分配”。</w:t>
            </w:r>
          </w:p>
        </w:tc>
      </w:tr>
      <w:tr w:rsidR="00E039EF">
        <w:trPr>
          <w:trHeight w:val="275"/>
          <w:jc w:val="center"/>
        </w:trPr>
        <w:tc>
          <w:tcPr>
            <w:tcW w:w="1970" w:type="dxa"/>
            <w:shd w:val="solid" w:color="FFFFFF" w:fill="FFFFFF"/>
            <w:vAlign w:val="center"/>
          </w:tcPr>
          <w:p w:rsidR="00E039EF" w:rsidRDefault="003F2D22">
            <w:pPr>
              <w:spacing w:line="360" w:lineRule="auto"/>
              <w:jc w:val="left"/>
              <w:rPr>
                <w:rFonts w:asciiTheme="majorEastAsia" w:eastAsiaTheme="majorEastAsia" w:hAnsiTheme="majorEastAsia"/>
                <w:b/>
                <w:sz w:val="18"/>
                <w:szCs w:val="18"/>
              </w:rPr>
            </w:pPr>
            <w:r>
              <w:rPr>
                <w:rFonts w:hAnsi="宋体" w:hint="eastAsia"/>
                <w:sz w:val="18"/>
                <w:szCs w:val="18"/>
              </w:rPr>
              <w:t>★</w:t>
            </w:r>
            <w:r>
              <w:rPr>
                <w:rFonts w:asciiTheme="majorEastAsia" w:eastAsiaTheme="majorEastAsia" w:hAnsiTheme="majorEastAsia" w:hint="eastAsia"/>
                <w:b/>
                <w:bCs/>
                <w:sz w:val="18"/>
                <w:szCs w:val="18"/>
              </w:rPr>
              <w:t>理财产品费用</w:t>
            </w:r>
          </w:p>
        </w:tc>
        <w:tc>
          <w:tcPr>
            <w:tcW w:w="7674" w:type="dxa"/>
            <w:shd w:val="solid" w:color="FFFFFF" w:fill="FFFFFF"/>
            <w:vAlign w:val="center"/>
          </w:tcPr>
          <w:p w:rsidR="00E039EF" w:rsidRDefault="003F2D22">
            <w:pPr>
              <w:spacing w:line="360" w:lineRule="auto"/>
              <w:rPr>
                <w:rFonts w:ascii="宋体" w:hAnsi="宋体"/>
                <w:b/>
                <w:bCs/>
                <w:color w:val="000000" w:themeColor="text1"/>
                <w:sz w:val="18"/>
                <w:szCs w:val="18"/>
              </w:rPr>
            </w:pPr>
            <w:r>
              <w:rPr>
                <w:rFonts w:ascii="宋体" w:hAnsi="宋体"/>
                <w:b/>
                <w:bCs/>
                <w:color w:val="000000" w:themeColor="text1"/>
                <w:sz w:val="18"/>
                <w:szCs w:val="18"/>
              </w:rPr>
              <w:t>1.理财产品的费率标准</w:t>
            </w:r>
          </w:p>
          <w:p w:rsidR="00E039EF" w:rsidRDefault="003F2D22">
            <w:pPr>
              <w:spacing w:line="360" w:lineRule="auto"/>
              <w:rPr>
                <w:rFonts w:ascii="宋体" w:hAnsi="宋体"/>
                <w:bCs/>
                <w:color w:val="000000" w:themeColor="text1"/>
                <w:sz w:val="18"/>
                <w:szCs w:val="18"/>
              </w:rPr>
            </w:pPr>
            <w:r>
              <w:rPr>
                <w:rFonts w:ascii="宋体" w:hAnsi="宋体" w:hint="eastAsia"/>
                <w:b/>
                <w:bCs/>
                <w:color w:val="000000" w:themeColor="text1"/>
                <w:sz w:val="18"/>
                <w:szCs w:val="18"/>
              </w:rPr>
              <w:t>（1）认购费：</w:t>
            </w:r>
            <w:r>
              <w:rPr>
                <w:rFonts w:ascii="宋体" w:hAnsi="宋体" w:hint="eastAsia"/>
                <w:bCs/>
                <w:color w:val="000000" w:themeColor="text1"/>
                <w:sz w:val="18"/>
                <w:szCs w:val="18"/>
              </w:rPr>
              <w:t>【/】。</w:t>
            </w:r>
          </w:p>
          <w:p w:rsidR="00E039EF" w:rsidRDefault="003F2D22">
            <w:pPr>
              <w:spacing w:line="360" w:lineRule="auto"/>
              <w:rPr>
                <w:rFonts w:ascii="宋体" w:hAnsi="宋体"/>
                <w:b/>
                <w:bCs/>
                <w:color w:val="000000" w:themeColor="text1"/>
                <w:sz w:val="18"/>
                <w:szCs w:val="18"/>
              </w:rPr>
            </w:pPr>
            <w:r>
              <w:rPr>
                <w:rFonts w:asciiTheme="majorEastAsia" w:eastAsiaTheme="majorEastAsia" w:hAnsiTheme="majorEastAsia" w:hint="eastAsia"/>
                <w:b/>
                <w:bCs/>
                <w:color w:val="000000" w:themeColor="text1"/>
                <w:sz w:val="18"/>
                <w:szCs w:val="18"/>
              </w:rPr>
              <w:t>（2）</w:t>
            </w:r>
            <w:r>
              <w:rPr>
                <w:rFonts w:asciiTheme="majorEastAsia" w:eastAsiaTheme="majorEastAsia" w:hAnsiTheme="majorEastAsia"/>
                <w:b/>
                <w:bCs/>
                <w:color w:val="000000" w:themeColor="text1"/>
                <w:sz w:val="18"/>
                <w:szCs w:val="18"/>
              </w:rPr>
              <w:t>销售服</w:t>
            </w:r>
            <w:r>
              <w:rPr>
                <w:rFonts w:ascii="宋体" w:hAnsi="宋体" w:hint="eastAsia"/>
                <w:b/>
                <w:bCs/>
                <w:color w:val="000000" w:themeColor="text1"/>
                <w:sz w:val="18"/>
                <w:szCs w:val="18"/>
              </w:rPr>
              <w:t>务费：</w:t>
            </w:r>
          </w:p>
          <w:p w:rsidR="00E039EF" w:rsidRDefault="003F2D22">
            <w:pPr>
              <w:spacing w:line="360" w:lineRule="auto"/>
              <w:rPr>
                <w:rFonts w:asciiTheme="majorEastAsia" w:eastAsiaTheme="majorEastAsia" w:hAnsiTheme="majorEastAsia"/>
                <w:bCs/>
                <w:sz w:val="18"/>
                <w:szCs w:val="18"/>
              </w:rPr>
            </w:pPr>
            <w:r>
              <w:rPr>
                <w:rFonts w:asciiTheme="majorEastAsia" w:eastAsiaTheme="majorEastAsia" w:hAnsiTheme="majorEastAsia" w:hint="eastAsia"/>
                <w:bCs/>
                <w:sz w:val="18"/>
                <w:szCs w:val="18"/>
              </w:rPr>
              <w:t>A类份额：年化费率【</w:t>
            </w:r>
            <w:r w:rsidR="004227D0">
              <w:rPr>
                <w:rFonts w:asciiTheme="majorEastAsia" w:eastAsiaTheme="majorEastAsia" w:hAnsiTheme="majorEastAsia" w:hint="eastAsia"/>
                <w:bCs/>
                <w:sz w:val="18"/>
                <w:szCs w:val="18"/>
              </w:rPr>
              <w:t>0.</w:t>
            </w:r>
            <w:r w:rsidR="004227D0">
              <w:rPr>
                <w:rFonts w:asciiTheme="majorEastAsia" w:eastAsiaTheme="majorEastAsia" w:hAnsiTheme="majorEastAsia"/>
                <w:bCs/>
                <w:sz w:val="18"/>
                <w:szCs w:val="18"/>
              </w:rPr>
              <w:t>1</w:t>
            </w:r>
            <w:r>
              <w:rPr>
                <w:rFonts w:asciiTheme="majorEastAsia" w:eastAsiaTheme="majorEastAsia" w:hAnsiTheme="majorEastAsia" w:hint="eastAsia"/>
                <w:bCs/>
                <w:sz w:val="18"/>
                <w:szCs w:val="18"/>
              </w:rPr>
              <w:t>5%】。</w:t>
            </w:r>
          </w:p>
          <w:p w:rsidR="00093F35" w:rsidRPr="00093F35" w:rsidRDefault="00093F35">
            <w:pPr>
              <w:spacing w:line="360" w:lineRule="auto"/>
              <w:rPr>
                <w:rFonts w:asciiTheme="majorEastAsia" w:eastAsiaTheme="majorEastAsia" w:hAnsiTheme="majorEastAsia"/>
                <w:bCs/>
                <w:sz w:val="18"/>
                <w:szCs w:val="18"/>
              </w:rPr>
            </w:pPr>
            <w:r>
              <w:rPr>
                <w:rFonts w:asciiTheme="majorEastAsia" w:eastAsiaTheme="majorEastAsia" w:hAnsiTheme="majorEastAsia"/>
                <w:bCs/>
                <w:sz w:val="18"/>
                <w:szCs w:val="18"/>
              </w:rPr>
              <w:t>B</w:t>
            </w:r>
            <w:r>
              <w:rPr>
                <w:rFonts w:asciiTheme="majorEastAsia" w:eastAsiaTheme="majorEastAsia" w:hAnsiTheme="majorEastAsia" w:hint="eastAsia"/>
                <w:bCs/>
                <w:sz w:val="18"/>
                <w:szCs w:val="18"/>
              </w:rPr>
              <w:t>类份额：年化费率【0%】。</w:t>
            </w:r>
          </w:p>
          <w:p w:rsidR="00E039EF" w:rsidRDefault="003F2D22">
            <w:pPr>
              <w:spacing w:line="360" w:lineRule="auto"/>
              <w:rPr>
                <w:rFonts w:ascii="宋体" w:hAnsi="宋体"/>
                <w:bCs/>
                <w:color w:val="000000" w:themeColor="text1"/>
                <w:sz w:val="18"/>
                <w:szCs w:val="18"/>
              </w:rPr>
            </w:pPr>
            <w:r>
              <w:rPr>
                <w:rFonts w:ascii="宋体" w:hAnsi="宋体" w:hint="eastAsia"/>
                <w:b/>
                <w:bCs/>
                <w:color w:val="000000" w:themeColor="text1"/>
                <w:sz w:val="18"/>
                <w:szCs w:val="18"/>
              </w:rPr>
              <w:t>（3）投资管理费：</w:t>
            </w:r>
            <w:r>
              <w:rPr>
                <w:rFonts w:asciiTheme="majorEastAsia" w:eastAsiaTheme="majorEastAsia" w:hAnsiTheme="majorEastAsia" w:hint="eastAsia"/>
                <w:bCs/>
                <w:sz w:val="18"/>
                <w:szCs w:val="18"/>
              </w:rPr>
              <w:t>年化</w:t>
            </w:r>
            <w:r>
              <w:rPr>
                <w:rFonts w:asciiTheme="majorEastAsia" w:eastAsiaTheme="majorEastAsia" w:hAnsiTheme="majorEastAsia"/>
                <w:bCs/>
                <w:sz w:val="18"/>
                <w:szCs w:val="18"/>
              </w:rPr>
              <w:t>费率</w:t>
            </w:r>
            <w:r>
              <w:rPr>
                <w:rFonts w:asciiTheme="majorEastAsia" w:eastAsiaTheme="majorEastAsia" w:hAnsiTheme="majorEastAsia" w:hint="eastAsia"/>
                <w:sz w:val="18"/>
                <w:szCs w:val="18"/>
              </w:rPr>
              <w:t>【</w:t>
            </w:r>
            <w:r w:rsidR="004227D0">
              <w:rPr>
                <w:rFonts w:asciiTheme="majorEastAsia" w:eastAsiaTheme="majorEastAsia" w:hAnsiTheme="majorEastAsia" w:hint="eastAsia"/>
                <w:sz w:val="18"/>
                <w:szCs w:val="18"/>
              </w:rPr>
              <w:t>0.</w:t>
            </w:r>
            <w:r w:rsidR="004227D0">
              <w:rPr>
                <w:rFonts w:asciiTheme="majorEastAsia" w:eastAsiaTheme="majorEastAsia" w:hAnsiTheme="majorEastAsia"/>
                <w:sz w:val="18"/>
                <w:szCs w:val="18"/>
              </w:rPr>
              <w:t>1</w:t>
            </w:r>
            <w:r>
              <w:rPr>
                <w:rFonts w:asciiTheme="majorEastAsia" w:eastAsiaTheme="majorEastAsia" w:hAnsiTheme="majorEastAsia" w:hint="eastAsia"/>
                <w:sz w:val="18"/>
                <w:szCs w:val="18"/>
              </w:rPr>
              <w:t>%</w:t>
            </w:r>
            <w:r>
              <w:rPr>
                <w:rFonts w:asciiTheme="majorEastAsia" w:eastAsiaTheme="majorEastAsia" w:hAnsiTheme="majorEastAsia"/>
                <w:sz w:val="18"/>
                <w:szCs w:val="18"/>
              </w:rPr>
              <w:t>】</w:t>
            </w:r>
            <w:r>
              <w:rPr>
                <w:rFonts w:ascii="宋体" w:hAnsi="宋体" w:hint="eastAsia"/>
                <w:bCs/>
                <w:color w:val="000000" w:themeColor="text1"/>
                <w:sz w:val="18"/>
                <w:szCs w:val="18"/>
              </w:rPr>
              <w:t>。</w:t>
            </w:r>
          </w:p>
          <w:p w:rsidR="00E039EF" w:rsidRDefault="003F2D22">
            <w:pPr>
              <w:spacing w:line="360" w:lineRule="auto"/>
              <w:rPr>
                <w:rFonts w:ascii="宋体" w:hAnsi="宋体"/>
                <w:bCs/>
                <w:color w:val="000000" w:themeColor="text1"/>
                <w:sz w:val="18"/>
                <w:szCs w:val="18"/>
              </w:rPr>
            </w:pPr>
            <w:r>
              <w:rPr>
                <w:rFonts w:ascii="宋体" w:hAnsi="宋体" w:hint="eastAsia"/>
                <w:b/>
                <w:bCs/>
                <w:color w:val="000000" w:themeColor="text1"/>
                <w:sz w:val="18"/>
                <w:szCs w:val="18"/>
              </w:rPr>
              <w:t>（4）产品托管费：</w:t>
            </w:r>
            <w:r>
              <w:rPr>
                <w:rFonts w:asciiTheme="majorEastAsia" w:eastAsiaTheme="majorEastAsia" w:hAnsiTheme="majorEastAsia" w:hint="eastAsia"/>
                <w:bCs/>
                <w:sz w:val="18"/>
                <w:szCs w:val="18"/>
              </w:rPr>
              <w:t>年化</w:t>
            </w:r>
            <w:r>
              <w:rPr>
                <w:rFonts w:asciiTheme="majorEastAsia" w:eastAsiaTheme="majorEastAsia" w:hAnsiTheme="majorEastAsia"/>
                <w:bCs/>
                <w:sz w:val="18"/>
                <w:szCs w:val="18"/>
              </w:rPr>
              <w:t>费率</w:t>
            </w:r>
            <w:r>
              <w:rPr>
                <w:rFonts w:asciiTheme="majorEastAsia" w:eastAsiaTheme="majorEastAsia" w:hAnsiTheme="majorEastAsia" w:hint="eastAsia"/>
                <w:sz w:val="18"/>
                <w:szCs w:val="18"/>
              </w:rPr>
              <w:t>【0.0</w:t>
            </w:r>
            <w:r w:rsidR="004227D0">
              <w:rPr>
                <w:rFonts w:asciiTheme="majorEastAsia" w:eastAsiaTheme="majorEastAsia" w:hAnsiTheme="majorEastAsia"/>
                <w:sz w:val="18"/>
                <w:szCs w:val="18"/>
              </w:rPr>
              <w:t>3</w:t>
            </w:r>
            <w:r>
              <w:rPr>
                <w:rFonts w:asciiTheme="majorEastAsia" w:eastAsiaTheme="majorEastAsia" w:hAnsiTheme="majorEastAsia" w:hint="eastAsia"/>
                <w:sz w:val="18"/>
                <w:szCs w:val="18"/>
              </w:rPr>
              <w:t>%</w:t>
            </w:r>
            <w:r>
              <w:rPr>
                <w:rFonts w:asciiTheme="majorEastAsia" w:eastAsiaTheme="majorEastAsia" w:hAnsiTheme="majorEastAsia"/>
                <w:sz w:val="18"/>
                <w:szCs w:val="18"/>
              </w:rPr>
              <w:t>】</w:t>
            </w:r>
            <w:r>
              <w:rPr>
                <w:rFonts w:ascii="宋体" w:hAnsi="宋体" w:hint="eastAsia"/>
                <w:bCs/>
                <w:color w:val="000000" w:themeColor="text1"/>
                <w:sz w:val="18"/>
                <w:szCs w:val="18"/>
              </w:rPr>
              <w:t>。</w:t>
            </w:r>
          </w:p>
          <w:p w:rsidR="00E039EF" w:rsidRPr="004227D0" w:rsidRDefault="003F2D22">
            <w:pPr>
              <w:widowControl/>
              <w:spacing w:line="360" w:lineRule="auto"/>
              <w:jc w:val="left"/>
              <w:rPr>
                <w:rFonts w:ascii="宋体" w:hAnsi="宋体"/>
                <w:b/>
                <w:bCs/>
                <w:color w:val="000000" w:themeColor="text1"/>
                <w:sz w:val="18"/>
                <w:szCs w:val="18"/>
              </w:rPr>
            </w:pPr>
            <w:r>
              <w:rPr>
                <w:rFonts w:ascii="宋体" w:hAnsi="宋体" w:hint="eastAsia"/>
                <w:b/>
                <w:bCs/>
                <w:color w:val="000000" w:themeColor="text1"/>
                <w:sz w:val="18"/>
                <w:szCs w:val="18"/>
              </w:rPr>
              <w:t>（5）超额业绩报酬：</w:t>
            </w:r>
            <w:r w:rsidR="004227D0">
              <w:rPr>
                <w:rFonts w:ascii="宋体" w:hAnsi="宋体"/>
                <w:b/>
                <w:bCs/>
                <w:color w:val="000000" w:themeColor="text1"/>
                <w:sz w:val="18"/>
                <w:szCs w:val="18"/>
              </w:rPr>
              <w:t>无</w:t>
            </w:r>
          </w:p>
          <w:p w:rsidR="00E039EF" w:rsidRDefault="003F2D22">
            <w:pPr>
              <w:spacing w:line="360" w:lineRule="auto"/>
              <w:rPr>
                <w:rFonts w:ascii="黑体" w:eastAsia="黑体" w:hAnsi="黑体"/>
                <w:bCs/>
                <w:sz w:val="18"/>
                <w:szCs w:val="18"/>
              </w:rPr>
            </w:pPr>
            <w:r>
              <w:rPr>
                <w:rFonts w:ascii="宋体" w:hAnsi="宋体"/>
                <w:bCs/>
                <w:sz w:val="18"/>
                <w:szCs w:val="18"/>
              </w:rPr>
              <w:t>2</w:t>
            </w:r>
            <w:r>
              <w:rPr>
                <w:rFonts w:asciiTheme="majorEastAsia" w:eastAsiaTheme="majorEastAsia" w:hAnsiTheme="majorEastAsia" w:hint="eastAsia"/>
                <w:bCs/>
                <w:sz w:val="18"/>
                <w:szCs w:val="18"/>
              </w:rPr>
              <w:t>.</w:t>
            </w:r>
            <w:r>
              <w:rPr>
                <w:rFonts w:ascii="黑体" w:eastAsia="黑体" w:hAnsi="黑体" w:hint="eastAsia"/>
                <w:bCs/>
                <w:sz w:val="18"/>
                <w:szCs w:val="18"/>
              </w:rPr>
              <w:t>产品管理人</w:t>
            </w:r>
            <w:r>
              <w:rPr>
                <w:rFonts w:ascii="黑体" w:eastAsia="黑体" w:hAnsi="黑体"/>
                <w:bCs/>
                <w:sz w:val="18"/>
                <w:szCs w:val="18"/>
              </w:rPr>
              <w:t>保留变更</w:t>
            </w:r>
            <w:r>
              <w:rPr>
                <w:rFonts w:ascii="黑体" w:eastAsia="黑体" w:hAnsi="黑体" w:hint="eastAsia"/>
                <w:bCs/>
                <w:sz w:val="18"/>
                <w:szCs w:val="18"/>
              </w:rPr>
              <w:t>上述</w:t>
            </w:r>
            <w:r>
              <w:rPr>
                <w:rFonts w:ascii="黑体" w:eastAsia="黑体" w:hAnsi="黑体"/>
                <w:bCs/>
                <w:sz w:val="18"/>
                <w:szCs w:val="18"/>
              </w:rPr>
              <w:t>理财产品</w:t>
            </w:r>
            <w:r>
              <w:rPr>
                <w:rFonts w:ascii="黑体" w:eastAsia="黑体" w:hAnsi="黑体" w:hint="eastAsia"/>
                <w:bCs/>
                <w:sz w:val="18"/>
                <w:szCs w:val="18"/>
              </w:rPr>
              <w:t>收取</w:t>
            </w:r>
            <w:r>
              <w:rPr>
                <w:rFonts w:ascii="黑体" w:eastAsia="黑体" w:hAnsi="黑体"/>
                <w:bCs/>
                <w:sz w:val="18"/>
                <w:szCs w:val="18"/>
              </w:rPr>
              <w:t>费率</w:t>
            </w:r>
            <w:r>
              <w:rPr>
                <w:rFonts w:ascii="黑体" w:eastAsia="黑体" w:hAnsi="黑体" w:hint="eastAsia"/>
                <w:bCs/>
                <w:sz w:val="18"/>
                <w:szCs w:val="18"/>
              </w:rPr>
              <w:t>标准</w:t>
            </w:r>
            <w:r>
              <w:rPr>
                <w:rFonts w:ascii="黑体" w:eastAsia="黑体" w:hAnsi="黑体"/>
                <w:bCs/>
                <w:sz w:val="18"/>
                <w:szCs w:val="18"/>
              </w:rPr>
              <w:t>的权利</w:t>
            </w:r>
            <w:r>
              <w:rPr>
                <w:rFonts w:ascii="黑体" w:eastAsia="黑体" w:hAnsi="黑体" w:hint="eastAsia"/>
                <w:bCs/>
                <w:sz w:val="18"/>
                <w:szCs w:val="18"/>
              </w:rPr>
              <w:t>。</w:t>
            </w:r>
          </w:p>
        </w:tc>
      </w:tr>
      <w:tr w:rsidR="00E039EF">
        <w:trPr>
          <w:trHeight w:val="275"/>
          <w:jc w:val="center"/>
        </w:trPr>
        <w:tc>
          <w:tcPr>
            <w:tcW w:w="1970" w:type="dxa"/>
            <w:shd w:val="solid" w:color="FFFFFF" w:fill="FFFFFF"/>
            <w:vAlign w:val="center"/>
          </w:tcPr>
          <w:p w:rsidR="00E039EF" w:rsidRDefault="003F2D22">
            <w:pPr>
              <w:spacing w:line="360" w:lineRule="auto"/>
              <w:jc w:val="left"/>
              <w:rPr>
                <w:rFonts w:hAnsi="宋体"/>
                <w:sz w:val="18"/>
                <w:szCs w:val="18"/>
              </w:rPr>
            </w:pPr>
            <w:r>
              <w:rPr>
                <w:rFonts w:ascii="宋体" w:hAnsi="宋体" w:hint="eastAsia"/>
                <w:b/>
                <w:bCs/>
                <w:kern w:val="0"/>
                <w:sz w:val="18"/>
                <w:szCs w:val="18"/>
              </w:rPr>
              <w:t>税收</w:t>
            </w:r>
          </w:p>
        </w:tc>
        <w:tc>
          <w:tcPr>
            <w:tcW w:w="7674" w:type="dxa"/>
            <w:shd w:val="solid" w:color="FFFFFF" w:fill="FFFFFF"/>
            <w:vAlign w:val="center"/>
          </w:tcPr>
          <w:p w:rsidR="00E039EF" w:rsidRDefault="003F2D22">
            <w:pPr>
              <w:spacing w:line="360" w:lineRule="auto"/>
              <w:rPr>
                <w:rFonts w:ascii="宋体" w:hAnsi="宋体"/>
                <w:bCs/>
                <w:color w:val="000000" w:themeColor="text1"/>
                <w:sz w:val="18"/>
                <w:szCs w:val="18"/>
              </w:rPr>
            </w:pPr>
            <w:r>
              <w:rPr>
                <w:rFonts w:hAnsi="宋体" w:cs="仿宋_GB2312" w:hint="eastAsia"/>
                <w:sz w:val="18"/>
                <w:szCs w:val="18"/>
              </w:rPr>
              <w:t>本理财产品运作过程中涉及的各纳税主体，其纳税义务按国家税收法律、法规执行。</w:t>
            </w:r>
          </w:p>
        </w:tc>
      </w:tr>
      <w:tr w:rsidR="00E039EF">
        <w:trPr>
          <w:trHeight w:val="275"/>
          <w:jc w:val="center"/>
        </w:trPr>
        <w:tc>
          <w:tcPr>
            <w:tcW w:w="1970" w:type="dxa"/>
            <w:shd w:val="solid" w:color="FFFFFF" w:fill="FFFFFF"/>
            <w:vAlign w:val="center"/>
          </w:tcPr>
          <w:p w:rsidR="00E039EF" w:rsidRDefault="003F2D22">
            <w:pPr>
              <w:spacing w:line="360" w:lineRule="auto"/>
              <w:jc w:val="left"/>
              <w:rPr>
                <w:rFonts w:asciiTheme="majorEastAsia" w:eastAsiaTheme="majorEastAsia" w:hAnsiTheme="majorEastAsia"/>
                <w:b/>
                <w:sz w:val="18"/>
                <w:szCs w:val="18"/>
              </w:rPr>
            </w:pPr>
            <w:r>
              <w:rPr>
                <w:rFonts w:asciiTheme="majorEastAsia" w:eastAsiaTheme="majorEastAsia" w:hAnsiTheme="majorEastAsia" w:hint="eastAsia"/>
                <w:b/>
                <w:sz w:val="18"/>
                <w:szCs w:val="18"/>
              </w:rPr>
              <w:t>理财产品份额的转让</w:t>
            </w:r>
          </w:p>
        </w:tc>
        <w:tc>
          <w:tcPr>
            <w:tcW w:w="7674" w:type="dxa"/>
            <w:shd w:val="solid" w:color="FFFFFF" w:fill="FFFFFF"/>
            <w:vAlign w:val="center"/>
          </w:tcPr>
          <w:p w:rsidR="00E039EF" w:rsidRDefault="003F2D22">
            <w:pPr>
              <w:spacing w:line="360" w:lineRule="auto"/>
              <w:jc w:val="left"/>
              <w:rPr>
                <w:rFonts w:ascii="宋体" w:hAnsi="宋体"/>
                <w:sz w:val="18"/>
                <w:szCs w:val="18"/>
              </w:rPr>
            </w:pPr>
            <w:r>
              <w:rPr>
                <w:rFonts w:ascii="宋体" w:hAnsi="宋体" w:hint="eastAsia"/>
                <w:sz w:val="18"/>
                <w:szCs w:val="18"/>
              </w:rPr>
              <w:t>理财产品份额的转让将依照理财产品销售文件及销售机构的业务政策执行。</w:t>
            </w:r>
          </w:p>
        </w:tc>
      </w:tr>
      <w:tr w:rsidR="00E039EF">
        <w:trPr>
          <w:trHeight w:val="275"/>
          <w:jc w:val="center"/>
        </w:trPr>
        <w:tc>
          <w:tcPr>
            <w:tcW w:w="1970" w:type="dxa"/>
            <w:shd w:val="solid" w:color="FFFFFF" w:fill="FFFFFF"/>
            <w:vAlign w:val="center"/>
          </w:tcPr>
          <w:p w:rsidR="00E039EF" w:rsidRDefault="003F2D22">
            <w:pPr>
              <w:spacing w:line="360" w:lineRule="auto"/>
              <w:jc w:val="left"/>
              <w:rPr>
                <w:rFonts w:asciiTheme="majorEastAsia" w:eastAsiaTheme="majorEastAsia" w:hAnsiTheme="majorEastAsia"/>
                <w:b/>
                <w:sz w:val="18"/>
                <w:szCs w:val="18"/>
              </w:rPr>
            </w:pPr>
            <w:r>
              <w:rPr>
                <w:rFonts w:asciiTheme="majorEastAsia" w:eastAsiaTheme="majorEastAsia" w:hAnsiTheme="majorEastAsia" w:hint="eastAsia"/>
                <w:b/>
                <w:sz w:val="18"/>
                <w:szCs w:val="18"/>
              </w:rPr>
              <w:t>理财产品份额的质押</w:t>
            </w:r>
          </w:p>
        </w:tc>
        <w:tc>
          <w:tcPr>
            <w:tcW w:w="7674" w:type="dxa"/>
            <w:shd w:val="solid" w:color="FFFFFF" w:fill="FFFFFF"/>
            <w:vAlign w:val="center"/>
          </w:tcPr>
          <w:p w:rsidR="00E039EF" w:rsidRDefault="003F2D22">
            <w:pPr>
              <w:spacing w:line="360" w:lineRule="auto"/>
              <w:jc w:val="left"/>
              <w:rPr>
                <w:rFonts w:ascii="宋体" w:hAnsi="宋体"/>
                <w:sz w:val="18"/>
                <w:szCs w:val="18"/>
              </w:rPr>
            </w:pPr>
            <w:r>
              <w:rPr>
                <w:rFonts w:ascii="宋体" w:hAnsi="宋体" w:hint="eastAsia"/>
                <w:sz w:val="18"/>
                <w:szCs w:val="18"/>
              </w:rPr>
              <w:t>理财产品份额的质押将依照理财产品销售文件及销售机构的业务政策执行。</w:t>
            </w:r>
          </w:p>
        </w:tc>
      </w:tr>
      <w:permEnd w:id="1059210048"/>
    </w:tbl>
    <w:p w:rsidR="00E039EF" w:rsidRDefault="00E039EF">
      <w:pPr>
        <w:pStyle w:val="Default"/>
        <w:spacing w:line="360" w:lineRule="auto"/>
        <w:rPr>
          <w:rFonts w:hAnsi="宋体"/>
          <w:sz w:val="18"/>
          <w:szCs w:val="18"/>
        </w:rPr>
      </w:pPr>
    </w:p>
    <w:p w:rsidR="00E039EF" w:rsidRDefault="003F2D22">
      <w:pPr>
        <w:widowControl/>
        <w:spacing w:line="360" w:lineRule="auto"/>
        <w:jc w:val="left"/>
        <w:rPr>
          <w:rFonts w:ascii="宋体" w:hAnsi="宋体"/>
          <w:color w:val="000000"/>
          <w:kern w:val="0"/>
          <w:sz w:val="18"/>
          <w:szCs w:val="18"/>
        </w:rPr>
      </w:pPr>
      <w:r>
        <w:rPr>
          <w:rFonts w:hAnsi="宋体"/>
          <w:sz w:val="18"/>
          <w:szCs w:val="18"/>
        </w:rPr>
        <w:br w:type="page"/>
      </w:r>
    </w:p>
    <w:p w:rsidR="00E039EF" w:rsidRDefault="003F2D22">
      <w:pPr>
        <w:pStyle w:val="1"/>
        <w:spacing w:before="0" w:after="0" w:line="360" w:lineRule="auto"/>
        <w:jc w:val="center"/>
        <w:rPr>
          <w:rFonts w:ascii="Times New Roman"/>
          <w:sz w:val="30"/>
        </w:rPr>
      </w:pPr>
      <w:bookmarkStart w:id="5" w:name="_Toc79154666"/>
      <w:bookmarkStart w:id="6" w:name="_Toc116649651"/>
      <w:r>
        <w:rPr>
          <w:rFonts w:ascii="Times New Roman"/>
          <w:sz w:val="30"/>
        </w:rPr>
        <w:lastRenderedPageBreak/>
        <w:t>第</w:t>
      </w:r>
      <w:r>
        <w:rPr>
          <w:rFonts w:ascii="Times New Roman" w:hint="eastAsia"/>
          <w:sz w:val="30"/>
        </w:rPr>
        <w:t>三条</w:t>
      </w:r>
      <w:r>
        <w:rPr>
          <w:rFonts w:ascii="Times New Roman"/>
          <w:sz w:val="30"/>
        </w:rPr>
        <w:t xml:space="preserve">  </w:t>
      </w:r>
      <w:bookmarkStart w:id="7" w:name="_Toc79392573"/>
      <w:r>
        <w:rPr>
          <w:rFonts w:ascii="Times New Roman" w:hint="eastAsia"/>
          <w:sz w:val="30"/>
        </w:rPr>
        <w:t>理财产品的认购</w:t>
      </w:r>
      <w:bookmarkEnd w:id="5"/>
      <w:bookmarkEnd w:id="6"/>
    </w:p>
    <w:p w:rsidR="00E039EF" w:rsidRDefault="003F2D22">
      <w:pPr>
        <w:spacing w:line="360" w:lineRule="auto"/>
        <w:ind w:firstLineChars="200" w:firstLine="361"/>
        <w:rPr>
          <w:rFonts w:asciiTheme="minorEastAsia" w:hAnsiTheme="minorEastAsia"/>
          <w:b/>
          <w:bCs/>
          <w:sz w:val="18"/>
          <w:szCs w:val="18"/>
        </w:rPr>
      </w:pPr>
      <w:bookmarkStart w:id="8" w:name="_Hlt88031774"/>
      <w:bookmarkStart w:id="9" w:name="_Hlt88031741"/>
      <w:bookmarkEnd w:id="8"/>
      <w:r>
        <w:rPr>
          <w:rFonts w:asciiTheme="minorEastAsia" w:hAnsiTheme="minorEastAsia" w:hint="eastAsia"/>
          <w:b/>
          <w:bCs/>
          <w:sz w:val="18"/>
          <w:szCs w:val="18"/>
        </w:rPr>
        <w:t>（一）理财产品的认购</w:t>
      </w:r>
    </w:p>
    <w:p w:rsidR="00E039EF" w:rsidRDefault="003F2D22">
      <w:pPr>
        <w:spacing w:line="360" w:lineRule="auto"/>
        <w:ind w:firstLineChars="200" w:firstLine="361"/>
        <w:rPr>
          <w:rFonts w:asciiTheme="minorEastAsia" w:hAnsiTheme="minorEastAsia"/>
          <w:b/>
          <w:bCs/>
          <w:sz w:val="18"/>
          <w:szCs w:val="18"/>
        </w:rPr>
      </w:pPr>
      <w:r>
        <w:rPr>
          <w:rFonts w:asciiTheme="minorEastAsia" w:hAnsiTheme="minorEastAsia"/>
          <w:b/>
          <w:bCs/>
          <w:sz w:val="18"/>
          <w:szCs w:val="18"/>
        </w:rPr>
        <w:t>1.</w:t>
      </w:r>
      <w:r>
        <w:rPr>
          <w:rFonts w:asciiTheme="minorEastAsia" w:hAnsiTheme="minorEastAsia" w:hint="eastAsia"/>
          <w:b/>
          <w:bCs/>
          <w:sz w:val="18"/>
          <w:szCs w:val="18"/>
        </w:rPr>
        <w:t>认购的时间</w:t>
      </w:r>
    </w:p>
    <w:p w:rsidR="00E039EF" w:rsidRDefault="003F2D22">
      <w:pPr>
        <w:pStyle w:val="Default"/>
        <w:spacing w:line="360" w:lineRule="auto"/>
        <w:ind w:firstLineChars="200" w:firstLine="360"/>
        <w:rPr>
          <w:rFonts w:asciiTheme="minorEastAsia" w:eastAsiaTheme="minorEastAsia" w:hAnsiTheme="minorEastAsia"/>
          <w:color w:val="auto"/>
          <w:sz w:val="18"/>
          <w:szCs w:val="18"/>
        </w:rPr>
      </w:pPr>
      <w:r>
        <w:rPr>
          <w:rFonts w:asciiTheme="minorEastAsia" w:eastAsiaTheme="minorEastAsia" w:hAnsiTheme="minorEastAsia" w:hint="eastAsia"/>
          <w:color w:val="auto"/>
          <w:sz w:val="18"/>
          <w:szCs w:val="18"/>
        </w:rPr>
        <w:t>本产品认购期/募集期详见《产品说明书》“第二条 理财产品基本情况”。</w:t>
      </w:r>
      <w:r>
        <w:rPr>
          <w:rFonts w:asciiTheme="minorEastAsia" w:eastAsiaTheme="minorEastAsia" w:hAnsiTheme="minorEastAsia"/>
          <w:color w:val="auto"/>
          <w:sz w:val="18"/>
          <w:szCs w:val="18"/>
        </w:rPr>
        <w:t>产品管理人有权根据实际募集情况提前或延后产品成立日期，并</w:t>
      </w:r>
      <w:r>
        <w:rPr>
          <w:rFonts w:asciiTheme="minorEastAsia" w:eastAsiaTheme="minorEastAsia" w:hAnsiTheme="minorEastAsia" w:hint="eastAsia"/>
          <w:color w:val="auto"/>
          <w:sz w:val="18"/>
          <w:szCs w:val="18"/>
        </w:rPr>
        <w:t>相应调整其他产品要素，</w:t>
      </w:r>
      <w:r>
        <w:rPr>
          <w:rFonts w:asciiTheme="minorEastAsia" w:eastAsiaTheme="minorEastAsia" w:hAnsiTheme="minorEastAsia"/>
          <w:color w:val="auto"/>
          <w:sz w:val="18"/>
          <w:szCs w:val="18"/>
        </w:rPr>
        <w:t>将依约</w:t>
      </w:r>
      <w:r>
        <w:rPr>
          <w:rFonts w:asciiTheme="minorEastAsia" w:eastAsiaTheme="minorEastAsia" w:hAnsiTheme="minorEastAsia" w:hint="eastAsia"/>
          <w:color w:val="auto"/>
          <w:sz w:val="18"/>
          <w:szCs w:val="18"/>
        </w:rPr>
        <w:t>定进行公告。</w:t>
      </w:r>
    </w:p>
    <w:p w:rsidR="00E039EF" w:rsidRDefault="003F2D22">
      <w:pPr>
        <w:spacing w:line="360" w:lineRule="auto"/>
        <w:ind w:firstLineChars="200" w:firstLine="361"/>
        <w:rPr>
          <w:rFonts w:asciiTheme="minorEastAsia" w:hAnsiTheme="minorEastAsia"/>
          <w:b/>
          <w:bCs/>
          <w:sz w:val="18"/>
          <w:szCs w:val="18"/>
        </w:rPr>
      </w:pPr>
      <w:r>
        <w:rPr>
          <w:rFonts w:asciiTheme="minorEastAsia" w:hAnsiTheme="minorEastAsia"/>
          <w:b/>
          <w:bCs/>
          <w:sz w:val="18"/>
          <w:szCs w:val="18"/>
        </w:rPr>
        <w:t>2.认购</w:t>
      </w:r>
      <w:r>
        <w:rPr>
          <w:rFonts w:asciiTheme="minorEastAsia" w:hAnsiTheme="minorEastAsia" w:hint="eastAsia"/>
          <w:b/>
          <w:bCs/>
          <w:sz w:val="18"/>
          <w:szCs w:val="18"/>
        </w:rPr>
        <w:t>的方式</w:t>
      </w:r>
    </w:p>
    <w:p w:rsidR="00E039EF" w:rsidRDefault="003F2D22">
      <w:pPr>
        <w:pStyle w:val="Default"/>
        <w:spacing w:line="360" w:lineRule="auto"/>
        <w:ind w:firstLineChars="200" w:firstLine="360"/>
        <w:rPr>
          <w:rFonts w:asciiTheme="minorEastAsia" w:eastAsiaTheme="minorEastAsia" w:hAnsiTheme="minorEastAsia"/>
          <w:color w:val="auto"/>
          <w:sz w:val="18"/>
          <w:szCs w:val="18"/>
        </w:rPr>
      </w:pPr>
      <w:r>
        <w:rPr>
          <w:rFonts w:asciiTheme="minorEastAsia" w:eastAsiaTheme="minorEastAsia" w:hAnsiTheme="minorEastAsia"/>
          <w:color w:val="auto"/>
          <w:sz w:val="18"/>
          <w:szCs w:val="18"/>
        </w:rPr>
        <w:t>产品成立之前</w:t>
      </w:r>
      <w:r>
        <w:rPr>
          <w:rFonts w:asciiTheme="minorEastAsia" w:eastAsiaTheme="minorEastAsia" w:hAnsiTheme="minorEastAsia" w:hint="eastAsia"/>
          <w:color w:val="auto"/>
          <w:sz w:val="18"/>
          <w:szCs w:val="18"/>
        </w:rPr>
        <w:t>，</w:t>
      </w:r>
      <w:r>
        <w:rPr>
          <w:rFonts w:asciiTheme="minorEastAsia" w:eastAsiaTheme="minorEastAsia" w:hAnsiTheme="minorEastAsia"/>
          <w:color w:val="auto"/>
          <w:sz w:val="18"/>
          <w:szCs w:val="18"/>
        </w:rPr>
        <w:t>投资者可通过</w:t>
      </w:r>
      <w:r>
        <w:rPr>
          <w:rFonts w:asciiTheme="minorEastAsia" w:eastAsiaTheme="minorEastAsia" w:hAnsiTheme="minorEastAsia" w:hint="eastAsia"/>
          <w:color w:val="auto"/>
          <w:sz w:val="18"/>
          <w:szCs w:val="18"/>
        </w:rPr>
        <w:t>销售机构销售</w:t>
      </w:r>
      <w:r>
        <w:rPr>
          <w:rFonts w:asciiTheme="minorEastAsia" w:eastAsiaTheme="minorEastAsia" w:hAnsiTheme="minorEastAsia"/>
          <w:color w:val="auto"/>
          <w:sz w:val="18"/>
          <w:szCs w:val="18"/>
        </w:rPr>
        <w:t>渠道</w:t>
      </w:r>
      <w:r>
        <w:rPr>
          <w:rFonts w:asciiTheme="minorEastAsia" w:eastAsiaTheme="minorEastAsia" w:hAnsiTheme="minorEastAsia" w:hint="eastAsia"/>
          <w:color w:val="auto"/>
          <w:sz w:val="18"/>
          <w:szCs w:val="18"/>
        </w:rPr>
        <w:t>认购</w:t>
      </w:r>
      <w:r>
        <w:rPr>
          <w:rFonts w:asciiTheme="minorEastAsia" w:eastAsiaTheme="minorEastAsia" w:hAnsiTheme="minorEastAsia"/>
          <w:color w:val="auto"/>
          <w:sz w:val="18"/>
          <w:szCs w:val="18"/>
        </w:rPr>
        <w:t>。</w:t>
      </w:r>
    </w:p>
    <w:p w:rsidR="00E039EF" w:rsidRDefault="003F2D22">
      <w:pPr>
        <w:pStyle w:val="Default"/>
        <w:spacing w:line="360" w:lineRule="auto"/>
        <w:ind w:firstLineChars="200" w:firstLine="360"/>
        <w:rPr>
          <w:rFonts w:asciiTheme="minorEastAsia" w:eastAsiaTheme="minorEastAsia" w:hAnsiTheme="minorEastAsia"/>
          <w:color w:val="auto"/>
          <w:sz w:val="18"/>
          <w:szCs w:val="18"/>
        </w:rPr>
      </w:pPr>
      <w:r>
        <w:rPr>
          <w:rFonts w:asciiTheme="minorEastAsia" w:eastAsiaTheme="minorEastAsia" w:hAnsiTheme="minorEastAsia"/>
          <w:color w:val="auto"/>
          <w:sz w:val="18"/>
          <w:szCs w:val="18"/>
        </w:rPr>
        <w:t>投资者通过</w:t>
      </w:r>
      <w:r>
        <w:rPr>
          <w:rFonts w:asciiTheme="minorEastAsia" w:eastAsiaTheme="minorEastAsia" w:hAnsiTheme="minorEastAsia" w:hint="eastAsia"/>
          <w:color w:val="auto"/>
          <w:sz w:val="18"/>
          <w:szCs w:val="18"/>
        </w:rPr>
        <w:t>销售机构线下渠道认购的，应签署有关理财产品销售文件。</w:t>
      </w:r>
    </w:p>
    <w:p w:rsidR="00E039EF" w:rsidRDefault="003F2D22">
      <w:pPr>
        <w:pStyle w:val="Default"/>
        <w:spacing w:line="360" w:lineRule="auto"/>
        <w:ind w:firstLineChars="200" w:firstLine="360"/>
        <w:rPr>
          <w:rFonts w:asciiTheme="minorEastAsia" w:hAnsiTheme="minorEastAsia"/>
          <w:bCs/>
          <w:color w:val="auto"/>
          <w:sz w:val="18"/>
          <w:szCs w:val="18"/>
        </w:rPr>
      </w:pPr>
      <w:r>
        <w:rPr>
          <w:rFonts w:asciiTheme="minorEastAsia" w:eastAsiaTheme="minorEastAsia" w:hAnsiTheme="minorEastAsia"/>
          <w:color w:val="auto"/>
          <w:sz w:val="18"/>
          <w:szCs w:val="18"/>
        </w:rPr>
        <w:t>投资者通过</w:t>
      </w:r>
      <w:r>
        <w:rPr>
          <w:rFonts w:asciiTheme="minorEastAsia" w:eastAsiaTheme="minorEastAsia" w:hAnsiTheme="minorEastAsia" w:hint="eastAsia"/>
          <w:color w:val="auto"/>
          <w:sz w:val="18"/>
          <w:szCs w:val="18"/>
        </w:rPr>
        <w:t>销售机构线上渠道认购的，</w:t>
      </w:r>
      <w:r>
        <w:rPr>
          <w:rFonts w:asciiTheme="minorEastAsia" w:hAnsiTheme="minorEastAsia" w:hint="eastAsia"/>
          <w:bCs/>
          <w:color w:val="auto"/>
          <w:sz w:val="18"/>
          <w:szCs w:val="18"/>
        </w:rPr>
        <w:t>应根据</w:t>
      </w:r>
      <w:r>
        <w:rPr>
          <w:rFonts w:asciiTheme="minorEastAsia" w:eastAsiaTheme="minorEastAsia" w:hAnsiTheme="minorEastAsia" w:hint="eastAsia"/>
          <w:color w:val="auto"/>
          <w:sz w:val="18"/>
          <w:szCs w:val="18"/>
        </w:rPr>
        <w:t>销售机构</w:t>
      </w:r>
      <w:r>
        <w:rPr>
          <w:rFonts w:asciiTheme="minorEastAsia" w:hAnsiTheme="minorEastAsia" w:hint="eastAsia"/>
          <w:bCs/>
          <w:color w:val="auto"/>
          <w:sz w:val="18"/>
          <w:szCs w:val="18"/>
        </w:rPr>
        <w:t>线上渠道的具体要求执行。</w:t>
      </w:r>
    </w:p>
    <w:p w:rsidR="00E039EF" w:rsidRDefault="003F2D22">
      <w:pPr>
        <w:pStyle w:val="Default"/>
        <w:spacing w:line="360" w:lineRule="auto"/>
        <w:ind w:firstLineChars="200" w:firstLine="361"/>
        <w:rPr>
          <w:rFonts w:asciiTheme="minorEastAsia" w:hAnsiTheme="minorEastAsia"/>
          <w:b/>
          <w:bCs/>
          <w:color w:val="auto"/>
          <w:sz w:val="18"/>
          <w:szCs w:val="18"/>
        </w:rPr>
      </w:pPr>
      <w:r>
        <w:rPr>
          <w:rFonts w:asciiTheme="minorEastAsia" w:hAnsiTheme="minorEastAsia"/>
          <w:b/>
          <w:bCs/>
          <w:color w:val="auto"/>
          <w:sz w:val="18"/>
          <w:szCs w:val="18"/>
        </w:rPr>
        <w:t>3.</w:t>
      </w:r>
      <w:r>
        <w:rPr>
          <w:rFonts w:asciiTheme="minorEastAsia" w:hAnsiTheme="minorEastAsia" w:hint="eastAsia"/>
          <w:b/>
          <w:bCs/>
          <w:color w:val="auto"/>
          <w:sz w:val="18"/>
          <w:szCs w:val="18"/>
        </w:rPr>
        <w:t>认购的确认</w:t>
      </w:r>
    </w:p>
    <w:tbl>
      <w:tblPr>
        <w:tblStyle w:val="af"/>
        <w:tblW w:w="7861" w:type="dxa"/>
        <w:jc w:val="center"/>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4A0" w:firstRow="1" w:lastRow="0" w:firstColumn="1" w:lastColumn="0" w:noHBand="0" w:noVBand="1"/>
      </w:tblPr>
      <w:tblGrid>
        <w:gridCol w:w="1984"/>
        <w:gridCol w:w="4267"/>
        <w:gridCol w:w="1610"/>
      </w:tblGrid>
      <w:tr w:rsidR="00E039EF">
        <w:trPr>
          <w:jc w:val="center"/>
        </w:trPr>
        <w:tc>
          <w:tcPr>
            <w:tcW w:w="1984" w:type="dxa"/>
            <w:vAlign w:val="center"/>
          </w:tcPr>
          <w:p w:rsidR="00E039EF" w:rsidRDefault="003F2D22">
            <w:pPr>
              <w:spacing w:line="360" w:lineRule="auto"/>
              <w:ind w:firstLineChars="200" w:firstLine="361"/>
              <w:rPr>
                <w:rFonts w:asciiTheme="minorEastAsia" w:eastAsiaTheme="minorEastAsia" w:hAnsiTheme="minorEastAsia"/>
                <w:b/>
                <w:bCs/>
                <w:sz w:val="18"/>
                <w:szCs w:val="18"/>
              </w:rPr>
            </w:pPr>
            <w:r>
              <w:rPr>
                <w:rFonts w:asciiTheme="minorEastAsia" w:hAnsiTheme="minorEastAsia" w:cs="Times New Roman" w:hint="eastAsia"/>
                <w:b/>
                <w:bCs/>
                <w:kern w:val="0"/>
                <w:sz w:val="18"/>
                <w:szCs w:val="18"/>
              </w:rPr>
              <w:t>认购期/募集期</w:t>
            </w:r>
          </w:p>
        </w:tc>
        <w:tc>
          <w:tcPr>
            <w:tcW w:w="4267" w:type="dxa"/>
            <w:vAlign w:val="center"/>
          </w:tcPr>
          <w:p w:rsidR="00E039EF" w:rsidRDefault="003F2D22">
            <w:pPr>
              <w:spacing w:line="360" w:lineRule="auto"/>
              <w:ind w:firstLineChars="200" w:firstLine="361"/>
              <w:jc w:val="center"/>
              <w:rPr>
                <w:rFonts w:asciiTheme="minorEastAsia" w:eastAsiaTheme="minorEastAsia" w:hAnsiTheme="minorEastAsia"/>
                <w:b/>
                <w:bCs/>
                <w:sz w:val="18"/>
                <w:szCs w:val="18"/>
              </w:rPr>
            </w:pPr>
            <w:r>
              <w:rPr>
                <w:rFonts w:asciiTheme="minorEastAsia" w:hAnsiTheme="minorEastAsia" w:cs="Times New Roman" w:hint="eastAsia"/>
                <w:b/>
                <w:bCs/>
                <w:kern w:val="0"/>
                <w:sz w:val="18"/>
                <w:szCs w:val="18"/>
              </w:rPr>
              <w:t>认购确认方式</w:t>
            </w:r>
          </w:p>
        </w:tc>
        <w:tc>
          <w:tcPr>
            <w:tcW w:w="1610" w:type="dxa"/>
            <w:vAlign w:val="center"/>
          </w:tcPr>
          <w:p w:rsidR="00E039EF" w:rsidRDefault="003F2D22">
            <w:pPr>
              <w:spacing w:line="360" w:lineRule="auto"/>
              <w:rPr>
                <w:rFonts w:asciiTheme="minorEastAsia" w:eastAsiaTheme="minorEastAsia" w:hAnsiTheme="minorEastAsia"/>
                <w:b/>
                <w:bCs/>
                <w:sz w:val="18"/>
                <w:szCs w:val="18"/>
              </w:rPr>
            </w:pPr>
            <w:r>
              <w:rPr>
                <w:rFonts w:asciiTheme="minorEastAsia" w:hAnsiTheme="minorEastAsia" w:cs="Times New Roman" w:hint="eastAsia"/>
                <w:b/>
                <w:bCs/>
                <w:kern w:val="0"/>
                <w:sz w:val="18"/>
                <w:szCs w:val="18"/>
              </w:rPr>
              <w:t>认购确认日</w:t>
            </w:r>
          </w:p>
        </w:tc>
      </w:tr>
      <w:tr w:rsidR="00E039EF">
        <w:trPr>
          <w:jc w:val="center"/>
        </w:trPr>
        <w:tc>
          <w:tcPr>
            <w:tcW w:w="1984" w:type="dxa"/>
            <w:vAlign w:val="center"/>
          </w:tcPr>
          <w:p w:rsidR="00E039EF" w:rsidRDefault="003F2D22">
            <w:pPr>
              <w:spacing w:line="360" w:lineRule="auto"/>
              <w:jc w:val="left"/>
              <w:rPr>
                <w:rFonts w:asciiTheme="minorEastAsia" w:eastAsiaTheme="minorEastAsia" w:hAnsiTheme="minorEastAsia"/>
                <w:bCs/>
                <w:kern w:val="0"/>
                <w:sz w:val="18"/>
                <w:szCs w:val="18"/>
              </w:rPr>
            </w:pPr>
            <w:r>
              <w:rPr>
                <w:rFonts w:asciiTheme="minorEastAsia" w:eastAsiaTheme="minorEastAsia" w:hAnsiTheme="minorEastAsia" w:cs="Times New Roman" w:hint="eastAsia"/>
                <w:bCs/>
                <w:kern w:val="0"/>
                <w:sz w:val="18"/>
                <w:szCs w:val="18"/>
              </w:rPr>
              <w:t>募集期开始日</w:t>
            </w:r>
            <w:r>
              <w:rPr>
                <w:rFonts w:asciiTheme="minorEastAsia" w:eastAsiaTheme="minorEastAsia" w:hAnsiTheme="minorEastAsia" w:cs="Times New Roman"/>
                <w:bCs/>
                <w:kern w:val="0"/>
                <w:sz w:val="18"/>
                <w:szCs w:val="18"/>
              </w:rPr>
              <w:t>至募集期终止日</w:t>
            </w:r>
          </w:p>
        </w:tc>
        <w:tc>
          <w:tcPr>
            <w:tcW w:w="4267" w:type="dxa"/>
            <w:vAlign w:val="center"/>
          </w:tcPr>
          <w:p w:rsidR="00E039EF" w:rsidRDefault="003F2D22">
            <w:pPr>
              <w:spacing w:line="360" w:lineRule="auto"/>
              <w:rPr>
                <w:rFonts w:asciiTheme="minorEastAsia" w:eastAsiaTheme="minorEastAsia" w:hAnsiTheme="minorEastAsia"/>
                <w:bCs/>
                <w:sz w:val="18"/>
                <w:szCs w:val="18"/>
              </w:rPr>
            </w:pPr>
            <w:r>
              <w:rPr>
                <w:rFonts w:asciiTheme="minorEastAsia" w:hAnsiTheme="minorEastAsia" w:cs="Times New Roman" w:hint="eastAsia"/>
                <w:bCs/>
                <w:kern w:val="0"/>
                <w:sz w:val="18"/>
                <w:szCs w:val="18"/>
              </w:rPr>
              <w:t>产品管理人在产品成立日对投资者的认购申请的有效性进行确认，并登记理财份额。</w:t>
            </w:r>
          </w:p>
        </w:tc>
        <w:tc>
          <w:tcPr>
            <w:tcW w:w="1610" w:type="dxa"/>
            <w:vAlign w:val="center"/>
          </w:tcPr>
          <w:p w:rsidR="00E039EF" w:rsidRDefault="003F2D22">
            <w:pPr>
              <w:spacing w:line="360" w:lineRule="auto"/>
              <w:rPr>
                <w:rFonts w:asciiTheme="minorEastAsia" w:eastAsiaTheme="minorEastAsia" w:hAnsiTheme="minorEastAsia"/>
                <w:bCs/>
                <w:sz w:val="18"/>
                <w:szCs w:val="18"/>
              </w:rPr>
            </w:pPr>
            <w:r>
              <w:rPr>
                <w:rFonts w:asciiTheme="minorEastAsia" w:hAnsiTheme="minorEastAsia" w:cs="Times New Roman" w:hint="eastAsia"/>
                <w:bCs/>
                <w:kern w:val="0"/>
                <w:sz w:val="18"/>
                <w:szCs w:val="18"/>
              </w:rPr>
              <w:t>产品成立日</w:t>
            </w:r>
          </w:p>
        </w:tc>
      </w:tr>
    </w:tbl>
    <w:p w:rsidR="00E039EF" w:rsidRDefault="003F2D22">
      <w:pPr>
        <w:pStyle w:val="Default"/>
        <w:spacing w:line="360" w:lineRule="auto"/>
        <w:ind w:firstLineChars="200" w:firstLine="360"/>
        <w:rPr>
          <w:rFonts w:asciiTheme="minorEastAsia" w:hAnsiTheme="minorEastAsia"/>
          <w:bCs/>
          <w:color w:val="auto"/>
          <w:sz w:val="18"/>
          <w:szCs w:val="18"/>
        </w:rPr>
      </w:pPr>
      <w:r>
        <w:rPr>
          <w:rFonts w:asciiTheme="minorEastAsia" w:hAnsiTheme="minorEastAsia" w:hint="eastAsia"/>
          <w:bCs/>
          <w:color w:val="auto"/>
          <w:sz w:val="18"/>
          <w:szCs w:val="18"/>
        </w:rPr>
        <w:t>认购期/募集期内投资者可提交认购申请。</w:t>
      </w:r>
      <w:r>
        <w:rPr>
          <w:rFonts w:asciiTheme="majorEastAsia" w:eastAsiaTheme="majorEastAsia" w:hAnsiTheme="majorEastAsia" w:hint="eastAsia"/>
          <w:sz w:val="18"/>
          <w:szCs w:val="18"/>
        </w:rPr>
        <w:t>提交</w:t>
      </w:r>
      <w:r>
        <w:rPr>
          <w:rFonts w:asciiTheme="majorEastAsia" w:eastAsiaTheme="majorEastAsia" w:hAnsiTheme="majorEastAsia"/>
          <w:sz w:val="18"/>
          <w:szCs w:val="18"/>
        </w:rPr>
        <w:t>认购</w:t>
      </w:r>
      <w:r>
        <w:rPr>
          <w:rFonts w:asciiTheme="majorEastAsia" w:eastAsiaTheme="majorEastAsia" w:hAnsiTheme="majorEastAsia" w:hint="eastAsia"/>
          <w:sz w:val="18"/>
          <w:szCs w:val="18"/>
        </w:rPr>
        <w:t>申请并不代表认购成功，产品管理人将在认购确认日确认投资者是否认购成功。</w:t>
      </w:r>
      <w:r>
        <w:rPr>
          <w:rFonts w:asciiTheme="minorEastAsia" w:eastAsiaTheme="minorEastAsia" w:hAnsiTheme="minorEastAsia" w:hint="eastAsia"/>
          <w:sz w:val="18"/>
          <w:szCs w:val="18"/>
        </w:rPr>
        <w:t>认购</w:t>
      </w:r>
      <w:r>
        <w:rPr>
          <w:rFonts w:asciiTheme="majorEastAsia" w:eastAsiaTheme="majorEastAsia" w:hAnsiTheme="majorEastAsia" w:hint="eastAsia"/>
          <w:sz w:val="18"/>
          <w:szCs w:val="18"/>
        </w:rPr>
        <w:t>是否成功以管理人的确认结果为准</w:t>
      </w:r>
      <w:r>
        <w:rPr>
          <w:rFonts w:asciiTheme="minorEastAsia" w:eastAsiaTheme="minorEastAsia" w:hAnsiTheme="minorEastAsia" w:hint="eastAsia"/>
          <w:sz w:val="18"/>
          <w:szCs w:val="18"/>
        </w:rPr>
        <w:t>。</w:t>
      </w:r>
      <w:r>
        <w:rPr>
          <w:rFonts w:asciiTheme="minorEastAsia" w:eastAsiaTheme="minorEastAsia" w:hAnsiTheme="minorEastAsia" w:hint="eastAsia"/>
          <w:bCs/>
          <w:sz w:val="18"/>
          <w:szCs w:val="18"/>
        </w:rPr>
        <w:t>投资者可以在认购确认日系统完成处理后，查询产品份额。</w:t>
      </w:r>
    </w:p>
    <w:p w:rsidR="00E039EF" w:rsidRDefault="003F2D22">
      <w:pPr>
        <w:spacing w:line="360" w:lineRule="auto"/>
        <w:ind w:firstLineChars="200" w:firstLine="361"/>
        <w:rPr>
          <w:rFonts w:asciiTheme="minorEastAsia" w:hAnsiTheme="minorEastAsia"/>
          <w:b/>
          <w:bCs/>
          <w:sz w:val="18"/>
          <w:szCs w:val="18"/>
        </w:rPr>
      </w:pPr>
      <w:r>
        <w:rPr>
          <w:rFonts w:asciiTheme="minorEastAsia" w:hAnsiTheme="minorEastAsia"/>
          <w:b/>
          <w:bCs/>
          <w:sz w:val="18"/>
          <w:szCs w:val="18"/>
        </w:rPr>
        <w:t>4</w:t>
      </w:r>
      <w:r>
        <w:rPr>
          <w:rFonts w:asciiTheme="minorEastAsia" w:hAnsiTheme="minorEastAsia" w:hint="eastAsia"/>
          <w:b/>
          <w:bCs/>
          <w:sz w:val="18"/>
          <w:szCs w:val="18"/>
        </w:rPr>
        <w:t>.</w:t>
      </w:r>
      <w:r>
        <w:rPr>
          <w:rFonts w:asciiTheme="minorEastAsia" w:hAnsiTheme="minorEastAsia"/>
          <w:b/>
          <w:bCs/>
          <w:sz w:val="18"/>
          <w:szCs w:val="18"/>
        </w:rPr>
        <w:t>认购的价格</w:t>
      </w:r>
    </w:p>
    <w:p w:rsidR="00E039EF" w:rsidRDefault="003F2D22">
      <w:pPr>
        <w:pStyle w:val="Default"/>
        <w:spacing w:line="360" w:lineRule="auto"/>
        <w:ind w:firstLineChars="200" w:firstLine="360"/>
        <w:rPr>
          <w:rFonts w:asciiTheme="minorEastAsia" w:hAnsiTheme="minorEastAsia"/>
          <w:color w:val="auto"/>
          <w:sz w:val="18"/>
          <w:szCs w:val="18"/>
        </w:rPr>
      </w:pPr>
      <w:r>
        <w:rPr>
          <w:rFonts w:asciiTheme="minorEastAsia" w:eastAsiaTheme="minorEastAsia" w:hAnsiTheme="minorEastAsia" w:hint="eastAsia"/>
          <w:color w:val="auto"/>
          <w:sz w:val="18"/>
          <w:szCs w:val="18"/>
        </w:rPr>
        <w:t>本产品的认购价格为每份理财份额人民币</w:t>
      </w:r>
      <w:r>
        <w:rPr>
          <w:rFonts w:asciiTheme="minorEastAsia" w:eastAsiaTheme="minorEastAsia" w:hAnsiTheme="minorEastAsia"/>
          <w:color w:val="auto"/>
          <w:sz w:val="18"/>
          <w:szCs w:val="18"/>
        </w:rPr>
        <w:t>1.00</w:t>
      </w:r>
      <w:r>
        <w:rPr>
          <w:rFonts w:asciiTheme="minorEastAsia" w:eastAsiaTheme="minorEastAsia" w:hAnsiTheme="minorEastAsia" w:hint="eastAsia"/>
          <w:color w:val="auto"/>
          <w:sz w:val="18"/>
          <w:szCs w:val="18"/>
        </w:rPr>
        <w:t>元。</w:t>
      </w:r>
    </w:p>
    <w:p w:rsidR="00E039EF" w:rsidRDefault="003F2D22">
      <w:pPr>
        <w:pStyle w:val="Default"/>
        <w:spacing w:line="360" w:lineRule="auto"/>
        <w:ind w:firstLineChars="200" w:firstLine="361"/>
        <w:rPr>
          <w:rFonts w:asciiTheme="minorEastAsia" w:eastAsiaTheme="minorEastAsia" w:hAnsiTheme="minorEastAsia"/>
          <w:b/>
          <w:color w:val="auto"/>
          <w:sz w:val="18"/>
          <w:szCs w:val="18"/>
        </w:rPr>
      </w:pPr>
      <w:r>
        <w:rPr>
          <w:rFonts w:asciiTheme="minorEastAsia" w:eastAsiaTheme="minorEastAsia" w:hAnsiTheme="minorEastAsia"/>
          <w:b/>
          <w:color w:val="auto"/>
          <w:sz w:val="18"/>
          <w:szCs w:val="18"/>
        </w:rPr>
        <w:t>5</w:t>
      </w:r>
      <w:r>
        <w:rPr>
          <w:rFonts w:asciiTheme="minorEastAsia" w:eastAsiaTheme="minorEastAsia" w:hAnsiTheme="minorEastAsia" w:hint="eastAsia"/>
          <w:b/>
          <w:color w:val="auto"/>
          <w:sz w:val="18"/>
          <w:szCs w:val="18"/>
        </w:rPr>
        <w:t>.认购的费用</w:t>
      </w:r>
    </w:p>
    <w:p w:rsidR="00E039EF" w:rsidRDefault="003F2D22">
      <w:pPr>
        <w:spacing w:line="360" w:lineRule="auto"/>
        <w:ind w:firstLineChars="200" w:firstLine="360"/>
        <w:rPr>
          <w:bCs/>
          <w:sz w:val="18"/>
          <w:szCs w:val="18"/>
        </w:rPr>
      </w:pPr>
      <w:r>
        <w:rPr>
          <w:rFonts w:asciiTheme="minorEastAsia" w:hAnsiTheme="minorEastAsia" w:hint="eastAsia"/>
          <w:sz w:val="18"/>
          <w:szCs w:val="18"/>
        </w:rPr>
        <w:t>详见</w:t>
      </w:r>
      <w:r>
        <w:rPr>
          <w:rFonts w:asciiTheme="minorEastAsia" w:eastAsiaTheme="minorEastAsia" w:hAnsiTheme="minorEastAsia" w:hint="eastAsia"/>
          <w:sz w:val="18"/>
          <w:szCs w:val="18"/>
        </w:rPr>
        <w:t>《产品说明书》“第二条 理财产品基本情况”</w:t>
      </w:r>
      <w:r>
        <w:rPr>
          <w:rFonts w:hint="eastAsia"/>
          <w:bCs/>
          <w:sz w:val="18"/>
          <w:szCs w:val="18"/>
        </w:rPr>
        <w:t>。</w:t>
      </w:r>
    </w:p>
    <w:p w:rsidR="00E039EF" w:rsidRDefault="003F2D22">
      <w:pPr>
        <w:spacing w:line="360" w:lineRule="auto"/>
        <w:ind w:firstLineChars="200" w:firstLine="361"/>
        <w:rPr>
          <w:rFonts w:asciiTheme="minorEastAsia" w:hAnsiTheme="minorEastAsia"/>
          <w:b/>
          <w:bCs/>
          <w:sz w:val="18"/>
          <w:szCs w:val="18"/>
        </w:rPr>
      </w:pPr>
      <w:r>
        <w:rPr>
          <w:rFonts w:asciiTheme="minorEastAsia" w:hAnsiTheme="minorEastAsia"/>
          <w:b/>
          <w:bCs/>
          <w:sz w:val="18"/>
          <w:szCs w:val="18"/>
        </w:rPr>
        <w:t>6.认购份额的计算</w:t>
      </w:r>
      <w:r>
        <w:rPr>
          <w:rFonts w:asciiTheme="minorEastAsia" w:hAnsiTheme="minorEastAsia" w:hint="eastAsia"/>
          <w:b/>
          <w:bCs/>
          <w:sz w:val="18"/>
          <w:szCs w:val="18"/>
        </w:rPr>
        <w:t xml:space="preserve"> </w:t>
      </w:r>
    </w:p>
    <w:p w:rsidR="00E039EF" w:rsidRDefault="003F2D22">
      <w:pPr>
        <w:pStyle w:val="Default"/>
        <w:spacing w:line="360" w:lineRule="auto"/>
        <w:ind w:firstLineChars="200" w:firstLine="360"/>
        <w:rPr>
          <w:rFonts w:asciiTheme="minorEastAsia" w:hAnsiTheme="minorEastAsia"/>
          <w:color w:val="auto"/>
          <w:sz w:val="18"/>
          <w:szCs w:val="18"/>
        </w:rPr>
      </w:pPr>
      <w:r>
        <w:rPr>
          <w:rFonts w:asciiTheme="minorEastAsia" w:hAnsiTheme="minorEastAsia" w:hint="eastAsia"/>
          <w:color w:val="auto"/>
          <w:sz w:val="18"/>
          <w:szCs w:val="18"/>
        </w:rPr>
        <w:t>本产品的认购金额包括认购费用和净认购金额。认购份额的计算公式为：</w:t>
      </w:r>
    </w:p>
    <w:p w:rsidR="00E039EF" w:rsidRDefault="003F2D22">
      <w:pPr>
        <w:pStyle w:val="Default"/>
        <w:spacing w:line="360" w:lineRule="auto"/>
        <w:ind w:firstLineChars="200" w:firstLine="360"/>
        <w:rPr>
          <w:rFonts w:asciiTheme="minorEastAsia" w:hAnsiTheme="minorEastAsia"/>
          <w:color w:val="auto"/>
          <w:sz w:val="18"/>
          <w:szCs w:val="18"/>
        </w:rPr>
      </w:pPr>
      <w:r>
        <w:rPr>
          <w:rFonts w:asciiTheme="minorEastAsia" w:hAnsiTheme="minorEastAsia" w:hint="eastAsia"/>
          <w:color w:val="auto"/>
          <w:sz w:val="18"/>
          <w:szCs w:val="18"/>
        </w:rPr>
        <w:t>净认购金额</w:t>
      </w:r>
      <w:r>
        <w:rPr>
          <w:rFonts w:asciiTheme="minorEastAsia" w:hAnsiTheme="minorEastAsia"/>
          <w:color w:val="auto"/>
          <w:sz w:val="18"/>
          <w:szCs w:val="18"/>
        </w:rPr>
        <w:t>=认购金额/（1+认购费率）</w:t>
      </w:r>
    </w:p>
    <w:p w:rsidR="00E039EF" w:rsidRDefault="003F2D22">
      <w:pPr>
        <w:pStyle w:val="Default"/>
        <w:spacing w:line="360" w:lineRule="auto"/>
        <w:ind w:firstLineChars="200" w:firstLine="360"/>
        <w:rPr>
          <w:rFonts w:asciiTheme="minorEastAsia" w:hAnsiTheme="minorEastAsia"/>
          <w:color w:val="auto"/>
          <w:sz w:val="18"/>
          <w:szCs w:val="18"/>
        </w:rPr>
      </w:pPr>
      <w:r>
        <w:rPr>
          <w:rFonts w:asciiTheme="minorEastAsia" w:hAnsiTheme="minorEastAsia" w:hint="eastAsia"/>
          <w:color w:val="auto"/>
          <w:sz w:val="18"/>
          <w:szCs w:val="18"/>
        </w:rPr>
        <w:t>认购费用</w:t>
      </w:r>
      <w:r>
        <w:rPr>
          <w:rFonts w:asciiTheme="minorEastAsia" w:hAnsiTheme="minorEastAsia"/>
          <w:color w:val="auto"/>
          <w:sz w:val="18"/>
          <w:szCs w:val="18"/>
        </w:rPr>
        <w:t>=认购金额－净认购金额</w:t>
      </w:r>
    </w:p>
    <w:p w:rsidR="00E039EF" w:rsidRDefault="003F2D22">
      <w:pPr>
        <w:pStyle w:val="Default"/>
        <w:spacing w:line="360" w:lineRule="auto"/>
        <w:ind w:firstLineChars="200" w:firstLine="360"/>
        <w:rPr>
          <w:rFonts w:asciiTheme="minorEastAsia" w:hAnsiTheme="minorEastAsia"/>
          <w:color w:val="auto"/>
          <w:sz w:val="18"/>
          <w:szCs w:val="18"/>
        </w:rPr>
      </w:pPr>
      <w:r>
        <w:rPr>
          <w:rFonts w:asciiTheme="minorEastAsia" w:hAnsiTheme="minorEastAsia" w:hint="eastAsia"/>
          <w:color w:val="auto"/>
          <w:sz w:val="18"/>
          <w:szCs w:val="18"/>
        </w:rPr>
        <w:t>认购份额</w:t>
      </w:r>
      <w:r>
        <w:rPr>
          <w:rFonts w:asciiTheme="minorEastAsia" w:hAnsiTheme="minorEastAsia"/>
          <w:color w:val="auto"/>
          <w:sz w:val="18"/>
          <w:szCs w:val="18"/>
        </w:rPr>
        <w:t>=净认购金额/产品份额面值</w:t>
      </w:r>
    </w:p>
    <w:p w:rsidR="00E039EF" w:rsidRDefault="003F2D22">
      <w:pPr>
        <w:pStyle w:val="Default"/>
        <w:spacing w:line="360" w:lineRule="auto"/>
        <w:ind w:firstLineChars="200" w:firstLine="360"/>
        <w:rPr>
          <w:rFonts w:asciiTheme="minorEastAsia" w:hAnsiTheme="minorEastAsia"/>
          <w:bCs/>
          <w:color w:val="auto"/>
          <w:sz w:val="18"/>
          <w:szCs w:val="18"/>
        </w:rPr>
      </w:pPr>
      <w:r>
        <w:rPr>
          <w:rFonts w:asciiTheme="minorEastAsia" w:hAnsiTheme="minorEastAsia" w:hint="eastAsia"/>
          <w:bCs/>
          <w:color w:val="auto"/>
          <w:sz w:val="18"/>
          <w:szCs w:val="18"/>
        </w:rPr>
        <w:t>上述计算结果均按四舍五入方法，保留到小数点后</w:t>
      </w:r>
      <w:r>
        <w:rPr>
          <w:rFonts w:asciiTheme="minorEastAsia" w:hAnsiTheme="minorEastAsia"/>
          <w:bCs/>
          <w:color w:val="auto"/>
          <w:sz w:val="18"/>
          <w:szCs w:val="18"/>
        </w:rPr>
        <w:t>2</w:t>
      </w:r>
      <w:r>
        <w:rPr>
          <w:rFonts w:asciiTheme="minorEastAsia" w:hAnsiTheme="minorEastAsia" w:hint="eastAsia"/>
          <w:bCs/>
          <w:color w:val="auto"/>
          <w:sz w:val="18"/>
          <w:szCs w:val="18"/>
        </w:rPr>
        <w:t>位，由此产生的收益或损失由理财产品承担。</w:t>
      </w:r>
    </w:p>
    <w:p w:rsidR="00E039EF" w:rsidRDefault="003F2D22">
      <w:pPr>
        <w:pStyle w:val="Default"/>
        <w:spacing w:line="360" w:lineRule="auto"/>
        <w:ind w:firstLineChars="200" w:firstLine="361"/>
        <w:rPr>
          <w:rFonts w:asciiTheme="majorEastAsia" w:eastAsiaTheme="majorEastAsia" w:hAnsiTheme="majorEastAsia"/>
          <w:b/>
          <w:color w:val="auto"/>
          <w:sz w:val="18"/>
          <w:szCs w:val="18"/>
        </w:rPr>
      </w:pPr>
      <w:r>
        <w:rPr>
          <w:rFonts w:asciiTheme="majorEastAsia" w:eastAsiaTheme="majorEastAsia" w:hAnsiTheme="majorEastAsia"/>
          <w:b/>
          <w:color w:val="auto"/>
          <w:sz w:val="18"/>
          <w:szCs w:val="18"/>
        </w:rPr>
        <w:t>7</w:t>
      </w:r>
      <w:r>
        <w:rPr>
          <w:rFonts w:asciiTheme="majorEastAsia" w:eastAsiaTheme="majorEastAsia" w:hAnsiTheme="majorEastAsia" w:hint="eastAsia"/>
          <w:b/>
          <w:color w:val="auto"/>
          <w:sz w:val="18"/>
          <w:szCs w:val="18"/>
        </w:rPr>
        <w:t>.认购的起点和递增金额</w:t>
      </w:r>
    </w:p>
    <w:p w:rsidR="00E039EF" w:rsidRDefault="003F2D22">
      <w:pPr>
        <w:pStyle w:val="Default"/>
        <w:spacing w:line="360" w:lineRule="auto"/>
        <w:ind w:firstLineChars="200" w:firstLine="360"/>
        <w:rPr>
          <w:rFonts w:asciiTheme="minorEastAsia" w:eastAsiaTheme="minorEastAsia" w:hAnsiTheme="minorEastAsia"/>
          <w:color w:val="auto"/>
          <w:sz w:val="18"/>
          <w:szCs w:val="18"/>
        </w:rPr>
      </w:pPr>
      <w:r>
        <w:rPr>
          <w:rFonts w:asciiTheme="minorEastAsia" w:eastAsiaTheme="minorEastAsia" w:hAnsiTheme="minorEastAsia" w:hint="eastAsia"/>
          <w:color w:val="auto"/>
          <w:sz w:val="18"/>
          <w:szCs w:val="18"/>
        </w:rPr>
        <w:t>详见《产品说明书》“第二条 理财产品基本情况”。</w:t>
      </w:r>
    </w:p>
    <w:p w:rsidR="00E039EF" w:rsidRDefault="003F2D22">
      <w:pPr>
        <w:pStyle w:val="Default"/>
        <w:spacing w:line="360" w:lineRule="auto"/>
        <w:ind w:firstLineChars="200" w:firstLine="361"/>
        <w:rPr>
          <w:rFonts w:asciiTheme="minorEastAsia" w:eastAsiaTheme="minorEastAsia" w:hAnsiTheme="minorEastAsia"/>
          <w:b/>
          <w:color w:val="auto"/>
          <w:sz w:val="18"/>
          <w:szCs w:val="18"/>
        </w:rPr>
      </w:pPr>
      <w:r>
        <w:rPr>
          <w:rFonts w:asciiTheme="minorEastAsia" w:eastAsiaTheme="minorEastAsia" w:hAnsiTheme="minorEastAsia"/>
          <w:b/>
          <w:color w:val="auto"/>
          <w:sz w:val="18"/>
          <w:szCs w:val="18"/>
        </w:rPr>
        <w:t>8.认购的数量限制</w:t>
      </w:r>
    </w:p>
    <w:p w:rsidR="00E039EF" w:rsidRDefault="003F2D22">
      <w:pPr>
        <w:pStyle w:val="Default"/>
        <w:spacing w:line="360" w:lineRule="auto"/>
        <w:ind w:firstLineChars="200" w:firstLine="360"/>
        <w:rPr>
          <w:rFonts w:asciiTheme="minorEastAsia" w:eastAsiaTheme="minorEastAsia" w:hAnsiTheme="minorEastAsia"/>
          <w:color w:val="auto"/>
          <w:sz w:val="18"/>
          <w:szCs w:val="18"/>
        </w:rPr>
      </w:pPr>
      <w:r>
        <w:rPr>
          <w:rFonts w:asciiTheme="minorEastAsia" w:eastAsiaTheme="minorEastAsia" w:hAnsiTheme="minorEastAsia" w:hint="eastAsia"/>
          <w:color w:val="auto"/>
          <w:sz w:val="18"/>
          <w:szCs w:val="18"/>
        </w:rPr>
        <w:lastRenderedPageBreak/>
        <w:t>详见《产品说明书》“第二条 理财产品基本情况”。</w:t>
      </w:r>
    </w:p>
    <w:p w:rsidR="00E039EF" w:rsidRDefault="003F2D22">
      <w:pPr>
        <w:spacing w:line="360" w:lineRule="auto"/>
        <w:ind w:firstLineChars="200" w:firstLine="361"/>
        <w:rPr>
          <w:rFonts w:asciiTheme="minorEastAsia" w:hAnsiTheme="minorEastAsia"/>
          <w:b/>
          <w:bCs/>
          <w:sz w:val="18"/>
          <w:szCs w:val="18"/>
        </w:rPr>
      </w:pPr>
      <w:r>
        <w:rPr>
          <w:rFonts w:asciiTheme="minorEastAsia" w:hAnsiTheme="minorEastAsia"/>
          <w:b/>
          <w:bCs/>
          <w:sz w:val="18"/>
          <w:szCs w:val="18"/>
        </w:rPr>
        <w:t>9.募集期认购资金利息的处理</w:t>
      </w:r>
    </w:p>
    <w:p w:rsidR="00E039EF" w:rsidRDefault="003F2D22">
      <w:pPr>
        <w:pStyle w:val="Default"/>
        <w:spacing w:line="360" w:lineRule="auto"/>
        <w:ind w:firstLineChars="200" w:firstLine="360"/>
        <w:rPr>
          <w:rFonts w:asciiTheme="minorEastAsia" w:eastAsiaTheme="minorEastAsia" w:hAnsiTheme="minorEastAsia"/>
          <w:color w:val="auto"/>
          <w:sz w:val="18"/>
          <w:szCs w:val="18"/>
        </w:rPr>
      </w:pPr>
      <w:r>
        <w:rPr>
          <w:rFonts w:asciiTheme="minorEastAsia" w:eastAsiaTheme="minorEastAsia" w:hAnsiTheme="minorEastAsia" w:hint="eastAsia"/>
          <w:color w:val="auto"/>
          <w:sz w:val="18"/>
          <w:szCs w:val="18"/>
        </w:rPr>
        <w:t>投资者认购资金在产品认购期内产生的利息不作为理财资金进入运作，不计算理财利益。</w:t>
      </w:r>
    </w:p>
    <w:p w:rsidR="00E039EF" w:rsidRDefault="003F2D22">
      <w:pPr>
        <w:pStyle w:val="Default"/>
        <w:spacing w:line="360" w:lineRule="auto"/>
        <w:ind w:firstLineChars="200" w:firstLine="361"/>
        <w:rPr>
          <w:rFonts w:asciiTheme="majorEastAsia" w:eastAsiaTheme="majorEastAsia" w:hAnsiTheme="majorEastAsia"/>
          <w:b/>
          <w:color w:val="auto"/>
          <w:sz w:val="18"/>
          <w:szCs w:val="18"/>
        </w:rPr>
      </w:pPr>
      <w:r>
        <w:rPr>
          <w:rFonts w:asciiTheme="minorEastAsia" w:eastAsiaTheme="minorEastAsia" w:hAnsiTheme="minorEastAsia" w:hint="eastAsia"/>
          <w:b/>
          <w:color w:val="auto"/>
          <w:sz w:val="18"/>
          <w:szCs w:val="18"/>
        </w:rPr>
        <w:t>（二）认购</w:t>
      </w:r>
      <w:r>
        <w:rPr>
          <w:rFonts w:asciiTheme="majorEastAsia" w:eastAsiaTheme="majorEastAsia" w:hAnsiTheme="majorEastAsia" w:hint="eastAsia"/>
          <w:b/>
          <w:color w:val="auto"/>
          <w:sz w:val="18"/>
          <w:szCs w:val="18"/>
        </w:rPr>
        <w:t>的原则</w:t>
      </w:r>
    </w:p>
    <w:p w:rsidR="00E039EF" w:rsidRDefault="003F2D22">
      <w:pPr>
        <w:pStyle w:val="Default"/>
        <w:spacing w:line="360" w:lineRule="auto"/>
        <w:ind w:firstLineChars="200" w:firstLine="360"/>
        <w:rPr>
          <w:rFonts w:asciiTheme="majorEastAsia" w:eastAsiaTheme="majorEastAsia" w:hAnsiTheme="majorEastAsia"/>
          <w:color w:val="auto"/>
          <w:sz w:val="18"/>
          <w:szCs w:val="18"/>
        </w:rPr>
      </w:pPr>
      <w:r>
        <w:rPr>
          <w:rFonts w:asciiTheme="majorEastAsia" w:eastAsiaTheme="majorEastAsia" w:hAnsiTheme="majorEastAsia" w:hint="eastAsia"/>
          <w:color w:val="auto"/>
          <w:sz w:val="18"/>
          <w:szCs w:val="18"/>
        </w:rPr>
        <w:t>1.</w:t>
      </w:r>
      <w:r>
        <w:rPr>
          <w:rFonts w:asciiTheme="majorEastAsia" w:eastAsiaTheme="majorEastAsia" w:hAnsiTheme="majorEastAsia"/>
          <w:color w:val="auto"/>
          <w:sz w:val="18"/>
          <w:szCs w:val="18"/>
        </w:rPr>
        <w:t>“</w:t>
      </w:r>
      <w:r>
        <w:rPr>
          <w:rFonts w:asciiTheme="majorEastAsia" w:eastAsiaTheme="majorEastAsia" w:hAnsiTheme="majorEastAsia" w:hint="eastAsia"/>
          <w:color w:val="auto"/>
          <w:sz w:val="18"/>
          <w:szCs w:val="18"/>
        </w:rPr>
        <w:t>金额认购</w:t>
      </w:r>
      <w:r>
        <w:rPr>
          <w:rFonts w:asciiTheme="majorEastAsia" w:eastAsiaTheme="majorEastAsia" w:hAnsiTheme="majorEastAsia"/>
          <w:color w:val="auto"/>
          <w:sz w:val="18"/>
          <w:szCs w:val="18"/>
        </w:rPr>
        <w:t>”</w:t>
      </w:r>
      <w:r>
        <w:rPr>
          <w:rFonts w:asciiTheme="majorEastAsia" w:eastAsiaTheme="majorEastAsia" w:hAnsiTheme="majorEastAsia" w:hint="eastAsia"/>
          <w:color w:val="auto"/>
          <w:sz w:val="18"/>
          <w:szCs w:val="18"/>
        </w:rPr>
        <w:t>原则，即认购以金额申请。</w:t>
      </w:r>
    </w:p>
    <w:p w:rsidR="00E039EF" w:rsidRDefault="003F2D22">
      <w:pPr>
        <w:pStyle w:val="Default"/>
        <w:spacing w:line="360" w:lineRule="auto"/>
        <w:ind w:firstLineChars="200" w:firstLine="360"/>
        <w:rPr>
          <w:rFonts w:asciiTheme="majorEastAsia" w:eastAsiaTheme="majorEastAsia" w:hAnsiTheme="majorEastAsia"/>
          <w:color w:val="auto"/>
          <w:sz w:val="18"/>
          <w:szCs w:val="18"/>
        </w:rPr>
      </w:pPr>
      <w:r>
        <w:rPr>
          <w:rFonts w:asciiTheme="majorEastAsia" w:eastAsiaTheme="majorEastAsia" w:hAnsiTheme="majorEastAsia"/>
          <w:color w:val="auto"/>
          <w:sz w:val="18"/>
          <w:szCs w:val="18"/>
        </w:rPr>
        <w:t>2</w:t>
      </w:r>
      <w:r>
        <w:rPr>
          <w:rFonts w:asciiTheme="majorEastAsia" w:eastAsiaTheme="majorEastAsia" w:hAnsiTheme="majorEastAsia" w:hint="eastAsia"/>
          <w:color w:val="auto"/>
          <w:sz w:val="18"/>
          <w:szCs w:val="18"/>
        </w:rPr>
        <w:t>.认购</w:t>
      </w:r>
      <w:r>
        <w:rPr>
          <w:rFonts w:asciiTheme="majorEastAsia" w:eastAsiaTheme="majorEastAsia" w:hAnsiTheme="majorEastAsia"/>
          <w:color w:val="auto"/>
          <w:sz w:val="18"/>
          <w:szCs w:val="18"/>
        </w:rPr>
        <w:t>申请可以在对应认购期截止前撤销，最终申</w:t>
      </w:r>
      <w:r>
        <w:rPr>
          <w:rFonts w:asciiTheme="majorEastAsia" w:eastAsiaTheme="majorEastAsia" w:hAnsiTheme="majorEastAsia" w:hint="eastAsia"/>
          <w:color w:val="auto"/>
          <w:sz w:val="18"/>
          <w:szCs w:val="18"/>
        </w:rPr>
        <w:t>请</w:t>
      </w:r>
      <w:r>
        <w:rPr>
          <w:rFonts w:asciiTheme="majorEastAsia" w:eastAsiaTheme="majorEastAsia" w:hAnsiTheme="majorEastAsia"/>
          <w:color w:val="auto"/>
          <w:sz w:val="18"/>
          <w:szCs w:val="18"/>
        </w:rPr>
        <w:t>确认情况以投资者在</w:t>
      </w:r>
      <w:r>
        <w:rPr>
          <w:rFonts w:asciiTheme="majorEastAsia" w:eastAsiaTheme="majorEastAsia" w:hAnsiTheme="majorEastAsia" w:hint="eastAsia"/>
          <w:color w:val="auto"/>
          <w:sz w:val="18"/>
          <w:szCs w:val="18"/>
        </w:rPr>
        <w:t>销售机构线下渠道</w:t>
      </w:r>
      <w:r>
        <w:rPr>
          <w:rFonts w:asciiTheme="majorEastAsia" w:eastAsiaTheme="majorEastAsia" w:hAnsiTheme="majorEastAsia"/>
          <w:color w:val="auto"/>
          <w:sz w:val="18"/>
          <w:szCs w:val="18"/>
        </w:rPr>
        <w:t>或线上渠道确认的结果为准。</w:t>
      </w:r>
    </w:p>
    <w:p w:rsidR="00E039EF" w:rsidRDefault="003F2D22">
      <w:pPr>
        <w:spacing w:line="360" w:lineRule="auto"/>
        <w:ind w:firstLineChars="150" w:firstLine="271"/>
        <w:rPr>
          <w:rFonts w:asciiTheme="minorEastAsia" w:eastAsiaTheme="minorEastAsia" w:hAnsiTheme="minorEastAsia"/>
          <w:b/>
          <w:sz w:val="18"/>
          <w:szCs w:val="18"/>
        </w:rPr>
      </w:pPr>
      <w:r>
        <w:rPr>
          <w:rFonts w:asciiTheme="minorEastAsia" w:eastAsiaTheme="minorEastAsia" w:hAnsiTheme="minorEastAsia" w:hint="eastAsia"/>
          <w:b/>
          <w:sz w:val="18"/>
          <w:szCs w:val="18"/>
        </w:rPr>
        <w:t>（三）拒绝或暂停认购的情形</w:t>
      </w:r>
    </w:p>
    <w:p w:rsidR="00E039EF" w:rsidRDefault="003F2D22">
      <w:pPr>
        <w:pStyle w:val="Default"/>
        <w:spacing w:line="360" w:lineRule="auto"/>
        <w:ind w:firstLineChars="200" w:firstLine="360"/>
        <w:rPr>
          <w:rFonts w:asciiTheme="majorEastAsia" w:eastAsiaTheme="majorEastAsia" w:hAnsiTheme="majorEastAsia"/>
          <w:color w:val="auto"/>
          <w:sz w:val="18"/>
          <w:szCs w:val="18"/>
        </w:rPr>
      </w:pPr>
      <w:r>
        <w:rPr>
          <w:rFonts w:asciiTheme="majorEastAsia" w:eastAsiaTheme="majorEastAsia" w:hAnsiTheme="majorEastAsia" w:hint="eastAsia"/>
          <w:color w:val="auto"/>
          <w:sz w:val="18"/>
          <w:szCs w:val="18"/>
        </w:rPr>
        <w:t>发生下列情况时，产品管理人可拒绝或暂停接受投资者的认购</w:t>
      </w:r>
      <w:r>
        <w:rPr>
          <w:rFonts w:asciiTheme="majorEastAsia" w:eastAsiaTheme="majorEastAsia" w:hAnsiTheme="majorEastAsia"/>
          <w:color w:val="auto"/>
          <w:sz w:val="18"/>
          <w:szCs w:val="18"/>
        </w:rPr>
        <w:t>申请：</w:t>
      </w:r>
    </w:p>
    <w:p w:rsidR="00E039EF" w:rsidRDefault="003F2D22">
      <w:pPr>
        <w:pStyle w:val="Default"/>
        <w:spacing w:line="360" w:lineRule="auto"/>
        <w:ind w:firstLineChars="200" w:firstLine="360"/>
        <w:rPr>
          <w:rFonts w:asciiTheme="majorEastAsia" w:eastAsiaTheme="majorEastAsia" w:hAnsiTheme="majorEastAsia"/>
          <w:color w:val="auto"/>
          <w:sz w:val="18"/>
          <w:szCs w:val="18"/>
        </w:rPr>
      </w:pPr>
      <w:r>
        <w:rPr>
          <w:rFonts w:asciiTheme="majorEastAsia" w:eastAsiaTheme="majorEastAsia" w:hAnsiTheme="majorEastAsia"/>
          <w:color w:val="auto"/>
          <w:sz w:val="18"/>
          <w:szCs w:val="18"/>
        </w:rPr>
        <w:t>1</w:t>
      </w:r>
      <w:r>
        <w:rPr>
          <w:rFonts w:asciiTheme="majorEastAsia" w:eastAsiaTheme="majorEastAsia" w:hAnsiTheme="majorEastAsia" w:hint="eastAsia"/>
          <w:color w:val="auto"/>
          <w:sz w:val="18"/>
          <w:szCs w:val="18"/>
        </w:rPr>
        <w:t>.因不可抗力导致理财产品无法正常运作。</w:t>
      </w:r>
    </w:p>
    <w:p w:rsidR="00E039EF" w:rsidRDefault="003F2D22">
      <w:pPr>
        <w:pStyle w:val="Default"/>
        <w:spacing w:line="360" w:lineRule="auto"/>
        <w:ind w:firstLineChars="200" w:firstLine="360"/>
        <w:rPr>
          <w:rFonts w:asciiTheme="majorEastAsia" w:eastAsiaTheme="majorEastAsia" w:hAnsiTheme="majorEastAsia"/>
          <w:color w:val="auto"/>
          <w:sz w:val="18"/>
          <w:szCs w:val="18"/>
        </w:rPr>
      </w:pPr>
      <w:r>
        <w:rPr>
          <w:rFonts w:asciiTheme="majorEastAsia" w:eastAsiaTheme="majorEastAsia" w:hAnsiTheme="majorEastAsia"/>
          <w:color w:val="auto"/>
          <w:sz w:val="18"/>
          <w:szCs w:val="18"/>
        </w:rPr>
        <w:t>2</w:t>
      </w:r>
      <w:r>
        <w:rPr>
          <w:rFonts w:asciiTheme="majorEastAsia" w:eastAsiaTheme="majorEastAsia" w:hAnsiTheme="majorEastAsia" w:hint="eastAsia"/>
          <w:color w:val="auto"/>
          <w:sz w:val="18"/>
          <w:szCs w:val="18"/>
        </w:rPr>
        <w:t>.产品管理人和产品托管人的技术保障等异常情况导致理财销售系统或会计系统无法正常运行。</w:t>
      </w:r>
    </w:p>
    <w:p w:rsidR="00E039EF" w:rsidRDefault="003F2D22">
      <w:pPr>
        <w:pStyle w:val="Default"/>
        <w:spacing w:line="360" w:lineRule="auto"/>
        <w:ind w:firstLineChars="200" w:firstLine="360"/>
        <w:rPr>
          <w:rFonts w:asciiTheme="majorEastAsia" w:eastAsiaTheme="majorEastAsia" w:hAnsiTheme="majorEastAsia"/>
          <w:color w:val="auto"/>
          <w:sz w:val="18"/>
          <w:szCs w:val="18"/>
        </w:rPr>
      </w:pPr>
      <w:r>
        <w:rPr>
          <w:rFonts w:asciiTheme="majorEastAsia" w:eastAsiaTheme="majorEastAsia" w:hAnsiTheme="majorEastAsia"/>
          <w:color w:val="auto"/>
          <w:sz w:val="18"/>
          <w:szCs w:val="18"/>
        </w:rPr>
        <w:t>3</w:t>
      </w:r>
      <w:r>
        <w:rPr>
          <w:rFonts w:asciiTheme="majorEastAsia" w:eastAsiaTheme="majorEastAsia" w:hAnsiTheme="majorEastAsia" w:hint="eastAsia"/>
          <w:color w:val="auto"/>
          <w:sz w:val="18"/>
          <w:szCs w:val="18"/>
        </w:rPr>
        <w:t>.法律法规规定或监管机构认定的其他情形。</w:t>
      </w:r>
    </w:p>
    <w:p w:rsidR="00E039EF" w:rsidRDefault="003F2D22">
      <w:pPr>
        <w:pStyle w:val="Default"/>
        <w:spacing w:line="360" w:lineRule="auto"/>
        <w:ind w:firstLineChars="200" w:firstLine="360"/>
        <w:rPr>
          <w:rFonts w:asciiTheme="majorEastAsia" w:eastAsiaTheme="majorEastAsia" w:hAnsiTheme="majorEastAsia"/>
          <w:color w:val="auto"/>
          <w:sz w:val="18"/>
          <w:szCs w:val="18"/>
        </w:rPr>
      </w:pPr>
      <w:r>
        <w:rPr>
          <w:rFonts w:asciiTheme="majorEastAsia" w:eastAsiaTheme="majorEastAsia" w:hAnsiTheme="majorEastAsia" w:hint="eastAsia"/>
          <w:color w:val="auto"/>
          <w:sz w:val="18"/>
          <w:szCs w:val="18"/>
        </w:rPr>
        <w:t>如果投资者的认购申请被拒绝，被拒绝的认购款项将退还给投资者。在暂停认购的情况消除时，产品管理人应及时恢复认购业务的办理。</w:t>
      </w:r>
    </w:p>
    <w:p w:rsidR="00E039EF" w:rsidRDefault="003F2D22">
      <w:pPr>
        <w:pStyle w:val="Default"/>
        <w:spacing w:line="360" w:lineRule="auto"/>
        <w:ind w:leftChars="100" w:left="210" w:firstLineChars="100" w:firstLine="181"/>
        <w:rPr>
          <w:rFonts w:asciiTheme="majorEastAsia" w:eastAsiaTheme="majorEastAsia" w:hAnsiTheme="majorEastAsia"/>
          <w:color w:val="auto"/>
          <w:sz w:val="18"/>
          <w:szCs w:val="18"/>
        </w:rPr>
      </w:pPr>
      <w:r>
        <w:rPr>
          <w:rFonts w:asciiTheme="majorEastAsia" w:eastAsiaTheme="majorEastAsia" w:hAnsiTheme="majorEastAsia" w:hint="eastAsia"/>
          <w:b/>
          <w:color w:val="auto"/>
          <w:sz w:val="18"/>
          <w:szCs w:val="18"/>
        </w:rPr>
        <w:t>（四）日期遇非工作日的调整</w:t>
      </w:r>
    </w:p>
    <w:p w:rsidR="00E039EF" w:rsidRDefault="003F2D22">
      <w:pPr>
        <w:pStyle w:val="Default"/>
        <w:spacing w:line="360" w:lineRule="auto"/>
        <w:ind w:firstLineChars="200" w:firstLine="360"/>
        <w:rPr>
          <w:rFonts w:asciiTheme="majorEastAsia" w:eastAsiaTheme="majorEastAsia" w:hAnsiTheme="majorEastAsia"/>
          <w:color w:val="auto"/>
          <w:sz w:val="18"/>
          <w:szCs w:val="18"/>
        </w:rPr>
      </w:pPr>
      <w:r>
        <w:rPr>
          <w:rFonts w:asciiTheme="majorEastAsia" w:eastAsiaTheme="majorEastAsia" w:hAnsiTheme="majorEastAsia" w:hint="eastAsia"/>
          <w:color w:val="auto"/>
          <w:sz w:val="18"/>
          <w:szCs w:val="18"/>
        </w:rPr>
        <w:t>前述日期（包括但不限于认购期及</w:t>
      </w:r>
      <w:r>
        <w:rPr>
          <w:rFonts w:asciiTheme="majorEastAsia" w:eastAsiaTheme="majorEastAsia" w:hAnsiTheme="majorEastAsia"/>
          <w:color w:val="auto"/>
          <w:sz w:val="18"/>
          <w:szCs w:val="18"/>
        </w:rPr>
        <w:t>认购确认日</w:t>
      </w:r>
      <w:r>
        <w:rPr>
          <w:rFonts w:asciiTheme="majorEastAsia" w:eastAsiaTheme="majorEastAsia" w:hAnsiTheme="majorEastAsia" w:hint="eastAsia"/>
          <w:color w:val="auto"/>
          <w:sz w:val="18"/>
          <w:szCs w:val="18"/>
        </w:rPr>
        <w:t>等）如遇非工作日则产品管理人可做相应调整。产品管理人对上述日期保留变更的权利，调整后的日期以产品管理人发布的公告中所载明的日期为准。</w:t>
      </w:r>
    </w:p>
    <w:p w:rsidR="00E039EF" w:rsidRDefault="003F2D22">
      <w:pPr>
        <w:pStyle w:val="Default"/>
        <w:spacing w:line="360" w:lineRule="auto"/>
        <w:ind w:firstLineChars="200" w:firstLine="361"/>
        <w:rPr>
          <w:rFonts w:asciiTheme="minorEastAsia" w:hAnsiTheme="minorEastAsia"/>
          <w:b/>
          <w:bCs/>
          <w:color w:val="auto"/>
          <w:sz w:val="18"/>
          <w:szCs w:val="18"/>
        </w:rPr>
      </w:pPr>
      <w:r>
        <w:rPr>
          <w:rFonts w:asciiTheme="minorEastAsia" w:hAnsiTheme="minorEastAsia" w:hint="eastAsia"/>
          <w:b/>
          <w:bCs/>
          <w:color w:val="auto"/>
          <w:sz w:val="18"/>
          <w:szCs w:val="18"/>
        </w:rPr>
        <w:t>（五）投资者持有理财份额的限额和理财产品总规模限额</w:t>
      </w:r>
    </w:p>
    <w:p w:rsidR="00E039EF" w:rsidRDefault="003F2D22">
      <w:pPr>
        <w:pStyle w:val="Default"/>
        <w:spacing w:line="360" w:lineRule="auto"/>
        <w:ind w:firstLineChars="200" w:firstLine="360"/>
        <w:rPr>
          <w:rFonts w:asciiTheme="minorEastAsia" w:hAnsiTheme="minorEastAsia"/>
          <w:bCs/>
          <w:color w:val="auto"/>
          <w:sz w:val="18"/>
          <w:szCs w:val="18"/>
        </w:rPr>
      </w:pPr>
      <w:r>
        <w:rPr>
          <w:rFonts w:asciiTheme="minorEastAsia" w:hAnsiTheme="minorEastAsia" w:hint="eastAsia"/>
          <w:bCs/>
          <w:color w:val="auto"/>
          <w:sz w:val="18"/>
          <w:szCs w:val="18"/>
        </w:rPr>
        <w:t>产品管理人有权决定理财份额持有人持有本产品的最高限额、最低限额和本产品的总规模限额。</w:t>
      </w:r>
    </w:p>
    <w:p w:rsidR="00E039EF" w:rsidRDefault="003F2D22">
      <w:pPr>
        <w:widowControl/>
        <w:spacing w:line="360" w:lineRule="auto"/>
        <w:jc w:val="left"/>
        <w:rPr>
          <w:rFonts w:asciiTheme="minorEastAsia" w:hAnsiTheme="minorEastAsia"/>
          <w:bCs/>
          <w:sz w:val="18"/>
          <w:szCs w:val="18"/>
        </w:rPr>
      </w:pPr>
      <w:r>
        <w:rPr>
          <w:rFonts w:asciiTheme="minorEastAsia" w:hAnsiTheme="minorEastAsia"/>
          <w:bCs/>
          <w:sz w:val="18"/>
          <w:szCs w:val="18"/>
        </w:rPr>
        <w:br w:type="page"/>
      </w:r>
    </w:p>
    <w:p w:rsidR="00E039EF" w:rsidRDefault="003F2D22">
      <w:pPr>
        <w:pStyle w:val="1"/>
        <w:spacing w:before="0" w:after="0" w:line="360" w:lineRule="auto"/>
        <w:jc w:val="center"/>
        <w:rPr>
          <w:rFonts w:ascii="Times New Roman"/>
          <w:sz w:val="30"/>
        </w:rPr>
      </w:pPr>
      <w:bookmarkStart w:id="10" w:name="_Toc4771"/>
      <w:bookmarkStart w:id="11" w:name="_Toc116649652"/>
      <w:bookmarkStart w:id="12" w:name="_Toc29948"/>
      <w:bookmarkStart w:id="13" w:name="_Toc3266"/>
      <w:bookmarkStart w:id="14" w:name="_Toc90742321"/>
      <w:bookmarkStart w:id="15" w:name="_Toc90742390"/>
      <w:bookmarkStart w:id="16" w:name="_Toc90742688"/>
      <w:bookmarkStart w:id="17" w:name="_Toc74065741"/>
      <w:bookmarkStart w:id="18" w:name="_Toc16265"/>
      <w:bookmarkStart w:id="19" w:name="_Toc27226"/>
      <w:bookmarkStart w:id="20" w:name="_Toc7151"/>
      <w:bookmarkStart w:id="21" w:name="_Toc15203"/>
      <w:bookmarkStart w:id="22" w:name="_Toc79154668"/>
      <w:bookmarkStart w:id="23" w:name="_Toc29784"/>
      <w:bookmarkStart w:id="24" w:name="_Toc6714"/>
      <w:bookmarkStart w:id="25" w:name="_Toc22074"/>
      <w:bookmarkStart w:id="26" w:name="_Toc27189"/>
      <w:bookmarkEnd w:id="7"/>
      <w:bookmarkEnd w:id="9"/>
      <w:r>
        <w:rPr>
          <w:rFonts w:ascii="Times New Roman"/>
          <w:sz w:val="30"/>
        </w:rPr>
        <w:lastRenderedPageBreak/>
        <w:t>第</w:t>
      </w:r>
      <w:r>
        <w:rPr>
          <w:rFonts w:ascii="Times New Roman" w:hint="eastAsia"/>
          <w:sz w:val="30"/>
        </w:rPr>
        <w:t>四条</w:t>
      </w:r>
      <w:r>
        <w:rPr>
          <w:rFonts w:ascii="Times New Roman"/>
          <w:sz w:val="30"/>
        </w:rPr>
        <w:t xml:space="preserve">  </w:t>
      </w:r>
      <w:r>
        <w:rPr>
          <w:rFonts w:ascii="Times New Roman" w:hint="eastAsia"/>
          <w:sz w:val="30"/>
        </w:rPr>
        <w:t>理财产品的申购与赎回</w:t>
      </w:r>
      <w:bookmarkEnd w:id="10"/>
      <w:bookmarkEnd w:id="11"/>
    </w:p>
    <w:p w:rsidR="00E039EF" w:rsidRDefault="003F2D22">
      <w:pPr>
        <w:pStyle w:val="Default"/>
        <w:spacing w:line="360" w:lineRule="auto"/>
        <w:ind w:firstLineChars="200" w:firstLine="360"/>
        <w:rPr>
          <w:rFonts w:asciiTheme="majorEastAsia" w:eastAsiaTheme="majorEastAsia" w:hAnsiTheme="majorEastAsia"/>
          <w:color w:val="auto"/>
          <w:sz w:val="18"/>
          <w:szCs w:val="18"/>
        </w:rPr>
      </w:pPr>
      <w:r>
        <w:rPr>
          <w:rFonts w:asciiTheme="majorEastAsia" w:eastAsiaTheme="majorEastAsia" w:hAnsiTheme="majorEastAsia" w:hint="eastAsia"/>
          <w:color w:val="auto"/>
          <w:sz w:val="18"/>
          <w:szCs w:val="18"/>
        </w:rPr>
        <w:t>本产品为封闭式产品，不设置申购与赎回。</w:t>
      </w:r>
    </w:p>
    <w:p w:rsidR="00E039EF" w:rsidRDefault="003F2D22">
      <w:pPr>
        <w:widowControl/>
        <w:spacing w:line="360" w:lineRule="auto"/>
        <w:jc w:val="left"/>
        <w:rPr>
          <w:rFonts w:asciiTheme="majorEastAsia" w:eastAsiaTheme="majorEastAsia" w:hAnsiTheme="majorEastAsia"/>
          <w:kern w:val="0"/>
          <w:sz w:val="18"/>
          <w:szCs w:val="18"/>
        </w:rPr>
      </w:pPr>
      <w:r>
        <w:rPr>
          <w:rFonts w:asciiTheme="majorEastAsia" w:eastAsiaTheme="majorEastAsia" w:hAnsiTheme="majorEastAsia"/>
          <w:sz w:val="18"/>
          <w:szCs w:val="18"/>
        </w:rPr>
        <w:br w:type="page"/>
      </w:r>
    </w:p>
    <w:p w:rsidR="00E039EF" w:rsidRDefault="003F2D22">
      <w:pPr>
        <w:pStyle w:val="1"/>
        <w:spacing w:before="0" w:after="0" w:line="360" w:lineRule="auto"/>
        <w:jc w:val="center"/>
        <w:rPr>
          <w:rFonts w:ascii="Times New Roman"/>
          <w:sz w:val="30"/>
        </w:rPr>
      </w:pPr>
      <w:bookmarkStart w:id="27" w:name="_Toc116649653"/>
      <w:r>
        <w:rPr>
          <w:rFonts w:ascii="Times New Roman"/>
          <w:sz w:val="30"/>
        </w:rPr>
        <w:lastRenderedPageBreak/>
        <w:t>第五</w:t>
      </w:r>
      <w:r>
        <w:rPr>
          <w:rFonts w:ascii="Times New Roman" w:hint="eastAsia"/>
          <w:sz w:val="30"/>
        </w:rPr>
        <w:t>条</w:t>
      </w:r>
      <w:r>
        <w:rPr>
          <w:rFonts w:ascii="Times New Roman"/>
          <w:sz w:val="30"/>
        </w:rPr>
        <w:t xml:space="preserve">  </w:t>
      </w:r>
      <w:r>
        <w:rPr>
          <w:rFonts w:ascii="Times New Roman" w:hint="eastAsia"/>
          <w:sz w:val="30"/>
        </w:rPr>
        <w:t>理财产品的投资</w:t>
      </w:r>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p>
    <w:p w:rsidR="00E039EF" w:rsidRDefault="003F2D22">
      <w:pPr>
        <w:pStyle w:val="Default"/>
        <w:spacing w:line="360" w:lineRule="auto"/>
        <w:ind w:firstLineChars="200" w:firstLine="361"/>
        <w:rPr>
          <w:rFonts w:asciiTheme="majorEastAsia" w:eastAsiaTheme="majorEastAsia" w:hAnsiTheme="majorEastAsia"/>
          <w:b/>
          <w:color w:val="auto"/>
          <w:sz w:val="18"/>
          <w:szCs w:val="18"/>
        </w:rPr>
      </w:pPr>
      <w:r>
        <w:rPr>
          <w:rFonts w:asciiTheme="majorEastAsia" w:eastAsiaTheme="majorEastAsia" w:hAnsiTheme="majorEastAsia" w:hint="eastAsia"/>
          <w:b/>
          <w:color w:val="auto"/>
          <w:sz w:val="18"/>
          <w:szCs w:val="18"/>
        </w:rPr>
        <w:t>（一）投资目标</w:t>
      </w:r>
    </w:p>
    <w:p w:rsidR="00E039EF" w:rsidRPr="004227D0" w:rsidRDefault="004227D0" w:rsidP="004227D0">
      <w:pPr>
        <w:pStyle w:val="Default"/>
        <w:spacing w:line="360" w:lineRule="auto"/>
        <w:ind w:firstLineChars="200" w:firstLine="360"/>
        <w:rPr>
          <w:rFonts w:asciiTheme="majorEastAsia" w:eastAsiaTheme="majorEastAsia" w:hAnsiTheme="majorEastAsia"/>
          <w:color w:val="auto"/>
          <w:sz w:val="18"/>
          <w:szCs w:val="18"/>
        </w:rPr>
      </w:pPr>
      <w:permStart w:id="540360518" w:edGrp="everyone"/>
      <w:r>
        <w:rPr>
          <w:rFonts w:asciiTheme="majorEastAsia" w:eastAsiaTheme="majorEastAsia" w:hAnsiTheme="majorEastAsia" w:hint="eastAsia"/>
          <w:color w:val="auto"/>
          <w:sz w:val="18"/>
          <w:szCs w:val="18"/>
        </w:rPr>
        <w:t>在严格控制组合风险的前提下，通过不断优化组合，力争实现超越业绩比较基准的收益。</w:t>
      </w:r>
    </w:p>
    <w:permEnd w:id="540360518"/>
    <w:p w:rsidR="00E039EF" w:rsidRDefault="003F2D22">
      <w:pPr>
        <w:pStyle w:val="Default"/>
        <w:spacing w:line="360" w:lineRule="auto"/>
        <w:ind w:firstLineChars="200" w:firstLine="361"/>
        <w:rPr>
          <w:rFonts w:asciiTheme="majorEastAsia" w:eastAsiaTheme="majorEastAsia" w:hAnsiTheme="majorEastAsia"/>
          <w:bCs/>
          <w:color w:val="auto"/>
          <w:sz w:val="18"/>
          <w:szCs w:val="18"/>
        </w:rPr>
      </w:pPr>
      <w:r>
        <w:rPr>
          <w:rFonts w:asciiTheme="majorEastAsia" w:eastAsiaTheme="majorEastAsia" w:hAnsiTheme="majorEastAsia" w:hint="eastAsia"/>
          <w:b/>
          <w:color w:val="auto"/>
          <w:sz w:val="18"/>
          <w:szCs w:val="18"/>
        </w:rPr>
        <w:t>（二）投资范围和比例</w:t>
      </w:r>
    </w:p>
    <w:p w:rsidR="00E039EF" w:rsidRDefault="003F2D22">
      <w:pPr>
        <w:autoSpaceDE w:val="0"/>
        <w:autoSpaceDN w:val="0"/>
        <w:adjustRightInd w:val="0"/>
        <w:spacing w:line="360" w:lineRule="auto"/>
        <w:ind w:firstLineChars="200" w:firstLine="360"/>
        <w:jc w:val="left"/>
        <w:rPr>
          <w:rFonts w:asciiTheme="majorEastAsia" w:eastAsiaTheme="majorEastAsia" w:hAnsiTheme="majorEastAsia"/>
          <w:bCs/>
          <w:sz w:val="18"/>
          <w:szCs w:val="18"/>
        </w:rPr>
      </w:pPr>
      <w:r>
        <w:rPr>
          <w:rFonts w:asciiTheme="majorEastAsia" w:eastAsiaTheme="majorEastAsia" w:hAnsiTheme="majorEastAsia" w:hint="eastAsia"/>
          <w:bCs/>
          <w:sz w:val="18"/>
          <w:szCs w:val="18"/>
        </w:rPr>
        <w:t>1.投资</w:t>
      </w:r>
      <w:r>
        <w:rPr>
          <w:rFonts w:asciiTheme="majorEastAsia" w:eastAsiaTheme="majorEastAsia" w:hAnsiTheme="majorEastAsia"/>
          <w:bCs/>
          <w:sz w:val="18"/>
          <w:szCs w:val="18"/>
        </w:rPr>
        <w:t>范围</w:t>
      </w:r>
    </w:p>
    <w:p w:rsidR="00E039EF" w:rsidRDefault="003F2D22">
      <w:pPr>
        <w:autoSpaceDE w:val="0"/>
        <w:autoSpaceDN w:val="0"/>
        <w:adjustRightInd w:val="0"/>
        <w:spacing w:line="360" w:lineRule="auto"/>
        <w:ind w:firstLineChars="200" w:firstLine="360"/>
        <w:jc w:val="left"/>
        <w:rPr>
          <w:rFonts w:asciiTheme="majorEastAsia" w:eastAsiaTheme="majorEastAsia" w:hAnsiTheme="majorEastAsia"/>
          <w:bCs/>
          <w:kern w:val="0"/>
          <w:sz w:val="18"/>
          <w:szCs w:val="18"/>
        </w:rPr>
      </w:pPr>
      <w:r>
        <w:rPr>
          <w:rFonts w:asciiTheme="majorEastAsia" w:eastAsiaTheme="majorEastAsia" w:hAnsiTheme="majorEastAsia" w:hint="eastAsia"/>
          <w:bCs/>
          <w:kern w:val="0"/>
          <w:sz w:val="18"/>
          <w:szCs w:val="18"/>
        </w:rPr>
        <w:t>本产品主要投资范围包括但不限于（实际投资范围可根据法律法规及监管规定进行调整）：</w:t>
      </w:r>
    </w:p>
    <w:p w:rsidR="004227D0" w:rsidRDefault="004227D0" w:rsidP="004227D0">
      <w:pPr>
        <w:autoSpaceDE w:val="0"/>
        <w:autoSpaceDN w:val="0"/>
        <w:adjustRightInd w:val="0"/>
        <w:spacing w:line="360" w:lineRule="auto"/>
        <w:ind w:firstLineChars="200" w:firstLine="360"/>
        <w:jc w:val="left"/>
        <w:rPr>
          <w:rFonts w:asciiTheme="majorEastAsia" w:eastAsiaTheme="majorEastAsia" w:hAnsiTheme="majorEastAsia"/>
          <w:bCs/>
          <w:sz w:val="18"/>
          <w:szCs w:val="18"/>
        </w:rPr>
      </w:pPr>
      <w:permStart w:id="476469074" w:edGrp="everyone"/>
      <w:r>
        <w:rPr>
          <w:rFonts w:asciiTheme="majorEastAsia" w:eastAsiaTheme="majorEastAsia" w:hAnsiTheme="majorEastAsia" w:hint="eastAsia"/>
          <w:bCs/>
          <w:sz w:val="18"/>
          <w:szCs w:val="18"/>
        </w:rPr>
        <w:t>（1）银行存款、债券逆回购、货币基金等货币市场工具及其它银行间和交易所资金融通工具；</w:t>
      </w:r>
    </w:p>
    <w:p w:rsidR="004227D0" w:rsidRDefault="004227D0" w:rsidP="004227D0">
      <w:pPr>
        <w:autoSpaceDE w:val="0"/>
        <w:autoSpaceDN w:val="0"/>
        <w:adjustRightInd w:val="0"/>
        <w:spacing w:line="360" w:lineRule="auto"/>
        <w:ind w:firstLineChars="200" w:firstLine="360"/>
        <w:jc w:val="left"/>
        <w:rPr>
          <w:rFonts w:asciiTheme="majorEastAsia" w:eastAsiaTheme="majorEastAsia" w:hAnsiTheme="majorEastAsia"/>
          <w:bCs/>
          <w:sz w:val="18"/>
          <w:szCs w:val="18"/>
        </w:rPr>
      </w:pPr>
      <w:r>
        <w:rPr>
          <w:rFonts w:asciiTheme="majorEastAsia" w:eastAsiaTheme="majorEastAsia" w:hAnsiTheme="majorEastAsia" w:hint="eastAsia"/>
          <w:bCs/>
          <w:sz w:val="18"/>
          <w:szCs w:val="18"/>
        </w:rPr>
        <w:t>（2）国债、金融债、地方政府债、央行票据、同业存单、短期融资券、超短期融资券、中期票据、企业债、公司债、非公开定向债务融资工具、项目收益债、项目收益票据、资产支持证券、次级债、可转债、可交换债等银行间和交易所市场债券及债务融资工具，以及其他固定收益类投资工具等。</w:t>
      </w:r>
    </w:p>
    <w:p w:rsidR="004227D0" w:rsidRDefault="004227D0" w:rsidP="004227D0">
      <w:pPr>
        <w:autoSpaceDE w:val="0"/>
        <w:autoSpaceDN w:val="0"/>
        <w:adjustRightInd w:val="0"/>
        <w:spacing w:line="360" w:lineRule="auto"/>
        <w:ind w:firstLineChars="200" w:firstLine="360"/>
        <w:jc w:val="left"/>
        <w:rPr>
          <w:rFonts w:asciiTheme="majorEastAsia" w:eastAsiaTheme="majorEastAsia" w:hAnsiTheme="majorEastAsia"/>
          <w:bCs/>
          <w:sz w:val="18"/>
          <w:szCs w:val="18"/>
        </w:rPr>
      </w:pPr>
      <w:r>
        <w:rPr>
          <w:rFonts w:asciiTheme="majorEastAsia" w:eastAsiaTheme="majorEastAsia" w:hAnsiTheme="majorEastAsia" w:hint="eastAsia"/>
          <w:bCs/>
          <w:sz w:val="18"/>
          <w:szCs w:val="18"/>
        </w:rPr>
        <w:t>（3）债券借贷等。</w:t>
      </w:r>
    </w:p>
    <w:p w:rsidR="004227D0" w:rsidRDefault="004227D0" w:rsidP="004227D0">
      <w:pPr>
        <w:autoSpaceDE w:val="0"/>
        <w:autoSpaceDN w:val="0"/>
        <w:adjustRightInd w:val="0"/>
        <w:spacing w:line="360" w:lineRule="auto"/>
        <w:ind w:firstLineChars="200" w:firstLine="360"/>
        <w:jc w:val="left"/>
        <w:rPr>
          <w:rFonts w:asciiTheme="majorEastAsia" w:eastAsiaTheme="majorEastAsia" w:hAnsiTheme="majorEastAsia"/>
          <w:bCs/>
          <w:sz w:val="18"/>
          <w:szCs w:val="18"/>
        </w:rPr>
      </w:pPr>
      <w:r>
        <w:rPr>
          <w:rFonts w:asciiTheme="majorEastAsia" w:eastAsiaTheme="majorEastAsia" w:hAnsiTheme="majorEastAsia" w:hint="eastAsia"/>
          <w:bCs/>
          <w:sz w:val="18"/>
          <w:szCs w:val="18"/>
        </w:rPr>
        <w:t>（4）投资于上述资产的符合监管要求的公募基金、基金公司或子公司资产管理计划、证券公司资产管理计划、保险资产管理计划及信托计划等。</w:t>
      </w:r>
    </w:p>
    <w:p w:rsidR="004227D0" w:rsidRDefault="004227D0" w:rsidP="004227D0">
      <w:pPr>
        <w:autoSpaceDE w:val="0"/>
        <w:autoSpaceDN w:val="0"/>
        <w:adjustRightInd w:val="0"/>
        <w:spacing w:line="360" w:lineRule="auto"/>
        <w:ind w:firstLineChars="200" w:firstLine="360"/>
        <w:jc w:val="left"/>
        <w:rPr>
          <w:rFonts w:asciiTheme="majorEastAsia" w:eastAsiaTheme="majorEastAsia" w:hAnsiTheme="majorEastAsia"/>
          <w:bCs/>
          <w:sz w:val="18"/>
          <w:szCs w:val="18"/>
        </w:rPr>
      </w:pPr>
      <w:r>
        <w:rPr>
          <w:rFonts w:asciiTheme="majorEastAsia" w:eastAsiaTheme="majorEastAsia" w:hAnsiTheme="majorEastAsia" w:hint="eastAsia"/>
          <w:bCs/>
          <w:sz w:val="18"/>
          <w:szCs w:val="18"/>
        </w:rPr>
        <w:t>（5）其他风险不高于前述资产的资产。</w:t>
      </w:r>
    </w:p>
    <w:permEnd w:id="476469074"/>
    <w:p w:rsidR="00E039EF" w:rsidRDefault="003F2D22">
      <w:pPr>
        <w:autoSpaceDE w:val="0"/>
        <w:autoSpaceDN w:val="0"/>
        <w:adjustRightInd w:val="0"/>
        <w:spacing w:line="360" w:lineRule="auto"/>
        <w:ind w:firstLineChars="200" w:firstLine="360"/>
        <w:jc w:val="left"/>
        <w:rPr>
          <w:rFonts w:asciiTheme="majorEastAsia" w:eastAsiaTheme="majorEastAsia" w:hAnsiTheme="majorEastAsia"/>
          <w:bCs/>
          <w:kern w:val="0"/>
          <w:sz w:val="18"/>
          <w:szCs w:val="18"/>
        </w:rPr>
      </w:pPr>
      <w:r>
        <w:rPr>
          <w:rFonts w:asciiTheme="majorEastAsia" w:eastAsiaTheme="majorEastAsia" w:hAnsiTheme="majorEastAsia" w:hint="eastAsia"/>
          <w:bCs/>
          <w:kern w:val="0"/>
          <w:sz w:val="18"/>
          <w:szCs w:val="18"/>
        </w:rPr>
        <w:t>在遵守相关法律法规、监管规则及本说明书约定，避免不公平交易、利益输送等违法违规行为的前提下，投资者同意本产品可能投资产品管理人/托管人及其关联方发行、承销、管理的符合本产品投资范围规定的资产，本产品可能与产品管理人/托管人及其关联方、产品管理人/托管人及其关联方管理的投资组合之间互为交易对手或从事其他类型的关联交易。</w:t>
      </w:r>
    </w:p>
    <w:p w:rsidR="00E039EF" w:rsidRDefault="003F2D22">
      <w:pPr>
        <w:autoSpaceDE w:val="0"/>
        <w:autoSpaceDN w:val="0"/>
        <w:adjustRightInd w:val="0"/>
        <w:spacing w:line="360" w:lineRule="auto"/>
        <w:ind w:firstLineChars="200" w:firstLine="360"/>
        <w:jc w:val="left"/>
        <w:rPr>
          <w:rFonts w:asciiTheme="majorEastAsia" w:eastAsiaTheme="majorEastAsia" w:hAnsiTheme="majorEastAsia"/>
          <w:bCs/>
          <w:kern w:val="0"/>
          <w:sz w:val="18"/>
          <w:szCs w:val="18"/>
        </w:rPr>
      </w:pPr>
      <w:r>
        <w:rPr>
          <w:rFonts w:asciiTheme="majorEastAsia" w:eastAsiaTheme="majorEastAsia" w:hAnsiTheme="majorEastAsia" w:hint="eastAsia"/>
          <w:bCs/>
          <w:kern w:val="0"/>
          <w:sz w:val="18"/>
          <w:szCs w:val="18"/>
        </w:rPr>
        <w:t>2.投资组合比例</w:t>
      </w:r>
    </w:p>
    <w:p w:rsidR="004227D0" w:rsidRDefault="004227D0" w:rsidP="004227D0">
      <w:pPr>
        <w:autoSpaceDE w:val="0"/>
        <w:autoSpaceDN w:val="0"/>
        <w:adjustRightInd w:val="0"/>
        <w:spacing w:line="360" w:lineRule="auto"/>
        <w:ind w:firstLineChars="200" w:firstLine="360"/>
        <w:jc w:val="left"/>
        <w:rPr>
          <w:rFonts w:asciiTheme="majorEastAsia" w:eastAsiaTheme="majorEastAsia" w:hAnsiTheme="majorEastAsia"/>
          <w:bCs/>
          <w:sz w:val="18"/>
          <w:szCs w:val="18"/>
        </w:rPr>
      </w:pPr>
      <w:permStart w:id="1392191926" w:edGrp="everyone"/>
      <w:r>
        <w:rPr>
          <w:rFonts w:asciiTheme="majorEastAsia" w:eastAsiaTheme="majorEastAsia" w:hAnsiTheme="majorEastAsia" w:hint="eastAsia"/>
          <w:bCs/>
          <w:sz w:val="18"/>
          <w:szCs w:val="18"/>
        </w:rPr>
        <w:t>（1）本产品投资于</w:t>
      </w:r>
      <w:r>
        <w:rPr>
          <w:rFonts w:ascii="宋体" w:hAnsi="宋体" w:hint="eastAsia"/>
          <w:bCs/>
          <w:sz w:val="18"/>
          <w:szCs w:val="18"/>
        </w:rPr>
        <w:t>债权类</w:t>
      </w:r>
      <w:r>
        <w:rPr>
          <w:rFonts w:asciiTheme="majorEastAsia" w:eastAsiaTheme="majorEastAsia" w:hAnsiTheme="majorEastAsia" w:hint="eastAsia"/>
          <w:bCs/>
          <w:sz w:val="18"/>
          <w:szCs w:val="18"/>
        </w:rPr>
        <w:t xml:space="preserve">资产的比例不低于产品总资产的80%。 </w:t>
      </w:r>
    </w:p>
    <w:p w:rsidR="004227D0" w:rsidRDefault="004227D0" w:rsidP="004227D0">
      <w:pPr>
        <w:spacing w:line="360" w:lineRule="auto"/>
        <w:ind w:firstLineChars="200" w:firstLine="360"/>
        <w:rPr>
          <w:rFonts w:asciiTheme="majorEastAsia" w:eastAsiaTheme="majorEastAsia" w:hAnsiTheme="majorEastAsia"/>
          <w:bCs/>
          <w:sz w:val="18"/>
          <w:szCs w:val="18"/>
        </w:rPr>
      </w:pPr>
      <w:r>
        <w:rPr>
          <w:rFonts w:asciiTheme="majorEastAsia" w:eastAsiaTheme="majorEastAsia" w:hAnsiTheme="majorEastAsia" w:hint="eastAsia"/>
          <w:bCs/>
          <w:sz w:val="18"/>
          <w:szCs w:val="18"/>
        </w:rPr>
        <w:t>（2）债券借贷等衍生品占产品总资产比例不高于20%。</w:t>
      </w:r>
    </w:p>
    <w:p w:rsidR="009A58CA" w:rsidRDefault="009A58CA">
      <w:pPr>
        <w:autoSpaceDE w:val="0"/>
        <w:autoSpaceDN w:val="0"/>
        <w:adjustRightInd w:val="0"/>
        <w:spacing w:line="360" w:lineRule="auto"/>
        <w:ind w:firstLineChars="200" w:firstLine="361"/>
        <w:jc w:val="left"/>
        <w:rPr>
          <w:rFonts w:asciiTheme="majorEastAsia" w:eastAsiaTheme="majorEastAsia" w:hAnsiTheme="majorEastAsia"/>
          <w:b/>
          <w:bCs/>
          <w:sz w:val="18"/>
          <w:szCs w:val="18"/>
        </w:rPr>
      </w:pPr>
      <w:r>
        <w:rPr>
          <w:rFonts w:asciiTheme="majorEastAsia" w:eastAsiaTheme="majorEastAsia" w:hAnsiTheme="majorEastAsia" w:hint="eastAsia"/>
          <w:b/>
          <w:bCs/>
          <w:sz w:val="18"/>
          <w:szCs w:val="18"/>
        </w:rPr>
        <w:t>注：本产品可能投资不存在活跃交易市场，并且需要采用估值技术确定公允价值的资产，且投资上述资产的比例达到理财产品净资产50%以上。</w:t>
      </w:r>
    </w:p>
    <w:permEnd w:id="1392191926"/>
    <w:p w:rsidR="00E039EF" w:rsidRDefault="003F2D22">
      <w:pPr>
        <w:autoSpaceDE w:val="0"/>
        <w:autoSpaceDN w:val="0"/>
        <w:adjustRightInd w:val="0"/>
        <w:spacing w:line="360" w:lineRule="auto"/>
        <w:ind w:firstLineChars="200" w:firstLine="360"/>
        <w:jc w:val="left"/>
        <w:rPr>
          <w:rFonts w:asciiTheme="majorEastAsia" w:eastAsiaTheme="majorEastAsia" w:hAnsiTheme="majorEastAsia"/>
          <w:bCs/>
          <w:sz w:val="18"/>
          <w:szCs w:val="18"/>
        </w:rPr>
      </w:pPr>
      <w:r>
        <w:rPr>
          <w:rFonts w:asciiTheme="majorEastAsia" w:eastAsiaTheme="majorEastAsia" w:hAnsiTheme="majorEastAsia"/>
          <w:bCs/>
          <w:sz w:val="18"/>
          <w:szCs w:val="18"/>
        </w:rPr>
        <w:t>3</w:t>
      </w:r>
      <w:r>
        <w:rPr>
          <w:rFonts w:asciiTheme="majorEastAsia" w:eastAsiaTheme="majorEastAsia" w:hAnsiTheme="majorEastAsia" w:hint="eastAsia"/>
          <w:bCs/>
          <w:sz w:val="18"/>
          <w:szCs w:val="18"/>
        </w:rPr>
        <w:t>.</w:t>
      </w:r>
      <w:r>
        <w:rPr>
          <w:rFonts w:asciiTheme="majorEastAsia" w:eastAsiaTheme="majorEastAsia" w:hAnsiTheme="majorEastAsia"/>
          <w:bCs/>
          <w:sz w:val="18"/>
          <w:szCs w:val="18"/>
        </w:rPr>
        <w:t>本产品存续期间，</w:t>
      </w:r>
      <w:r>
        <w:rPr>
          <w:rFonts w:asciiTheme="majorEastAsia" w:eastAsiaTheme="majorEastAsia" w:hAnsiTheme="majorEastAsia" w:hint="eastAsia"/>
          <w:bCs/>
          <w:sz w:val="18"/>
          <w:szCs w:val="18"/>
        </w:rPr>
        <w:t>产品管理人</w:t>
      </w:r>
      <w:r>
        <w:rPr>
          <w:rFonts w:asciiTheme="majorEastAsia" w:eastAsiaTheme="majorEastAsia" w:hAnsiTheme="majorEastAsia"/>
          <w:bCs/>
          <w:sz w:val="18"/>
          <w:szCs w:val="18"/>
        </w:rPr>
        <w:t>将</w:t>
      </w:r>
      <w:r>
        <w:rPr>
          <w:rFonts w:asciiTheme="majorEastAsia" w:eastAsiaTheme="majorEastAsia" w:hAnsiTheme="majorEastAsia" w:hint="eastAsia"/>
          <w:bCs/>
          <w:sz w:val="18"/>
          <w:szCs w:val="18"/>
        </w:rPr>
        <w:t>依约定公告理财投资对象与投资比例。</w:t>
      </w:r>
    </w:p>
    <w:p w:rsidR="00E039EF" w:rsidRDefault="003F2D22">
      <w:pPr>
        <w:autoSpaceDE w:val="0"/>
        <w:autoSpaceDN w:val="0"/>
        <w:adjustRightInd w:val="0"/>
        <w:spacing w:line="360" w:lineRule="auto"/>
        <w:ind w:firstLineChars="200" w:firstLine="360"/>
        <w:jc w:val="left"/>
        <w:rPr>
          <w:rFonts w:asciiTheme="majorEastAsia" w:eastAsiaTheme="majorEastAsia" w:hAnsiTheme="majorEastAsia"/>
          <w:bCs/>
          <w:sz w:val="18"/>
          <w:szCs w:val="18"/>
        </w:rPr>
      </w:pPr>
      <w:r>
        <w:rPr>
          <w:rFonts w:asciiTheme="majorEastAsia" w:eastAsiaTheme="majorEastAsia" w:hAnsiTheme="majorEastAsia"/>
          <w:bCs/>
          <w:sz w:val="18"/>
          <w:szCs w:val="18"/>
        </w:rPr>
        <w:t>4</w:t>
      </w:r>
      <w:r>
        <w:rPr>
          <w:rFonts w:asciiTheme="majorEastAsia" w:eastAsiaTheme="majorEastAsia" w:hAnsiTheme="majorEastAsia" w:hint="eastAsia"/>
          <w:bCs/>
          <w:sz w:val="18"/>
          <w:szCs w:val="18"/>
        </w:rPr>
        <w:t>.如果法律法规对本</w:t>
      </w:r>
      <w:r>
        <w:rPr>
          <w:rFonts w:asciiTheme="majorEastAsia" w:eastAsiaTheme="majorEastAsia" w:hAnsiTheme="majorEastAsia"/>
          <w:bCs/>
          <w:sz w:val="18"/>
          <w:szCs w:val="18"/>
        </w:rPr>
        <w:t>销售文件</w:t>
      </w:r>
      <w:r>
        <w:rPr>
          <w:rFonts w:asciiTheme="majorEastAsia" w:eastAsiaTheme="majorEastAsia" w:hAnsiTheme="majorEastAsia" w:hint="eastAsia"/>
          <w:bCs/>
          <w:sz w:val="18"/>
          <w:szCs w:val="18"/>
        </w:rPr>
        <w:t>约定投资组合比例限制进行变更的，以变更后的规定为准。</w:t>
      </w:r>
    </w:p>
    <w:p w:rsidR="00E039EF" w:rsidRDefault="003F2D22">
      <w:pPr>
        <w:spacing w:line="360" w:lineRule="auto"/>
        <w:ind w:firstLineChars="200" w:firstLine="361"/>
        <w:rPr>
          <w:rFonts w:asciiTheme="majorEastAsia" w:eastAsiaTheme="majorEastAsia" w:hAnsiTheme="majorEastAsia"/>
          <w:b/>
          <w:bCs/>
          <w:sz w:val="18"/>
          <w:szCs w:val="18"/>
        </w:rPr>
      </w:pPr>
      <w:r>
        <w:rPr>
          <w:rFonts w:asciiTheme="majorEastAsia" w:eastAsiaTheme="majorEastAsia" w:hAnsiTheme="majorEastAsia" w:hint="eastAsia"/>
          <w:b/>
          <w:bCs/>
          <w:sz w:val="18"/>
          <w:szCs w:val="18"/>
        </w:rPr>
        <w:t>特别提示：</w:t>
      </w:r>
    </w:p>
    <w:p w:rsidR="00E039EF" w:rsidRDefault="003F2D22">
      <w:pPr>
        <w:autoSpaceDE w:val="0"/>
        <w:autoSpaceDN w:val="0"/>
        <w:adjustRightInd w:val="0"/>
        <w:spacing w:line="360" w:lineRule="auto"/>
        <w:ind w:firstLineChars="200" w:firstLine="360"/>
        <w:jc w:val="left"/>
        <w:rPr>
          <w:rFonts w:asciiTheme="majorEastAsia" w:eastAsiaTheme="majorEastAsia" w:hAnsiTheme="majorEastAsia"/>
          <w:bCs/>
          <w:sz w:val="18"/>
          <w:szCs w:val="18"/>
        </w:rPr>
      </w:pPr>
      <w:r>
        <w:rPr>
          <w:rFonts w:asciiTheme="majorEastAsia" w:eastAsiaTheme="majorEastAsia" w:hAnsiTheme="majorEastAsia" w:hint="eastAsia"/>
          <w:bCs/>
          <w:sz w:val="18"/>
          <w:szCs w:val="18"/>
        </w:rPr>
        <w:t>（</w:t>
      </w:r>
      <w:r>
        <w:rPr>
          <w:rFonts w:asciiTheme="majorEastAsia" w:eastAsiaTheme="majorEastAsia" w:hAnsiTheme="majorEastAsia"/>
          <w:bCs/>
          <w:sz w:val="18"/>
          <w:szCs w:val="18"/>
        </w:rPr>
        <w:t>1）</w:t>
      </w:r>
      <w:r>
        <w:rPr>
          <w:rFonts w:asciiTheme="majorEastAsia" w:eastAsiaTheme="majorEastAsia" w:hAnsiTheme="majorEastAsia" w:hint="eastAsia"/>
          <w:bCs/>
          <w:sz w:val="18"/>
          <w:szCs w:val="18"/>
        </w:rPr>
        <w:t>产品管理人应当自产品成立日起</w:t>
      </w:r>
      <w:permStart w:id="1086596162" w:edGrp="everyone"/>
      <w:r>
        <w:rPr>
          <w:rFonts w:asciiTheme="majorEastAsia" w:eastAsiaTheme="majorEastAsia" w:hAnsiTheme="majorEastAsia" w:hint="eastAsia"/>
          <w:bCs/>
          <w:sz w:val="18"/>
          <w:szCs w:val="18"/>
        </w:rPr>
        <w:t>【</w:t>
      </w:r>
      <w:r>
        <w:rPr>
          <w:rFonts w:ascii="黑体" w:eastAsia="黑体" w:hAnsi="黑体"/>
          <w:bCs/>
          <w:sz w:val="18"/>
          <w:szCs w:val="18"/>
        </w:rPr>
        <w:t>3】</w:t>
      </w:r>
      <w:r>
        <w:rPr>
          <w:rFonts w:ascii="黑体" w:eastAsia="黑体" w:hAnsi="黑体" w:hint="eastAsia"/>
          <w:bCs/>
          <w:sz w:val="18"/>
          <w:szCs w:val="18"/>
        </w:rPr>
        <w:t>个月</w:t>
      </w:r>
      <w:permEnd w:id="1086596162"/>
      <w:r>
        <w:rPr>
          <w:rFonts w:ascii="黑体" w:eastAsia="黑体" w:hAnsi="黑体" w:hint="eastAsia"/>
          <w:bCs/>
          <w:sz w:val="18"/>
          <w:szCs w:val="18"/>
        </w:rPr>
        <w:t>内</w:t>
      </w:r>
      <w:r>
        <w:rPr>
          <w:rFonts w:asciiTheme="majorEastAsia" w:eastAsiaTheme="majorEastAsia" w:hAnsiTheme="majorEastAsia" w:hint="eastAsia"/>
          <w:bCs/>
          <w:sz w:val="18"/>
          <w:szCs w:val="18"/>
        </w:rPr>
        <w:t>使产品的投资组合比例符合本销售文件的有关约定，</w:t>
      </w:r>
      <w:r>
        <w:rPr>
          <w:rFonts w:asciiTheme="majorEastAsia" w:eastAsiaTheme="majorEastAsia" w:hAnsiTheme="majorEastAsia"/>
          <w:bCs/>
          <w:sz w:val="18"/>
          <w:szCs w:val="18"/>
        </w:rPr>
        <w:t>上述</w:t>
      </w:r>
      <w:r>
        <w:rPr>
          <w:rFonts w:asciiTheme="majorEastAsia" w:eastAsiaTheme="majorEastAsia" w:hAnsiTheme="majorEastAsia" w:hint="eastAsia"/>
          <w:bCs/>
          <w:sz w:val="18"/>
          <w:szCs w:val="18"/>
        </w:rPr>
        <w:t>期间</w:t>
      </w:r>
      <w:r>
        <w:rPr>
          <w:rFonts w:asciiTheme="majorEastAsia" w:eastAsiaTheme="majorEastAsia" w:hAnsiTheme="majorEastAsia"/>
          <w:bCs/>
          <w:sz w:val="18"/>
          <w:szCs w:val="18"/>
        </w:rPr>
        <w:t>内</w:t>
      </w:r>
      <w:r>
        <w:rPr>
          <w:rFonts w:asciiTheme="majorEastAsia" w:eastAsiaTheme="majorEastAsia" w:hAnsiTheme="majorEastAsia" w:hint="eastAsia"/>
          <w:bCs/>
          <w:sz w:val="18"/>
          <w:szCs w:val="18"/>
        </w:rPr>
        <w:t>，</w:t>
      </w:r>
      <w:r>
        <w:rPr>
          <w:rFonts w:asciiTheme="majorEastAsia" w:eastAsiaTheme="majorEastAsia" w:hAnsiTheme="majorEastAsia"/>
          <w:bCs/>
          <w:sz w:val="18"/>
          <w:szCs w:val="18"/>
        </w:rPr>
        <w:t>本产品的投资</w:t>
      </w:r>
      <w:r>
        <w:rPr>
          <w:rFonts w:asciiTheme="majorEastAsia" w:eastAsiaTheme="majorEastAsia" w:hAnsiTheme="majorEastAsia" w:hint="eastAsia"/>
          <w:bCs/>
          <w:sz w:val="18"/>
          <w:szCs w:val="18"/>
        </w:rPr>
        <w:t>范围、投资</w:t>
      </w:r>
      <w:r>
        <w:rPr>
          <w:rFonts w:asciiTheme="majorEastAsia" w:eastAsiaTheme="majorEastAsia" w:hAnsiTheme="majorEastAsia"/>
          <w:bCs/>
          <w:sz w:val="18"/>
          <w:szCs w:val="18"/>
        </w:rPr>
        <w:t>策略</w:t>
      </w:r>
      <w:r>
        <w:rPr>
          <w:rFonts w:asciiTheme="majorEastAsia" w:eastAsiaTheme="majorEastAsia" w:hAnsiTheme="majorEastAsia" w:hint="eastAsia"/>
          <w:bCs/>
          <w:sz w:val="18"/>
          <w:szCs w:val="18"/>
        </w:rPr>
        <w:t>应当符合本</w:t>
      </w:r>
      <w:r>
        <w:rPr>
          <w:rFonts w:asciiTheme="majorEastAsia" w:eastAsiaTheme="majorEastAsia" w:hAnsiTheme="majorEastAsia"/>
          <w:bCs/>
          <w:sz w:val="18"/>
          <w:szCs w:val="18"/>
        </w:rPr>
        <w:t>销售文件的</w:t>
      </w:r>
      <w:r>
        <w:rPr>
          <w:rFonts w:asciiTheme="majorEastAsia" w:eastAsiaTheme="majorEastAsia" w:hAnsiTheme="majorEastAsia" w:hint="eastAsia"/>
          <w:bCs/>
          <w:sz w:val="18"/>
          <w:szCs w:val="18"/>
        </w:rPr>
        <w:t>约定</w:t>
      </w:r>
      <w:r>
        <w:rPr>
          <w:rFonts w:asciiTheme="majorEastAsia" w:eastAsiaTheme="majorEastAsia" w:hAnsiTheme="majorEastAsia"/>
          <w:bCs/>
          <w:sz w:val="18"/>
          <w:szCs w:val="18"/>
        </w:rPr>
        <w:t>。</w:t>
      </w:r>
      <w:r>
        <w:rPr>
          <w:rFonts w:asciiTheme="majorEastAsia" w:eastAsiaTheme="majorEastAsia" w:hAnsiTheme="majorEastAsia" w:hint="eastAsia"/>
          <w:bCs/>
          <w:sz w:val="18"/>
          <w:szCs w:val="18"/>
        </w:rPr>
        <w:t>产品管理人将本着诚实信用、谨慎勤勉的原则，在规定的范围内运用理财资金进行投资。</w:t>
      </w:r>
    </w:p>
    <w:p w:rsidR="00E039EF" w:rsidRDefault="003F2D22">
      <w:pPr>
        <w:autoSpaceDE w:val="0"/>
        <w:autoSpaceDN w:val="0"/>
        <w:adjustRightInd w:val="0"/>
        <w:spacing w:line="360" w:lineRule="auto"/>
        <w:ind w:firstLineChars="200" w:firstLine="360"/>
        <w:jc w:val="left"/>
        <w:rPr>
          <w:rFonts w:asciiTheme="majorEastAsia" w:eastAsiaTheme="majorEastAsia" w:hAnsiTheme="majorEastAsia"/>
          <w:bCs/>
          <w:sz w:val="18"/>
          <w:szCs w:val="18"/>
        </w:rPr>
      </w:pPr>
      <w:r>
        <w:rPr>
          <w:rFonts w:asciiTheme="majorEastAsia" w:eastAsiaTheme="majorEastAsia" w:hAnsiTheme="majorEastAsia" w:hint="eastAsia"/>
          <w:bCs/>
          <w:sz w:val="18"/>
          <w:szCs w:val="18"/>
        </w:rPr>
        <w:t>（</w:t>
      </w:r>
      <w:r>
        <w:rPr>
          <w:rFonts w:asciiTheme="majorEastAsia" w:eastAsiaTheme="majorEastAsia" w:hAnsiTheme="majorEastAsia"/>
          <w:bCs/>
          <w:sz w:val="18"/>
          <w:szCs w:val="18"/>
        </w:rPr>
        <w:t>2）</w:t>
      </w:r>
      <w:r>
        <w:rPr>
          <w:rFonts w:asciiTheme="majorEastAsia" w:eastAsiaTheme="majorEastAsia" w:hAnsiTheme="majorEastAsia" w:hint="eastAsia"/>
          <w:bCs/>
          <w:sz w:val="18"/>
          <w:szCs w:val="18"/>
        </w:rPr>
        <w:t>金融市场发生重大变化导致理财产品投资比例暂时超出浮动区间且可能对理财产品收益产生重</w:t>
      </w:r>
      <w:r>
        <w:rPr>
          <w:rFonts w:asciiTheme="majorEastAsia" w:eastAsiaTheme="majorEastAsia" w:hAnsiTheme="majorEastAsia" w:hint="eastAsia"/>
          <w:bCs/>
          <w:sz w:val="18"/>
          <w:szCs w:val="18"/>
        </w:rPr>
        <w:lastRenderedPageBreak/>
        <w:t>大影响的，产品管理人依约定及时向投资者进行信息披露。</w:t>
      </w:r>
    </w:p>
    <w:p w:rsidR="00E039EF" w:rsidRDefault="003F2D22">
      <w:pPr>
        <w:autoSpaceDE w:val="0"/>
        <w:autoSpaceDN w:val="0"/>
        <w:adjustRightInd w:val="0"/>
        <w:spacing w:line="360" w:lineRule="auto"/>
        <w:ind w:firstLineChars="200" w:firstLine="360"/>
        <w:jc w:val="left"/>
        <w:rPr>
          <w:rFonts w:asciiTheme="majorEastAsia" w:eastAsiaTheme="majorEastAsia" w:hAnsiTheme="majorEastAsia"/>
          <w:bCs/>
          <w:sz w:val="18"/>
          <w:szCs w:val="18"/>
        </w:rPr>
      </w:pPr>
      <w:r>
        <w:rPr>
          <w:rFonts w:asciiTheme="majorEastAsia" w:eastAsiaTheme="majorEastAsia" w:hAnsiTheme="majorEastAsia" w:hint="eastAsia"/>
          <w:bCs/>
          <w:sz w:val="18"/>
          <w:szCs w:val="18"/>
        </w:rPr>
        <w:t>（</w:t>
      </w:r>
      <w:r>
        <w:rPr>
          <w:rFonts w:asciiTheme="majorEastAsia" w:eastAsiaTheme="majorEastAsia" w:hAnsiTheme="majorEastAsia"/>
          <w:bCs/>
          <w:sz w:val="18"/>
          <w:szCs w:val="18"/>
        </w:rPr>
        <w:t>3）</w:t>
      </w:r>
      <w:r>
        <w:rPr>
          <w:rFonts w:hAnsi="宋体" w:hint="eastAsia"/>
          <w:sz w:val="18"/>
          <w:szCs w:val="18"/>
        </w:rPr>
        <w:t>★</w:t>
      </w:r>
      <w:r>
        <w:rPr>
          <w:rFonts w:ascii="黑体" w:eastAsia="黑体" w:hAnsi="黑体" w:hint="eastAsia"/>
          <w:bCs/>
          <w:sz w:val="18"/>
          <w:szCs w:val="18"/>
        </w:rPr>
        <w:t>产品管理人应当根据市场情况调整投资范围、投资资产种类或投资比例，并进行相应公告。高风险类型的理财产品超出比例范围投资较低风险资产的，</w:t>
      </w:r>
      <w:r>
        <w:rPr>
          <w:rFonts w:ascii="黑体" w:eastAsia="黑体" w:hAnsi="黑体"/>
          <w:bCs/>
          <w:sz w:val="18"/>
          <w:szCs w:val="18"/>
        </w:rPr>
        <w:t>无需投资者</w:t>
      </w:r>
      <w:r>
        <w:rPr>
          <w:rFonts w:ascii="黑体" w:eastAsia="黑体" w:hAnsi="黑体" w:hint="eastAsia"/>
          <w:bCs/>
          <w:sz w:val="18"/>
          <w:szCs w:val="18"/>
        </w:rPr>
        <w:t>书面</w:t>
      </w:r>
      <w:r>
        <w:rPr>
          <w:rFonts w:ascii="黑体" w:eastAsia="黑体" w:hAnsi="黑体"/>
          <w:bCs/>
          <w:sz w:val="18"/>
          <w:szCs w:val="18"/>
        </w:rPr>
        <w:t>同意</w:t>
      </w:r>
      <w:r>
        <w:rPr>
          <w:rFonts w:ascii="黑体" w:eastAsia="黑体" w:hAnsi="黑体" w:hint="eastAsia"/>
          <w:bCs/>
          <w:sz w:val="18"/>
          <w:szCs w:val="18"/>
        </w:rPr>
        <w:t>。</w:t>
      </w:r>
    </w:p>
    <w:p w:rsidR="00E039EF" w:rsidRDefault="003F2D22">
      <w:pPr>
        <w:pStyle w:val="Default"/>
        <w:spacing w:line="360" w:lineRule="auto"/>
        <w:ind w:firstLineChars="200" w:firstLine="360"/>
        <w:jc w:val="both"/>
        <w:rPr>
          <w:rFonts w:asciiTheme="majorEastAsia" w:eastAsiaTheme="majorEastAsia" w:hAnsiTheme="majorEastAsia"/>
          <w:bCs/>
          <w:sz w:val="18"/>
          <w:szCs w:val="18"/>
        </w:rPr>
      </w:pPr>
      <w:r>
        <w:rPr>
          <w:rFonts w:ascii="黑体" w:eastAsia="黑体" w:hAnsi="黑体" w:hint="eastAsia"/>
          <w:bCs/>
          <w:sz w:val="18"/>
          <w:szCs w:val="18"/>
        </w:rPr>
        <w:t>（</w:t>
      </w:r>
      <w:r>
        <w:rPr>
          <w:rFonts w:ascii="黑体" w:eastAsia="黑体" w:hAnsi="黑体"/>
          <w:bCs/>
          <w:sz w:val="18"/>
          <w:szCs w:val="18"/>
        </w:rPr>
        <w:t>4）</w:t>
      </w:r>
      <w:r>
        <w:rPr>
          <w:rFonts w:hAnsi="宋体" w:hint="eastAsia"/>
          <w:sz w:val="18"/>
          <w:szCs w:val="18"/>
        </w:rPr>
        <w:t>★</w:t>
      </w:r>
      <w:r>
        <w:rPr>
          <w:rFonts w:ascii="黑体" w:eastAsia="黑体" w:hAnsi="黑体" w:hint="eastAsia"/>
          <w:bCs/>
          <w:sz w:val="18"/>
          <w:szCs w:val="18"/>
        </w:rPr>
        <w:t>产品管理人</w:t>
      </w:r>
      <w:r>
        <w:rPr>
          <w:rFonts w:ascii="黑体" w:eastAsia="黑体" w:hAnsi="黑体"/>
          <w:bCs/>
          <w:sz w:val="18"/>
          <w:szCs w:val="18"/>
        </w:rPr>
        <w:t>按照法律法规、</w:t>
      </w:r>
      <w:r>
        <w:rPr>
          <w:rFonts w:ascii="黑体" w:eastAsia="黑体" w:hAnsi="黑体" w:hint="eastAsia"/>
          <w:bCs/>
          <w:sz w:val="18"/>
          <w:szCs w:val="18"/>
        </w:rPr>
        <w:t>理财产品</w:t>
      </w:r>
      <w:r>
        <w:rPr>
          <w:rFonts w:ascii="黑体" w:eastAsia="黑体" w:hAnsi="黑体"/>
          <w:bCs/>
          <w:sz w:val="18"/>
          <w:szCs w:val="18"/>
        </w:rPr>
        <w:t>销售文件及其他相关约定，诚实信用、谨慎勤勉地实施投资管理行为，以专业技能管理理财</w:t>
      </w:r>
      <w:r>
        <w:rPr>
          <w:rFonts w:ascii="黑体" w:eastAsia="黑体" w:hAnsi="黑体" w:hint="eastAsia"/>
          <w:bCs/>
          <w:sz w:val="18"/>
          <w:szCs w:val="18"/>
        </w:rPr>
        <w:t>产品</w:t>
      </w:r>
      <w:r>
        <w:rPr>
          <w:rFonts w:ascii="黑体" w:eastAsia="黑体" w:hAnsi="黑体"/>
          <w:bCs/>
          <w:sz w:val="18"/>
          <w:szCs w:val="18"/>
        </w:rPr>
        <w:t>资产，依法维护理财产品全体投资者的利益。</w:t>
      </w:r>
      <w:r>
        <w:rPr>
          <w:rFonts w:ascii="黑体" w:eastAsia="黑体" w:hAnsi="黑体" w:hint="eastAsia"/>
          <w:bCs/>
          <w:sz w:val="18"/>
          <w:szCs w:val="18"/>
        </w:rPr>
        <w:t>产品管理人</w:t>
      </w:r>
      <w:r>
        <w:rPr>
          <w:rFonts w:ascii="黑体" w:eastAsia="黑体" w:hAnsi="黑体"/>
          <w:bCs/>
          <w:sz w:val="18"/>
          <w:szCs w:val="18"/>
        </w:rPr>
        <w:t>不对本产品的收益情况作出承诺或保证，亦不会承诺或保证最低收益或本金安全。</w:t>
      </w:r>
      <w:r>
        <w:rPr>
          <w:rFonts w:ascii="黑体" w:eastAsia="黑体" w:hAnsi="黑体" w:hint="eastAsia"/>
          <w:bCs/>
          <w:sz w:val="18"/>
          <w:szCs w:val="18"/>
        </w:rPr>
        <w:t>产品管理人</w:t>
      </w:r>
      <w:r>
        <w:rPr>
          <w:rFonts w:ascii="黑体" w:eastAsia="黑体" w:hAnsi="黑体"/>
          <w:bCs/>
          <w:sz w:val="18"/>
          <w:szCs w:val="18"/>
        </w:rPr>
        <w:t>按照本销售文件及其他相关</w:t>
      </w:r>
      <w:r>
        <w:rPr>
          <w:rFonts w:ascii="黑体" w:eastAsia="黑体" w:hAnsi="黑体" w:hint="eastAsia"/>
          <w:bCs/>
          <w:sz w:val="18"/>
          <w:szCs w:val="18"/>
        </w:rPr>
        <w:t>文件</w:t>
      </w:r>
      <w:r>
        <w:rPr>
          <w:rFonts w:ascii="黑体" w:eastAsia="黑体" w:hAnsi="黑体"/>
          <w:bCs/>
          <w:sz w:val="18"/>
          <w:szCs w:val="18"/>
        </w:rPr>
        <w:t>的规定进行投资运作，由此所产生的损失，</w:t>
      </w:r>
      <w:r>
        <w:rPr>
          <w:rFonts w:ascii="黑体" w:eastAsia="黑体" w:hAnsi="黑体" w:hint="eastAsia"/>
          <w:bCs/>
          <w:sz w:val="18"/>
          <w:szCs w:val="18"/>
        </w:rPr>
        <w:t>产品管理人</w:t>
      </w:r>
      <w:r>
        <w:rPr>
          <w:rFonts w:ascii="黑体" w:eastAsia="黑体" w:hAnsi="黑体"/>
          <w:bCs/>
          <w:sz w:val="18"/>
          <w:szCs w:val="18"/>
        </w:rPr>
        <w:t>不承担</w:t>
      </w:r>
      <w:r>
        <w:rPr>
          <w:rFonts w:ascii="黑体" w:eastAsia="黑体" w:hAnsi="黑体" w:hint="eastAsia"/>
          <w:bCs/>
          <w:sz w:val="18"/>
          <w:szCs w:val="18"/>
        </w:rPr>
        <w:t>责任</w:t>
      </w:r>
      <w:r>
        <w:rPr>
          <w:rFonts w:ascii="黑体" w:eastAsia="黑体" w:hAnsi="黑体"/>
          <w:bCs/>
          <w:sz w:val="18"/>
          <w:szCs w:val="18"/>
        </w:rPr>
        <w:t>。</w:t>
      </w:r>
    </w:p>
    <w:p w:rsidR="00E039EF" w:rsidRDefault="003F2D22">
      <w:pPr>
        <w:pStyle w:val="Default"/>
        <w:spacing w:line="360" w:lineRule="auto"/>
        <w:ind w:firstLineChars="150" w:firstLine="271"/>
      </w:pPr>
      <w:r>
        <w:rPr>
          <w:rFonts w:asciiTheme="majorEastAsia" w:eastAsiaTheme="majorEastAsia" w:hAnsiTheme="majorEastAsia" w:hint="eastAsia"/>
          <w:b/>
          <w:color w:val="auto"/>
          <w:sz w:val="18"/>
          <w:szCs w:val="18"/>
        </w:rPr>
        <w:t>（三）投资限制</w:t>
      </w:r>
    </w:p>
    <w:p w:rsidR="00E039EF" w:rsidRDefault="003F2D22">
      <w:pPr>
        <w:spacing w:line="360" w:lineRule="auto"/>
        <w:ind w:firstLineChars="200" w:firstLine="360"/>
        <w:rPr>
          <w:rFonts w:asciiTheme="majorEastAsia" w:eastAsiaTheme="majorEastAsia" w:hAnsiTheme="majorEastAsia"/>
          <w:bCs/>
          <w:kern w:val="0"/>
          <w:sz w:val="18"/>
          <w:szCs w:val="18"/>
        </w:rPr>
      </w:pPr>
      <w:r>
        <w:rPr>
          <w:rFonts w:asciiTheme="majorEastAsia" w:eastAsiaTheme="majorEastAsia" w:hAnsiTheme="majorEastAsia" w:hint="eastAsia"/>
          <w:bCs/>
          <w:kern w:val="0"/>
          <w:sz w:val="18"/>
          <w:szCs w:val="18"/>
        </w:rPr>
        <w:t>1.组合限制</w:t>
      </w:r>
    </w:p>
    <w:p w:rsidR="004227D0" w:rsidRDefault="004227D0" w:rsidP="004227D0">
      <w:pPr>
        <w:spacing w:line="360" w:lineRule="auto"/>
        <w:ind w:firstLineChars="200" w:firstLine="360"/>
        <w:rPr>
          <w:rFonts w:asciiTheme="majorEastAsia" w:eastAsiaTheme="majorEastAsia" w:hAnsiTheme="majorEastAsia"/>
          <w:bCs/>
          <w:kern w:val="0"/>
          <w:sz w:val="18"/>
          <w:szCs w:val="18"/>
        </w:rPr>
      </w:pPr>
      <w:permStart w:id="495080100" w:edGrp="everyone"/>
      <w:r>
        <w:rPr>
          <w:rFonts w:asciiTheme="majorEastAsia" w:eastAsiaTheme="majorEastAsia" w:hAnsiTheme="majorEastAsia" w:hint="eastAsia"/>
          <w:bCs/>
          <w:kern w:val="0"/>
          <w:sz w:val="18"/>
          <w:szCs w:val="18"/>
        </w:rPr>
        <w:t>（1）</w:t>
      </w:r>
      <w:r>
        <w:rPr>
          <w:rFonts w:asciiTheme="majorEastAsia" w:eastAsiaTheme="majorEastAsia" w:hAnsiTheme="majorEastAsia" w:hint="eastAsia"/>
          <w:bCs/>
          <w:sz w:val="18"/>
          <w:szCs w:val="18"/>
        </w:rPr>
        <w:t>每只公募理财</w:t>
      </w:r>
      <w:r>
        <w:rPr>
          <w:rFonts w:asciiTheme="majorEastAsia" w:eastAsiaTheme="majorEastAsia" w:hAnsiTheme="majorEastAsia" w:hint="eastAsia"/>
          <w:bCs/>
          <w:kern w:val="0"/>
          <w:sz w:val="18"/>
          <w:szCs w:val="18"/>
        </w:rPr>
        <w:t>产品投资单只证券或者单只公募证券投资基金的市值不得超过该理财产品净资产的10%。</w:t>
      </w:r>
    </w:p>
    <w:p w:rsidR="004227D0" w:rsidRDefault="004227D0" w:rsidP="004227D0">
      <w:pPr>
        <w:spacing w:line="360" w:lineRule="auto"/>
        <w:ind w:firstLineChars="200" w:firstLine="360"/>
        <w:rPr>
          <w:rFonts w:asciiTheme="majorEastAsia" w:eastAsiaTheme="majorEastAsia" w:hAnsiTheme="majorEastAsia"/>
          <w:bCs/>
          <w:kern w:val="0"/>
          <w:sz w:val="18"/>
          <w:szCs w:val="18"/>
        </w:rPr>
      </w:pPr>
      <w:r>
        <w:rPr>
          <w:rFonts w:asciiTheme="majorEastAsia" w:eastAsiaTheme="majorEastAsia" w:hAnsiTheme="majorEastAsia" w:hint="eastAsia"/>
          <w:bCs/>
          <w:kern w:val="0"/>
          <w:sz w:val="18"/>
          <w:szCs w:val="18"/>
        </w:rPr>
        <w:t>（2）全部公募理财产品持有单只证券或单只公募证券投资基金的市值，不得超过该证券市值或该公募证券投资基金市值的30%。</w:t>
      </w:r>
    </w:p>
    <w:p w:rsidR="004227D0" w:rsidRDefault="004227D0" w:rsidP="004227D0">
      <w:pPr>
        <w:spacing w:line="360" w:lineRule="auto"/>
        <w:ind w:firstLineChars="200" w:firstLine="360"/>
        <w:rPr>
          <w:rFonts w:asciiTheme="majorEastAsia" w:eastAsiaTheme="majorEastAsia" w:hAnsiTheme="majorEastAsia"/>
          <w:bCs/>
          <w:kern w:val="0"/>
          <w:sz w:val="18"/>
          <w:szCs w:val="18"/>
        </w:rPr>
      </w:pPr>
      <w:r>
        <w:rPr>
          <w:rFonts w:asciiTheme="majorEastAsia" w:eastAsiaTheme="majorEastAsia" w:hAnsiTheme="majorEastAsia" w:hint="eastAsia"/>
          <w:bCs/>
          <w:kern w:val="0"/>
          <w:sz w:val="18"/>
          <w:szCs w:val="18"/>
        </w:rPr>
        <w:t>（3）本产品因为流动性需要可开展存单质押、债券正回购等融资业务，本产品总资产不超过净资产的200%。</w:t>
      </w:r>
    </w:p>
    <w:p w:rsidR="00E039EF" w:rsidRDefault="003F2D22">
      <w:pPr>
        <w:spacing w:line="360" w:lineRule="auto"/>
        <w:ind w:firstLineChars="200" w:firstLine="360"/>
        <w:rPr>
          <w:rFonts w:asciiTheme="majorEastAsia" w:eastAsiaTheme="majorEastAsia" w:hAnsiTheme="majorEastAsia"/>
          <w:bCs/>
          <w:sz w:val="18"/>
          <w:szCs w:val="18"/>
        </w:rPr>
      </w:pPr>
      <w:r>
        <w:rPr>
          <w:rFonts w:asciiTheme="majorEastAsia" w:eastAsiaTheme="majorEastAsia" w:hAnsiTheme="majorEastAsia" w:hint="eastAsia"/>
          <w:bCs/>
          <w:sz w:val="18"/>
          <w:szCs w:val="18"/>
        </w:rPr>
        <w:t>非因产品管理人主观因素导致突破前述比例限制的，产品管理人应当在流动性受限资产可出售、可转让或者恢复交易的10个交易日内调整至符合要求，监管机构规定的特殊情形除外。本产品投资于国债、地方政府债券、中央银行票据、政府机构债券、政策性金融债券以及完全按照有关指数的构成比例进行投资的除外。</w:t>
      </w:r>
    </w:p>
    <w:permEnd w:id="495080100"/>
    <w:p w:rsidR="00E039EF" w:rsidRDefault="003F2D22">
      <w:pPr>
        <w:spacing w:line="360" w:lineRule="auto"/>
        <w:ind w:firstLineChars="200" w:firstLine="360"/>
        <w:rPr>
          <w:rFonts w:ascii="宋体" w:hAnsi="宋体"/>
          <w:bCs/>
          <w:sz w:val="18"/>
          <w:szCs w:val="18"/>
        </w:rPr>
      </w:pPr>
      <w:r>
        <w:rPr>
          <w:rFonts w:ascii="宋体" w:hAnsi="宋体"/>
          <w:bCs/>
          <w:sz w:val="18"/>
          <w:szCs w:val="18"/>
        </w:rPr>
        <w:t>2.</w:t>
      </w:r>
      <w:r>
        <w:rPr>
          <w:rFonts w:ascii="宋体" w:hAnsi="宋体" w:hint="eastAsia"/>
          <w:bCs/>
          <w:sz w:val="18"/>
          <w:szCs w:val="18"/>
        </w:rPr>
        <w:t>其他投资限制：</w:t>
      </w:r>
    </w:p>
    <w:p w:rsidR="00E039EF" w:rsidRDefault="003F2D22">
      <w:pPr>
        <w:spacing w:line="360" w:lineRule="auto"/>
        <w:ind w:firstLineChars="200" w:firstLine="360"/>
        <w:rPr>
          <w:rFonts w:ascii="宋体" w:hAnsi="宋体"/>
          <w:bCs/>
          <w:sz w:val="18"/>
          <w:szCs w:val="18"/>
        </w:rPr>
      </w:pPr>
      <w:r>
        <w:rPr>
          <w:rFonts w:ascii="宋体" w:hAnsi="宋体" w:hint="eastAsia"/>
          <w:bCs/>
          <w:sz w:val="18"/>
          <w:szCs w:val="18"/>
        </w:rPr>
        <w:t>（</w:t>
      </w:r>
      <w:r>
        <w:rPr>
          <w:rFonts w:ascii="宋体" w:hAnsi="宋体"/>
          <w:bCs/>
          <w:sz w:val="18"/>
          <w:szCs w:val="18"/>
        </w:rPr>
        <w:t>1</w:t>
      </w:r>
      <w:r>
        <w:rPr>
          <w:rFonts w:ascii="宋体" w:hAnsi="宋体" w:hint="eastAsia"/>
          <w:bCs/>
          <w:sz w:val="18"/>
          <w:szCs w:val="18"/>
        </w:rPr>
        <w:t>）不得直接投资于信贷资产，不得直接或间接投资于兴业银行信贷资产，不得直接或间接投资于本产品管理人发行的理财产品，不得直接或间接投资于兴业银行发行的次级档信贷资产支持证券。</w:t>
      </w:r>
    </w:p>
    <w:p w:rsidR="00E039EF" w:rsidRDefault="003F2D22">
      <w:pPr>
        <w:spacing w:line="360" w:lineRule="auto"/>
        <w:ind w:firstLineChars="200" w:firstLine="360"/>
        <w:rPr>
          <w:rFonts w:ascii="宋体" w:hAnsi="宋体"/>
          <w:bCs/>
          <w:sz w:val="18"/>
          <w:szCs w:val="18"/>
        </w:rPr>
      </w:pPr>
      <w:r>
        <w:rPr>
          <w:rFonts w:ascii="宋体" w:hAnsi="宋体" w:hint="eastAsia"/>
          <w:bCs/>
          <w:sz w:val="18"/>
          <w:szCs w:val="18"/>
        </w:rPr>
        <w:t>（</w:t>
      </w:r>
      <w:r>
        <w:rPr>
          <w:rFonts w:ascii="宋体" w:hAnsi="宋体"/>
          <w:bCs/>
          <w:sz w:val="18"/>
          <w:szCs w:val="18"/>
        </w:rPr>
        <w:t>2</w:t>
      </w:r>
      <w:r>
        <w:rPr>
          <w:rFonts w:ascii="宋体" w:hAnsi="宋体" w:hint="eastAsia"/>
          <w:bCs/>
          <w:sz w:val="18"/>
          <w:szCs w:val="18"/>
        </w:rPr>
        <w:t>）面向非机构投资者发行的理财产品不得直接或间接投资于不良资产、不良资产支持证券，国务院银行业监督管理机构另有规定的除外。</w:t>
      </w:r>
    </w:p>
    <w:p w:rsidR="00E039EF" w:rsidRDefault="003F2D22">
      <w:pPr>
        <w:spacing w:line="360" w:lineRule="auto"/>
        <w:ind w:firstLineChars="200" w:firstLine="360"/>
        <w:rPr>
          <w:rFonts w:ascii="宋体" w:hAnsi="宋体"/>
          <w:bCs/>
          <w:sz w:val="18"/>
          <w:szCs w:val="18"/>
        </w:rPr>
      </w:pPr>
      <w:r>
        <w:rPr>
          <w:rFonts w:ascii="宋体" w:hAnsi="宋体" w:hint="eastAsia"/>
          <w:bCs/>
          <w:sz w:val="18"/>
          <w:szCs w:val="18"/>
        </w:rPr>
        <w:t>（</w:t>
      </w:r>
      <w:r>
        <w:rPr>
          <w:rFonts w:ascii="宋体" w:hAnsi="宋体"/>
          <w:bCs/>
          <w:sz w:val="18"/>
          <w:szCs w:val="18"/>
        </w:rPr>
        <w:t>3</w:t>
      </w:r>
      <w:r>
        <w:rPr>
          <w:rFonts w:ascii="宋体" w:hAnsi="宋体" w:hint="eastAsia"/>
          <w:bCs/>
          <w:sz w:val="18"/>
          <w:szCs w:val="18"/>
        </w:rPr>
        <w:t>）不得直接或间接投资于《商业银行理财业务监督管理办法》（银保监会令</w:t>
      </w:r>
      <w:r>
        <w:rPr>
          <w:rFonts w:ascii="宋体" w:hAnsi="宋体"/>
          <w:bCs/>
          <w:sz w:val="18"/>
          <w:szCs w:val="18"/>
        </w:rPr>
        <w:t>2018年第6号）第三十五条所列示资产之外，由未经金融监督管理部门许可设立、</w:t>
      </w:r>
      <w:r>
        <w:rPr>
          <w:rFonts w:ascii="宋体" w:hAnsi="宋体" w:hint="eastAsia"/>
          <w:bCs/>
          <w:sz w:val="18"/>
          <w:szCs w:val="18"/>
        </w:rPr>
        <w:t>不持有金融牌照的机构发行的产品或管理的资产，金融资产投资公司的附属机构依法依规设立的私募股权投资基金以及国务院银行业监督管理机构另有规定的除外。</w:t>
      </w:r>
    </w:p>
    <w:p w:rsidR="00E039EF" w:rsidRDefault="003F2D22">
      <w:pPr>
        <w:spacing w:line="360" w:lineRule="auto"/>
        <w:ind w:firstLineChars="200" w:firstLine="360"/>
        <w:rPr>
          <w:rFonts w:ascii="宋体" w:hAnsi="宋体"/>
          <w:bCs/>
          <w:sz w:val="18"/>
          <w:szCs w:val="18"/>
        </w:rPr>
      </w:pPr>
      <w:r>
        <w:rPr>
          <w:rFonts w:ascii="宋体" w:hAnsi="宋体" w:hint="eastAsia"/>
          <w:bCs/>
          <w:sz w:val="18"/>
          <w:szCs w:val="18"/>
        </w:rPr>
        <w:t>（</w:t>
      </w:r>
      <w:r>
        <w:rPr>
          <w:rFonts w:ascii="宋体" w:hAnsi="宋体"/>
          <w:bCs/>
          <w:sz w:val="18"/>
          <w:szCs w:val="18"/>
        </w:rPr>
        <w:t>4</w:t>
      </w:r>
      <w:r>
        <w:rPr>
          <w:rFonts w:ascii="宋体" w:hAnsi="宋体" w:hint="eastAsia"/>
          <w:bCs/>
          <w:sz w:val="18"/>
          <w:szCs w:val="18"/>
        </w:rPr>
        <w:t>）不得直接或间接投资于兴业银行信贷资产受（收）益权，面向非机构投资者发行的理财产品不得直接或间接投资于不良资产受（收）益权。</w:t>
      </w:r>
    </w:p>
    <w:p w:rsidR="00E039EF" w:rsidRDefault="003F2D22">
      <w:pPr>
        <w:spacing w:line="360" w:lineRule="auto"/>
        <w:ind w:firstLineChars="200" w:firstLine="360"/>
        <w:rPr>
          <w:rFonts w:ascii="宋体" w:hAnsi="宋体"/>
          <w:bCs/>
          <w:sz w:val="18"/>
          <w:szCs w:val="18"/>
        </w:rPr>
      </w:pPr>
      <w:r>
        <w:rPr>
          <w:rFonts w:ascii="宋体" w:hAnsi="宋体" w:hint="eastAsia"/>
          <w:bCs/>
          <w:sz w:val="18"/>
          <w:szCs w:val="18"/>
        </w:rPr>
        <w:lastRenderedPageBreak/>
        <w:t>（</w:t>
      </w:r>
      <w:r>
        <w:rPr>
          <w:rFonts w:ascii="宋体" w:hAnsi="宋体"/>
          <w:bCs/>
          <w:sz w:val="18"/>
          <w:szCs w:val="18"/>
        </w:rPr>
        <w:t>5</w:t>
      </w:r>
      <w:r>
        <w:rPr>
          <w:rFonts w:ascii="宋体" w:hAnsi="宋体" w:hint="eastAsia"/>
          <w:bCs/>
          <w:sz w:val="18"/>
          <w:szCs w:val="18"/>
        </w:rPr>
        <w:t>）其他法律法规规定或监管规定禁止或限制理财产品投资的情形。</w:t>
      </w:r>
    </w:p>
    <w:p w:rsidR="00E039EF" w:rsidRDefault="003F2D22">
      <w:pPr>
        <w:spacing w:line="360" w:lineRule="auto"/>
        <w:ind w:firstLineChars="200" w:firstLine="360"/>
        <w:rPr>
          <w:rFonts w:asciiTheme="majorEastAsia" w:eastAsiaTheme="majorEastAsia" w:hAnsiTheme="majorEastAsia"/>
          <w:bCs/>
          <w:sz w:val="18"/>
          <w:szCs w:val="18"/>
        </w:rPr>
      </w:pPr>
      <w:r>
        <w:rPr>
          <w:rFonts w:asciiTheme="majorEastAsia" w:eastAsiaTheme="majorEastAsia" w:hAnsiTheme="majorEastAsia"/>
          <w:bCs/>
          <w:sz w:val="18"/>
          <w:szCs w:val="18"/>
        </w:rPr>
        <w:t>3</w:t>
      </w:r>
      <w:r>
        <w:rPr>
          <w:rFonts w:asciiTheme="majorEastAsia" w:eastAsiaTheme="majorEastAsia" w:hAnsiTheme="majorEastAsia" w:hint="eastAsia"/>
          <w:bCs/>
          <w:sz w:val="18"/>
          <w:szCs w:val="18"/>
        </w:rPr>
        <w:t>.</w:t>
      </w:r>
      <w:r>
        <w:rPr>
          <w:rFonts w:asciiTheme="majorEastAsia" w:eastAsiaTheme="majorEastAsia" w:hAnsiTheme="majorEastAsia"/>
          <w:bCs/>
          <w:sz w:val="18"/>
          <w:szCs w:val="18"/>
        </w:rPr>
        <w:t>如果法律法规对本销售文件约定的投资限制进行变更的，以变更后的规定为准。</w:t>
      </w:r>
    </w:p>
    <w:p w:rsidR="00E039EF" w:rsidRDefault="003F2D22">
      <w:pPr>
        <w:spacing w:line="360" w:lineRule="auto"/>
        <w:ind w:firstLineChars="200" w:firstLine="361"/>
        <w:rPr>
          <w:rFonts w:asciiTheme="majorEastAsia" w:eastAsiaTheme="majorEastAsia" w:hAnsiTheme="majorEastAsia"/>
          <w:b/>
          <w:bCs/>
          <w:sz w:val="18"/>
          <w:szCs w:val="18"/>
        </w:rPr>
      </w:pPr>
      <w:r>
        <w:rPr>
          <w:rFonts w:asciiTheme="majorEastAsia" w:eastAsiaTheme="majorEastAsia" w:hAnsiTheme="majorEastAsia"/>
          <w:b/>
          <w:bCs/>
          <w:sz w:val="18"/>
          <w:szCs w:val="18"/>
        </w:rPr>
        <w:t>（</w:t>
      </w:r>
      <w:r>
        <w:rPr>
          <w:rFonts w:asciiTheme="majorEastAsia" w:eastAsiaTheme="majorEastAsia" w:hAnsiTheme="majorEastAsia" w:hint="eastAsia"/>
          <w:b/>
          <w:bCs/>
          <w:sz w:val="18"/>
          <w:szCs w:val="18"/>
        </w:rPr>
        <w:t>四</w:t>
      </w:r>
      <w:r>
        <w:rPr>
          <w:rFonts w:asciiTheme="majorEastAsia" w:eastAsiaTheme="majorEastAsia" w:hAnsiTheme="majorEastAsia"/>
          <w:b/>
          <w:bCs/>
          <w:sz w:val="18"/>
          <w:szCs w:val="18"/>
        </w:rPr>
        <w:t>）</w:t>
      </w:r>
      <w:r>
        <w:rPr>
          <w:rFonts w:asciiTheme="majorEastAsia" w:eastAsiaTheme="majorEastAsia" w:hAnsiTheme="majorEastAsia" w:hint="eastAsia"/>
          <w:b/>
          <w:bCs/>
          <w:sz w:val="18"/>
          <w:szCs w:val="18"/>
        </w:rPr>
        <w:t>投资策略</w:t>
      </w:r>
    </w:p>
    <w:p w:rsidR="00E039EF" w:rsidRDefault="003F2D22">
      <w:pPr>
        <w:pStyle w:val="Default"/>
        <w:spacing w:line="360" w:lineRule="auto"/>
        <w:ind w:firstLineChars="200" w:firstLine="360"/>
        <w:rPr>
          <w:rFonts w:asciiTheme="majorEastAsia" w:eastAsiaTheme="majorEastAsia" w:hAnsiTheme="majorEastAsia"/>
          <w:sz w:val="18"/>
          <w:szCs w:val="18"/>
        </w:rPr>
      </w:pPr>
      <w:permStart w:id="658914952" w:edGrp="everyone"/>
      <w:r>
        <w:rPr>
          <w:rFonts w:asciiTheme="majorEastAsia" w:eastAsiaTheme="majorEastAsia" w:hAnsiTheme="majorEastAsia" w:hint="eastAsia"/>
          <w:sz w:val="18"/>
          <w:szCs w:val="18"/>
        </w:rPr>
        <w:t>【</w:t>
      </w:r>
      <w:r w:rsidR="004227D0">
        <w:rPr>
          <w:rFonts w:hAnsi="宋体" w:hint="eastAsia"/>
          <w:bCs/>
          <w:sz w:val="18"/>
          <w:szCs w:val="18"/>
        </w:rPr>
        <w:t>本产品采取债券配置策略，判断债券在经济和货币周期不同阶段的相对投资价值，确定不同期限和不同类型债券的配置价值，实现组合的稳健增值。产品整体以稳定类固定收益资产为主要投资标的、获取票息作为基础收益，同时参与债券资产的交易类机会、博取一定的弹性收益，是以低波动、绝对收益为目标进行投资管理。</w:t>
      </w:r>
      <w:r>
        <w:rPr>
          <w:rFonts w:asciiTheme="majorEastAsia" w:eastAsiaTheme="majorEastAsia" w:hAnsiTheme="majorEastAsia" w:hint="eastAsia"/>
          <w:sz w:val="18"/>
          <w:szCs w:val="18"/>
        </w:rPr>
        <w:t>】</w:t>
      </w:r>
    </w:p>
    <w:permEnd w:id="658914952"/>
    <w:p w:rsidR="00E039EF" w:rsidRDefault="003F2D22">
      <w:pPr>
        <w:pStyle w:val="Default"/>
        <w:spacing w:line="360" w:lineRule="auto"/>
        <w:ind w:firstLineChars="200" w:firstLine="360"/>
        <w:rPr>
          <w:rFonts w:asciiTheme="majorEastAsia" w:eastAsiaTheme="majorEastAsia" w:hAnsiTheme="majorEastAsia"/>
          <w:bCs/>
          <w:color w:val="auto"/>
          <w:sz w:val="18"/>
          <w:szCs w:val="18"/>
        </w:rPr>
      </w:pPr>
      <w:r>
        <w:rPr>
          <w:rFonts w:asciiTheme="majorEastAsia" w:eastAsiaTheme="majorEastAsia" w:hAnsiTheme="majorEastAsia"/>
          <w:sz w:val="18"/>
          <w:szCs w:val="18"/>
        </w:rPr>
        <w:br w:type="page"/>
      </w:r>
    </w:p>
    <w:p w:rsidR="00E039EF" w:rsidRDefault="003F2D22">
      <w:pPr>
        <w:pStyle w:val="1"/>
        <w:spacing w:before="0" w:after="0" w:line="360" w:lineRule="auto"/>
        <w:jc w:val="center"/>
        <w:rPr>
          <w:rFonts w:ascii="Times New Roman"/>
          <w:sz w:val="30"/>
        </w:rPr>
      </w:pPr>
      <w:bookmarkStart w:id="28" w:name="_Toc7848"/>
      <w:bookmarkStart w:id="29" w:name="_Toc18797"/>
      <w:bookmarkStart w:id="30" w:name="_Toc17912"/>
      <w:bookmarkStart w:id="31" w:name="_Toc14893"/>
      <w:bookmarkStart w:id="32" w:name="_Toc79154669"/>
      <w:bookmarkStart w:id="33" w:name="_Toc18329"/>
      <w:bookmarkStart w:id="34" w:name="_Toc141703885"/>
      <w:bookmarkStart w:id="35" w:name="_Toc21988"/>
      <w:bookmarkStart w:id="36" w:name="_Toc26986"/>
      <w:bookmarkStart w:id="37" w:name="_Toc18526"/>
      <w:bookmarkStart w:id="38" w:name="_Toc74065742"/>
      <w:bookmarkStart w:id="39" w:name="_Toc1823"/>
      <w:bookmarkStart w:id="40" w:name="_Toc116649654"/>
      <w:bookmarkStart w:id="41" w:name="_Toc139991735"/>
      <w:bookmarkStart w:id="42" w:name="_Toc4741"/>
      <w:r>
        <w:rPr>
          <w:rFonts w:ascii="Times New Roman"/>
          <w:sz w:val="30"/>
        </w:rPr>
        <w:lastRenderedPageBreak/>
        <w:t>第六</w:t>
      </w:r>
      <w:r>
        <w:rPr>
          <w:rFonts w:ascii="Times New Roman" w:hint="eastAsia"/>
          <w:sz w:val="30"/>
        </w:rPr>
        <w:t>条</w:t>
      </w:r>
      <w:r>
        <w:rPr>
          <w:rFonts w:ascii="Times New Roman"/>
          <w:sz w:val="30"/>
        </w:rPr>
        <w:t xml:space="preserve">  </w:t>
      </w:r>
      <w:r>
        <w:rPr>
          <w:rFonts w:ascii="Times New Roman" w:hint="eastAsia"/>
          <w:sz w:val="30"/>
        </w:rPr>
        <w:t>理财产品的资产</w:t>
      </w:r>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p>
    <w:p w:rsidR="00E039EF" w:rsidRDefault="003F2D22">
      <w:pPr>
        <w:pStyle w:val="Default"/>
        <w:spacing w:line="360" w:lineRule="auto"/>
        <w:ind w:firstLineChars="200" w:firstLine="361"/>
        <w:rPr>
          <w:rFonts w:asciiTheme="majorEastAsia" w:eastAsiaTheme="majorEastAsia" w:hAnsiTheme="majorEastAsia"/>
          <w:b/>
          <w:color w:val="auto"/>
          <w:sz w:val="18"/>
          <w:szCs w:val="18"/>
        </w:rPr>
      </w:pPr>
      <w:bookmarkStart w:id="43" w:name="_Hlk490214295"/>
      <w:r>
        <w:rPr>
          <w:rFonts w:asciiTheme="majorEastAsia" w:eastAsiaTheme="majorEastAsia" w:hAnsiTheme="majorEastAsia" w:hint="eastAsia"/>
          <w:b/>
          <w:color w:val="auto"/>
          <w:sz w:val="18"/>
          <w:szCs w:val="18"/>
        </w:rPr>
        <w:t>（一）理财产品的资产的保管和处分</w:t>
      </w:r>
    </w:p>
    <w:p w:rsidR="00E039EF" w:rsidRDefault="003F2D22">
      <w:pPr>
        <w:pStyle w:val="Default"/>
        <w:spacing w:line="360" w:lineRule="auto"/>
        <w:ind w:firstLineChars="200" w:firstLine="360"/>
        <w:rPr>
          <w:rFonts w:asciiTheme="majorEastAsia" w:eastAsiaTheme="majorEastAsia" w:hAnsiTheme="majorEastAsia"/>
          <w:color w:val="auto"/>
          <w:sz w:val="18"/>
          <w:szCs w:val="18"/>
        </w:rPr>
      </w:pPr>
      <w:r>
        <w:rPr>
          <w:rFonts w:asciiTheme="majorEastAsia" w:eastAsiaTheme="majorEastAsia" w:hAnsiTheme="majorEastAsia"/>
          <w:color w:val="auto"/>
          <w:sz w:val="18"/>
          <w:szCs w:val="18"/>
        </w:rPr>
        <w:t>1.</w:t>
      </w:r>
      <w:r>
        <w:rPr>
          <w:rFonts w:asciiTheme="majorEastAsia" w:eastAsiaTheme="majorEastAsia" w:hAnsiTheme="majorEastAsia" w:hint="eastAsia"/>
          <w:color w:val="auto"/>
          <w:sz w:val="18"/>
          <w:szCs w:val="18"/>
        </w:rPr>
        <w:t>本理财产品的资产独立于产品管理人和产品托管人的财产，并由产品托管人保管。</w:t>
      </w:r>
    </w:p>
    <w:p w:rsidR="00E039EF" w:rsidRDefault="003F2D22">
      <w:pPr>
        <w:pStyle w:val="Default"/>
        <w:spacing w:line="360" w:lineRule="auto"/>
        <w:ind w:firstLineChars="200" w:firstLine="360"/>
        <w:rPr>
          <w:rFonts w:asciiTheme="majorEastAsia" w:eastAsiaTheme="majorEastAsia" w:hAnsiTheme="majorEastAsia"/>
          <w:color w:val="auto"/>
          <w:sz w:val="18"/>
          <w:szCs w:val="18"/>
        </w:rPr>
      </w:pPr>
      <w:r>
        <w:rPr>
          <w:rFonts w:asciiTheme="majorEastAsia" w:eastAsiaTheme="majorEastAsia" w:hAnsiTheme="majorEastAsia"/>
          <w:color w:val="auto"/>
          <w:sz w:val="18"/>
          <w:szCs w:val="18"/>
        </w:rPr>
        <w:t>2.</w:t>
      </w:r>
      <w:r>
        <w:rPr>
          <w:rFonts w:asciiTheme="majorEastAsia" w:eastAsiaTheme="majorEastAsia" w:hAnsiTheme="majorEastAsia" w:hint="eastAsia"/>
          <w:color w:val="auto"/>
          <w:sz w:val="18"/>
          <w:szCs w:val="18"/>
        </w:rPr>
        <w:t>产品管理人和产品托管人以其自有的财产承担其自身的法律责任，其债权人不得对本产品财产行使请求冻结、扣押或其他权利。除依法律法规规定的处分外，理财产品的资产不得被处分。</w:t>
      </w:r>
    </w:p>
    <w:p w:rsidR="00E039EF" w:rsidRDefault="003F2D22">
      <w:pPr>
        <w:pStyle w:val="Default"/>
        <w:spacing w:line="360" w:lineRule="auto"/>
        <w:ind w:firstLineChars="200" w:firstLine="360"/>
        <w:rPr>
          <w:rFonts w:asciiTheme="majorEastAsia" w:eastAsiaTheme="majorEastAsia" w:hAnsiTheme="majorEastAsia"/>
          <w:color w:val="auto"/>
          <w:sz w:val="18"/>
          <w:szCs w:val="18"/>
        </w:rPr>
      </w:pPr>
      <w:r>
        <w:rPr>
          <w:rFonts w:asciiTheme="majorEastAsia" w:eastAsiaTheme="majorEastAsia" w:hAnsiTheme="majorEastAsia"/>
          <w:color w:val="auto"/>
          <w:sz w:val="18"/>
          <w:szCs w:val="18"/>
        </w:rPr>
        <w:t>3.</w:t>
      </w:r>
      <w:r>
        <w:rPr>
          <w:rFonts w:asciiTheme="majorEastAsia" w:eastAsiaTheme="majorEastAsia" w:hAnsiTheme="majorEastAsia" w:hint="eastAsia"/>
          <w:color w:val="auto"/>
          <w:sz w:val="18"/>
          <w:szCs w:val="18"/>
        </w:rPr>
        <w:t>产品管理人和产品托管人因依法解散、被依法撤销或者被依法宣告破产等原因进行清算的，理财产品的资产不属于其清算财产。产品管理人管理运作理财财产所产生的债权，不得与其固有资产产生的债务相互抵销；产品管理人管理运作不同产品的理财财产所产生的债权债务不得相互抵销。</w:t>
      </w:r>
    </w:p>
    <w:p w:rsidR="00E039EF" w:rsidRDefault="003F2D22">
      <w:pPr>
        <w:pStyle w:val="Default"/>
        <w:spacing w:line="360" w:lineRule="auto"/>
        <w:ind w:firstLineChars="200" w:firstLine="361"/>
        <w:rPr>
          <w:rFonts w:asciiTheme="majorEastAsia" w:eastAsiaTheme="majorEastAsia" w:hAnsiTheme="majorEastAsia"/>
          <w:b/>
          <w:color w:val="auto"/>
          <w:sz w:val="18"/>
          <w:szCs w:val="18"/>
        </w:rPr>
      </w:pPr>
      <w:r>
        <w:rPr>
          <w:rFonts w:asciiTheme="majorEastAsia" w:eastAsiaTheme="majorEastAsia" w:hAnsiTheme="majorEastAsia" w:hint="eastAsia"/>
          <w:b/>
          <w:color w:val="auto"/>
          <w:sz w:val="18"/>
          <w:szCs w:val="18"/>
        </w:rPr>
        <w:t>（二）理财产品的有关账户</w:t>
      </w:r>
    </w:p>
    <w:p w:rsidR="00E039EF" w:rsidRDefault="003F2D22">
      <w:pPr>
        <w:pStyle w:val="Default"/>
        <w:spacing w:line="360" w:lineRule="auto"/>
        <w:ind w:firstLineChars="200" w:firstLine="360"/>
        <w:rPr>
          <w:rFonts w:asciiTheme="majorEastAsia" w:eastAsiaTheme="majorEastAsia" w:hAnsiTheme="majorEastAsia"/>
          <w:color w:val="auto"/>
          <w:sz w:val="18"/>
          <w:szCs w:val="18"/>
        </w:rPr>
      </w:pPr>
      <w:r>
        <w:rPr>
          <w:rFonts w:asciiTheme="majorEastAsia" w:eastAsiaTheme="majorEastAsia" w:hAnsiTheme="majorEastAsia"/>
          <w:color w:val="auto"/>
          <w:sz w:val="18"/>
          <w:szCs w:val="18"/>
        </w:rPr>
        <w:t>1.</w:t>
      </w:r>
      <w:r>
        <w:rPr>
          <w:rFonts w:asciiTheme="majorEastAsia" w:eastAsiaTheme="majorEastAsia" w:hAnsiTheme="majorEastAsia" w:hint="eastAsia"/>
          <w:color w:val="auto"/>
          <w:sz w:val="18"/>
          <w:szCs w:val="18"/>
        </w:rPr>
        <w:t>产品管理人和产品托管人根据相关法律法规、规范性文件为本产品开立资金账户、证券账户以及投资所需的其他专用账户。</w:t>
      </w:r>
    </w:p>
    <w:p w:rsidR="00E039EF" w:rsidRDefault="003F2D22">
      <w:pPr>
        <w:pStyle w:val="Default"/>
        <w:spacing w:line="360" w:lineRule="auto"/>
        <w:ind w:firstLineChars="200" w:firstLine="360"/>
        <w:rPr>
          <w:rFonts w:asciiTheme="majorEastAsia" w:eastAsiaTheme="majorEastAsia" w:hAnsiTheme="majorEastAsia"/>
          <w:color w:val="auto"/>
          <w:sz w:val="18"/>
          <w:szCs w:val="18"/>
        </w:rPr>
      </w:pPr>
      <w:r>
        <w:rPr>
          <w:rFonts w:asciiTheme="majorEastAsia" w:eastAsiaTheme="majorEastAsia" w:hAnsiTheme="majorEastAsia"/>
          <w:color w:val="auto"/>
          <w:sz w:val="18"/>
          <w:szCs w:val="18"/>
        </w:rPr>
        <w:t>2.</w:t>
      </w:r>
      <w:r>
        <w:rPr>
          <w:rFonts w:asciiTheme="majorEastAsia" w:eastAsiaTheme="majorEastAsia" w:hAnsiTheme="majorEastAsia" w:hint="eastAsia"/>
          <w:color w:val="auto"/>
          <w:sz w:val="18"/>
          <w:szCs w:val="18"/>
        </w:rPr>
        <w:t>开立的理财专用账户与产品管理人和产品托管人自有的财产账户以及其他理财产品的有关账户相独立。</w:t>
      </w:r>
    </w:p>
    <w:p w:rsidR="00E039EF" w:rsidRDefault="003F2D22">
      <w:pPr>
        <w:widowControl/>
        <w:spacing w:line="360" w:lineRule="auto"/>
        <w:jc w:val="left"/>
        <w:rPr>
          <w:rFonts w:asciiTheme="majorEastAsia" w:eastAsiaTheme="majorEastAsia" w:hAnsiTheme="majorEastAsia"/>
          <w:kern w:val="0"/>
          <w:sz w:val="18"/>
          <w:szCs w:val="18"/>
        </w:rPr>
      </w:pPr>
      <w:r>
        <w:rPr>
          <w:rFonts w:asciiTheme="majorEastAsia" w:eastAsiaTheme="majorEastAsia" w:hAnsiTheme="majorEastAsia"/>
          <w:sz w:val="18"/>
          <w:szCs w:val="18"/>
        </w:rPr>
        <w:br w:type="page"/>
      </w:r>
    </w:p>
    <w:p w:rsidR="00E039EF" w:rsidRDefault="003F2D22">
      <w:pPr>
        <w:pStyle w:val="1"/>
        <w:spacing w:before="0" w:after="0" w:line="360" w:lineRule="auto"/>
        <w:jc w:val="center"/>
        <w:rPr>
          <w:rFonts w:ascii="Times New Roman"/>
          <w:sz w:val="30"/>
        </w:rPr>
      </w:pPr>
      <w:bookmarkStart w:id="44" w:name="_Toc7920"/>
      <w:bookmarkStart w:id="45" w:name="_Toc610"/>
      <w:bookmarkStart w:id="46" w:name="_Toc10463"/>
      <w:bookmarkStart w:id="47" w:name="_Toc116649655"/>
      <w:bookmarkStart w:id="48" w:name="_Toc139991736"/>
      <w:bookmarkStart w:id="49" w:name="_Toc123112234"/>
      <w:bookmarkStart w:id="50" w:name="_Toc20733"/>
      <w:bookmarkStart w:id="51" w:name="_Toc123102453"/>
      <w:bookmarkStart w:id="52" w:name="_Toc23261"/>
      <w:bookmarkStart w:id="53" w:name="_Toc1427"/>
      <w:bookmarkStart w:id="54" w:name="_Toc123051452"/>
      <w:bookmarkStart w:id="55" w:name="_Toc141703886"/>
      <w:bookmarkStart w:id="56" w:name="_Toc98560352"/>
      <w:bookmarkStart w:id="57" w:name="_Toc79154670"/>
      <w:bookmarkStart w:id="58" w:name="_Toc74065743"/>
      <w:bookmarkStart w:id="59" w:name="_Toc48649707"/>
      <w:bookmarkStart w:id="60" w:name="_Toc1270"/>
      <w:bookmarkStart w:id="61" w:name="_Toc17244"/>
      <w:bookmarkStart w:id="62" w:name="_Toc4003"/>
      <w:bookmarkStart w:id="63" w:name="_Toc23822"/>
      <w:bookmarkStart w:id="64" w:name="_Toc79392606"/>
      <w:bookmarkEnd w:id="43"/>
      <w:r>
        <w:rPr>
          <w:rFonts w:ascii="Times New Roman"/>
          <w:sz w:val="30"/>
        </w:rPr>
        <w:lastRenderedPageBreak/>
        <w:t>第七</w:t>
      </w:r>
      <w:r>
        <w:rPr>
          <w:rFonts w:ascii="Times New Roman" w:hint="eastAsia"/>
          <w:sz w:val="30"/>
        </w:rPr>
        <w:t>条</w:t>
      </w:r>
      <w:r>
        <w:rPr>
          <w:rFonts w:ascii="Times New Roman"/>
          <w:sz w:val="30"/>
        </w:rPr>
        <w:t xml:space="preserve">  </w:t>
      </w:r>
      <w:r>
        <w:rPr>
          <w:rFonts w:ascii="Times New Roman" w:hint="eastAsia"/>
          <w:sz w:val="30"/>
        </w:rPr>
        <w:t>理财产品项下资产的估值</w:t>
      </w:r>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p>
    <w:p w:rsidR="00E039EF" w:rsidRDefault="003F2D22">
      <w:pPr>
        <w:pStyle w:val="Default"/>
        <w:spacing w:line="360" w:lineRule="auto"/>
        <w:ind w:firstLineChars="200" w:firstLine="360"/>
        <w:rPr>
          <w:rFonts w:ascii="黑体" w:eastAsia="黑体" w:hAnsi="黑体"/>
          <w:color w:val="auto"/>
          <w:sz w:val="18"/>
          <w:szCs w:val="18"/>
        </w:rPr>
      </w:pPr>
      <w:r>
        <w:rPr>
          <w:rFonts w:ascii="黑体" w:eastAsia="黑体" w:hAnsi="黑体" w:hint="eastAsia"/>
          <w:color w:val="auto"/>
          <w:sz w:val="18"/>
          <w:szCs w:val="18"/>
        </w:rPr>
        <w:t>★注：本说明书估值条款所涉及的资产相关描述，仅为估值条款完备性而设计，并不代表本产品投资范围涉及该资产。本产品的投资范围仍应以“第五条 理财产品的投资”约定为准。</w:t>
      </w:r>
    </w:p>
    <w:p w:rsidR="00E039EF" w:rsidRDefault="003F2D22">
      <w:pPr>
        <w:pStyle w:val="Default"/>
        <w:spacing w:line="360" w:lineRule="auto"/>
        <w:ind w:firstLineChars="200" w:firstLine="361"/>
        <w:rPr>
          <w:rFonts w:hAnsi="宋体"/>
          <w:b/>
          <w:bCs/>
          <w:sz w:val="18"/>
          <w:szCs w:val="18"/>
        </w:rPr>
      </w:pPr>
      <w:r>
        <w:rPr>
          <w:rFonts w:hAnsi="宋体" w:hint="eastAsia"/>
          <w:b/>
          <w:bCs/>
          <w:sz w:val="18"/>
          <w:szCs w:val="18"/>
        </w:rPr>
        <w:t>（一）估值目的</w:t>
      </w:r>
    </w:p>
    <w:p w:rsidR="00E039EF" w:rsidRDefault="003F2D22">
      <w:pPr>
        <w:pStyle w:val="Default"/>
        <w:spacing w:line="360" w:lineRule="auto"/>
        <w:ind w:firstLineChars="200" w:firstLine="360"/>
        <w:rPr>
          <w:rFonts w:hAnsi="宋体"/>
          <w:sz w:val="18"/>
          <w:szCs w:val="18"/>
        </w:rPr>
      </w:pPr>
      <w:r>
        <w:rPr>
          <w:rFonts w:hAnsi="宋体" w:hint="eastAsia"/>
          <w:sz w:val="18"/>
          <w:szCs w:val="18"/>
        </w:rPr>
        <w:t>理财资产估值的目的是客观、准确地反映理财资产是否保值、增值。</w:t>
      </w:r>
    </w:p>
    <w:p w:rsidR="00E039EF" w:rsidRDefault="003F2D22">
      <w:pPr>
        <w:pStyle w:val="Default"/>
        <w:spacing w:line="360" w:lineRule="auto"/>
        <w:ind w:firstLineChars="200" w:firstLine="361"/>
        <w:rPr>
          <w:rFonts w:hAnsi="宋体"/>
          <w:b/>
          <w:bCs/>
          <w:sz w:val="18"/>
          <w:szCs w:val="18"/>
        </w:rPr>
      </w:pPr>
      <w:r>
        <w:rPr>
          <w:rFonts w:hAnsi="宋体" w:hint="eastAsia"/>
          <w:b/>
          <w:bCs/>
          <w:sz w:val="18"/>
          <w:szCs w:val="18"/>
        </w:rPr>
        <w:t>（二）估值频率</w:t>
      </w:r>
    </w:p>
    <w:p w:rsidR="00E039EF" w:rsidRDefault="003F2D22">
      <w:pPr>
        <w:pStyle w:val="Default"/>
        <w:spacing w:line="360" w:lineRule="auto"/>
        <w:ind w:firstLineChars="250" w:firstLine="450"/>
        <w:rPr>
          <w:sz w:val="18"/>
          <w:szCs w:val="18"/>
        </w:rPr>
      </w:pPr>
      <w:permStart w:id="745763868" w:edGrp="everyone"/>
      <w:r>
        <w:rPr>
          <w:rFonts w:hAnsi="宋体" w:hint="eastAsia"/>
          <w:sz w:val="18"/>
          <w:szCs w:val="18"/>
        </w:rPr>
        <w:t>本产品存续期间，每【周】进行一次估值。如遇产品到期日、季度末、半年度末、年度末等时间节点管理人将增加估值日。</w:t>
      </w:r>
    </w:p>
    <w:permEnd w:id="745763868"/>
    <w:p w:rsidR="00E039EF" w:rsidRDefault="003F2D22">
      <w:pPr>
        <w:pStyle w:val="Default"/>
        <w:spacing w:line="360" w:lineRule="auto"/>
        <w:ind w:firstLineChars="250" w:firstLine="452"/>
        <w:rPr>
          <w:rFonts w:hAnsi="宋体"/>
          <w:b/>
          <w:bCs/>
          <w:sz w:val="18"/>
          <w:szCs w:val="18"/>
        </w:rPr>
      </w:pPr>
      <w:r>
        <w:rPr>
          <w:rFonts w:hAnsi="宋体" w:hint="eastAsia"/>
          <w:b/>
          <w:bCs/>
          <w:sz w:val="18"/>
          <w:szCs w:val="18"/>
        </w:rPr>
        <w:t>（三）估值对象</w:t>
      </w:r>
    </w:p>
    <w:p w:rsidR="00E039EF" w:rsidRDefault="003F2D22">
      <w:pPr>
        <w:pStyle w:val="Default"/>
        <w:spacing w:line="360" w:lineRule="auto"/>
        <w:ind w:firstLineChars="200" w:firstLine="360"/>
        <w:rPr>
          <w:rFonts w:hAnsi="宋体"/>
          <w:sz w:val="18"/>
          <w:szCs w:val="18"/>
        </w:rPr>
      </w:pPr>
      <w:r>
        <w:rPr>
          <w:rFonts w:hAnsi="宋体" w:hint="eastAsia"/>
          <w:sz w:val="18"/>
          <w:szCs w:val="18"/>
        </w:rPr>
        <w:t>本产品所拥有的各类证券、资产管理产品、银行存款、应收款项、其它投资等资产及负债。</w:t>
      </w:r>
    </w:p>
    <w:p w:rsidR="00E039EF" w:rsidRDefault="003F2D22">
      <w:pPr>
        <w:pStyle w:val="Default"/>
        <w:spacing w:line="360" w:lineRule="auto"/>
        <w:ind w:firstLineChars="250" w:firstLine="452"/>
        <w:rPr>
          <w:rFonts w:hAnsi="宋体"/>
          <w:b/>
          <w:bCs/>
          <w:sz w:val="18"/>
          <w:szCs w:val="18"/>
        </w:rPr>
      </w:pPr>
      <w:r>
        <w:rPr>
          <w:rFonts w:hAnsi="宋体" w:hint="eastAsia"/>
          <w:b/>
          <w:bCs/>
          <w:sz w:val="18"/>
          <w:szCs w:val="18"/>
        </w:rPr>
        <w:t>（四）估值方法</w:t>
      </w:r>
    </w:p>
    <w:p w:rsidR="00E039EF" w:rsidRDefault="003F2D22">
      <w:pPr>
        <w:pStyle w:val="Default"/>
        <w:spacing w:line="360" w:lineRule="auto"/>
        <w:ind w:firstLineChars="200" w:firstLine="361"/>
        <w:rPr>
          <w:rFonts w:hAnsi="宋体"/>
          <w:b/>
          <w:bCs/>
          <w:sz w:val="18"/>
          <w:szCs w:val="18"/>
        </w:rPr>
      </w:pPr>
      <w:r>
        <w:rPr>
          <w:rFonts w:hAnsi="宋体" w:hint="eastAsia"/>
          <w:b/>
          <w:bCs/>
          <w:sz w:val="18"/>
          <w:szCs w:val="18"/>
        </w:rPr>
        <w:t>1.标准化债权类资产估值</w:t>
      </w:r>
    </w:p>
    <w:p w:rsidR="00E039EF" w:rsidRDefault="003F2D22">
      <w:pPr>
        <w:pStyle w:val="Default"/>
        <w:spacing w:line="360" w:lineRule="auto"/>
        <w:ind w:firstLineChars="200" w:firstLine="360"/>
        <w:rPr>
          <w:rFonts w:hAnsi="宋体"/>
          <w:sz w:val="18"/>
          <w:szCs w:val="18"/>
        </w:rPr>
      </w:pPr>
      <w:r>
        <w:rPr>
          <w:rFonts w:hAnsi="宋体" w:hint="eastAsia"/>
          <w:sz w:val="18"/>
          <w:szCs w:val="18"/>
        </w:rPr>
        <w:t>标准化债权类资产，是指满足中国人民银行制定的标准化债权类资产具体认定规则的债权类资产。主要包括：证券交易所与银行间市场发行的债券、资产支持证券、资产支持票据等。估值方法具体如下：</w:t>
      </w:r>
    </w:p>
    <w:p w:rsidR="00E039EF" w:rsidRDefault="003F2D22">
      <w:pPr>
        <w:pStyle w:val="Default"/>
        <w:spacing w:line="360" w:lineRule="auto"/>
        <w:ind w:firstLineChars="200" w:firstLine="360"/>
        <w:rPr>
          <w:rFonts w:hAnsi="宋体"/>
          <w:sz w:val="18"/>
          <w:szCs w:val="18"/>
        </w:rPr>
      </w:pPr>
      <w:r>
        <w:rPr>
          <w:rFonts w:hAnsi="宋体" w:hint="eastAsia"/>
          <w:sz w:val="18"/>
          <w:szCs w:val="18"/>
        </w:rPr>
        <w:t>（1）投资以收取合同现金流量为目的并持有到期的债券，可使用摊余成本计量。</w:t>
      </w:r>
    </w:p>
    <w:p w:rsidR="00E039EF" w:rsidRDefault="003F2D22">
      <w:pPr>
        <w:pStyle w:val="Default"/>
        <w:spacing w:line="360" w:lineRule="auto"/>
        <w:ind w:firstLineChars="200" w:firstLine="360"/>
        <w:rPr>
          <w:rFonts w:hAnsi="宋体"/>
          <w:sz w:val="18"/>
          <w:szCs w:val="18"/>
        </w:rPr>
      </w:pPr>
      <w:r>
        <w:rPr>
          <w:rFonts w:hAnsi="宋体" w:hint="eastAsia"/>
          <w:sz w:val="18"/>
          <w:szCs w:val="18"/>
        </w:rPr>
        <w:t>（2）除（1）以外的标准化债权类资产以公允价值计量，主要依据为第三方估值机构提供的价格数据。第三方估值机构包括：中央国债登记结算公司和中证指数有限公司。</w:t>
      </w:r>
    </w:p>
    <w:p w:rsidR="00E039EF" w:rsidRDefault="003F2D22">
      <w:pPr>
        <w:pStyle w:val="Default"/>
        <w:spacing w:line="360" w:lineRule="auto"/>
        <w:ind w:firstLineChars="200" w:firstLine="360"/>
        <w:rPr>
          <w:rFonts w:hAnsi="宋体"/>
          <w:sz w:val="18"/>
          <w:szCs w:val="18"/>
        </w:rPr>
      </w:pPr>
      <w:r>
        <w:rPr>
          <w:rFonts w:hAnsi="宋体" w:hint="eastAsia"/>
          <w:sz w:val="18"/>
          <w:szCs w:val="18"/>
        </w:rPr>
        <w:t>（3）在证券交易所上市的债券，如第三方估值机构提供的估值价格与市场收盘价存在差异，且管理人认为收盘价更能体现其公允价值，可与托管人协商一致后采用收盘价进行估值。</w:t>
      </w:r>
    </w:p>
    <w:p w:rsidR="00E039EF" w:rsidRDefault="003F2D22">
      <w:pPr>
        <w:pStyle w:val="Default"/>
        <w:spacing w:line="360" w:lineRule="auto"/>
        <w:ind w:firstLineChars="200" w:firstLine="360"/>
        <w:rPr>
          <w:rFonts w:hAnsi="宋体"/>
          <w:sz w:val="18"/>
          <w:szCs w:val="18"/>
        </w:rPr>
      </w:pPr>
      <w:r>
        <w:rPr>
          <w:rFonts w:hAnsi="宋体" w:hint="eastAsia"/>
          <w:sz w:val="18"/>
          <w:szCs w:val="18"/>
        </w:rPr>
        <w:t>（4）对在交易所市场挂牌交易的资产支持证券和私募债券，鉴于其不存在活跃市场或未来现金流难以确定，导致第三方估值数据和市场收盘价均无法准确反映其公允价值的，可采用估值技术对其进行估值，管理人会对估值模型的有效性进行持续有效评估，并尽可能予以修正。</w:t>
      </w:r>
    </w:p>
    <w:p w:rsidR="00E039EF" w:rsidRDefault="003F2D22">
      <w:pPr>
        <w:pStyle w:val="Default"/>
        <w:spacing w:line="360" w:lineRule="auto"/>
        <w:ind w:firstLineChars="200" w:firstLine="360"/>
        <w:rPr>
          <w:rFonts w:hAnsi="宋体"/>
          <w:sz w:val="18"/>
          <w:szCs w:val="18"/>
        </w:rPr>
      </w:pPr>
      <w:r>
        <w:rPr>
          <w:rFonts w:hAnsi="宋体" w:hint="eastAsia"/>
          <w:sz w:val="18"/>
          <w:szCs w:val="18"/>
        </w:rPr>
        <w:t>（5）对在银行间市场或交易所市场已发行未上市的债券，且第三方估值机构未提供估值数据，采用估值技术确定其公允价值。</w:t>
      </w:r>
    </w:p>
    <w:p w:rsidR="00E039EF" w:rsidRDefault="003F2D22">
      <w:pPr>
        <w:pStyle w:val="Default"/>
        <w:spacing w:line="360" w:lineRule="auto"/>
        <w:ind w:firstLineChars="200" w:firstLine="360"/>
        <w:rPr>
          <w:rFonts w:hAnsi="宋体"/>
          <w:sz w:val="18"/>
          <w:szCs w:val="18"/>
        </w:rPr>
      </w:pPr>
      <w:r>
        <w:rPr>
          <w:rFonts w:hAnsi="宋体" w:hint="eastAsia"/>
          <w:sz w:val="18"/>
          <w:szCs w:val="18"/>
        </w:rPr>
        <w:t>（6）同一债券同时在两个或两个以上市场交易的，按债券所处的市场及相应的估值标准，分别进行估值。</w:t>
      </w:r>
    </w:p>
    <w:p w:rsidR="00E039EF" w:rsidRDefault="003F2D22">
      <w:pPr>
        <w:pStyle w:val="Default"/>
        <w:spacing w:line="360" w:lineRule="auto"/>
        <w:ind w:firstLineChars="200" w:firstLine="361"/>
        <w:rPr>
          <w:rFonts w:asciiTheme="majorEastAsia" w:eastAsiaTheme="majorEastAsia" w:hAnsiTheme="majorEastAsia"/>
          <w:b/>
          <w:bCs/>
          <w:color w:val="auto"/>
          <w:sz w:val="18"/>
          <w:szCs w:val="18"/>
        </w:rPr>
      </w:pPr>
      <w:r>
        <w:rPr>
          <w:rFonts w:asciiTheme="majorEastAsia" w:hAnsiTheme="majorEastAsia"/>
          <w:b/>
          <w:color w:val="auto"/>
          <w:sz w:val="18"/>
        </w:rPr>
        <w:t>2.</w:t>
      </w:r>
      <w:r>
        <w:rPr>
          <w:rFonts w:asciiTheme="majorEastAsia" w:eastAsiaTheme="majorEastAsia" w:hAnsiTheme="majorEastAsia" w:hint="eastAsia"/>
          <w:b/>
          <w:bCs/>
          <w:color w:val="auto"/>
          <w:sz w:val="18"/>
          <w:szCs w:val="18"/>
        </w:rPr>
        <w:t>境外债券</w:t>
      </w:r>
    </w:p>
    <w:p w:rsidR="00E039EF" w:rsidRDefault="003F2D22">
      <w:pPr>
        <w:pStyle w:val="Default"/>
        <w:spacing w:line="360" w:lineRule="auto"/>
        <w:ind w:firstLineChars="200" w:firstLine="360"/>
        <w:rPr>
          <w:rFonts w:asciiTheme="majorEastAsia" w:eastAsiaTheme="majorEastAsia" w:hAnsiTheme="majorEastAsia"/>
          <w:bCs/>
          <w:color w:val="auto"/>
          <w:sz w:val="18"/>
          <w:szCs w:val="18"/>
        </w:rPr>
      </w:pPr>
      <w:r>
        <w:rPr>
          <w:rFonts w:asciiTheme="majorEastAsia" w:eastAsiaTheme="majorEastAsia" w:hAnsiTheme="majorEastAsia" w:hint="eastAsia"/>
          <w:bCs/>
          <w:color w:val="auto"/>
          <w:sz w:val="18"/>
          <w:szCs w:val="18"/>
        </w:rPr>
        <w:t>对于境外发行的债券，</w:t>
      </w:r>
      <w:r>
        <w:rPr>
          <w:rFonts w:hAnsi="宋体" w:hint="eastAsia"/>
          <w:color w:val="auto"/>
          <w:sz w:val="18"/>
          <w:szCs w:val="18"/>
        </w:rPr>
        <w:t>参照主要做市商或其他权威价格提供机构的报价进行估值，若估值日债券价格无法通过公开信息取得，参照最近一个交易日可取得的主要做市商或其他权威价格提供机构的报价进行估值。</w:t>
      </w:r>
    </w:p>
    <w:p w:rsidR="00E039EF" w:rsidRDefault="003F2D22">
      <w:pPr>
        <w:pStyle w:val="Default"/>
        <w:spacing w:line="360" w:lineRule="auto"/>
        <w:ind w:firstLineChars="200" w:firstLine="361"/>
        <w:rPr>
          <w:rFonts w:hAnsi="宋体"/>
          <w:sz w:val="18"/>
          <w:szCs w:val="18"/>
        </w:rPr>
      </w:pPr>
      <w:r>
        <w:rPr>
          <w:rFonts w:hAnsi="宋体"/>
          <w:b/>
          <w:bCs/>
          <w:sz w:val="18"/>
          <w:szCs w:val="18"/>
        </w:rPr>
        <w:lastRenderedPageBreak/>
        <w:t>3</w:t>
      </w:r>
      <w:r>
        <w:rPr>
          <w:rFonts w:hAnsi="宋体" w:hint="eastAsia"/>
          <w:b/>
          <w:bCs/>
          <w:sz w:val="18"/>
          <w:szCs w:val="18"/>
        </w:rPr>
        <w:t>.非标准化债权类资产</w:t>
      </w:r>
    </w:p>
    <w:p w:rsidR="00E039EF" w:rsidRDefault="003F2D22">
      <w:pPr>
        <w:pStyle w:val="Default"/>
        <w:spacing w:line="360" w:lineRule="auto"/>
        <w:ind w:firstLineChars="200" w:firstLine="360"/>
        <w:rPr>
          <w:rFonts w:hAnsi="宋体"/>
          <w:sz w:val="18"/>
          <w:szCs w:val="18"/>
        </w:rPr>
      </w:pPr>
      <w:r>
        <w:rPr>
          <w:rFonts w:hAnsi="宋体" w:hint="eastAsia"/>
          <w:sz w:val="18"/>
          <w:szCs w:val="18"/>
        </w:rPr>
        <w:t>非标准化债权类资产，是指不满足中国人民银行制定的标准化债权类资产认定标准的债权类资产。可选取第三方估值机构的价格数据或采用估值技术进行估值；若无法采用估值技术可靠计量公允价值，可按摊余成本计量。</w:t>
      </w:r>
    </w:p>
    <w:p w:rsidR="00E039EF" w:rsidRDefault="003F2D22">
      <w:pPr>
        <w:pStyle w:val="Default"/>
        <w:spacing w:line="360" w:lineRule="auto"/>
        <w:ind w:firstLineChars="200" w:firstLine="361"/>
        <w:rPr>
          <w:rFonts w:hAnsi="宋体"/>
          <w:b/>
          <w:bCs/>
          <w:sz w:val="18"/>
          <w:szCs w:val="18"/>
        </w:rPr>
      </w:pPr>
      <w:r>
        <w:rPr>
          <w:rFonts w:hAnsi="宋体"/>
          <w:b/>
          <w:bCs/>
          <w:sz w:val="18"/>
          <w:szCs w:val="18"/>
        </w:rPr>
        <w:t>4</w:t>
      </w:r>
      <w:r>
        <w:rPr>
          <w:rFonts w:hAnsi="宋体" w:hint="eastAsia"/>
          <w:b/>
          <w:bCs/>
          <w:sz w:val="18"/>
          <w:szCs w:val="18"/>
        </w:rPr>
        <w:t>.上市公司股票估值</w:t>
      </w:r>
    </w:p>
    <w:p w:rsidR="00E039EF" w:rsidRDefault="003F2D22">
      <w:pPr>
        <w:pStyle w:val="Default"/>
        <w:spacing w:line="360" w:lineRule="auto"/>
        <w:ind w:firstLineChars="200" w:firstLine="360"/>
        <w:rPr>
          <w:rFonts w:hAnsi="宋体"/>
          <w:sz w:val="18"/>
          <w:szCs w:val="18"/>
        </w:rPr>
      </w:pPr>
      <w:r>
        <w:rPr>
          <w:rFonts w:hAnsi="宋体" w:hint="eastAsia"/>
          <w:sz w:val="18"/>
          <w:szCs w:val="18"/>
        </w:rPr>
        <w:t>上市公司股票包括正常流通普通股、流通受限股票、长期停牌股票和新发行未上市股票。具体估值方法如下：</w:t>
      </w:r>
    </w:p>
    <w:p w:rsidR="00E039EF" w:rsidRDefault="003F2D22">
      <w:pPr>
        <w:pStyle w:val="Default"/>
        <w:spacing w:line="360" w:lineRule="auto"/>
        <w:ind w:firstLineChars="200" w:firstLine="360"/>
        <w:rPr>
          <w:rFonts w:hAnsi="宋体"/>
          <w:sz w:val="18"/>
          <w:szCs w:val="18"/>
        </w:rPr>
      </w:pPr>
      <w:r>
        <w:rPr>
          <w:rFonts w:hAnsi="宋体" w:hint="eastAsia"/>
          <w:sz w:val="18"/>
          <w:szCs w:val="18"/>
        </w:rPr>
        <w:t>（1）在证券交易所上市流通的股票，估值日有交易的，按估值日收盘价估值；估值日无交易，且最近交易日后未发生影响公允价值计量的重大事件的，按最近交易日的收盘价估值；估值日无交易，且最近交易日后发生影响公允价值计量的重大事件的，应参考类似投资品种的现行价格及重大变化因素，调整最近交易日的收盘价确定公允价值。</w:t>
      </w:r>
    </w:p>
    <w:p w:rsidR="00E039EF" w:rsidRDefault="003F2D22">
      <w:pPr>
        <w:pStyle w:val="Default"/>
        <w:spacing w:line="360" w:lineRule="auto"/>
        <w:ind w:firstLineChars="200" w:firstLine="360"/>
        <w:rPr>
          <w:rFonts w:hAnsi="宋体"/>
          <w:sz w:val="18"/>
          <w:szCs w:val="18"/>
        </w:rPr>
      </w:pPr>
      <w:r>
        <w:rPr>
          <w:rFonts w:hAnsi="宋体" w:hint="eastAsia"/>
          <w:sz w:val="18"/>
          <w:szCs w:val="18"/>
        </w:rPr>
        <w:t>（2）送股、转增股、配股和公开增发新股等发行未上市的股票，按估值日在证券交易所上市的同一股票的收盘价或最近交易日的收盘价确定公允价值。</w:t>
      </w:r>
    </w:p>
    <w:p w:rsidR="00E039EF" w:rsidRDefault="003F2D22">
      <w:pPr>
        <w:pStyle w:val="Default"/>
        <w:spacing w:line="360" w:lineRule="auto"/>
        <w:ind w:firstLineChars="200" w:firstLine="360"/>
        <w:rPr>
          <w:rFonts w:hAnsi="宋体"/>
          <w:sz w:val="18"/>
          <w:szCs w:val="18"/>
        </w:rPr>
      </w:pPr>
      <w:r>
        <w:rPr>
          <w:rFonts w:hAnsi="宋体" w:hint="eastAsia"/>
          <w:sz w:val="18"/>
          <w:szCs w:val="18"/>
        </w:rPr>
        <w:t>（3）通过公开、非公开等方式取得且有明确限售期的股票，在限售期内，应以证券交易所上市交易的同一股票的公允价值为基础，引入流动性折扣进行估值。流动性折扣可依据第三方估值机构提供的数据，或采用看跌期权法以及其他合理的估值方法分析确定。</w:t>
      </w:r>
    </w:p>
    <w:p w:rsidR="00E039EF" w:rsidRDefault="003F2D22">
      <w:pPr>
        <w:pStyle w:val="Default"/>
        <w:spacing w:line="360" w:lineRule="auto"/>
        <w:ind w:firstLineChars="200" w:firstLine="360"/>
        <w:rPr>
          <w:rFonts w:hAnsi="宋体"/>
          <w:sz w:val="18"/>
          <w:szCs w:val="18"/>
        </w:rPr>
      </w:pPr>
      <w:r>
        <w:rPr>
          <w:rFonts w:hAnsi="宋体" w:hint="eastAsia"/>
          <w:sz w:val="18"/>
          <w:szCs w:val="18"/>
        </w:rPr>
        <w:t>（4）长期停牌股票，根据停牌原因、停牌时间及停牌公司公告等信息，采用估值技术确定公允价值。</w:t>
      </w:r>
    </w:p>
    <w:p w:rsidR="00E039EF" w:rsidRDefault="003F2D22">
      <w:pPr>
        <w:pStyle w:val="Default"/>
        <w:spacing w:line="360" w:lineRule="auto"/>
        <w:ind w:firstLineChars="200" w:firstLine="360"/>
        <w:rPr>
          <w:rFonts w:hAnsi="宋体"/>
          <w:sz w:val="18"/>
          <w:szCs w:val="18"/>
        </w:rPr>
      </w:pPr>
      <w:r>
        <w:rPr>
          <w:rFonts w:hAnsi="宋体" w:hint="eastAsia"/>
          <w:sz w:val="18"/>
          <w:szCs w:val="18"/>
        </w:rPr>
        <w:t>（5）新发行未上市股票，如果发行日后未发生影响公允价值计量的重大事件的，应采用发行价作为公允价值的最佳估计，已发生影响公允价值计量重大事件的应采用估值技术确定公允价值。</w:t>
      </w:r>
    </w:p>
    <w:p w:rsidR="00E039EF" w:rsidRDefault="003F2D22">
      <w:pPr>
        <w:pStyle w:val="Default"/>
        <w:spacing w:line="360" w:lineRule="auto"/>
        <w:ind w:firstLineChars="200" w:firstLine="361"/>
        <w:rPr>
          <w:rFonts w:hAnsi="宋体"/>
          <w:b/>
          <w:bCs/>
          <w:sz w:val="18"/>
          <w:szCs w:val="18"/>
        </w:rPr>
      </w:pPr>
      <w:r>
        <w:rPr>
          <w:rFonts w:hAnsi="宋体"/>
          <w:b/>
          <w:bCs/>
          <w:sz w:val="18"/>
          <w:szCs w:val="18"/>
        </w:rPr>
        <w:t>5</w:t>
      </w:r>
      <w:r>
        <w:rPr>
          <w:rFonts w:hAnsi="宋体" w:hint="eastAsia"/>
          <w:b/>
          <w:bCs/>
          <w:sz w:val="18"/>
          <w:szCs w:val="18"/>
        </w:rPr>
        <w:t>.未上市公司股权</w:t>
      </w:r>
    </w:p>
    <w:p w:rsidR="00E039EF" w:rsidRDefault="003F2D22">
      <w:pPr>
        <w:pStyle w:val="Default"/>
        <w:spacing w:line="360" w:lineRule="auto"/>
        <w:ind w:firstLineChars="200" w:firstLine="360"/>
        <w:rPr>
          <w:rFonts w:hAnsi="宋体"/>
          <w:sz w:val="18"/>
          <w:szCs w:val="18"/>
        </w:rPr>
      </w:pPr>
      <w:r>
        <w:rPr>
          <w:rFonts w:hAnsi="宋体" w:hint="eastAsia"/>
          <w:sz w:val="18"/>
          <w:szCs w:val="18"/>
        </w:rPr>
        <w:t>以公允价值计量，应综合考虑被评估企业实际情况、市场交易情况及其他可获得的信息，采用市场法、收益法、重置成本法等估值技术，结合流动性折扣等因素评估公允价值。</w:t>
      </w:r>
    </w:p>
    <w:p w:rsidR="00E039EF" w:rsidRDefault="003F2D22">
      <w:pPr>
        <w:pStyle w:val="Default"/>
        <w:spacing w:line="360" w:lineRule="auto"/>
        <w:ind w:firstLineChars="200" w:firstLine="361"/>
        <w:rPr>
          <w:rFonts w:hAnsi="宋体"/>
          <w:b/>
          <w:bCs/>
          <w:sz w:val="18"/>
          <w:szCs w:val="18"/>
        </w:rPr>
      </w:pPr>
      <w:r>
        <w:rPr>
          <w:rFonts w:hAnsi="宋体"/>
          <w:b/>
          <w:bCs/>
          <w:sz w:val="18"/>
          <w:szCs w:val="18"/>
        </w:rPr>
        <w:t>6</w:t>
      </w:r>
      <w:r>
        <w:rPr>
          <w:rFonts w:hAnsi="宋体" w:hint="eastAsia"/>
          <w:b/>
          <w:bCs/>
          <w:sz w:val="18"/>
          <w:szCs w:val="18"/>
        </w:rPr>
        <w:t>.优先股</w:t>
      </w:r>
    </w:p>
    <w:p w:rsidR="00E039EF" w:rsidRDefault="003F2D22">
      <w:pPr>
        <w:pStyle w:val="Default"/>
        <w:spacing w:line="360" w:lineRule="auto"/>
        <w:ind w:firstLineChars="200" w:firstLine="360"/>
        <w:rPr>
          <w:rFonts w:hAnsi="宋体"/>
          <w:sz w:val="18"/>
          <w:szCs w:val="18"/>
        </w:rPr>
      </w:pPr>
      <w:r>
        <w:rPr>
          <w:rFonts w:hAnsi="宋体" w:hint="eastAsia"/>
          <w:sz w:val="18"/>
          <w:szCs w:val="18"/>
        </w:rPr>
        <w:t>优先股交易量及交易频率足以持续提供定价信息的，可按估值日或最近交易日的收盘价估值；不满足上述条件的，可根据优先股股息支付条款，采用估值模型或依据第三方估值机构提供的价格数据估值。</w:t>
      </w:r>
    </w:p>
    <w:p w:rsidR="00E039EF" w:rsidRDefault="003F2D22">
      <w:pPr>
        <w:pStyle w:val="Default"/>
        <w:spacing w:line="360" w:lineRule="auto"/>
        <w:ind w:firstLineChars="200" w:firstLine="361"/>
        <w:rPr>
          <w:rFonts w:hAnsi="宋体"/>
          <w:b/>
          <w:bCs/>
          <w:sz w:val="18"/>
          <w:szCs w:val="18"/>
        </w:rPr>
      </w:pPr>
      <w:r>
        <w:rPr>
          <w:rFonts w:hAnsi="宋体"/>
          <w:b/>
          <w:bCs/>
          <w:sz w:val="18"/>
          <w:szCs w:val="18"/>
        </w:rPr>
        <w:t>7</w:t>
      </w:r>
      <w:r>
        <w:rPr>
          <w:rFonts w:hAnsi="宋体" w:hint="eastAsia"/>
          <w:b/>
          <w:bCs/>
          <w:sz w:val="18"/>
          <w:szCs w:val="18"/>
        </w:rPr>
        <w:t>.证券投资基金估值</w:t>
      </w:r>
    </w:p>
    <w:p w:rsidR="00E039EF" w:rsidRDefault="003F2D22">
      <w:pPr>
        <w:pStyle w:val="Default"/>
        <w:spacing w:line="360" w:lineRule="auto"/>
        <w:ind w:firstLineChars="200" w:firstLine="360"/>
        <w:rPr>
          <w:rFonts w:hAnsi="宋体"/>
          <w:sz w:val="18"/>
          <w:szCs w:val="18"/>
        </w:rPr>
      </w:pPr>
      <w:r>
        <w:rPr>
          <w:rFonts w:hAnsi="宋体" w:hint="eastAsia"/>
          <w:sz w:val="18"/>
          <w:szCs w:val="18"/>
        </w:rPr>
        <w:t>（1）非上市基金估值</w:t>
      </w:r>
    </w:p>
    <w:p w:rsidR="00E039EF" w:rsidRDefault="003F2D22">
      <w:pPr>
        <w:pStyle w:val="Default"/>
        <w:spacing w:line="360" w:lineRule="auto"/>
        <w:ind w:firstLineChars="200" w:firstLine="360"/>
        <w:rPr>
          <w:rFonts w:hAnsi="宋体"/>
          <w:sz w:val="18"/>
          <w:szCs w:val="18"/>
        </w:rPr>
      </w:pPr>
      <w:r>
        <w:rPr>
          <w:rFonts w:hAnsi="宋体" w:hint="eastAsia"/>
          <w:sz w:val="18"/>
          <w:szCs w:val="18"/>
        </w:rPr>
        <w:t>1)本产品投资的境内非货币市场基金，按所投资基金估值日的基金份额净值估值；估值日基金净值未公布的，以基金管理人公布的最近一个工作日基金份额净值计算。</w:t>
      </w:r>
    </w:p>
    <w:p w:rsidR="00E039EF" w:rsidRDefault="003F2D22">
      <w:pPr>
        <w:pStyle w:val="Default"/>
        <w:spacing w:line="360" w:lineRule="auto"/>
        <w:ind w:firstLineChars="200" w:firstLine="360"/>
        <w:rPr>
          <w:rFonts w:hAnsi="宋体"/>
          <w:sz w:val="18"/>
          <w:szCs w:val="18"/>
        </w:rPr>
      </w:pPr>
      <w:r>
        <w:rPr>
          <w:rFonts w:hAnsi="宋体" w:hint="eastAsia"/>
          <w:sz w:val="18"/>
          <w:szCs w:val="18"/>
        </w:rPr>
        <w:lastRenderedPageBreak/>
        <w:t>2)本产品投资的境内货币市场基金，按所投资基金前一估值日后至估值日期间（含节假日）的万份收益计提估值日基金收益。</w:t>
      </w:r>
    </w:p>
    <w:p w:rsidR="00E039EF" w:rsidRDefault="003F2D22">
      <w:pPr>
        <w:pStyle w:val="Default"/>
        <w:spacing w:line="360" w:lineRule="auto"/>
        <w:ind w:firstLineChars="200" w:firstLine="360"/>
        <w:rPr>
          <w:rFonts w:hAnsi="宋体"/>
          <w:sz w:val="18"/>
          <w:szCs w:val="18"/>
        </w:rPr>
      </w:pPr>
      <w:r>
        <w:rPr>
          <w:rFonts w:hAnsi="宋体" w:hint="eastAsia"/>
          <w:sz w:val="18"/>
          <w:szCs w:val="18"/>
        </w:rPr>
        <w:t>（2）上市基金估值</w:t>
      </w:r>
    </w:p>
    <w:p w:rsidR="00E039EF" w:rsidRDefault="003F2D22">
      <w:pPr>
        <w:pStyle w:val="Default"/>
        <w:spacing w:line="360" w:lineRule="auto"/>
        <w:ind w:firstLineChars="200" w:firstLine="360"/>
        <w:rPr>
          <w:rFonts w:hAnsi="宋体"/>
          <w:sz w:val="18"/>
          <w:szCs w:val="18"/>
        </w:rPr>
      </w:pPr>
      <w:r>
        <w:rPr>
          <w:rFonts w:hAnsi="宋体" w:hint="eastAsia"/>
          <w:sz w:val="18"/>
          <w:szCs w:val="18"/>
        </w:rPr>
        <w:t>1)本产品投资的ETF基金、境内上市定期开放式基金、封闭式基金，按照所投资基金估值日的收盘价估值；估值日无交易的，以最近交易日的收盘价估值。</w:t>
      </w:r>
    </w:p>
    <w:p w:rsidR="00E039EF" w:rsidRDefault="003F2D22">
      <w:pPr>
        <w:pStyle w:val="Default"/>
        <w:spacing w:line="360" w:lineRule="auto"/>
        <w:ind w:firstLineChars="200" w:firstLine="360"/>
        <w:rPr>
          <w:rFonts w:hAnsi="宋体"/>
          <w:sz w:val="18"/>
          <w:szCs w:val="18"/>
        </w:rPr>
      </w:pPr>
      <w:r>
        <w:rPr>
          <w:rFonts w:hAnsi="宋体" w:hint="eastAsia"/>
          <w:sz w:val="18"/>
          <w:szCs w:val="18"/>
        </w:rPr>
        <w:t>2)本产品投资的境内上市开放式基金（LOF），按所投资基金估值日的基金份额净值估值；估值日基金净值未公布的，以基金管理人公布的最近一个工作日基金份额净值计算。</w:t>
      </w:r>
    </w:p>
    <w:p w:rsidR="00E039EF" w:rsidRDefault="003F2D22">
      <w:pPr>
        <w:pStyle w:val="Default"/>
        <w:spacing w:line="360" w:lineRule="auto"/>
        <w:ind w:firstLineChars="200" w:firstLine="360"/>
        <w:rPr>
          <w:rFonts w:hAnsi="宋体"/>
          <w:sz w:val="18"/>
          <w:szCs w:val="18"/>
        </w:rPr>
      </w:pPr>
      <w:r>
        <w:rPr>
          <w:rFonts w:hAnsi="宋体" w:hint="eastAsia"/>
          <w:sz w:val="18"/>
          <w:szCs w:val="18"/>
        </w:rPr>
        <w:t>3)本产品投资的境内上市交易型货币市场基金，如所投资基金披露份额净值，则按所投资基金估值日的份额净值估值；如所投资基金披露万份（百份）收益，则按所投资基金前一估值日后至估值日期间（含节假日）的万份（百份）收益计提估值日基金收益。</w:t>
      </w:r>
    </w:p>
    <w:p w:rsidR="00E039EF" w:rsidRDefault="003F2D22">
      <w:pPr>
        <w:pStyle w:val="Default"/>
        <w:spacing w:line="360" w:lineRule="auto"/>
        <w:ind w:firstLineChars="200" w:firstLine="361"/>
        <w:rPr>
          <w:rFonts w:hAnsi="宋体"/>
          <w:b/>
          <w:bCs/>
          <w:sz w:val="18"/>
          <w:szCs w:val="18"/>
        </w:rPr>
      </w:pPr>
      <w:r>
        <w:rPr>
          <w:rFonts w:hAnsi="宋体"/>
          <w:b/>
          <w:bCs/>
          <w:sz w:val="18"/>
          <w:szCs w:val="18"/>
        </w:rPr>
        <w:t>8</w:t>
      </w:r>
      <w:r>
        <w:rPr>
          <w:rFonts w:hAnsi="宋体" w:hint="eastAsia"/>
          <w:b/>
          <w:bCs/>
          <w:sz w:val="18"/>
          <w:szCs w:val="18"/>
        </w:rPr>
        <w:t>.其他资产管理产品的估值</w:t>
      </w:r>
    </w:p>
    <w:p w:rsidR="00E039EF" w:rsidRDefault="003F2D22">
      <w:pPr>
        <w:pStyle w:val="Default"/>
        <w:spacing w:line="360" w:lineRule="auto"/>
        <w:ind w:firstLineChars="200" w:firstLine="360"/>
        <w:rPr>
          <w:rFonts w:hAnsi="宋体"/>
          <w:sz w:val="18"/>
          <w:szCs w:val="18"/>
        </w:rPr>
      </w:pPr>
      <w:r>
        <w:rPr>
          <w:rFonts w:hAnsi="宋体" w:hint="eastAsia"/>
          <w:sz w:val="18"/>
          <w:szCs w:val="18"/>
        </w:rPr>
        <w:t>其他资产管理产品，指理财产品投资的除证券投资基金以外的其他资产管理产品，主要包括：资金信托，证券公司、证券公司子公司、基金管理公司、基金管理子公司、期货公司、期货公司子公司、保险资产管理机构、金融资产投资公司发行的资产管理产品。其他资产管理产品以估值日资产管理人提供的单位净值进行估值，估值日产品单位净值未提供的，可参考最近可获取的净值确定公允价值。</w:t>
      </w:r>
      <w:r>
        <w:rPr>
          <w:rFonts w:asciiTheme="minorEastAsia" w:eastAsiaTheme="minorEastAsia" w:hAnsiTheme="minorEastAsia" w:hint="eastAsia"/>
          <w:bCs/>
          <w:sz w:val="18"/>
          <w:szCs w:val="18"/>
        </w:rPr>
        <w:t>若无法获取净值，产品管理人可与托管人商定后，采用在当前情况下适用的估值技术确定公允价值。</w:t>
      </w:r>
    </w:p>
    <w:p w:rsidR="00E039EF" w:rsidRDefault="003F2D22">
      <w:pPr>
        <w:pStyle w:val="Default"/>
        <w:spacing w:line="360" w:lineRule="auto"/>
        <w:ind w:firstLineChars="200" w:firstLine="361"/>
        <w:rPr>
          <w:rFonts w:hAnsi="宋体"/>
          <w:b/>
          <w:bCs/>
          <w:sz w:val="18"/>
          <w:szCs w:val="18"/>
        </w:rPr>
      </w:pPr>
      <w:r>
        <w:rPr>
          <w:rFonts w:hAnsi="宋体"/>
          <w:b/>
          <w:bCs/>
          <w:sz w:val="18"/>
          <w:szCs w:val="18"/>
        </w:rPr>
        <w:t>9</w:t>
      </w:r>
      <w:r>
        <w:rPr>
          <w:rFonts w:hAnsi="宋体" w:hint="eastAsia"/>
          <w:b/>
          <w:bCs/>
          <w:sz w:val="18"/>
          <w:szCs w:val="18"/>
        </w:rPr>
        <w:t>.衍生金融工具估值</w:t>
      </w:r>
    </w:p>
    <w:p w:rsidR="00E039EF" w:rsidRDefault="003F2D22">
      <w:pPr>
        <w:pStyle w:val="Default"/>
        <w:spacing w:line="360" w:lineRule="auto"/>
        <w:ind w:firstLineChars="200" w:firstLine="360"/>
        <w:rPr>
          <w:rFonts w:hAnsi="宋体"/>
          <w:sz w:val="18"/>
          <w:szCs w:val="18"/>
        </w:rPr>
      </w:pPr>
      <w:r>
        <w:rPr>
          <w:rFonts w:hAnsi="宋体" w:hint="eastAsia"/>
          <w:sz w:val="18"/>
          <w:szCs w:val="18"/>
        </w:rPr>
        <w:t xml:space="preserve">期货、互换、期权、远期、权证等衍生金融工具场内交易的，按估值日交易所公布的当日结算价估值；如估值日无交易，且最近交易日后未发生影响公允价值计量的重大事件的，按交易所最近交易日结算价进行估值。上述衍生金融工具场外交易的，按照第三方机构提供的估值数据或采取相应的衍生金融工具估值模型进行估值。 </w:t>
      </w:r>
    </w:p>
    <w:p w:rsidR="00E039EF" w:rsidRDefault="003F2D22">
      <w:pPr>
        <w:pStyle w:val="Default"/>
        <w:spacing w:line="360" w:lineRule="auto"/>
        <w:ind w:firstLineChars="200" w:firstLine="361"/>
        <w:rPr>
          <w:rFonts w:hAnsi="宋体"/>
          <w:b/>
          <w:bCs/>
          <w:sz w:val="18"/>
          <w:szCs w:val="18"/>
        </w:rPr>
      </w:pPr>
      <w:r>
        <w:rPr>
          <w:rFonts w:hAnsi="宋体"/>
          <w:b/>
          <w:bCs/>
          <w:sz w:val="18"/>
          <w:szCs w:val="18"/>
        </w:rPr>
        <w:t>10</w:t>
      </w:r>
      <w:r>
        <w:rPr>
          <w:rFonts w:hAnsi="宋体" w:hint="eastAsia"/>
          <w:b/>
          <w:bCs/>
          <w:sz w:val="18"/>
          <w:szCs w:val="18"/>
        </w:rPr>
        <w:t>.存款、拆借、回购等货币市场工具的估值</w:t>
      </w:r>
    </w:p>
    <w:p w:rsidR="00E039EF" w:rsidRDefault="003F2D22">
      <w:pPr>
        <w:pStyle w:val="Default"/>
        <w:spacing w:line="360" w:lineRule="auto"/>
        <w:ind w:firstLineChars="200" w:firstLine="360"/>
        <w:rPr>
          <w:rFonts w:hAnsi="宋体"/>
          <w:sz w:val="18"/>
          <w:szCs w:val="18"/>
        </w:rPr>
      </w:pPr>
      <w:r>
        <w:rPr>
          <w:rFonts w:hAnsi="宋体" w:hint="eastAsia"/>
          <w:sz w:val="18"/>
          <w:szCs w:val="18"/>
        </w:rPr>
        <w:t>以本金列示，按商定利率在实际持有期间内逐日计提利息。如有估值技术能更准确反映其公允价值的，采用估值技术进行估值。</w:t>
      </w:r>
    </w:p>
    <w:p w:rsidR="00E039EF" w:rsidRDefault="003F2D22">
      <w:pPr>
        <w:pStyle w:val="Default"/>
        <w:spacing w:line="360" w:lineRule="auto"/>
        <w:ind w:firstLineChars="200" w:firstLine="360"/>
        <w:rPr>
          <w:rFonts w:hAnsi="宋体"/>
          <w:sz w:val="18"/>
          <w:szCs w:val="18"/>
        </w:rPr>
      </w:pPr>
      <w:r>
        <w:rPr>
          <w:rFonts w:hAnsi="宋体" w:hint="eastAsia"/>
          <w:sz w:val="18"/>
          <w:szCs w:val="18"/>
        </w:rPr>
        <w:t>1</w:t>
      </w:r>
      <w:r>
        <w:rPr>
          <w:rFonts w:hAnsi="宋体"/>
          <w:sz w:val="18"/>
          <w:szCs w:val="18"/>
        </w:rPr>
        <w:t>1</w:t>
      </w:r>
      <w:r>
        <w:rPr>
          <w:rFonts w:hAnsi="宋体" w:hint="eastAsia"/>
          <w:sz w:val="18"/>
          <w:szCs w:val="18"/>
        </w:rPr>
        <w:t>.如有确凿证据表明按上述方法进行估值不能客观反映其公允价值的，产品管理人可根据具体情况与产品托管人商定后，在综合考虑市场成交、市场报价、流动性、收益率曲线等因素基础上，按最能反映公允价值的价格估值。</w:t>
      </w:r>
    </w:p>
    <w:p w:rsidR="00E039EF" w:rsidRDefault="003F2D22">
      <w:pPr>
        <w:pStyle w:val="Default"/>
        <w:spacing w:line="360" w:lineRule="auto"/>
        <w:ind w:firstLineChars="200" w:firstLine="360"/>
        <w:rPr>
          <w:rFonts w:ascii="黑体" w:eastAsia="黑体" w:hAnsi="黑体"/>
          <w:sz w:val="18"/>
          <w:szCs w:val="18"/>
        </w:rPr>
      </w:pPr>
      <w:r>
        <w:rPr>
          <w:rFonts w:ascii="黑体" w:eastAsia="黑体" w:hAnsi="黑体" w:hint="eastAsia"/>
          <w:sz w:val="18"/>
          <w:szCs w:val="18"/>
        </w:rPr>
        <w:t>1</w:t>
      </w:r>
      <w:r>
        <w:rPr>
          <w:rFonts w:ascii="黑体" w:eastAsia="黑体" w:hAnsi="黑体"/>
          <w:sz w:val="18"/>
          <w:szCs w:val="18"/>
        </w:rPr>
        <w:t>2</w:t>
      </w:r>
      <w:r>
        <w:rPr>
          <w:rFonts w:ascii="黑体" w:eastAsia="黑体" w:hAnsi="黑体" w:hint="eastAsia"/>
          <w:sz w:val="18"/>
          <w:szCs w:val="18"/>
        </w:rPr>
        <w:t>.★估值方法的调整</w:t>
      </w:r>
    </w:p>
    <w:p w:rsidR="00E039EF" w:rsidRDefault="003F2D22">
      <w:pPr>
        <w:pStyle w:val="Default"/>
        <w:spacing w:line="360" w:lineRule="auto"/>
        <w:ind w:firstLineChars="200" w:firstLine="360"/>
        <w:rPr>
          <w:rFonts w:ascii="黑体" w:eastAsia="黑体" w:hAnsi="黑体"/>
          <w:sz w:val="18"/>
          <w:szCs w:val="18"/>
        </w:rPr>
      </w:pPr>
      <w:r>
        <w:rPr>
          <w:rFonts w:ascii="黑体" w:eastAsia="黑体" w:hAnsi="黑体" w:hint="eastAsia"/>
          <w:sz w:val="18"/>
          <w:szCs w:val="18"/>
        </w:rPr>
        <w:t>若因相关法律法规以及监管部门有规定，需要调整估值方法的，管理人应按相关规定要求使用调整后的估值方法进行估值。</w:t>
      </w:r>
    </w:p>
    <w:p w:rsidR="00E039EF" w:rsidRDefault="003F2D22">
      <w:pPr>
        <w:pStyle w:val="Default"/>
        <w:spacing w:line="360" w:lineRule="auto"/>
        <w:ind w:firstLineChars="200" w:firstLine="361"/>
        <w:rPr>
          <w:rFonts w:hAnsi="宋体"/>
          <w:b/>
          <w:bCs/>
          <w:sz w:val="18"/>
          <w:szCs w:val="18"/>
        </w:rPr>
      </w:pPr>
      <w:r>
        <w:rPr>
          <w:rFonts w:hAnsi="宋体" w:hint="eastAsia"/>
          <w:b/>
          <w:bCs/>
          <w:sz w:val="18"/>
          <w:szCs w:val="18"/>
        </w:rPr>
        <w:lastRenderedPageBreak/>
        <w:t>（五）估值程序</w:t>
      </w:r>
    </w:p>
    <w:p w:rsidR="00E039EF" w:rsidRDefault="003F2D22">
      <w:pPr>
        <w:pStyle w:val="Default"/>
        <w:spacing w:line="360" w:lineRule="auto"/>
        <w:ind w:firstLineChars="200" w:firstLine="360"/>
        <w:rPr>
          <w:rFonts w:hAnsi="宋体"/>
          <w:sz w:val="18"/>
          <w:szCs w:val="18"/>
        </w:rPr>
      </w:pPr>
      <w:r>
        <w:rPr>
          <w:rFonts w:hAnsi="宋体" w:hint="eastAsia"/>
          <w:sz w:val="18"/>
          <w:szCs w:val="18"/>
        </w:rPr>
        <w:t>1.产品份额净值是按照估值日产品资产净值除以当日产品总份额计算，四舍五入保留5位小数。国家另有规定的，从其规定。</w:t>
      </w:r>
    </w:p>
    <w:p w:rsidR="00E039EF" w:rsidRDefault="003F2D22">
      <w:pPr>
        <w:pStyle w:val="Default"/>
        <w:spacing w:line="360" w:lineRule="auto"/>
        <w:ind w:firstLineChars="200" w:firstLine="360"/>
        <w:rPr>
          <w:rFonts w:hAnsi="宋体"/>
          <w:sz w:val="18"/>
          <w:szCs w:val="18"/>
        </w:rPr>
      </w:pPr>
      <w:r>
        <w:rPr>
          <w:rFonts w:hAnsi="宋体" w:hint="eastAsia"/>
          <w:sz w:val="18"/>
          <w:szCs w:val="18"/>
        </w:rPr>
        <w:t xml:space="preserve">2.产品管理人对理财资产估值后，将产品份额净值发送产品托管人，经产品托管人复核无误后，由产品管理人按规定对外公布。 </w:t>
      </w:r>
    </w:p>
    <w:p w:rsidR="00E039EF" w:rsidRDefault="003F2D22">
      <w:pPr>
        <w:pStyle w:val="Default"/>
        <w:spacing w:line="360" w:lineRule="auto"/>
        <w:ind w:firstLineChars="200" w:firstLine="360"/>
        <w:rPr>
          <w:rFonts w:hAnsi="宋体"/>
          <w:sz w:val="18"/>
          <w:szCs w:val="18"/>
        </w:rPr>
      </w:pPr>
      <w:r>
        <w:rPr>
          <w:rFonts w:hAnsi="宋体" w:hint="eastAsia"/>
          <w:sz w:val="18"/>
          <w:szCs w:val="18"/>
        </w:rPr>
        <w:t xml:space="preserve">3. 如产品管理人或产品托管人发现理财估值违反本说明书约定的估值方法、程序及相关法律法规的规定或者未能充分维护理财份额持有人权益时，应立即通知对方，共同查明原因，双方协商解决。 </w:t>
      </w:r>
    </w:p>
    <w:p w:rsidR="00E039EF" w:rsidRDefault="003F2D22">
      <w:pPr>
        <w:pStyle w:val="Default"/>
        <w:spacing w:line="360" w:lineRule="auto"/>
        <w:ind w:firstLineChars="200" w:firstLine="361"/>
        <w:rPr>
          <w:rFonts w:hAnsi="宋体"/>
          <w:b/>
          <w:bCs/>
          <w:sz w:val="18"/>
          <w:szCs w:val="18"/>
        </w:rPr>
      </w:pPr>
      <w:r>
        <w:rPr>
          <w:rFonts w:hAnsi="宋体" w:hint="eastAsia"/>
          <w:b/>
          <w:bCs/>
          <w:sz w:val="18"/>
          <w:szCs w:val="18"/>
        </w:rPr>
        <w:t>（六）估值主体</w:t>
      </w:r>
    </w:p>
    <w:p w:rsidR="00E039EF" w:rsidRDefault="003F2D22">
      <w:pPr>
        <w:pStyle w:val="Default"/>
        <w:spacing w:line="360" w:lineRule="auto"/>
        <w:ind w:firstLineChars="200" w:firstLine="360"/>
        <w:rPr>
          <w:rFonts w:hAnsi="宋体"/>
          <w:sz w:val="18"/>
          <w:szCs w:val="18"/>
        </w:rPr>
      </w:pPr>
      <w:r>
        <w:rPr>
          <w:rFonts w:hAnsi="宋体" w:hint="eastAsia"/>
          <w:sz w:val="18"/>
          <w:szCs w:val="18"/>
        </w:rPr>
        <w:t>理财会计责任方根据有关法律法规，理财资产净值计算和理财会计核算的义务由产品管理人承担。本产品的理财会计责任方由产品管理人担任。因此，就与本产品有关的会计问题，如经相关各方在平等基础上充分讨论后，仍无法达成一致的意见，按照产品管理人对理财资产净值的计算结果对外予以公布。</w:t>
      </w:r>
    </w:p>
    <w:p w:rsidR="00E039EF" w:rsidRDefault="003F2D22">
      <w:pPr>
        <w:pStyle w:val="Default"/>
        <w:spacing w:line="360" w:lineRule="auto"/>
        <w:ind w:firstLineChars="200" w:firstLine="360"/>
        <w:rPr>
          <w:rFonts w:ascii="黑体" w:eastAsia="黑体" w:hAnsi="黑体"/>
          <w:sz w:val="18"/>
          <w:szCs w:val="18"/>
        </w:rPr>
      </w:pPr>
      <w:r>
        <w:rPr>
          <w:rFonts w:ascii="黑体" w:eastAsia="黑体" w:hAnsi="黑体" w:hint="eastAsia"/>
          <w:sz w:val="18"/>
          <w:szCs w:val="18"/>
        </w:rPr>
        <w:t>（七）★暂停估值</w:t>
      </w:r>
    </w:p>
    <w:p w:rsidR="00E039EF" w:rsidRDefault="003F2D22">
      <w:pPr>
        <w:pStyle w:val="Default"/>
        <w:spacing w:line="360" w:lineRule="auto"/>
        <w:ind w:firstLineChars="200" w:firstLine="360"/>
        <w:rPr>
          <w:rFonts w:ascii="黑体" w:eastAsia="黑体" w:hAnsi="黑体"/>
          <w:sz w:val="18"/>
          <w:szCs w:val="18"/>
        </w:rPr>
      </w:pPr>
      <w:r>
        <w:rPr>
          <w:rFonts w:ascii="黑体" w:eastAsia="黑体" w:hAnsi="黑体" w:hint="eastAsia"/>
          <w:sz w:val="18"/>
          <w:szCs w:val="18"/>
        </w:rPr>
        <w:t>当发生以下情况时，产品管理人可暂停估值。估值条件恢复时，将按规定完成估值工作：</w:t>
      </w:r>
    </w:p>
    <w:p w:rsidR="00E039EF" w:rsidRDefault="003F2D22">
      <w:pPr>
        <w:pStyle w:val="Default"/>
        <w:spacing w:line="360" w:lineRule="auto"/>
        <w:ind w:firstLineChars="200" w:firstLine="360"/>
        <w:rPr>
          <w:rFonts w:ascii="黑体" w:eastAsia="黑体" w:hAnsi="黑体"/>
          <w:sz w:val="18"/>
          <w:szCs w:val="18"/>
        </w:rPr>
      </w:pPr>
      <w:r>
        <w:rPr>
          <w:rFonts w:ascii="黑体" w:eastAsia="黑体" w:hAnsi="黑体" w:hint="eastAsia"/>
          <w:sz w:val="18"/>
          <w:szCs w:val="18"/>
        </w:rPr>
        <w:t>1.理财产品投资涉及的交易市场遇法定节假日或其他原因暂停营业时；</w:t>
      </w:r>
    </w:p>
    <w:p w:rsidR="00E039EF" w:rsidRDefault="003F2D22">
      <w:pPr>
        <w:pStyle w:val="Default"/>
        <w:spacing w:line="360" w:lineRule="auto"/>
        <w:ind w:firstLineChars="200" w:firstLine="360"/>
        <w:rPr>
          <w:rFonts w:ascii="黑体" w:eastAsia="黑体" w:hAnsi="黑体"/>
          <w:sz w:val="18"/>
          <w:szCs w:val="18"/>
        </w:rPr>
      </w:pPr>
      <w:r>
        <w:rPr>
          <w:rFonts w:ascii="黑体" w:eastAsia="黑体" w:hAnsi="黑体" w:hint="eastAsia"/>
          <w:sz w:val="18"/>
          <w:szCs w:val="18"/>
        </w:rPr>
        <w:t>2.因任何不可抗力致使理财产品管理人、托管人无法准确评估资产价值时；</w:t>
      </w:r>
    </w:p>
    <w:p w:rsidR="00E039EF" w:rsidRDefault="003F2D22">
      <w:pPr>
        <w:pStyle w:val="Default"/>
        <w:spacing w:line="360" w:lineRule="auto"/>
        <w:ind w:firstLineChars="200" w:firstLine="360"/>
        <w:rPr>
          <w:rFonts w:ascii="黑体" w:eastAsia="黑体" w:hAnsi="黑体"/>
          <w:sz w:val="18"/>
          <w:szCs w:val="18"/>
        </w:rPr>
      </w:pPr>
      <w:r>
        <w:rPr>
          <w:rFonts w:ascii="黑体" w:eastAsia="黑体" w:hAnsi="黑体" w:hint="eastAsia"/>
          <w:sz w:val="18"/>
          <w:szCs w:val="18"/>
        </w:rPr>
        <w:t>3.开放式理财产品在前一估值日内理财产品资产净值50%以上的资产不具备活跃交易市场或者在活跃市场中无报价，且不能采用估值技术可靠计量公允价值的；</w:t>
      </w:r>
    </w:p>
    <w:p w:rsidR="00E039EF" w:rsidRDefault="003F2D22">
      <w:pPr>
        <w:pStyle w:val="Default"/>
        <w:spacing w:line="360" w:lineRule="auto"/>
        <w:ind w:firstLineChars="200" w:firstLine="360"/>
        <w:rPr>
          <w:rFonts w:ascii="黑体" w:eastAsia="黑体" w:hAnsi="黑体"/>
          <w:sz w:val="18"/>
          <w:szCs w:val="18"/>
        </w:rPr>
      </w:pPr>
      <w:r>
        <w:rPr>
          <w:rFonts w:ascii="黑体" w:eastAsia="黑体" w:hAnsi="黑体" w:hint="eastAsia"/>
          <w:sz w:val="18"/>
          <w:szCs w:val="18"/>
        </w:rPr>
        <w:t>4.监管机构规定的其他情形。</w:t>
      </w:r>
    </w:p>
    <w:p w:rsidR="00E039EF" w:rsidRDefault="003F2D22">
      <w:pPr>
        <w:widowControl/>
        <w:spacing w:line="360" w:lineRule="auto"/>
        <w:jc w:val="left"/>
        <w:rPr>
          <w:rFonts w:ascii="宋体" w:hAnsi="宋体"/>
          <w:kern w:val="0"/>
          <w:sz w:val="18"/>
          <w:szCs w:val="18"/>
        </w:rPr>
      </w:pPr>
      <w:r>
        <w:rPr>
          <w:rFonts w:hAnsi="宋体"/>
          <w:sz w:val="18"/>
          <w:szCs w:val="18"/>
        </w:rPr>
        <w:br w:type="page"/>
      </w:r>
    </w:p>
    <w:p w:rsidR="00E039EF" w:rsidRDefault="003F2D22">
      <w:pPr>
        <w:pStyle w:val="1"/>
        <w:spacing w:before="0" w:after="0" w:line="360" w:lineRule="auto"/>
        <w:ind w:left="60" w:firstLine="10"/>
        <w:jc w:val="center"/>
        <w:rPr>
          <w:rFonts w:ascii="Times New Roman"/>
          <w:sz w:val="30"/>
        </w:rPr>
      </w:pPr>
      <w:bookmarkStart w:id="65" w:name="_Hlt70481650"/>
      <w:bookmarkStart w:id="66" w:name="_Toc74065744"/>
      <w:bookmarkStart w:id="67" w:name="_Toc12245"/>
      <w:bookmarkStart w:id="68" w:name="_Toc123051453"/>
      <w:bookmarkStart w:id="69" w:name="_Toc29251"/>
      <w:bookmarkStart w:id="70" w:name="_Toc79154671"/>
      <w:bookmarkStart w:id="71" w:name="_Toc6405"/>
      <w:bookmarkStart w:id="72" w:name="_Toc98560353"/>
      <w:bookmarkStart w:id="73" w:name="_Toc139991737"/>
      <w:bookmarkStart w:id="74" w:name="_Toc141703887"/>
      <w:bookmarkStart w:id="75" w:name="_Toc15143"/>
      <w:bookmarkStart w:id="76" w:name="_Toc31235"/>
      <w:bookmarkStart w:id="77" w:name="_Toc31644"/>
      <w:bookmarkStart w:id="78" w:name="_Toc31653"/>
      <w:bookmarkStart w:id="79" w:name="_Toc26207"/>
      <w:bookmarkStart w:id="80" w:name="_Toc3601"/>
      <w:bookmarkStart w:id="81" w:name="_Toc123112235"/>
      <w:bookmarkStart w:id="82" w:name="_Toc14835"/>
      <w:bookmarkStart w:id="83" w:name="_Toc116649656"/>
      <w:bookmarkStart w:id="84" w:name="_Toc123102454"/>
      <w:bookmarkEnd w:id="65"/>
      <w:r>
        <w:rPr>
          <w:rFonts w:ascii="Times New Roman"/>
          <w:sz w:val="30"/>
        </w:rPr>
        <w:lastRenderedPageBreak/>
        <w:t>第八</w:t>
      </w:r>
      <w:r>
        <w:rPr>
          <w:rFonts w:ascii="Times New Roman" w:hint="eastAsia"/>
          <w:sz w:val="30"/>
        </w:rPr>
        <w:t>条</w:t>
      </w:r>
      <w:r>
        <w:rPr>
          <w:rFonts w:ascii="Times New Roman"/>
          <w:sz w:val="30"/>
        </w:rPr>
        <w:t xml:space="preserve">  </w:t>
      </w:r>
      <w:r>
        <w:rPr>
          <w:rFonts w:ascii="Times New Roman" w:hint="eastAsia"/>
          <w:sz w:val="30"/>
        </w:rPr>
        <w:t>理财产品的利益分配</w:t>
      </w:r>
      <w:bookmarkStart w:id="85" w:name="_Hlt55355235"/>
      <w:bookmarkStart w:id="86" w:name="_Toc15118234"/>
      <w:bookmarkStart w:id="87" w:name="_Toc79392580"/>
      <w:bookmarkStart w:id="88" w:name="_Toc57530239"/>
      <w:bookmarkStart w:id="89" w:name="_Toc523711668"/>
      <w:bookmarkEnd w:id="66"/>
      <w:bookmarkEnd w:id="67"/>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p>
    <w:p w:rsidR="00E039EF" w:rsidRDefault="003F2D22">
      <w:pPr>
        <w:pStyle w:val="Default"/>
        <w:spacing w:line="360" w:lineRule="auto"/>
        <w:ind w:firstLineChars="200" w:firstLine="361"/>
        <w:rPr>
          <w:rFonts w:hAnsi="宋体"/>
          <w:b/>
          <w:color w:val="auto"/>
          <w:sz w:val="18"/>
          <w:szCs w:val="18"/>
        </w:rPr>
      </w:pPr>
      <w:r>
        <w:rPr>
          <w:rFonts w:hAnsi="宋体" w:hint="eastAsia"/>
          <w:b/>
          <w:color w:val="auto"/>
          <w:sz w:val="18"/>
          <w:szCs w:val="18"/>
        </w:rPr>
        <w:t>（一）理财利益的分配类型</w:t>
      </w:r>
    </w:p>
    <w:p w:rsidR="00E039EF" w:rsidRDefault="003F2D22">
      <w:pPr>
        <w:pStyle w:val="Default"/>
        <w:spacing w:line="360" w:lineRule="auto"/>
        <w:ind w:firstLineChars="200" w:firstLine="360"/>
        <w:rPr>
          <w:rFonts w:hAnsi="宋体"/>
          <w:color w:val="auto"/>
          <w:sz w:val="18"/>
          <w:szCs w:val="18"/>
        </w:rPr>
      </w:pPr>
      <w:r>
        <w:rPr>
          <w:rFonts w:hAnsi="宋体" w:hint="eastAsia"/>
          <w:color w:val="auto"/>
          <w:sz w:val="18"/>
          <w:szCs w:val="18"/>
        </w:rPr>
        <w:t>1. 依据分配时点，理财利益的分配可分为“期间分配”与“终止分配”。</w:t>
      </w:r>
    </w:p>
    <w:p w:rsidR="00E039EF" w:rsidRDefault="003F2D22">
      <w:pPr>
        <w:pStyle w:val="Default"/>
        <w:spacing w:line="360" w:lineRule="auto"/>
        <w:ind w:firstLineChars="200" w:firstLine="360"/>
        <w:rPr>
          <w:rFonts w:hAnsi="宋体"/>
          <w:color w:val="auto"/>
          <w:sz w:val="18"/>
          <w:szCs w:val="18"/>
        </w:rPr>
      </w:pPr>
      <w:r>
        <w:rPr>
          <w:rFonts w:hAnsi="宋体" w:hint="eastAsia"/>
          <w:color w:val="auto"/>
          <w:sz w:val="18"/>
          <w:szCs w:val="18"/>
        </w:rPr>
        <w:t>2. 依据分配方式，理财利益的分配可分为“现金分配”与“非现金分配”。</w:t>
      </w:r>
    </w:p>
    <w:p w:rsidR="00E039EF" w:rsidRDefault="003F2D22">
      <w:pPr>
        <w:pStyle w:val="Default"/>
        <w:spacing w:line="360" w:lineRule="auto"/>
        <w:ind w:firstLineChars="200" w:firstLine="361"/>
        <w:rPr>
          <w:rFonts w:hAnsi="宋体"/>
          <w:color w:val="auto"/>
          <w:sz w:val="18"/>
          <w:szCs w:val="18"/>
        </w:rPr>
      </w:pPr>
      <w:r>
        <w:rPr>
          <w:rFonts w:hAnsi="宋体" w:hint="eastAsia"/>
          <w:b/>
          <w:color w:val="auto"/>
          <w:sz w:val="18"/>
          <w:szCs w:val="18"/>
        </w:rPr>
        <w:t>（二）理财利益的分配原则</w:t>
      </w:r>
    </w:p>
    <w:p w:rsidR="00E039EF" w:rsidRDefault="003F2D22">
      <w:pPr>
        <w:pStyle w:val="Default"/>
        <w:spacing w:line="360" w:lineRule="auto"/>
        <w:ind w:firstLineChars="200" w:firstLine="360"/>
        <w:rPr>
          <w:rFonts w:hAnsi="宋体"/>
          <w:color w:val="auto"/>
          <w:sz w:val="18"/>
          <w:szCs w:val="18"/>
        </w:rPr>
      </w:pPr>
      <w:r>
        <w:rPr>
          <w:rFonts w:hAnsi="宋体" w:hint="eastAsia"/>
          <w:color w:val="auto"/>
          <w:sz w:val="18"/>
          <w:szCs w:val="18"/>
        </w:rPr>
        <w:t xml:space="preserve">1.本产品利益分配应遵循下列原则： </w:t>
      </w:r>
    </w:p>
    <w:p w:rsidR="00E039EF" w:rsidRDefault="003F2D22">
      <w:pPr>
        <w:pStyle w:val="Default"/>
        <w:spacing w:line="360" w:lineRule="auto"/>
        <w:ind w:firstLineChars="200" w:firstLine="360"/>
        <w:rPr>
          <w:rFonts w:hAnsi="宋体"/>
          <w:color w:val="auto"/>
          <w:sz w:val="18"/>
          <w:szCs w:val="18"/>
        </w:rPr>
      </w:pPr>
      <w:r>
        <w:rPr>
          <w:rFonts w:hAnsi="宋体"/>
          <w:color w:val="auto"/>
          <w:sz w:val="18"/>
          <w:szCs w:val="18"/>
        </w:rPr>
        <w:t>每一</w:t>
      </w:r>
      <w:r>
        <w:rPr>
          <w:rFonts w:hAnsi="宋体" w:hint="eastAsia"/>
          <w:color w:val="auto"/>
          <w:sz w:val="18"/>
          <w:szCs w:val="18"/>
        </w:rPr>
        <w:t>产品</w:t>
      </w:r>
      <w:r>
        <w:rPr>
          <w:rFonts w:hAnsi="宋体"/>
          <w:color w:val="auto"/>
          <w:sz w:val="18"/>
          <w:szCs w:val="18"/>
        </w:rPr>
        <w:t>份额享有同等分配权</w:t>
      </w:r>
      <w:r>
        <w:rPr>
          <w:rFonts w:hAnsi="宋体" w:hint="eastAsia"/>
          <w:color w:val="auto"/>
          <w:sz w:val="18"/>
          <w:szCs w:val="18"/>
        </w:rPr>
        <w:t>。</w:t>
      </w:r>
    </w:p>
    <w:p w:rsidR="00E039EF" w:rsidRDefault="003F2D22">
      <w:pPr>
        <w:pStyle w:val="Default"/>
        <w:spacing w:line="360" w:lineRule="auto"/>
        <w:ind w:firstLineChars="200" w:firstLine="360"/>
        <w:rPr>
          <w:rFonts w:hAnsi="宋体"/>
          <w:color w:val="auto"/>
          <w:sz w:val="18"/>
          <w:szCs w:val="18"/>
        </w:rPr>
      </w:pPr>
      <w:r>
        <w:rPr>
          <w:rFonts w:hAnsi="宋体" w:hint="eastAsia"/>
          <w:color w:val="auto"/>
          <w:sz w:val="18"/>
          <w:szCs w:val="18"/>
        </w:rPr>
        <w:t>2.</w:t>
      </w:r>
      <w:r>
        <w:rPr>
          <w:rFonts w:hAnsi="宋体"/>
          <w:color w:val="auto"/>
          <w:sz w:val="18"/>
          <w:szCs w:val="18"/>
        </w:rPr>
        <w:t>在不违反法律法规、</w:t>
      </w:r>
      <w:r>
        <w:rPr>
          <w:rFonts w:hAnsi="宋体" w:hint="eastAsia"/>
          <w:color w:val="auto"/>
          <w:sz w:val="18"/>
          <w:szCs w:val="18"/>
        </w:rPr>
        <w:t>理财产品销售文件</w:t>
      </w:r>
      <w:r>
        <w:rPr>
          <w:rFonts w:hAnsi="宋体"/>
          <w:color w:val="auto"/>
          <w:sz w:val="18"/>
          <w:szCs w:val="18"/>
        </w:rPr>
        <w:t>约定以及对份额持有人</w:t>
      </w:r>
      <w:r>
        <w:rPr>
          <w:rFonts w:hAnsi="宋体" w:hint="eastAsia"/>
          <w:color w:val="auto"/>
          <w:sz w:val="18"/>
          <w:szCs w:val="18"/>
        </w:rPr>
        <w:t>权益</w:t>
      </w:r>
      <w:r>
        <w:rPr>
          <w:rFonts w:hAnsi="宋体"/>
          <w:color w:val="auto"/>
          <w:sz w:val="18"/>
          <w:szCs w:val="18"/>
        </w:rPr>
        <w:t>无实质性不利影响的情况下，</w:t>
      </w:r>
      <w:r>
        <w:rPr>
          <w:rFonts w:asciiTheme="majorEastAsia" w:eastAsiaTheme="majorEastAsia" w:hAnsiTheme="majorEastAsia" w:hint="eastAsia"/>
          <w:bCs/>
          <w:color w:val="auto"/>
          <w:sz w:val="18"/>
          <w:szCs w:val="18"/>
        </w:rPr>
        <w:t>产品管理人</w:t>
      </w:r>
      <w:r>
        <w:rPr>
          <w:rFonts w:hAnsi="宋体"/>
          <w:color w:val="auto"/>
          <w:sz w:val="18"/>
          <w:szCs w:val="18"/>
        </w:rPr>
        <w:t>可调整</w:t>
      </w:r>
      <w:r>
        <w:rPr>
          <w:rFonts w:hAnsi="宋体" w:hint="eastAsia"/>
          <w:color w:val="auto"/>
          <w:sz w:val="18"/>
          <w:szCs w:val="18"/>
        </w:rPr>
        <w:t>本产品</w:t>
      </w:r>
      <w:r>
        <w:rPr>
          <w:rFonts w:hAnsi="宋体"/>
          <w:color w:val="auto"/>
          <w:sz w:val="18"/>
          <w:szCs w:val="18"/>
        </w:rPr>
        <w:t>利益的分配原则和支付方式</w:t>
      </w:r>
      <w:r>
        <w:rPr>
          <w:rFonts w:hAnsi="宋体" w:hint="eastAsia"/>
          <w:color w:val="auto"/>
          <w:sz w:val="18"/>
          <w:szCs w:val="18"/>
        </w:rPr>
        <w:t>。法律法规或监管机构另有规定的从其规定。</w:t>
      </w:r>
    </w:p>
    <w:p w:rsidR="00E039EF" w:rsidRDefault="003F2D22">
      <w:pPr>
        <w:pStyle w:val="Default"/>
        <w:spacing w:line="360" w:lineRule="auto"/>
        <w:ind w:firstLineChars="200" w:firstLine="361"/>
        <w:rPr>
          <w:rFonts w:hAnsi="宋体"/>
          <w:b/>
          <w:bCs/>
          <w:color w:val="auto"/>
          <w:sz w:val="18"/>
          <w:szCs w:val="18"/>
        </w:rPr>
      </w:pPr>
      <w:r>
        <w:rPr>
          <w:rFonts w:hAnsi="宋体" w:hint="eastAsia"/>
          <w:b/>
          <w:bCs/>
          <w:color w:val="auto"/>
          <w:sz w:val="18"/>
          <w:szCs w:val="18"/>
        </w:rPr>
        <w:t>（三）理财利益的分配方案</w:t>
      </w:r>
    </w:p>
    <w:p w:rsidR="00E039EF" w:rsidRDefault="003F2D22">
      <w:pPr>
        <w:pStyle w:val="Default"/>
        <w:spacing w:line="360" w:lineRule="auto"/>
        <w:ind w:firstLineChars="200" w:firstLine="361"/>
        <w:rPr>
          <w:rFonts w:hAnsi="宋体"/>
          <w:b/>
          <w:bCs/>
          <w:color w:val="auto"/>
          <w:sz w:val="18"/>
          <w:szCs w:val="18"/>
        </w:rPr>
      </w:pPr>
      <w:permStart w:id="758673623" w:edGrp="everyone"/>
      <w:r>
        <w:rPr>
          <w:rFonts w:hAnsi="宋体" w:hint="eastAsia"/>
          <w:b/>
          <w:bCs/>
          <w:color w:val="auto"/>
          <w:sz w:val="18"/>
          <w:szCs w:val="18"/>
        </w:rPr>
        <w:t>1.分配方案要点：</w:t>
      </w:r>
    </w:p>
    <w:p w:rsidR="00E039EF" w:rsidRDefault="003F2D22">
      <w:pPr>
        <w:pStyle w:val="Default"/>
        <w:spacing w:line="360" w:lineRule="auto"/>
        <w:ind w:firstLineChars="200" w:firstLine="360"/>
        <w:rPr>
          <w:rFonts w:hAnsi="宋体"/>
          <w:color w:val="auto"/>
          <w:sz w:val="18"/>
          <w:szCs w:val="18"/>
        </w:rPr>
      </w:pPr>
      <w:r>
        <w:rPr>
          <w:rFonts w:hAnsi="宋体" w:hint="eastAsia"/>
          <w:color w:val="auto"/>
          <w:sz w:val="18"/>
          <w:szCs w:val="18"/>
        </w:rPr>
        <w:t>（1）本产品的分配时点包括“期间分配”和“终止分配”。</w:t>
      </w:r>
    </w:p>
    <w:p w:rsidR="00E039EF" w:rsidRDefault="003F2D22">
      <w:pPr>
        <w:pStyle w:val="Default"/>
        <w:spacing w:line="360" w:lineRule="auto"/>
        <w:ind w:firstLineChars="200" w:firstLine="360"/>
        <w:rPr>
          <w:rFonts w:hAnsi="宋体"/>
          <w:color w:val="auto"/>
          <w:sz w:val="18"/>
          <w:szCs w:val="18"/>
        </w:rPr>
      </w:pPr>
      <w:r>
        <w:rPr>
          <w:rFonts w:hAnsi="宋体" w:hint="eastAsia"/>
          <w:color w:val="auto"/>
          <w:sz w:val="18"/>
          <w:szCs w:val="18"/>
        </w:rPr>
        <w:t>（2）本产品的分配方式仅采取“现金分配”。</w:t>
      </w:r>
    </w:p>
    <w:p w:rsidR="00E039EF" w:rsidRDefault="003F2D22">
      <w:pPr>
        <w:pStyle w:val="Default"/>
        <w:spacing w:line="360" w:lineRule="auto"/>
        <w:ind w:firstLineChars="200" w:firstLine="360"/>
        <w:rPr>
          <w:rFonts w:hAnsi="宋体"/>
          <w:color w:val="auto"/>
          <w:sz w:val="18"/>
          <w:szCs w:val="18"/>
        </w:rPr>
      </w:pPr>
      <w:r>
        <w:rPr>
          <w:rFonts w:hAnsi="宋体"/>
          <w:color w:val="auto"/>
          <w:sz w:val="18"/>
          <w:szCs w:val="18"/>
        </w:rPr>
        <w:t>2.具体理财利益分配方案由产品管理人拟定，并由产品托管人复核后确定。</w:t>
      </w:r>
    </w:p>
    <w:p w:rsidR="00E039EF" w:rsidRDefault="003F2D22">
      <w:pPr>
        <w:pStyle w:val="Default"/>
        <w:spacing w:line="360" w:lineRule="auto"/>
        <w:ind w:firstLineChars="200" w:firstLine="360"/>
        <w:rPr>
          <w:rFonts w:hAnsi="宋体"/>
          <w:color w:val="auto"/>
          <w:sz w:val="18"/>
          <w:szCs w:val="18"/>
        </w:rPr>
      </w:pPr>
      <w:r>
        <w:rPr>
          <w:rFonts w:hAnsi="宋体" w:hint="eastAsia"/>
          <w:color w:val="auto"/>
          <w:sz w:val="18"/>
          <w:szCs w:val="18"/>
        </w:rPr>
        <w:t>3.理财产品存续期间，产品管理人</w:t>
      </w:r>
      <w:r>
        <w:rPr>
          <w:rFonts w:hAnsi="宋体"/>
          <w:color w:val="auto"/>
          <w:sz w:val="18"/>
          <w:szCs w:val="18"/>
        </w:rPr>
        <w:t>有权视理财产品</w:t>
      </w:r>
      <w:r>
        <w:rPr>
          <w:rFonts w:hAnsi="宋体" w:hint="eastAsia"/>
          <w:color w:val="auto"/>
          <w:sz w:val="18"/>
          <w:szCs w:val="18"/>
        </w:rPr>
        <w:t>收益情况</w:t>
      </w:r>
      <w:r>
        <w:rPr>
          <w:rFonts w:hAnsi="宋体"/>
          <w:color w:val="auto"/>
          <w:sz w:val="18"/>
          <w:szCs w:val="18"/>
        </w:rPr>
        <w:t>进行主动分配，相应分配基准日、分配方案由管理人</w:t>
      </w:r>
      <w:r>
        <w:rPr>
          <w:rFonts w:hAnsi="宋体" w:hint="eastAsia"/>
          <w:color w:val="auto"/>
          <w:sz w:val="18"/>
          <w:szCs w:val="18"/>
        </w:rPr>
        <w:t>及时</w:t>
      </w:r>
      <w:r>
        <w:rPr>
          <w:rFonts w:hAnsi="宋体"/>
          <w:color w:val="auto"/>
          <w:sz w:val="18"/>
          <w:szCs w:val="18"/>
        </w:rPr>
        <w:t>披露。</w:t>
      </w:r>
    </w:p>
    <w:permEnd w:id="758673623"/>
    <w:p w:rsidR="00E039EF" w:rsidRDefault="003F2D22">
      <w:pPr>
        <w:spacing w:line="360" w:lineRule="auto"/>
        <w:ind w:firstLine="360"/>
        <w:rPr>
          <w:rFonts w:ascii="宋体" w:hAnsi="宋体"/>
          <w:b/>
          <w:sz w:val="18"/>
          <w:szCs w:val="18"/>
        </w:rPr>
      </w:pPr>
      <w:r>
        <w:rPr>
          <w:rFonts w:ascii="宋体" w:hAnsi="宋体" w:hint="eastAsia"/>
          <w:b/>
          <w:kern w:val="0"/>
          <w:sz w:val="18"/>
          <w:szCs w:val="18"/>
        </w:rPr>
        <w:t>（四）理财利益的分配</w:t>
      </w:r>
    </w:p>
    <w:p w:rsidR="00E039EF" w:rsidRDefault="003F2D22">
      <w:pPr>
        <w:pStyle w:val="Default"/>
        <w:spacing w:line="360" w:lineRule="auto"/>
        <w:ind w:firstLineChars="200" w:firstLine="360"/>
        <w:rPr>
          <w:rFonts w:hAnsi="宋体"/>
          <w:color w:val="auto"/>
          <w:sz w:val="18"/>
          <w:szCs w:val="18"/>
        </w:rPr>
      </w:pPr>
      <w:permStart w:id="123430828" w:edGrp="everyone"/>
      <w:r>
        <w:rPr>
          <w:rFonts w:hAnsi="宋体" w:hint="eastAsia"/>
          <w:color w:val="auto"/>
          <w:sz w:val="18"/>
          <w:szCs w:val="18"/>
        </w:rPr>
        <w:t>1.理财利益的分配日</w:t>
      </w:r>
    </w:p>
    <w:p w:rsidR="00E039EF" w:rsidRDefault="003F2D22">
      <w:pPr>
        <w:pStyle w:val="Default"/>
        <w:spacing w:line="360" w:lineRule="auto"/>
        <w:ind w:firstLineChars="200" w:firstLine="360"/>
        <w:rPr>
          <w:rFonts w:hAnsi="宋体"/>
          <w:color w:val="auto"/>
          <w:sz w:val="18"/>
          <w:szCs w:val="18"/>
        </w:rPr>
      </w:pPr>
      <w:r>
        <w:rPr>
          <w:rFonts w:hAnsi="宋体" w:hint="eastAsia"/>
          <w:color w:val="auto"/>
          <w:sz w:val="18"/>
          <w:szCs w:val="18"/>
        </w:rPr>
        <w:t>（1）若为期间分配的，原则上产品管理人应于分配基准日后【5】个工作日内分配理财利益（如有）。</w:t>
      </w:r>
    </w:p>
    <w:p w:rsidR="00E039EF" w:rsidRDefault="003F2D22">
      <w:pPr>
        <w:pStyle w:val="Default"/>
        <w:spacing w:line="360" w:lineRule="auto"/>
        <w:ind w:firstLineChars="200" w:firstLine="360"/>
        <w:rPr>
          <w:rFonts w:hAnsi="宋体"/>
          <w:color w:val="auto"/>
          <w:sz w:val="18"/>
          <w:szCs w:val="18"/>
        </w:rPr>
      </w:pPr>
      <w:r>
        <w:rPr>
          <w:rFonts w:hAnsi="宋体" w:hint="eastAsia"/>
          <w:color w:val="auto"/>
          <w:sz w:val="18"/>
          <w:szCs w:val="18"/>
        </w:rPr>
        <w:t>（2）若为终止分配的，产品管理人应按“第十条 理财产品的终止与清算”中产品清算期的相关约定向投资者分配理财利益（如有）。</w:t>
      </w:r>
    </w:p>
    <w:p w:rsidR="00E039EF" w:rsidRDefault="003F2D22">
      <w:pPr>
        <w:pStyle w:val="Default"/>
        <w:spacing w:line="360" w:lineRule="auto"/>
        <w:ind w:firstLineChars="200" w:firstLine="360"/>
        <w:rPr>
          <w:rFonts w:hAnsi="宋体"/>
          <w:color w:val="auto"/>
          <w:sz w:val="18"/>
          <w:szCs w:val="18"/>
        </w:rPr>
      </w:pPr>
      <w:r>
        <w:rPr>
          <w:rFonts w:hAnsi="宋体"/>
          <w:color w:val="auto"/>
          <w:sz w:val="18"/>
          <w:szCs w:val="18"/>
        </w:rPr>
        <w:t>2.</w:t>
      </w:r>
      <w:r>
        <w:rPr>
          <w:rFonts w:hAnsi="宋体" w:hint="eastAsia"/>
          <w:color w:val="auto"/>
          <w:sz w:val="18"/>
          <w:szCs w:val="18"/>
        </w:rPr>
        <w:t>具体的理财利益分配以管理人实际分配的为准。</w:t>
      </w:r>
    </w:p>
    <w:permEnd w:id="123430828"/>
    <w:p w:rsidR="00E039EF" w:rsidRDefault="003F2D22">
      <w:pPr>
        <w:widowControl/>
        <w:spacing w:line="360" w:lineRule="auto"/>
        <w:jc w:val="left"/>
        <w:rPr>
          <w:rFonts w:ascii="宋体" w:hAnsi="宋体"/>
          <w:kern w:val="0"/>
          <w:sz w:val="18"/>
          <w:szCs w:val="18"/>
        </w:rPr>
      </w:pPr>
      <w:r>
        <w:rPr>
          <w:rFonts w:hAnsi="宋体"/>
          <w:sz w:val="18"/>
          <w:szCs w:val="18"/>
        </w:rPr>
        <w:br w:type="page"/>
      </w:r>
    </w:p>
    <w:p w:rsidR="00E039EF" w:rsidRDefault="003F2D22">
      <w:pPr>
        <w:pStyle w:val="1"/>
        <w:spacing w:before="0" w:after="0" w:line="360" w:lineRule="auto"/>
        <w:jc w:val="center"/>
        <w:rPr>
          <w:rFonts w:ascii="Times New Roman"/>
          <w:sz w:val="30"/>
        </w:rPr>
      </w:pPr>
      <w:bookmarkStart w:id="90" w:name="_Hlt88897298"/>
      <w:bookmarkStart w:id="91" w:name="_Hlt88825574"/>
      <w:bookmarkStart w:id="92" w:name="_Toc98560354"/>
      <w:bookmarkStart w:id="93" w:name="_Toc4559"/>
      <w:bookmarkStart w:id="94" w:name="_Toc3771"/>
      <w:bookmarkStart w:id="95" w:name="_Toc79154672"/>
      <w:bookmarkStart w:id="96" w:name="_Toc25783"/>
      <w:bookmarkStart w:id="97" w:name="_Toc7058"/>
      <w:bookmarkStart w:id="98" w:name="_Toc74065745"/>
      <w:bookmarkStart w:id="99" w:name="_Toc116649657"/>
      <w:bookmarkStart w:id="100" w:name="_Toc9706"/>
      <w:bookmarkStart w:id="101" w:name="_Toc18567"/>
      <w:bookmarkStart w:id="102" w:name="_Toc139991738"/>
      <w:bookmarkStart w:id="103" w:name="_Toc10650"/>
      <w:bookmarkStart w:id="104" w:name="_Toc79392583"/>
      <w:bookmarkStart w:id="105" w:name="_Toc123051454"/>
      <w:bookmarkStart w:id="106" w:name="_Toc141703888"/>
      <w:bookmarkStart w:id="107" w:name="_Toc6447"/>
      <w:bookmarkStart w:id="108" w:name="_Toc123102455"/>
      <w:bookmarkStart w:id="109" w:name="_Toc11030"/>
      <w:bookmarkStart w:id="110" w:name="_Toc3321"/>
      <w:bookmarkStart w:id="111" w:name="_Toc123112236"/>
      <w:bookmarkEnd w:id="86"/>
      <w:bookmarkEnd w:id="87"/>
      <w:bookmarkEnd w:id="88"/>
      <w:bookmarkEnd w:id="89"/>
      <w:bookmarkEnd w:id="90"/>
      <w:bookmarkEnd w:id="91"/>
      <w:r>
        <w:rPr>
          <w:rFonts w:ascii="Times New Roman"/>
          <w:sz w:val="30"/>
        </w:rPr>
        <w:lastRenderedPageBreak/>
        <w:t>第九</w:t>
      </w:r>
      <w:r>
        <w:rPr>
          <w:rFonts w:ascii="Times New Roman" w:hint="eastAsia"/>
          <w:sz w:val="30"/>
        </w:rPr>
        <w:t>条</w:t>
      </w:r>
      <w:r>
        <w:rPr>
          <w:rFonts w:ascii="Times New Roman"/>
          <w:sz w:val="30"/>
        </w:rPr>
        <w:t xml:space="preserve">  </w:t>
      </w:r>
      <w:r>
        <w:rPr>
          <w:rFonts w:ascii="Times New Roman" w:hint="eastAsia"/>
          <w:sz w:val="30"/>
        </w:rPr>
        <w:t>理财产品的费用与税收</w:t>
      </w:r>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bookmarkEnd w:id="111"/>
    </w:p>
    <w:p w:rsidR="00E039EF" w:rsidRDefault="003F2D22">
      <w:pPr>
        <w:pStyle w:val="Default"/>
        <w:spacing w:line="360" w:lineRule="auto"/>
        <w:ind w:firstLineChars="200" w:firstLine="361"/>
        <w:rPr>
          <w:rFonts w:asciiTheme="majorEastAsia" w:eastAsiaTheme="majorEastAsia" w:hAnsiTheme="majorEastAsia"/>
          <w:b/>
          <w:color w:val="auto"/>
          <w:sz w:val="18"/>
          <w:szCs w:val="18"/>
        </w:rPr>
      </w:pPr>
      <w:r>
        <w:rPr>
          <w:rFonts w:asciiTheme="majorEastAsia" w:eastAsiaTheme="majorEastAsia" w:hAnsiTheme="majorEastAsia" w:hint="eastAsia"/>
          <w:b/>
          <w:color w:val="auto"/>
          <w:sz w:val="18"/>
          <w:szCs w:val="18"/>
        </w:rPr>
        <w:t>（一）理财产品的费用</w:t>
      </w:r>
    </w:p>
    <w:p w:rsidR="00E039EF" w:rsidRDefault="003F2D22">
      <w:pPr>
        <w:widowControl/>
        <w:spacing w:line="360" w:lineRule="auto"/>
        <w:ind w:firstLineChars="200" w:firstLine="360"/>
        <w:jc w:val="left"/>
        <w:rPr>
          <w:rFonts w:hAnsi="宋体"/>
          <w:sz w:val="18"/>
          <w:szCs w:val="18"/>
        </w:rPr>
      </w:pPr>
      <w:r>
        <w:rPr>
          <w:rFonts w:ascii="宋体" w:hAnsi="宋体"/>
          <w:kern w:val="0"/>
          <w:sz w:val="18"/>
          <w:szCs w:val="18"/>
        </w:rPr>
        <w:t>1</w:t>
      </w:r>
      <w:r>
        <w:rPr>
          <w:rFonts w:ascii="宋体" w:hAnsi="宋体" w:hint="eastAsia"/>
          <w:kern w:val="0"/>
          <w:sz w:val="18"/>
          <w:szCs w:val="18"/>
        </w:rPr>
        <w:t>.</w:t>
      </w:r>
      <w:r>
        <w:rPr>
          <w:rFonts w:ascii="宋体" w:hAnsi="宋体"/>
          <w:kern w:val="0"/>
          <w:sz w:val="18"/>
          <w:szCs w:val="18"/>
        </w:rPr>
        <w:t>理财产品费用的种类</w:t>
      </w:r>
    </w:p>
    <w:p w:rsidR="00E039EF" w:rsidRDefault="003F2D22">
      <w:pPr>
        <w:widowControl/>
        <w:spacing w:line="360" w:lineRule="auto"/>
        <w:ind w:firstLineChars="200" w:firstLine="360"/>
        <w:jc w:val="left"/>
        <w:rPr>
          <w:rFonts w:hAnsi="宋体"/>
          <w:sz w:val="18"/>
          <w:szCs w:val="18"/>
        </w:rPr>
      </w:pPr>
      <w:r>
        <w:rPr>
          <w:rFonts w:ascii="宋体" w:hAnsi="宋体" w:hint="eastAsia"/>
          <w:kern w:val="0"/>
          <w:sz w:val="18"/>
          <w:szCs w:val="18"/>
        </w:rPr>
        <w:t>（</w:t>
      </w:r>
      <w:r>
        <w:rPr>
          <w:rFonts w:ascii="宋体" w:hAnsi="宋体"/>
          <w:kern w:val="0"/>
          <w:sz w:val="18"/>
          <w:szCs w:val="18"/>
        </w:rPr>
        <w:t>1）理财产品的认购费</w:t>
      </w:r>
      <w:r>
        <w:rPr>
          <w:rFonts w:ascii="宋体" w:hAnsi="宋体" w:hint="eastAsia"/>
          <w:kern w:val="0"/>
          <w:sz w:val="18"/>
          <w:szCs w:val="18"/>
        </w:rPr>
        <w:t>；</w:t>
      </w:r>
    </w:p>
    <w:p w:rsidR="00E039EF" w:rsidRDefault="003F2D22">
      <w:pPr>
        <w:widowControl/>
        <w:spacing w:line="360" w:lineRule="auto"/>
        <w:ind w:firstLineChars="200" w:firstLine="360"/>
        <w:jc w:val="left"/>
        <w:rPr>
          <w:rFonts w:hAnsi="宋体"/>
          <w:sz w:val="18"/>
          <w:szCs w:val="18"/>
        </w:rPr>
      </w:pPr>
      <w:r>
        <w:rPr>
          <w:rFonts w:ascii="宋体" w:hAnsi="宋体" w:hint="eastAsia"/>
          <w:kern w:val="0"/>
          <w:sz w:val="18"/>
          <w:szCs w:val="18"/>
        </w:rPr>
        <w:t>（</w:t>
      </w:r>
      <w:r>
        <w:rPr>
          <w:rFonts w:ascii="宋体" w:hAnsi="宋体"/>
          <w:kern w:val="0"/>
          <w:sz w:val="18"/>
          <w:szCs w:val="18"/>
        </w:rPr>
        <w:t>2）理财产品的销售服务费</w:t>
      </w:r>
      <w:r>
        <w:rPr>
          <w:rFonts w:ascii="宋体" w:hAnsi="宋体" w:hint="eastAsia"/>
          <w:kern w:val="0"/>
          <w:sz w:val="18"/>
          <w:szCs w:val="18"/>
        </w:rPr>
        <w:t>；</w:t>
      </w:r>
    </w:p>
    <w:p w:rsidR="00E039EF" w:rsidRDefault="003F2D22">
      <w:pPr>
        <w:widowControl/>
        <w:spacing w:line="360" w:lineRule="auto"/>
        <w:ind w:firstLineChars="200" w:firstLine="360"/>
        <w:jc w:val="left"/>
        <w:rPr>
          <w:rFonts w:hAnsi="宋体"/>
          <w:sz w:val="18"/>
          <w:szCs w:val="18"/>
        </w:rPr>
      </w:pPr>
      <w:r>
        <w:rPr>
          <w:rFonts w:ascii="宋体" w:hAnsi="宋体" w:hint="eastAsia"/>
          <w:kern w:val="0"/>
          <w:sz w:val="18"/>
          <w:szCs w:val="18"/>
        </w:rPr>
        <w:t>（</w:t>
      </w:r>
      <w:r>
        <w:rPr>
          <w:rFonts w:ascii="宋体" w:hAnsi="宋体"/>
          <w:kern w:val="0"/>
          <w:sz w:val="18"/>
          <w:szCs w:val="18"/>
        </w:rPr>
        <w:t>3）理财产品的投资管理费及超额业绩报酬；</w:t>
      </w:r>
    </w:p>
    <w:p w:rsidR="00E039EF" w:rsidRDefault="003F2D22">
      <w:pPr>
        <w:widowControl/>
        <w:spacing w:line="360" w:lineRule="auto"/>
        <w:ind w:firstLineChars="200" w:firstLine="360"/>
        <w:jc w:val="left"/>
        <w:rPr>
          <w:rFonts w:hAnsi="宋体"/>
          <w:sz w:val="18"/>
          <w:szCs w:val="18"/>
        </w:rPr>
      </w:pPr>
      <w:r>
        <w:rPr>
          <w:rFonts w:ascii="宋体" w:hAnsi="宋体" w:hint="eastAsia"/>
          <w:kern w:val="0"/>
          <w:sz w:val="18"/>
          <w:szCs w:val="18"/>
        </w:rPr>
        <w:t>（</w:t>
      </w:r>
      <w:r>
        <w:rPr>
          <w:rFonts w:ascii="宋体" w:hAnsi="宋体"/>
          <w:kern w:val="0"/>
          <w:sz w:val="18"/>
          <w:szCs w:val="18"/>
        </w:rPr>
        <w:t>4</w:t>
      </w:r>
      <w:r>
        <w:rPr>
          <w:rFonts w:ascii="宋体" w:hAnsi="宋体" w:hint="eastAsia"/>
          <w:kern w:val="0"/>
          <w:sz w:val="18"/>
          <w:szCs w:val="18"/>
        </w:rPr>
        <w:t>）理财产品的产品托管费；</w:t>
      </w:r>
    </w:p>
    <w:p w:rsidR="00E039EF" w:rsidRDefault="003F2D22">
      <w:pPr>
        <w:widowControl/>
        <w:spacing w:line="360" w:lineRule="auto"/>
        <w:ind w:firstLineChars="200" w:firstLine="360"/>
        <w:jc w:val="left"/>
        <w:rPr>
          <w:rFonts w:hAnsi="宋体"/>
          <w:sz w:val="18"/>
          <w:szCs w:val="18"/>
        </w:rPr>
      </w:pPr>
      <w:r>
        <w:rPr>
          <w:rFonts w:ascii="宋体" w:hAnsi="宋体" w:hint="eastAsia"/>
          <w:kern w:val="0"/>
          <w:sz w:val="18"/>
          <w:szCs w:val="18"/>
        </w:rPr>
        <w:t>（</w:t>
      </w:r>
      <w:r>
        <w:rPr>
          <w:rFonts w:ascii="宋体" w:hAnsi="宋体"/>
          <w:kern w:val="0"/>
          <w:sz w:val="18"/>
          <w:szCs w:val="18"/>
        </w:rPr>
        <w:t>5</w:t>
      </w:r>
      <w:r>
        <w:rPr>
          <w:rFonts w:ascii="宋体" w:hAnsi="宋体" w:hint="eastAsia"/>
          <w:kern w:val="0"/>
          <w:sz w:val="18"/>
          <w:szCs w:val="18"/>
        </w:rPr>
        <w:t>）理财产品的交易费用（包括但不限于证券交易费用、经纪费用等）；</w:t>
      </w:r>
    </w:p>
    <w:p w:rsidR="00E039EF" w:rsidRDefault="003F2D22">
      <w:pPr>
        <w:widowControl/>
        <w:spacing w:line="360" w:lineRule="auto"/>
        <w:ind w:firstLineChars="200" w:firstLine="360"/>
        <w:jc w:val="left"/>
        <w:rPr>
          <w:rFonts w:hAnsi="宋体"/>
          <w:sz w:val="18"/>
          <w:szCs w:val="18"/>
        </w:rPr>
      </w:pPr>
      <w:r>
        <w:rPr>
          <w:rFonts w:ascii="宋体" w:hAnsi="宋体" w:hint="eastAsia"/>
          <w:kern w:val="0"/>
          <w:sz w:val="18"/>
          <w:szCs w:val="18"/>
        </w:rPr>
        <w:t>（</w:t>
      </w:r>
      <w:r>
        <w:rPr>
          <w:rFonts w:ascii="宋体" w:hAnsi="宋体"/>
          <w:kern w:val="0"/>
          <w:sz w:val="18"/>
          <w:szCs w:val="18"/>
        </w:rPr>
        <w:t>6</w:t>
      </w:r>
      <w:r>
        <w:rPr>
          <w:rFonts w:ascii="宋体" w:hAnsi="宋体" w:hint="eastAsia"/>
          <w:kern w:val="0"/>
          <w:sz w:val="18"/>
          <w:szCs w:val="18"/>
        </w:rPr>
        <w:t>）理财产品验资费、审计费、律师费、信息披露费、清算费、执行费用等相关费用；</w:t>
      </w:r>
    </w:p>
    <w:p w:rsidR="00E039EF" w:rsidRDefault="003F2D22">
      <w:pPr>
        <w:widowControl/>
        <w:spacing w:line="360" w:lineRule="auto"/>
        <w:ind w:firstLineChars="200" w:firstLine="360"/>
        <w:jc w:val="left"/>
        <w:rPr>
          <w:rFonts w:hAnsi="宋体"/>
          <w:sz w:val="18"/>
          <w:szCs w:val="18"/>
        </w:rPr>
      </w:pPr>
      <w:r>
        <w:rPr>
          <w:rFonts w:ascii="宋体" w:hAnsi="宋体" w:hint="eastAsia"/>
          <w:kern w:val="0"/>
          <w:sz w:val="18"/>
          <w:szCs w:val="18"/>
        </w:rPr>
        <w:t>（</w:t>
      </w:r>
      <w:r>
        <w:rPr>
          <w:rFonts w:ascii="宋体" w:hAnsi="宋体"/>
          <w:kern w:val="0"/>
          <w:sz w:val="18"/>
          <w:szCs w:val="18"/>
        </w:rPr>
        <w:t>7</w:t>
      </w:r>
      <w:r>
        <w:rPr>
          <w:rFonts w:ascii="宋体" w:hAnsi="宋体" w:hint="eastAsia"/>
          <w:kern w:val="0"/>
          <w:sz w:val="18"/>
          <w:szCs w:val="18"/>
        </w:rPr>
        <w:t>）按照国家法律法规规定可以列入的其他费用。</w:t>
      </w:r>
    </w:p>
    <w:p w:rsidR="00E039EF" w:rsidRDefault="003F2D22">
      <w:pPr>
        <w:widowControl/>
        <w:spacing w:line="360" w:lineRule="auto"/>
        <w:ind w:firstLineChars="200" w:firstLine="360"/>
        <w:jc w:val="left"/>
        <w:rPr>
          <w:rFonts w:ascii="宋体" w:hAnsi="宋体"/>
          <w:sz w:val="18"/>
          <w:szCs w:val="18"/>
        </w:rPr>
      </w:pPr>
      <w:r>
        <w:rPr>
          <w:rFonts w:ascii="宋体" w:hAnsi="宋体"/>
          <w:kern w:val="0"/>
          <w:sz w:val="18"/>
          <w:szCs w:val="18"/>
        </w:rPr>
        <w:t>2.</w:t>
      </w:r>
      <w:r>
        <w:rPr>
          <w:rFonts w:ascii="宋体" w:hAnsi="宋体" w:hint="eastAsia"/>
          <w:kern w:val="0"/>
          <w:sz w:val="18"/>
          <w:szCs w:val="18"/>
        </w:rPr>
        <w:t>理财产品费用计提方法、计提标准和支付方式</w:t>
      </w:r>
    </w:p>
    <w:p w:rsidR="00E039EF" w:rsidRDefault="003F2D22">
      <w:pPr>
        <w:widowControl/>
        <w:spacing w:line="360" w:lineRule="auto"/>
        <w:ind w:firstLineChars="200" w:firstLine="360"/>
        <w:jc w:val="left"/>
        <w:rPr>
          <w:rFonts w:ascii="宋体" w:hAnsi="宋体"/>
          <w:sz w:val="18"/>
          <w:szCs w:val="18"/>
        </w:rPr>
      </w:pPr>
      <w:r>
        <w:rPr>
          <w:rFonts w:ascii="宋体" w:hAnsi="宋体" w:hint="eastAsia"/>
          <w:kern w:val="0"/>
          <w:sz w:val="18"/>
          <w:szCs w:val="18"/>
        </w:rPr>
        <w:t>（</w:t>
      </w:r>
      <w:r>
        <w:rPr>
          <w:rFonts w:ascii="宋体" w:hAnsi="宋体"/>
          <w:kern w:val="0"/>
          <w:sz w:val="18"/>
          <w:szCs w:val="18"/>
        </w:rPr>
        <w:t>1</w:t>
      </w:r>
      <w:r>
        <w:rPr>
          <w:rFonts w:ascii="宋体" w:hAnsi="宋体" w:hint="eastAsia"/>
          <w:kern w:val="0"/>
          <w:sz w:val="18"/>
          <w:szCs w:val="18"/>
        </w:rPr>
        <w:t>）理财产品的认购费</w:t>
      </w:r>
    </w:p>
    <w:p w:rsidR="00E039EF" w:rsidRDefault="003F2D22">
      <w:pPr>
        <w:widowControl/>
        <w:spacing w:line="360" w:lineRule="auto"/>
        <w:ind w:firstLineChars="200" w:firstLine="360"/>
        <w:jc w:val="left"/>
        <w:rPr>
          <w:rFonts w:ascii="宋体" w:hAnsi="宋体"/>
          <w:sz w:val="18"/>
          <w:szCs w:val="18"/>
        </w:rPr>
      </w:pPr>
      <w:r>
        <w:rPr>
          <w:rFonts w:asciiTheme="majorEastAsia" w:eastAsiaTheme="majorEastAsia" w:hAnsiTheme="majorEastAsia"/>
          <w:bCs/>
          <w:sz w:val="18"/>
          <w:szCs w:val="18"/>
        </w:rPr>
        <w:t>费率</w:t>
      </w:r>
      <w:r>
        <w:rPr>
          <w:rFonts w:asciiTheme="majorEastAsia" w:eastAsiaTheme="majorEastAsia" w:hAnsiTheme="majorEastAsia" w:hint="eastAsia"/>
          <w:bCs/>
          <w:sz w:val="18"/>
          <w:szCs w:val="18"/>
        </w:rPr>
        <w:t>具体数值以</w:t>
      </w:r>
      <w:r>
        <w:rPr>
          <w:rFonts w:asciiTheme="minorEastAsia" w:eastAsiaTheme="minorEastAsia" w:hAnsiTheme="minorEastAsia" w:hint="eastAsia"/>
          <w:sz w:val="18"/>
          <w:szCs w:val="18"/>
        </w:rPr>
        <w:t>《产品说明书》“第二条 理财产品基本情况”</w:t>
      </w:r>
      <w:r>
        <w:rPr>
          <w:rFonts w:asciiTheme="majorEastAsia" w:eastAsiaTheme="majorEastAsia" w:hAnsiTheme="majorEastAsia" w:hint="eastAsia"/>
          <w:bCs/>
          <w:sz w:val="18"/>
          <w:szCs w:val="18"/>
        </w:rPr>
        <w:t>为准</w:t>
      </w:r>
      <w:r>
        <w:rPr>
          <w:rFonts w:ascii="宋体" w:hAnsi="宋体"/>
          <w:kern w:val="0"/>
          <w:sz w:val="18"/>
          <w:szCs w:val="18"/>
        </w:rPr>
        <w:t>。</w:t>
      </w:r>
    </w:p>
    <w:p w:rsidR="00E039EF" w:rsidRDefault="003F2D22">
      <w:pPr>
        <w:widowControl/>
        <w:spacing w:line="360" w:lineRule="auto"/>
        <w:ind w:firstLineChars="200" w:firstLine="360"/>
        <w:jc w:val="left"/>
        <w:rPr>
          <w:rFonts w:ascii="宋体" w:hAnsi="宋体"/>
          <w:sz w:val="18"/>
          <w:szCs w:val="18"/>
        </w:rPr>
      </w:pPr>
      <w:r>
        <w:rPr>
          <w:rFonts w:ascii="宋体" w:hAnsi="宋体" w:hint="eastAsia"/>
          <w:kern w:val="0"/>
          <w:sz w:val="18"/>
          <w:szCs w:val="18"/>
        </w:rPr>
        <w:t>（</w:t>
      </w:r>
      <w:r>
        <w:rPr>
          <w:rFonts w:ascii="宋体" w:hAnsi="宋体"/>
          <w:kern w:val="0"/>
          <w:sz w:val="18"/>
          <w:szCs w:val="18"/>
        </w:rPr>
        <w:t>2）</w:t>
      </w:r>
      <w:r>
        <w:rPr>
          <w:rFonts w:ascii="宋体" w:hAnsi="宋体" w:hint="eastAsia"/>
          <w:kern w:val="0"/>
          <w:sz w:val="18"/>
          <w:szCs w:val="18"/>
        </w:rPr>
        <w:t>理财产品的销售服务费</w:t>
      </w:r>
    </w:p>
    <w:p w:rsidR="00E039EF" w:rsidRDefault="003F2D22">
      <w:pPr>
        <w:widowControl/>
        <w:spacing w:line="360" w:lineRule="auto"/>
        <w:ind w:firstLineChars="200" w:firstLine="360"/>
        <w:jc w:val="left"/>
        <w:rPr>
          <w:rFonts w:ascii="宋体" w:hAnsi="宋体"/>
          <w:sz w:val="18"/>
          <w:szCs w:val="18"/>
        </w:rPr>
      </w:pPr>
      <w:r>
        <w:rPr>
          <w:rFonts w:ascii="宋体" w:hAnsi="宋体" w:hint="eastAsia"/>
          <w:kern w:val="0"/>
          <w:sz w:val="18"/>
          <w:szCs w:val="18"/>
        </w:rPr>
        <w:t>本产品的销售服务费按前一日理财资产净值与销售服务费每日费率每日计提。销售服务费的计算方法如下：</w:t>
      </w:r>
    </w:p>
    <w:p w:rsidR="00E039EF" w:rsidRDefault="003F2D22">
      <w:pPr>
        <w:widowControl/>
        <w:spacing w:line="360" w:lineRule="auto"/>
        <w:ind w:firstLineChars="200" w:firstLine="360"/>
        <w:jc w:val="left"/>
        <w:rPr>
          <w:rFonts w:ascii="宋体" w:hAnsi="宋体"/>
          <w:sz w:val="18"/>
          <w:szCs w:val="18"/>
        </w:rPr>
      </w:pPr>
      <w:r>
        <w:rPr>
          <w:rFonts w:ascii="宋体" w:hAnsi="宋体"/>
          <w:kern w:val="0"/>
          <w:sz w:val="18"/>
          <w:szCs w:val="18"/>
        </w:rPr>
        <w:t>H＝E×销售服务费年费率÷</w:t>
      </w:r>
      <w:r>
        <w:rPr>
          <w:rFonts w:ascii="宋体" w:hAnsi="宋体" w:hint="eastAsia"/>
          <w:kern w:val="0"/>
          <w:sz w:val="18"/>
          <w:szCs w:val="18"/>
        </w:rPr>
        <w:t>3</w:t>
      </w:r>
      <w:r>
        <w:rPr>
          <w:rFonts w:ascii="宋体" w:hAnsi="宋体"/>
          <w:kern w:val="0"/>
          <w:sz w:val="18"/>
          <w:szCs w:val="18"/>
        </w:rPr>
        <w:t>65</w:t>
      </w:r>
    </w:p>
    <w:p w:rsidR="00E039EF" w:rsidRDefault="003F2D22">
      <w:pPr>
        <w:widowControl/>
        <w:spacing w:line="360" w:lineRule="auto"/>
        <w:ind w:firstLineChars="200" w:firstLine="360"/>
        <w:jc w:val="left"/>
        <w:rPr>
          <w:rFonts w:ascii="宋体" w:hAnsi="宋体"/>
          <w:sz w:val="18"/>
          <w:szCs w:val="18"/>
        </w:rPr>
      </w:pPr>
      <w:r>
        <w:rPr>
          <w:rFonts w:ascii="宋体" w:hAnsi="宋体"/>
          <w:kern w:val="0"/>
          <w:sz w:val="18"/>
          <w:szCs w:val="18"/>
        </w:rPr>
        <w:t>H为每日应计提的销售服务费</w:t>
      </w:r>
    </w:p>
    <w:p w:rsidR="00E039EF" w:rsidRDefault="003F2D22">
      <w:pPr>
        <w:widowControl/>
        <w:spacing w:line="360" w:lineRule="auto"/>
        <w:ind w:firstLineChars="200" w:firstLine="360"/>
        <w:jc w:val="left"/>
        <w:rPr>
          <w:rFonts w:ascii="宋体" w:hAnsi="宋体"/>
          <w:sz w:val="18"/>
          <w:szCs w:val="18"/>
        </w:rPr>
      </w:pPr>
      <w:r>
        <w:rPr>
          <w:rFonts w:ascii="宋体" w:hAnsi="宋体"/>
          <w:kern w:val="0"/>
          <w:sz w:val="18"/>
          <w:szCs w:val="18"/>
        </w:rPr>
        <w:t>E为前一日的理财资产净值</w:t>
      </w:r>
    </w:p>
    <w:p w:rsidR="00E039EF" w:rsidRDefault="003F2D22">
      <w:pPr>
        <w:pStyle w:val="Default"/>
        <w:spacing w:line="360" w:lineRule="auto"/>
        <w:ind w:firstLineChars="200" w:firstLine="360"/>
        <w:rPr>
          <w:rFonts w:asciiTheme="majorEastAsia" w:eastAsiaTheme="majorEastAsia" w:hAnsiTheme="majorEastAsia"/>
          <w:color w:val="auto"/>
          <w:kern w:val="2"/>
          <w:sz w:val="18"/>
          <w:szCs w:val="18"/>
        </w:rPr>
      </w:pPr>
      <w:r>
        <w:rPr>
          <w:rFonts w:hAnsi="宋体" w:hint="eastAsia"/>
          <w:color w:val="auto"/>
          <w:sz w:val="18"/>
          <w:szCs w:val="18"/>
        </w:rPr>
        <w:t>销售服务费依照上述约定，从理财财产中支付。</w:t>
      </w:r>
      <w:r>
        <w:rPr>
          <w:rFonts w:asciiTheme="majorEastAsia" w:eastAsiaTheme="majorEastAsia" w:hAnsiTheme="majorEastAsia" w:hint="eastAsia"/>
          <w:color w:val="auto"/>
          <w:kern w:val="2"/>
          <w:sz w:val="18"/>
          <w:szCs w:val="18"/>
        </w:rPr>
        <w:t>费率具体数值以</w:t>
      </w:r>
      <w:r>
        <w:rPr>
          <w:rFonts w:asciiTheme="minorEastAsia" w:eastAsiaTheme="minorEastAsia" w:hAnsiTheme="minorEastAsia" w:hint="eastAsia"/>
          <w:color w:val="auto"/>
          <w:sz w:val="18"/>
          <w:szCs w:val="18"/>
        </w:rPr>
        <w:t>《产品说明书》“第二条 理财产品基本情况”</w:t>
      </w:r>
      <w:r>
        <w:rPr>
          <w:rFonts w:asciiTheme="majorEastAsia" w:eastAsiaTheme="majorEastAsia" w:hAnsiTheme="majorEastAsia" w:hint="eastAsia"/>
          <w:color w:val="auto"/>
          <w:kern w:val="2"/>
          <w:sz w:val="18"/>
          <w:szCs w:val="18"/>
        </w:rPr>
        <w:t>为准。</w:t>
      </w:r>
    </w:p>
    <w:p w:rsidR="00E039EF" w:rsidRDefault="003F2D22">
      <w:pPr>
        <w:widowControl/>
        <w:spacing w:line="360" w:lineRule="auto"/>
        <w:ind w:firstLineChars="200" w:firstLine="360"/>
        <w:jc w:val="left"/>
        <w:rPr>
          <w:rFonts w:ascii="宋体" w:hAnsi="宋体"/>
          <w:sz w:val="18"/>
          <w:szCs w:val="18"/>
        </w:rPr>
      </w:pPr>
      <w:r>
        <w:rPr>
          <w:rFonts w:ascii="宋体" w:hAnsi="宋体" w:hint="eastAsia"/>
          <w:kern w:val="0"/>
          <w:sz w:val="18"/>
          <w:szCs w:val="18"/>
        </w:rPr>
        <w:t>（</w:t>
      </w:r>
      <w:r>
        <w:rPr>
          <w:rFonts w:ascii="宋体" w:hAnsi="宋体"/>
          <w:kern w:val="0"/>
          <w:sz w:val="18"/>
          <w:szCs w:val="18"/>
        </w:rPr>
        <w:t>3）</w:t>
      </w:r>
      <w:r>
        <w:rPr>
          <w:rFonts w:ascii="宋体" w:hAnsi="宋体" w:hint="eastAsia"/>
          <w:kern w:val="0"/>
          <w:sz w:val="18"/>
          <w:szCs w:val="18"/>
        </w:rPr>
        <w:t>理财产品</w:t>
      </w:r>
      <w:r>
        <w:rPr>
          <w:rFonts w:ascii="宋体" w:hAnsi="宋体"/>
          <w:kern w:val="0"/>
          <w:sz w:val="18"/>
          <w:szCs w:val="18"/>
        </w:rPr>
        <w:t>的投资管理费</w:t>
      </w:r>
    </w:p>
    <w:p w:rsidR="00E039EF" w:rsidRDefault="003F2D22">
      <w:pPr>
        <w:widowControl/>
        <w:spacing w:line="360" w:lineRule="auto"/>
        <w:ind w:firstLineChars="200" w:firstLine="360"/>
        <w:jc w:val="left"/>
        <w:rPr>
          <w:rFonts w:ascii="宋体" w:hAnsi="宋体"/>
          <w:sz w:val="18"/>
          <w:szCs w:val="18"/>
        </w:rPr>
      </w:pPr>
      <w:r>
        <w:rPr>
          <w:rFonts w:ascii="宋体" w:hAnsi="宋体" w:hint="eastAsia"/>
          <w:sz w:val="18"/>
          <w:szCs w:val="18"/>
        </w:rPr>
        <w:t>本产品的投资管理费按前一日理财资产净值与投资管理费每日费率每日计提。</w:t>
      </w:r>
      <w:r>
        <w:rPr>
          <w:rFonts w:ascii="宋体" w:hAnsi="宋体" w:hint="eastAsia"/>
          <w:kern w:val="0"/>
          <w:sz w:val="18"/>
          <w:szCs w:val="18"/>
        </w:rPr>
        <w:t>投资管理费的计算方法如下：</w:t>
      </w:r>
    </w:p>
    <w:p w:rsidR="00E039EF" w:rsidRDefault="003F2D22">
      <w:pPr>
        <w:widowControl/>
        <w:spacing w:line="360" w:lineRule="auto"/>
        <w:ind w:firstLineChars="200" w:firstLine="360"/>
        <w:jc w:val="left"/>
        <w:rPr>
          <w:rFonts w:ascii="宋体" w:hAnsi="宋体"/>
          <w:sz w:val="18"/>
          <w:szCs w:val="18"/>
        </w:rPr>
      </w:pPr>
      <w:r>
        <w:rPr>
          <w:rFonts w:ascii="宋体" w:hAnsi="宋体"/>
          <w:kern w:val="0"/>
          <w:sz w:val="18"/>
          <w:szCs w:val="18"/>
        </w:rPr>
        <w:t>H＝E×</w:t>
      </w:r>
      <w:r>
        <w:rPr>
          <w:rFonts w:ascii="宋体" w:hAnsi="宋体" w:hint="eastAsia"/>
          <w:kern w:val="0"/>
          <w:sz w:val="18"/>
          <w:szCs w:val="18"/>
        </w:rPr>
        <w:t>投资管理费</w:t>
      </w:r>
      <w:r>
        <w:rPr>
          <w:rFonts w:ascii="宋体" w:hAnsi="宋体"/>
          <w:kern w:val="0"/>
          <w:sz w:val="18"/>
          <w:szCs w:val="18"/>
        </w:rPr>
        <w:t>年费率÷</w:t>
      </w:r>
      <w:r>
        <w:rPr>
          <w:rFonts w:ascii="宋体" w:hAnsi="宋体" w:hint="eastAsia"/>
          <w:kern w:val="0"/>
          <w:sz w:val="18"/>
          <w:szCs w:val="18"/>
        </w:rPr>
        <w:t>3</w:t>
      </w:r>
      <w:r>
        <w:rPr>
          <w:rFonts w:ascii="宋体" w:hAnsi="宋体"/>
          <w:kern w:val="0"/>
          <w:sz w:val="18"/>
          <w:szCs w:val="18"/>
        </w:rPr>
        <w:t>65</w:t>
      </w:r>
    </w:p>
    <w:p w:rsidR="00E039EF" w:rsidRDefault="003F2D22">
      <w:pPr>
        <w:widowControl/>
        <w:spacing w:line="360" w:lineRule="auto"/>
        <w:ind w:firstLineChars="200" w:firstLine="360"/>
        <w:jc w:val="left"/>
        <w:rPr>
          <w:rFonts w:ascii="宋体" w:hAnsi="宋体"/>
          <w:sz w:val="18"/>
          <w:szCs w:val="18"/>
        </w:rPr>
      </w:pPr>
      <w:r>
        <w:rPr>
          <w:rFonts w:ascii="宋体" w:hAnsi="宋体"/>
          <w:kern w:val="0"/>
          <w:sz w:val="18"/>
          <w:szCs w:val="18"/>
        </w:rPr>
        <w:t>H为每日应计提的</w:t>
      </w:r>
      <w:r>
        <w:rPr>
          <w:rFonts w:ascii="宋体" w:hAnsi="宋体" w:hint="eastAsia"/>
          <w:kern w:val="0"/>
          <w:sz w:val="18"/>
          <w:szCs w:val="18"/>
        </w:rPr>
        <w:t>产品</w:t>
      </w:r>
      <w:r>
        <w:rPr>
          <w:rFonts w:ascii="宋体" w:hAnsi="宋体"/>
          <w:kern w:val="0"/>
          <w:sz w:val="18"/>
          <w:szCs w:val="18"/>
        </w:rPr>
        <w:t>投资管理费</w:t>
      </w:r>
    </w:p>
    <w:p w:rsidR="00E039EF" w:rsidRDefault="003F2D22">
      <w:pPr>
        <w:widowControl/>
        <w:spacing w:line="360" w:lineRule="auto"/>
        <w:ind w:firstLineChars="200" w:firstLine="360"/>
        <w:jc w:val="left"/>
        <w:rPr>
          <w:rFonts w:ascii="宋体" w:hAnsi="宋体"/>
          <w:kern w:val="0"/>
          <w:sz w:val="18"/>
          <w:szCs w:val="18"/>
        </w:rPr>
      </w:pPr>
      <w:r>
        <w:rPr>
          <w:rFonts w:ascii="宋体" w:hAnsi="宋体"/>
          <w:kern w:val="0"/>
          <w:sz w:val="18"/>
          <w:szCs w:val="18"/>
        </w:rPr>
        <w:t>E为前一日的理财资产净值</w:t>
      </w:r>
    </w:p>
    <w:p w:rsidR="00E039EF" w:rsidRDefault="003F2D22">
      <w:pPr>
        <w:widowControl/>
        <w:spacing w:line="360" w:lineRule="auto"/>
        <w:ind w:firstLineChars="200" w:firstLine="360"/>
        <w:jc w:val="left"/>
        <w:rPr>
          <w:rFonts w:ascii="宋体" w:hAnsi="宋体"/>
          <w:kern w:val="0"/>
          <w:sz w:val="18"/>
          <w:szCs w:val="18"/>
        </w:rPr>
      </w:pPr>
      <w:r>
        <w:rPr>
          <w:rFonts w:ascii="宋体" w:hAnsi="宋体" w:hint="eastAsia"/>
          <w:kern w:val="0"/>
          <w:sz w:val="18"/>
          <w:szCs w:val="18"/>
        </w:rPr>
        <w:t>投资管理费依照上述约定，从理财财产中支付。</w:t>
      </w:r>
      <w:r>
        <w:rPr>
          <w:rFonts w:asciiTheme="majorEastAsia" w:eastAsiaTheme="majorEastAsia" w:hAnsiTheme="majorEastAsia" w:hint="eastAsia"/>
          <w:sz w:val="18"/>
          <w:szCs w:val="18"/>
        </w:rPr>
        <w:t>费率具体数值以</w:t>
      </w:r>
      <w:r>
        <w:rPr>
          <w:rFonts w:asciiTheme="minorEastAsia" w:eastAsiaTheme="minorEastAsia" w:hAnsiTheme="minorEastAsia" w:hint="eastAsia"/>
          <w:sz w:val="18"/>
          <w:szCs w:val="18"/>
        </w:rPr>
        <w:t>《产品说明书》“第二条 理财产品基本情况”</w:t>
      </w:r>
      <w:r>
        <w:rPr>
          <w:rFonts w:asciiTheme="majorEastAsia" w:eastAsiaTheme="majorEastAsia" w:hAnsiTheme="majorEastAsia" w:hint="eastAsia"/>
          <w:sz w:val="18"/>
          <w:szCs w:val="18"/>
        </w:rPr>
        <w:t>为准</w:t>
      </w:r>
      <w:r>
        <w:rPr>
          <w:rFonts w:ascii="宋体" w:hAnsi="宋体" w:hint="eastAsia"/>
          <w:kern w:val="0"/>
          <w:sz w:val="18"/>
          <w:szCs w:val="18"/>
        </w:rPr>
        <w:t>。</w:t>
      </w:r>
    </w:p>
    <w:p w:rsidR="00E039EF" w:rsidRDefault="003F2D22">
      <w:pPr>
        <w:widowControl/>
        <w:spacing w:line="360" w:lineRule="auto"/>
        <w:ind w:firstLineChars="200" w:firstLine="360"/>
        <w:jc w:val="left"/>
        <w:rPr>
          <w:rFonts w:ascii="宋体" w:hAnsi="宋体"/>
          <w:kern w:val="0"/>
          <w:sz w:val="18"/>
          <w:szCs w:val="18"/>
        </w:rPr>
      </w:pPr>
      <w:permStart w:id="12148755" w:edGrp="everyone"/>
      <w:r>
        <w:rPr>
          <w:rFonts w:ascii="宋体" w:hAnsi="宋体"/>
          <w:kern w:val="0"/>
          <w:sz w:val="18"/>
          <w:szCs w:val="18"/>
        </w:rPr>
        <w:t>（4）超额业绩报酬</w:t>
      </w:r>
    </w:p>
    <w:p w:rsidR="00E039EF" w:rsidRDefault="003F2D22">
      <w:pPr>
        <w:widowControl/>
        <w:spacing w:line="360" w:lineRule="auto"/>
        <w:ind w:firstLineChars="200" w:firstLine="360"/>
        <w:jc w:val="left"/>
        <w:rPr>
          <w:rFonts w:asciiTheme="majorEastAsia" w:eastAsiaTheme="majorEastAsia" w:hAnsiTheme="majorEastAsia"/>
          <w:sz w:val="18"/>
          <w:szCs w:val="18"/>
        </w:rPr>
      </w:pPr>
      <w:r>
        <w:rPr>
          <w:rFonts w:asciiTheme="majorEastAsia" w:eastAsiaTheme="majorEastAsia" w:hAnsiTheme="majorEastAsia" w:hint="eastAsia"/>
          <w:sz w:val="18"/>
          <w:szCs w:val="18"/>
        </w:rPr>
        <w:lastRenderedPageBreak/>
        <w:t>在超额业绩报酬计提日时，若理财资产扣除销售服务费、产品托管费和投资管理费等相关费用和税收后，超额业绩报酬计提日产品份额净值折算的当前年化收益率超过当前业绩报酬计提基准，则产品管理人收取超出部分的一定比例作为超额业绩报酬。</w:t>
      </w:r>
      <w:r>
        <w:rPr>
          <w:rFonts w:ascii="黑体" w:eastAsia="黑体" w:hAnsi="黑体" w:hint="eastAsia"/>
          <w:sz w:val="18"/>
          <w:szCs w:val="18"/>
        </w:rPr>
        <w:t>★</w:t>
      </w:r>
      <w:r>
        <w:rPr>
          <w:rFonts w:asciiTheme="majorEastAsia" w:eastAsiaTheme="majorEastAsia" w:hAnsiTheme="majorEastAsia" w:hint="eastAsia"/>
          <w:sz w:val="18"/>
          <w:szCs w:val="18"/>
        </w:rPr>
        <w:t>由此造成超额业绩报酬计提日产品份额净值调整的，以调整后的数值为准进行利益分配。</w:t>
      </w:r>
    </w:p>
    <w:p w:rsidR="00E039EF" w:rsidRDefault="003F2D22">
      <w:pPr>
        <w:widowControl/>
        <w:spacing w:line="360" w:lineRule="auto"/>
        <w:ind w:firstLineChars="200" w:firstLine="360"/>
        <w:jc w:val="left"/>
        <w:rPr>
          <w:rFonts w:asciiTheme="majorEastAsia" w:eastAsiaTheme="majorEastAsia" w:hAnsiTheme="majorEastAsia"/>
          <w:sz w:val="18"/>
          <w:szCs w:val="18"/>
        </w:rPr>
      </w:pPr>
      <w:r>
        <w:rPr>
          <w:rFonts w:asciiTheme="majorEastAsia" w:eastAsiaTheme="majorEastAsia" w:hAnsiTheme="majorEastAsia" w:hint="eastAsia"/>
          <w:sz w:val="18"/>
          <w:szCs w:val="18"/>
        </w:rPr>
        <w:t>业绩报酬计提基准的设置、超额业绩报酬的具体比例数值以《</w:t>
      </w:r>
      <w:r>
        <w:rPr>
          <w:rFonts w:asciiTheme="majorEastAsia" w:eastAsiaTheme="majorEastAsia" w:hAnsiTheme="majorEastAsia" w:hint="eastAsia"/>
          <w:bCs/>
          <w:sz w:val="18"/>
          <w:szCs w:val="18"/>
        </w:rPr>
        <w:t>产品说明</w:t>
      </w:r>
      <w:r>
        <w:rPr>
          <w:rFonts w:asciiTheme="majorEastAsia" w:eastAsiaTheme="majorEastAsia" w:hAnsiTheme="majorEastAsia" w:hint="eastAsia"/>
          <w:sz w:val="18"/>
          <w:szCs w:val="18"/>
        </w:rPr>
        <w:t>书》</w:t>
      </w:r>
      <w:r>
        <w:rPr>
          <w:rFonts w:asciiTheme="minorEastAsia" w:eastAsiaTheme="minorEastAsia" w:hAnsiTheme="minorEastAsia" w:hint="eastAsia"/>
          <w:sz w:val="18"/>
          <w:szCs w:val="18"/>
        </w:rPr>
        <w:t>“第二条 理财产品基本情况”</w:t>
      </w:r>
      <w:r>
        <w:rPr>
          <w:rFonts w:asciiTheme="majorEastAsia" w:eastAsiaTheme="majorEastAsia" w:hAnsiTheme="majorEastAsia" w:hint="eastAsia"/>
          <w:sz w:val="18"/>
          <w:szCs w:val="18"/>
        </w:rPr>
        <w:t>为准。</w:t>
      </w:r>
    </w:p>
    <w:p w:rsidR="00E039EF" w:rsidRDefault="003F2D22">
      <w:pPr>
        <w:widowControl/>
        <w:spacing w:line="360" w:lineRule="auto"/>
        <w:ind w:firstLineChars="200" w:firstLine="360"/>
        <w:jc w:val="left"/>
        <w:rPr>
          <w:rFonts w:asciiTheme="majorEastAsia" w:eastAsiaTheme="majorEastAsia" w:hAnsiTheme="majorEastAsia"/>
          <w:sz w:val="18"/>
          <w:szCs w:val="18"/>
        </w:rPr>
      </w:pPr>
      <w:r>
        <w:rPr>
          <w:rFonts w:asciiTheme="majorEastAsia" w:eastAsiaTheme="majorEastAsia" w:hAnsiTheme="majorEastAsia" w:hint="eastAsia"/>
          <w:sz w:val="18"/>
          <w:szCs w:val="18"/>
        </w:rPr>
        <w:t>1）收取超额业绩报酬的原则：</w:t>
      </w:r>
    </w:p>
    <w:p w:rsidR="00E039EF" w:rsidRDefault="003F2D22">
      <w:pPr>
        <w:widowControl/>
        <w:spacing w:line="360" w:lineRule="auto"/>
        <w:ind w:firstLineChars="200" w:firstLine="360"/>
        <w:jc w:val="left"/>
        <w:rPr>
          <w:rFonts w:asciiTheme="majorEastAsia" w:eastAsiaTheme="majorEastAsia" w:hAnsiTheme="majorEastAsia"/>
          <w:sz w:val="18"/>
          <w:szCs w:val="18"/>
        </w:rPr>
      </w:pPr>
      <w:r>
        <w:rPr>
          <w:rFonts w:asciiTheme="majorEastAsia" w:eastAsiaTheme="majorEastAsia" w:hAnsiTheme="majorEastAsia" w:hint="eastAsia"/>
          <w:sz w:val="18"/>
          <w:szCs w:val="18"/>
        </w:rPr>
        <w:t>①按投资者每</w:t>
      </w:r>
      <w:r>
        <w:rPr>
          <w:rFonts w:asciiTheme="majorEastAsia" w:eastAsiaTheme="majorEastAsia" w:hAnsiTheme="majorEastAsia"/>
          <w:sz w:val="18"/>
          <w:szCs w:val="18"/>
        </w:rPr>
        <w:t>份</w:t>
      </w:r>
      <w:r>
        <w:rPr>
          <w:rFonts w:asciiTheme="majorEastAsia" w:eastAsiaTheme="majorEastAsia" w:hAnsiTheme="majorEastAsia" w:hint="eastAsia"/>
          <w:sz w:val="18"/>
          <w:szCs w:val="18"/>
        </w:rPr>
        <w:t>产品份额分别计算年化收益率并计提超额业绩报酬；</w:t>
      </w:r>
    </w:p>
    <w:p w:rsidR="00E039EF" w:rsidRDefault="003F2D22">
      <w:pPr>
        <w:widowControl/>
        <w:spacing w:line="360" w:lineRule="auto"/>
        <w:ind w:firstLineChars="200" w:firstLine="360"/>
        <w:jc w:val="left"/>
        <w:rPr>
          <w:rFonts w:asciiTheme="majorEastAsia" w:eastAsiaTheme="majorEastAsia" w:hAnsiTheme="majorEastAsia"/>
          <w:sz w:val="18"/>
          <w:szCs w:val="18"/>
        </w:rPr>
      </w:pPr>
      <w:r>
        <w:rPr>
          <w:rFonts w:asciiTheme="majorEastAsia" w:eastAsiaTheme="majorEastAsia" w:hAnsiTheme="majorEastAsia" w:hint="eastAsia"/>
          <w:sz w:val="18"/>
          <w:szCs w:val="18"/>
        </w:rPr>
        <w:t>②在超额业绩报酬计提日，本产品对符合超额业绩报酬提取条件的产品份额计提超额业绩报酬；</w:t>
      </w:r>
    </w:p>
    <w:p w:rsidR="00E039EF" w:rsidRDefault="003F2D22">
      <w:pPr>
        <w:widowControl/>
        <w:spacing w:line="360" w:lineRule="auto"/>
        <w:ind w:firstLineChars="200" w:firstLine="360"/>
        <w:jc w:val="left"/>
        <w:rPr>
          <w:rFonts w:asciiTheme="majorEastAsia" w:eastAsiaTheme="majorEastAsia" w:hAnsiTheme="majorEastAsia"/>
          <w:sz w:val="18"/>
          <w:szCs w:val="18"/>
        </w:rPr>
      </w:pPr>
      <w:r>
        <w:rPr>
          <w:rFonts w:asciiTheme="majorEastAsia" w:eastAsiaTheme="majorEastAsia" w:hAnsiTheme="majorEastAsia" w:hint="eastAsia"/>
          <w:sz w:val="18"/>
          <w:szCs w:val="18"/>
        </w:rPr>
        <w:t>③在产品终止日提取超额业绩报酬的，超额业绩报酬从清算资金中扣除；</w:t>
      </w:r>
    </w:p>
    <w:p w:rsidR="00E039EF" w:rsidRDefault="003F2D22">
      <w:pPr>
        <w:widowControl/>
        <w:spacing w:line="360" w:lineRule="auto"/>
        <w:ind w:firstLineChars="200" w:firstLine="360"/>
        <w:jc w:val="left"/>
        <w:rPr>
          <w:rFonts w:asciiTheme="majorEastAsia" w:eastAsiaTheme="majorEastAsia" w:hAnsiTheme="majorEastAsia"/>
          <w:sz w:val="18"/>
          <w:szCs w:val="18"/>
        </w:rPr>
      </w:pPr>
      <w:r>
        <w:rPr>
          <w:rFonts w:asciiTheme="majorEastAsia" w:eastAsiaTheme="majorEastAsia" w:hAnsiTheme="majorEastAsia" w:hint="eastAsia"/>
          <w:sz w:val="18"/>
          <w:szCs w:val="18"/>
        </w:rPr>
        <w:t>2）超额业绩报酬计提方法</w:t>
      </w:r>
    </w:p>
    <w:p w:rsidR="00E039EF" w:rsidRDefault="003F2D22">
      <w:pPr>
        <w:widowControl/>
        <w:spacing w:line="360" w:lineRule="auto"/>
        <w:ind w:firstLineChars="200" w:firstLine="360"/>
        <w:jc w:val="left"/>
        <w:rPr>
          <w:rFonts w:asciiTheme="majorEastAsia" w:eastAsiaTheme="majorEastAsia" w:hAnsiTheme="majorEastAsia"/>
          <w:sz w:val="18"/>
          <w:szCs w:val="18"/>
        </w:rPr>
      </w:pPr>
      <w:r>
        <w:rPr>
          <w:rFonts w:asciiTheme="majorEastAsia" w:eastAsiaTheme="majorEastAsia" w:hAnsiTheme="majorEastAsia" w:hint="eastAsia"/>
          <w:sz w:val="18"/>
          <w:szCs w:val="18"/>
        </w:rPr>
        <w:t>①超额业绩报酬计提起始日</w:t>
      </w:r>
    </w:p>
    <w:p w:rsidR="00E039EF" w:rsidRDefault="003F2D22">
      <w:pPr>
        <w:widowControl/>
        <w:spacing w:line="360" w:lineRule="auto"/>
        <w:ind w:firstLineChars="200" w:firstLine="360"/>
        <w:jc w:val="left"/>
        <w:rPr>
          <w:rFonts w:asciiTheme="majorEastAsia" w:eastAsiaTheme="majorEastAsia" w:hAnsiTheme="majorEastAsia"/>
          <w:sz w:val="18"/>
          <w:szCs w:val="18"/>
        </w:rPr>
      </w:pPr>
      <w:r>
        <w:rPr>
          <w:rFonts w:asciiTheme="majorEastAsia" w:eastAsiaTheme="majorEastAsia" w:hAnsiTheme="majorEastAsia" w:hint="eastAsia"/>
          <w:sz w:val="18"/>
          <w:szCs w:val="18"/>
        </w:rPr>
        <w:t>每</w:t>
      </w:r>
      <w:r>
        <w:rPr>
          <w:rFonts w:asciiTheme="majorEastAsia" w:eastAsiaTheme="majorEastAsia" w:hAnsiTheme="majorEastAsia"/>
          <w:sz w:val="18"/>
          <w:szCs w:val="18"/>
        </w:rPr>
        <w:t>份</w:t>
      </w:r>
      <w:r>
        <w:rPr>
          <w:rFonts w:asciiTheme="majorEastAsia" w:eastAsiaTheme="majorEastAsia" w:hAnsiTheme="majorEastAsia" w:hint="eastAsia"/>
          <w:sz w:val="18"/>
          <w:szCs w:val="18"/>
        </w:rPr>
        <w:t>产品份额超额业绩报酬计提起始日为：募集期内认购的产品份额，以产品成立日为该</w:t>
      </w:r>
      <w:r>
        <w:rPr>
          <w:rFonts w:asciiTheme="majorEastAsia" w:eastAsiaTheme="majorEastAsia" w:hAnsiTheme="majorEastAsia"/>
          <w:sz w:val="18"/>
          <w:szCs w:val="18"/>
        </w:rPr>
        <w:t>份</w:t>
      </w:r>
      <w:r>
        <w:rPr>
          <w:rFonts w:asciiTheme="majorEastAsia" w:eastAsiaTheme="majorEastAsia" w:hAnsiTheme="majorEastAsia" w:hint="eastAsia"/>
          <w:sz w:val="18"/>
          <w:szCs w:val="18"/>
        </w:rPr>
        <w:t>产品份额超额业绩报酬计提起始日。</w:t>
      </w:r>
    </w:p>
    <w:p w:rsidR="00E039EF" w:rsidRDefault="003F2D22">
      <w:pPr>
        <w:widowControl/>
        <w:spacing w:line="360" w:lineRule="auto"/>
        <w:ind w:firstLineChars="200" w:firstLine="360"/>
        <w:jc w:val="left"/>
        <w:rPr>
          <w:rFonts w:asciiTheme="majorEastAsia" w:eastAsiaTheme="majorEastAsia" w:hAnsiTheme="majorEastAsia"/>
          <w:sz w:val="18"/>
          <w:szCs w:val="18"/>
        </w:rPr>
      </w:pPr>
      <w:r>
        <w:rPr>
          <w:rFonts w:asciiTheme="majorEastAsia" w:eastAsiaTheme="majorEastAsia" w:hAnsiTheme="majorEastAsia" w:hint="eastAsia"/>
          <w:sz w:val="18"/>
          <w:szCs w:val="18"/>
        </w:rPr>
        <w:t>②超额业绩报酬计提日</w:t>
      </w:r>
    </w:p>
    <w:p w:rsidR="00E039EF" w:rsidRDefault="003F2D22">
      <w:pPr>
        <w:widowControl/>
        <w:spacing w:line="360" w:lineRule="auto"/>
        <w:ind w:firstLineChars="200" w:firstLine="360"/>
        <w:jc w:val="left"/>
        <w:rPr>
          <w:rFonts w:asciiTheme="majorEastAsia" w:eastAsiaTheme="majorEastAsia" w:hAnsiTheme="majorEastAsia"/>
          <w:sz w:val="18"/>
          <w:szCs w:val="18"/>
        </w:rPr>
      </w:pPr>
      <w:r>
        <w:rPr>
          <w:rFonts w:asciiTheme="majorEastAsia" w:eastAsiaTheme="majorEastAsia" w:hAnsiTheme="majorEastAsia" w:hint="eastAsia"/>
          <w:sz w:val="18"/>
          <w:szCs w:val="18"/>
        </w:rPr>
        <w:t>每份产品份额超额业绩报酬每日计提，产品终止日结算。</w:t>
      </w:r>
    </w:p>
    <w:p w:rsidR="00E039EF" w:rsidRDefault="003F2D22">
      <w:pPr>
        <w:widowControl/>
        <w:spacing w:line="360" w:lineRule="auto"/>
        <w:ind w:firstLineChars="200" w:firstLine="360"/>
        <w:jc w:val="left"/>
        <w:rPr>
          <w:rFonts w:asciiTheme="majorEastAsia" w:eastAsiaTheme="majorEastAsia" w:hAnsiTheme="majorEastAsia"/>
          <w:sz w:val="18"/>
          <w:szCs w:val="18"/>
        </w:rPr>
      </w:pPr>
      <w:r>
        <w:rPr>
          <w:rFonts w:asciiTheme="majorEastAsia" w:eastAsiaTheme="majorEastAsia" w:hAnsiTheme="majorEastAsia" w:hint="eastAsia"/>
          <w:sz w:val="18"/>
          <w:szCs w:val="18"/>
        </w:rPr>
        <w:t>③超额业绩报酬的计算</w:t>
      </w:r>
    </w:p>
    <w:p w:rsidR="00E039EF" w:rsidRDefault="003F2D22">
      <w:pPr>
        <w:widowControl/>
        <w:spacing w:line="360" w:lineRule="auto"/>
        <w:ind w:firstLineChars="200" w:firstLine="360"/>
        <w:jc w:val="left"/>
        <w:rPr>
          <w:rFonts w:asciiTheme="majorEastAsia" w:eastAsiaTheme="majorEastAsia" w:hAnsiTheme="majorEastAsia"/>
          <w:sz w:val="18"/>
          <w:szCs w:val="18"/>
        </w:rPr>
      </w:pPr>
      <w:r>
        <w:rPr>
          <w:rFonts w:asciiTheme="majorEastAsia" w:eastAsiaTheme="majorEastAsia" w:hAnsiTheme="majorEastAsia" w:hint="eastAsia"/>
          <w:sz w:val="18"/>
          <w:szCs w:val="18"/>
        </w:rPr>
        <w:t>产品管理人对每</w:t>
      </w:r>
      <w:r>
        <w:rPr>
          <w:rFonts w:asciiTheme="majorEastAsia" w:eastAsiaTheme="majorEastAsia" w:hAnsiTheme="majorEastAsia"/>
          <w:sz w:val="18"/>
          <w:szCs w:val="18"/>
        </w:rPr>
        <w:t>份</w:t>
      </w:r>
      <w:r>
        <w:rPr>
          <w:rFonts w:asciiTheme="majorEastAsia" w:eastAsiaTheme="majorEastAsia" w:hAnsiTheme="majorEastAsia" w:hint="eastAsia"/>
          <w:sz w:val="18"/>
          <w:szCs w:val="18"/>
        </w:rPr>
        <w:t>份额当前年化收益率（R）超过当前业绩报酬计提基准的部分，按比例（N）以及产品份额持有天数（D）提取超额业绩报酬，计算方法如下：</w:t>
      </w:r>
    </w:p>
    <w:p w:rsidR="00E039EF" w:rsidRDefault="003F2D22">
      <w:pPr>
        <w:widowControl/>
        <w:spacing w:line="360" w:lineRule="auto"/>
        <w:ind w:firstLineChars="200" w:firstLine="360"/>
        <w:jc w:val="left"/>
        <w:rPr>
          <w:rFonts w:asciiTheme="majorEastAsia" w:eastAsiaTheme="majorEastAsia" w:hAnsiTheme="majorEastAsia"/>
          <w:sz w:val="18"/>
          <w:szCs w:val="18"/>
        </w:rPr>
      </w:pPr>
      <w:r>
        <w:rPr>
          <w:rFonts w:asciiTheme="majorEastAsia" w:eastAsiaTheme="majorEastAsia" w:hAnsiTheme="majorEastAsia" w:hint="eastAsia"/>
          <w:sz w:val="18"/>
          <w:szCs w:val="18"/>
        </w:rPr>
        <w:t>当R≤当前业绩报酬计提基准，超额业绩报酬=0；</w:t>
      </w:r>
    </w:p>
    <w:p w:rsidR="00E039EF" w:rsidRDefault="003F2D22">
      <w:pPr>
        <w:widowControl/>
        <w:spacing w:line="360" w:lineRule="auto"/>
        <w:ind w:firstLineChars="200" w:firstLine="360"/>
        <w:jc w:val="left"/>
        <w:rPr>
          <w:rFonts w:asciiTheme="majorEastAsia" w:eastAsiaTheme="majorEastAsia" w:hAnsiTheme="majorEastAsia"/>
          <w:sz w:val="18"/>
          <w:szCs w:val="18"/>
        </w:rPr>
      </w:pPr>
      <w:r>
        <w:rPr>
          <w:rFonts w:asciiTheme="majorEastAsia" w:eastAsiaTheme="majorEastAsia" w:hAnsiTheme="majorEastAsia" w:hint="eastAsia"/>
          <w:sz w:val="18"/>
          <w:szCs w:val="18"/>
        </w:rPr>
        <w:t>当R＞当前业绩报酬计提基准，超额业绩报酬=产品终止时投资者持有的产品份额×产品成立日产品份额净值×（R-当前业绩报酬计提基准）×N×D/365。</w:t>
      </w:r>
    </w:p>
    <w:permEnd w:id="12148755"/>
    <w:p w:rsidR="00E039EF" w:rsidRDefault="003F2D22">
      <w:pPr>
        <w:widowControl/>
        <w:spacing w:line="360" w:lineRule="auto"/>
        <w:ind w:firstLineChars="200" w:firstLine="360"/>
        <w:jc w:val="left"/>
        <w:rPr>
          <w:rFonts w:ascii="宋体" w:hAnsi="宋体"/>
          <w:kern w:val="0"/>
          <w:sz w:val="18"/>
          <w:szCs w:val="18"/>
        </w:rPr>
      </w:pPr>
      <w:r>
        <w:rPr>
          <w:rFonts w:ascii="宋体" w:hAnsi="宋体" w:hint="eastAsia"/>
          <w:kern w:val="0"/>
          <w:sz w:val="18"/>
          <w:szCs w:val="18"/>
        </w:rPr>
        <w:t>（</w:t>
      </w:r>
      <w:r>
        <w:rPr>
          <w:rFonts w:ascii="宋体" w:hAnsi="宋体"/>
          <w:kern w:val="0"/>
          <w:sz w:val="18"/>
          <w:szCs w:val="18"/>
        </w:rPr>
        <w:t>5</w:t>
      </w:r>
      <w:r>
        <w:rPr>
          <w:rFonts w:ascii="宋体" w:hAnsi="宋体" w:hint="eastAsia"/>
          <w:kern w:val="0"/>
          <w:sz w:val="18"/>
          <w:szCs w:val="18"/>
        </w:rPr>
        <w:t>）理财产品</w:t>
      </w:r>
      <w:r>
        <w:rPr>
          <w:rFonts w:ascii="宋体" w:hAnsi="宋体"/>
          <w:kern w:val="0"/>
          <w:sz w:val="18"/>
          <w:szCs w:val="18"/>
        </w:rPr>
        <w:t>的</w:t>
      </w:r>
      <w:r>
        <w:rPr>
          <w:rFonts w:ascii="宋体" w:hAnsi="宋体" w:hint="eastAsia"/>
          <w:kern w:val="0"/>
          <w:sz w:val="18"/>
          <w:szCs w:val="18"/>
        </w:rPr>
        <w:t>产品</w:t>
      </w:r>
      <w:r>
        <w:rPr>
          <w:rFonts w:ascii="宋体" w:hAnsi="宋体"/>
          <w:kern w:val="0"/>
          <w:sz w:val="18"/>
          <w:szCs w:val="18"/>
        </w:rPr>
        <w:t>托管费</w:t>
      </w:r>
    </w:p>
    <w:p w:rsidR="00E039EF" w:rsidRDefault="003F2D22">
      <w:pPr>
        <w:widowControl/>
        <w:spacing w:line="360" w:lineRule="auto"/>
        <w:ind w:firstLineChars="200" w:firstLine="360"/>
        <w:jc w:val="left"/>
        <w:rPr>
          <w:rFonts w:ascii="宋体" w:hAnsi="宋体"/>
          <w:sz w:val="18"/>
          <w:szCs w:val="18"/>
        </w:rPr>
      </w:pPr>
      <w:r>
        <w:rPr>
          <w:rFonts w:ascii="宋体" w:hAnsi="宋体" w:hint="eastAsia"/>
          <w:sz w:val="18"/>
          <w:szCs w:val="18"/>
        </w:rPr>
        <w:t>本产品的产品</w:t>
      </w:r>
      <w:r>
        <w:rPr>
          <w:rFonts w:ascii="宋体" w:hAnsi="宋体"/>
          <w:sz w:val="18"/>
          <w:szCs w:val="18"/>
        </w:rPr>
        <w:t>托管</w:t>
      </w:r>
      <w:r>
        <w:rPr>
          <w:rFonts w:ascii="宋体" w:hAnsi="宋体" w:hint="eastAsia"/>
          <w:sz w:val="18"/>
          <w:szCs w:val="18"/>
        </w:rPr>
        <w:t>费按前一日理财资产净值与产品</w:t>
      </w:r>
      <w:r>
        <w:rPr>
          <w:rFonts w:ascii="宋体" w:hAnsi="宋体"/>
          <w:sz w:val="18"/>
          <w:szCs w:val="18"/>
        </w:rPr>
        <w:t>托管</w:t>
      </w:r>
      <w:r>
        <w:rPr>
          <w:rFonts w:ascii="宋体" w:hAnsi="宋体" w:hint="eastAsia"/>
          <w:sz w:val="18"/>
          <w:szCs w:val="18"/>
        </w:rPr>
        <w:t>费每日费率每日计提。</w:t>
      </w:r>
      <w:r>
        <w:rPr>
          <w:rFonts w:ascii="宋体" w:hAnsi="宋体" w:hint="eastAsia"/>
          <w:kern w:val="0"/>
          <w:sz w:val="18"/>
          <w:szCs w:val="18"/>
        </w:rPr>
        <w:t>产品</w:t>
      </w:r>
      <w:r>
        <w:rPr>
          <w:rFonts w:ascii="宋体" w:hAnsi="宋体"/>
          <w:kern w:val="0"/>
          <w:sz w:val="18"/>
          <w:szCs w:val="18"/>
        </w:rPr>
        <w:t>托管费的计算方法如下：</w:t>
      </w:r>
    </w:p>
    <w:p w:rsidR="00E039EF" w:rsidRDefault="003F2D22">
      <w:pPr>
        <w:widowControl/>
        <w:spacing w:line="360" w:lineRule="auto"/>
        <w:ind w:firstLineChars="200" w:firstLine="360"/>
        <w:jc w:val="left"/>
        <w:rPr>
          <w:rFonts w:ascii="宋体" w:hAnsi="宋体"/>
          <w:sz w:val="18"/>
          <w:szCs w:val="18"/>
        </w:rPr>
      </w:pPr>
      <w:r>
        <w:rPr>
          <w:rFonts w:ascii="宋体" w:hAnsi="宋体"/>
          <w:kern w:val="0"/>
          <w:sz w:val="18"/>
          <w:szCs w:val="18"/>
        </w:rPr>
        <w:t>H＝E×</w:t>
      </w:r>
      <w:r>
        <w:rPr>
          <w:rFonts w:ascii="宋体" w:hAnsi="宋体" w:hint="eastAsia"/>
          <w:kern w:val="0"/>
          <w:sz w:val="18"/>
          <w:szCs w:val="18"/>
        </w:rPr>
        <w:t>产品托管费</w:t>
      </w:r>
      <w:r>
        <w:rPr>
          <w:rFonts w:ascii="宋体" w:hAnsi="宋体"/>
          <w:kern w:val="0"/>
          <w:sz w:val="18"/>
          <w:szCs w:val="18"/>
        </w:rPr>
        <w:t>年费率÷</w:t>
      </w:r>
      <w:r>
        <w:rPr>
          <w:rFonts w:ascii="宋体" w:hAnsi="宋体" w:hint="eastAsia"/>
          <w:kern w:val="0"/>
          <w:sz w:val="18"/>
          <w:szCs w:val="18"/>
        </w:rPr>
        <w:t>3</w:t>
      </w:r>
      <w:r>
        <w:rPr>
          <w:rFonts w:ascii="宋体" w:hAnsi="宋体"/>
          <w:kern w:val="0"/>
          <w:sz w:val="18"/>
          <w:szCs w:val="18"/>
        </w:rPr>
        <w:t>65</w:t>
      </w:r>
    </w:p>
    <w:p w:rsidR="00E039EF" w:rsidRDefault="003F2D22">
      <w:pPr>
        <w:widowControl/>
        <w:spacing w:line="360" w:lineRule="auto"/>
        <w:ind w:firstLineChars="200" w:firstLine="360"/>
        <w:jc w:val="left"/>
        <w:rPr>
          <w:rFonts w:ascii="宋体" w:hAnsi="宋体"/>
          <w:sz w:val="18"/>
          <w:szCs w:val="18"/>
        </w:rPr>
      </w:pPr>
      <w:r>
        <w:rPr>
          <w:rFonts w:ascii="宋体" w:hAnsi="宋体"/>
          <w:kern w:val="0"/>
          <w:sz w:val="18"/>
          <w:szCs w:val="18"/>
        </w:rPr>
        <w:t>H为每日应计提的</w:t>
      </w:r>
      <w:r>
        <w:rPr>
          <w:rFonts w:ascii="宋体" w:hAnsi="宋体" w:hint="eastAsia"/>
          <w:kern w:val="0"/>
          <w:sz w:val="18"/>
          <w:szCs w:val="18"/>
        </w:rPr>
        <w:t>产品</w:t>
      </w:r>
      <w:r>
        <w:rPr>
          <w:rFonts w:ascii="宋体" w:hAnsi="宋体"/>
          <w:kern w:val="0"/>
          <w:sz w:val="18"/>
          <w:szCs w:val="18"/>
        </w:rPr>
        <w:t>托管费</w:t>
      </w:r>
    </w:p>
    <w:p w:rsidR="00E039EF" w:rsidRDefault="003F2D22">
      <w:pPr>
        <w:widowControl/>
        <w:spacing w:line="360" w:lineRule="auto"/>
        <w:ind w:firstLineChars="200" w:firstLine="360"/>
        <w:jc w:val="left"/>
        <w:rPr>
          <w:rFonts w:ascii="宋体" w:hAnsi="宋体"/>
          <w:sz w:val="18"/>
          <w:szCs w:val="18"/>
        </w:rPr>
      </w:pPr>
      <w:r>
        <w:rPr>
          <w:rFonts w:ascii="宋体" w:hAnsi="宋体"/>
          <w:kern w:val="0"/>
          <w:sz w:val="18"/>
          <w:szCs w:val="18"/>
        </w:rPr>
        <w:t>E为前一日的理财资产净值</w:t>
      </w:r>
    </w:p>
    <w:p w:rsidR="00E039EF" w:rsidRDefault="003F2D22">
      <w:pPr>
        <w:widowControl/>
        <w:spacing w:line="360" w:lineRule="auto"/>
        <w:ind w:firstLineChars="200" w:firstLine="360"/>
        <w:jc w:val="left"/>
        <w:rPr>
          <w:rFonts w:ascii="宋体" w:hAnsi="宋体"/>
          <w:sz w:val="18"/>
          <w:szCs w:val="18"/>
        </w:rPr>
      </w:pPr>
      <w:r>
        <w:rPr>
          <w:rFonts w:ascii="宋体" w:hAnsi="宋体" w:hint="eastAsia"/>
          <w:kern w:val="0"/>
          <w:sz w:val="18"/>
          <w:szCs w:val="18"/>
        </w:rPr>
        <w:t>产品托管费依照上述约定，从理财财产中支付。</w:t>
      </w:r>
      <w:r>
        <w:rPr>
          <w:rFonts w:asciiTheme="majorEastAsia" w:eastAsiaTheme="majorEastAsia" w:hAnsiTheme="majorEastAsia" w:hint="eastAsia"/>
          <w:sz w:val="18"/>
          <w:szCs w:val="18"/>
        </w:rPr>
        <w:t>费率具体数值以</w:t>
      </w:r>
      <w:r>
        <w:rPr>
          <w:rFonts w:asciiTheme="minorEastAsia" w:eastAsiaTheme="minorEastAsia" w:hAnsiTheme="minorEastAsia" w:hint="eastAsia"/>
          <w:sz w:val="18"/>
          <w:szCs w:val="18"/>
        </w:rPr>
        <w:t>《产品说明书》“第二条 理财产品基本情况”</w:t>
      </w:r>
      <w:r>
        <w:rPr>
          <w:rFonts w:asciiTheme="majorEastAsia" w:eastAsiaTheme="majorEastAsia" w:hAnsiTheme="majorEastAsia" w:hint="eastAsia"/>
          <w:sz w:val="18"/>
          <w:szCs w:val="18"/>
        </w:rPr>
        <w:t>为准。</w:t>
      </w:r>
    </w:p>
    <w:p w:rsidR="00E039EF" w:rsidRDefault="003F2D22">
      <w:pPr>
        <w:widowControl/>
        <w:spacing w:line="360" w:lineRule="auto"/>
        <w:ind w:firstLineChars="200" w:firstLine="360"/>
        <w:jc w:val="left"/>
        <w:rPr>
          <w:rFonts w:ascii="宋体" w:hAnsi="宋体"/>
          <w:sz w:val="18"/>
          <w:szCs w:val="18"/>
        </w:rPr>
      </w:pPr>
      <w:r>
        <w:rPr>
          <w:rFonts w:ascii="宋体" w:hAnsi="宋体" w:hint="eastAsia"/>
          <w:kern w:val="0"/>
          <w:sz w:val="18"/>
          <w:szCs w:val="18"/>
        </w:rPr>
        <w:lastRenderedPageBreak/>
        <w:t>（</w:t>
      </w:r>
      <w:r>
        <w:rPr>
          <w:rFonts w:ascii="宋体" w:hAnsi="宋体"/>
          <w:kern w:val="0"/>
          <w:sz w:val="18"/>
          <w:szCs w:val="18"/>
        </w:rPr>
        <w:t>6</w:t>
      </w:r>
      <w:r>
        <w:rPr>
          <w:rFonts w:ascii="宋体" w:hAnsi="宋体" w:hint="eastAsia"/>
          <w:kern w:val="0"/>
          <w:sz w:val="18"/>
          <w:szCs w:val="18"/>
        </w:rPr>
        <w:t>）</w:t>
      </w:r>
      <w:r>
        <w:rPr>
          <w:rFonts w:ascii="宋体" w:hAnsi="宋体"/>
          <w:kern w:val="0"/>
          <w:sz w:val="18"/>
          <w:szCs w:val="18"/>
        </w:rPr>
        <w:t>上述</w:t>
      </w:r>
      <w:r>
        <w:rPr>
          <w:rFonts w:ascii="宋体" w:hAnsi="宋体" w:hint="eastAsia"/>
          <w:kern w:val="0"/>
          <w:sz w:val="18"/>
          <w:szCs w:val="18"/>
        </w:rPr>
        <w:t>理财产品的证券交易费用</w:t>
      </w:r>
    </w:p>
    <w:p w:rsidR="00E039EF" w:rsidRDefault="003F2D22">
      <w:pPr>
        <w:widowControl/>
        <w:spacing w:line="360" w:lineRule="auto"/>
        <w:ind w:firstLineChars="200" w:firstLine="360"/>
        <w:jc w:val="left"/>
        <w:rPr>
          <w:rFonts w:ascii="宋体" w:hAnsi="宋体"/>
          <w:kern w:val="0"/>
          <w:sz w:val="18"/>
          <w:szCs w:val="18"/>
        </w:rPr>
      </w:pPr>
      <w:r>
        <w:rPr>
          <w:rFonts w:ascii="宋体" w:hAnsi="宋体" w:hint="eastAsia"/>
          <w:kern w:val="0"/>
          <w:sz w:val="18"/>
          <w:szCs w:val="18"/>
        </w:rPr>
        <w:t>按费用实际支出金额列入当期费用，从理财财产中支付。</w:t>
      </w:r>
    </w:p>
    <w:p w:rsidR="00E039EF" w:rsidRDefault="003F2D22">
      <w:pPr>
        <w:widowControl/>
        <w:spacing w:line="360" w:lineRule="auto"/>
        <w:ind w:firstLineChars="200" w:firstLine="360"/>
        <w:jc w:val="left"/>
        <w:rPr>
          <w:rFonts w:ascii="宋体" w:hAnsi="宋体"/>
          <w:sz w:val="18"/>
          <w:szCs w:val="18"/>
        </w:rPr>
      </w:pPr>
      <w:r>
        <w:rPr>
          <w:rFonts w:ascii="宋体" w:hAnsi="宋体" w:hint="eastAsia"/>
          <w:kern w:val="0"/>
          <w:sz w:val="18"/>
          <w:szCs w:val="18"/>
        </w:rPr>
        <w:t>（</w:t>
      </w:r>
      <w:r>
        <w:rPr>
          <w:rFonts w:ascii="宋体" w:hAnsi="宋体"/>
          <w:kern w:val="0"/>
          <w:sz w:val="18"/>
          <w:szCs w:val="18"/>
        </w:rPr>
        <w:t>7）上述</w:t>
      </w:r>
      <w:r>
        <w:rPr>
          <w:rFonts w:ascii="宋体" w:hAnsi="宋体" w:hint="eastAsia"/>
          <w:kern w:val="0"/>
          <w:sz w:val="18"/>
          <w:szCs w:val="18"/>
        </w:rPr>
        <w:t>理财产品</w:t>
      </w:r>
      <w:r>
        <w:rPr>
          <w:rFonts w:ascii="宋体" w:hAnsi="宋体"/>
          <w:kern w:val="0"/>
          <w:sz w:val="18"/>
          <w:szCs w:val="18"/>
        </w:rPr>
        <w:t>验资费、审计费、律师费、信息披露费、</w:t>
      </w:r>
      <w:r>
        <w:rPr>
          <w:rFonts w:ascii="宋体" w:hAnsi="宋体" w:hint="eastAsia"/>
          <w:kern w:val="0"/>
          <w:sz w:val="18"/>
          <w:szCs w:val="18"/>
        </w:rPr>
        <w:t>清算费、</w:t>
      </w:r>
      <w:r>
        <w:rPr>
          <w:rFonts w:ascii="宋体" w:hAnsi="宋体"/>
          <w:kern w:val="0"/>
          <w:sz w:val="18"/>
          <w:szCs w:val="18"/>
        </w:rPr>
        <w:t>执行费用等相关费用</w:t>
      </w:r>
    </w:p>
    <w:p w:rsidR="00E039EF" w:rsidRDefault="003F2D22">
      <w:pPr>
        <w:widowControl/>
        <w:spacing w:line="360" w:lineRule="auto"/>
        <w:ind w:firstLineChars="200" w:firstLine="360"/>
        <w:jc w:val="left"/>
        <w:rPr>
          <w:rFonts w:ascii="宋体" w:hAnsi="宋体"/>
          <w:kern w:val="0"/>
          <w:sz w:val="18"/>
          <w:szCs w:val="18"/>
        </w:rPr>
      </w:pPr>
      <w:r>
        <w:rPr>
          <w:rFonts w:ascii="宋体" w:hAnsi="宋体" w:hint="eastAsia"/>
          <w:kern w:val="0"/>
          <w:sz w:val="18"/>
          <w:szCs w:val="18"/>
        </w:rPr>
        <w:t>按费用实际支出金额列入当期费用，从理财财产中支付。产品管理人因处理上述事务而先行垫付上述</w:t>
      </w:r>
      <w:r>
        <w:rPr>
          <w:rFonts w:ascii="宋体" w:hAnsi="宋体"/>
          <w:kern w:val="0"/>
          <w:sz w:val="18"/>
          <w:szCs w:val="18"/>
        </w:rPr>
        <w:t>费用</w:t>
      </w:r>
      <w:r>
        <w:rPr>
          <w:rFonts w:ascii="宋体" w:hAnsi="宋体" w:hint="eastAsia"/>
          <w:kern w:val="0"/>
          <w:sz w:val="18"/>
          <w:szCs w:val="18"/>
        </w:rPr>
        <w:t>的，管理人有权从理财产品资产中优先受偿。</w:t>
      </w:r>
    </w:p>
    <w:p w:rsidR="00E039EF" w:rsidRDefault="003F2D22">
      <w:pPr>
        <w:pStyle w:val="Default"/>
        <w:spacing w:line="360" w:lineRule="auto"/>
        <w:ind w:firstLineChars="200" w:firstLine="360"/>
        <w:rPr>
          <w:rFonts w:ascii="黑体" w:eastAsia="黑体" w:hAnsi="黑体"/>
          <w:color w:val="auto"/>
          <w:sz w:val="18"/>
        </w:rPr>
      </w:pPr>
      <w:r>
        <w:rPr>
          <w:rFonts w:ascii="黑体" w:eastAsia="黑体" w:hAnsi="黑体"/>
          <w:color w:val="auto"/>
          <w:sz w:val="18"/>
        </w:rPr>
        <w:t>3.</w:t>
      </w:r>
      <w:r>
        <w:rPr>
          <w:rFonts w:hAnsi="宋体"/>
          <w:color w:val="auto"/>
          <w:sz w:val="18"/>
          <w:szCs w:val="18"/>
        </w:rPr>
        <w:t>★</w:t>
      </w:r>
      <w:r>
        <w:rPr>
          <w:rFonts w:ascii="黑体" w:eastAsia="黑体" w:hAnsi="黑体" w:hint="eastAsia"/>
          <w:color w:val="auto"/>
          <w:sz w:val="18"/>
          <w:szCs w:val="18"/>
        </w:rPr>
        <w:t>理财产品费用</w:t>
      </w:r>
      <w:r>
        <w:rPr>
          <w:rFonts w:ascii="黑体" w:eastAsia="黑体" w:hAnsi="黑体" w:hint="eastAsia"/>
          <w:color w:val="auto"/>
          <w:sz w:val="18"/>
        </w:rPr>
        <w:t>的调整</w:t>
      </w:r>
    </w:p>
    <w:p w:rsidR="00E039EF" w:rsidRDefault="003F2D22">
      <w:pPr>
        <w:pStyle w:val="Default"/>
        <w:spacing w:line="360" w:lineRule="auto"/>
        <w:ind w:firstLineChars="200" w:firstLine="360"/>
        <w:rPr>
          <w:rFonts w:ascii="黑体" w:eastAsia="黑体" w:hAnsi="黑体"/>
          <w:b/>
          <w:color w:val="auto"/>
          <w:sz w:val="18"/>
        </w:rPr>
      </w:pPr>
      <w:r>
        <w:rPr>
          <w:rFonts w:ascii="黑体" w:eastAsia="黑体" w:hAnsi="黑体" w:hint="eastAsia"/>
          <w:color w:val="auto"/>
          <w:sz w:val="18"/>
        </w:rPr>
        <w:t>产品管理人有权</w:t>
      </w:r>
      <w:r>
        <w:rPr>
          <w:rFonts w:ascii="黑体" w:eastAsia="黑体" w:hAnsi="黑体" w:hint="eastAsia"/>
          <w:color w:val="auto"/>
          <w:sz w:val="18"/>
          <w:szCs w:val="18"/>
        </w:rPr>
        <w:t>根据相关法律和国家政策规定，</w:t>
      </w:r>
      <w:r>
        <w:rPr>
          <w:rFonts w:ascii="黑体" w:eastAsia="黑体" w:hAnsi="黑体" w:hint="eastAsia"/>
          <w:color w:val="auto"/>
          <w:sz w:val="18"/>
        </w:rPr>
        <w:t>对理财产品费用的收费项目、收费条件、收费标准和收费方式等进行调整。产品管理人对费用的调整</w:t>
      </w:r>
      <w:r>
        <w:rPr>
          <w:rFonts w:ascii="黑体" w:eastAsia="黑体" w:hAnsi="黑体" w:hint="eastAsia"/>
          <w:bCs/>
          <w:color w:val="auto"/>
          <w:sz w:val="18"/>
        </w:rPr>
        <w:t>将依约定进行公告。</w:t>
      </w:r>
    </w:p>
    <w:p w:rsidR="00E039EF" w:rsidRDefault="003F2D22">
      <w:pPr>
        <w:pStyle w:val="Default"/>
        <w:spacing w:line="360" w:lineRule="auto"/>
        <w:ind w:firstLineChars="200" w:firstLine="361"/>
        <w:rPr>
          <w:rFonts w:asciiTheme="majorEastAsia" w:eastAsiaTheme="majorEastAsia" w:hAnsiTheme="majorEastAsia"/>
          <w:b/>
          <w:color w:val="auto"/>
          <w:sz w:val="18"/>
          <w:szCs w:val="18"/>
        </w:rPr>
      </w:pPr>
      <w:r>
        <w:rPr>
          <w:rFonts w:asciiTheme="majorEastAsia" w:eastAsiaTheme="majorEastAsia" w:hAnsiTheme="majorEastAsia" w:hint="eastAsia"/>
          <w:b/>
          <w:color w:val="auto"/>
          <w:sz w:val="18"/>
          <w:szCs w:val="18"/>
        </w:rPr>
        <w:t>（二）理财产品的税收</w:t>
      </w:r>
    </w:p>
    <w:p w:rsidR="00E039EF" w:rsidRDefault="003F2D22">
      <w:pPr>
        <w:widowControl/>
        <w:spacing w:line="360" w:lineRule="auto"/>
        <w:ind w:firstLineChars="200" w:firstLine="360"/>
        <w:jc w:val="left"/>
        <w:rPr>
          <w:rFonts w:ascii="宋体" w:hAnsi="宋体"/>
          <w:kern w:val="0"/>
          <w:sz w:val="18"/>
          <w:szCs w:val="18"/>
        </w:rPr>
      </w:pPr>
      <w:r>
        <w:rPr>
          <w:rFonts w:ascii="宋体" w:hAnsi="宋体" w:hint="eastAsia"/>
          <w:kern w:val="0"/>
          <w:sz w:val="18"/>
          <w:szCs w:val="18"/>
        </w:rPr>
        <w:t>本产品运作过程中涉及的各纳税主体的纳税义务按国家税收法律、法规执行。除法律法规特别要求外，投资者应缴纳的税收由投资者负责，产品管理人不承担代扣代缴或纳税的义务。理财产品运营过程中发生的增值税应税行为，由理财产品承担增值税及附加税费，该等税款直接从理财产品账户中扣付，由产品管理人进行申报和缴纳。</w:t>
      </w:r>
    </w:p>
    <w:p w:rsidR="00E039EF" w:rsidRDefault="003F2D22">
      <w:pPr>
        <w:pStyle w:val="1"/>
        <w:spacing w:line="360" w:lineRule="auto"/>
        <w:jc w:val="center"/>
      </w:pPr>
      <w:bookmarkStart w:id="112" w:name="_Toc1745"/>
      <w:bookmarkStart w:id="113" w:name="_Toc3963"/>
      <w:r>
        <w:br w:type="page"/>
      </w:r>
      <w:bookmarkStart w:id="114" w:name="_Toc10398"/>
      <w:bookmarkStart w:id="115" w:name="_Toc123112237"/>
      <w:bookmarkStart w:id="116" w:name="_Toc139991739"/>
      <w:bookmarkStart w:id="117" w:name="_Toc18206"/>
      <w:bookmarkStart w:id="118" w:name="_Toc3572"/>
      <w:bookmarkStart w:id="119" w:name="_Toc725"/>
      <w:bookmarkStart w:id="120" w:name="_Toc123051455"/>
      <w:bookmarkStart w:id="121" w:name="_Toc98560355"/>
      <w:bookmarkStart w:id="122" w:name="_Toc79154673"/>
      <w:bookmarkStart w:id="123" w:name="_Toc31821"/>
      <w:bookmarkStart w:id="124" w:name="_Toc141703889"/>
      <w:bookmarkStart w:id="125" w:name="_Toc21735"/>
      <w:bookmarkStart w:id="126" w:name="_Toc16164"/>
      <w:bookmarkStart w:id="127" w:name="_Toc116649658"/>
      <w:bookmarkStart w:id="128" w:name="_Toc3080"/>
      <w:bookmarkStart w:id="129" w:name="_Toc123102456"/>
      <w:bookmarkStart w:id="130" w:name="_Toc74065746"/>
      <w:r>
        <w:rPr>
          <w:rFonts w:hint="eastAsia"/>
          <w:sz w:val="30"/>
        </w:rPr>
        <w:lastRenderedPageBreak/>
        <w:t>第</w:t>
      </w:r>
      <w:r>
        <w:rPr>
          <w:sz w:val="30"/>
        </w:rPr>
        <w:t>十</w:t>
      </w:r>
      <w:r>
        <w:rPr>
          <w:rFonts w:hint="eastAsia"/>
          <w:sz w:val="30"/>
        </w:rPr>
        <w:t>条</w:t>
      </w:r>
      <w:r>
        <w:rPr>
          <w:sz w:val="30"/>
        </w:rPr>
        <w:t xml:space="preserve">  </w:t>
      </w:r>
      <w:r>
        <w:rPr>
          <w:rFonts w:hint="eastAsia"/>
          <w:sz w:val="30"/>
        </w:rPr>
        <w:t>理财产品的终止与清算</w:t>
      </w:r>
      <w:bookmarkEnd w:id="112"/>
      <w:bookmarkEnd w:id="113"/>
      <w:bookmarkEnd w:id="114"/>
      <w:bookmarkEnd w:id="115"/>
      <w:bookmarkEnd w:id="116"/>
      <w:bookmarkEnd w:id="117"/>
      <w:bookmarkEnd w:id="118"/>
      <w:bookmarkEnd w:id="119"/>
      <w:bookmarkEnd w:id="120"/>
      <w:bookmarkEnd w:id="121"/>
      <w:bookmarkEnd w:id="122"/>
      <w:bookmarkEnd w:id="123"/>
      <w:bookmarkEnd w:id="124"/>
      <w:bookmarkEnd w:id="125"/>
      <w:bookmarkEnd w:id="126"/>
      <w:bookmarkEnd w:id="127"/>
      <w:bookmarkEnd w:id="128"/>
      <w:bookmarkEnd w:id="129"/>
      <w:bookmarkEnd w:id="130"/>
    </w:p>
    <w:p w:rsidR="00E039EF" w:rsidRDefault="003F2D22">
      <w:pPr>
        <w:spacing w:line="360" w:lineRule="auto"/>
        <w:ind w:firstLineChars="200" w:firstLine="361"/>
        <w:rPr>
          <w:rFonts w:asciiTheme="majorEastAsia" w:eastAsiaTheme="majorEastAsia" w:hAnsiTheme="majorEastAsia"/>
          <w:b/>
          <w:bCs/>
          <w:sz w:val="18"/>
          <w:szCs w:val="18"/>
        </w:rPr>
      </w:pPr>
      <w:bookmarkStart w:id="131" w:name="_Toc57530252"/>
      <w:bookmarkStart w:id="132" w:name="_Toc15118245"/>
      <w:bookmarkStart w:id="133" w:name="_Toc79392593"/>
      <w:r>
        <w:rPr>
          <w:rFonts w:asciiTheme="majorEastAsia" w:eastAsiaTheme="majorEastAsia" w:hAnsiTheme="majorEastAsia" w:hint="eastAsia"/>
          <w:b/>
          <w:bCs/>
          <w:sz w:val="18"/>
          <w:szCs w:val="18"/>
        </w:rPr>
        <w:t>（一）理财产品的终止</w:t>
      </w:r>
    </w:p>
    <w:p w:rsidR="00E039EF" w:rsidRDefault="003F2D22">
      <w:pPr>
        <w:spacing w:line="360" w:lineRule="auto"/>
        <w:ind w:firstLineChars="200" w:firstLine="360"/>
        <w:rPr>
          <w:rFonts w:ascii="黑体" w:eastAsia="黑体" w:hAnsi="黑体"/>
          <w:bCs/>
          <w:sz w:val="18"/>
          <w:szCs w:val="18"/>
        </w:rPr>
      </w:pPr>
      <w:r>
        <w:rPr>
          <w:rFonts w:ascii="黑体" w:eastAsia="黑体" w:hAnsi="黑体"/>
          <w:bCs/>
          <w:sz w:val="18"/>
          <w:szCs w:val="18"/>
        </w:rPr>
        <w:t>1.</w:t>
      </w:r>
      <w:r>
        <w:rPr>
          <w:rFonts w:ascii="黑体" w:eastAsia="黑体" w:hAnsi="黑体" w:hint="eastAsia"/>
          <w:bCs/>
          <w:sz w:val="18"/>
          <w:szCs w:val="18"/>
        </w:rPr>
        <w:t>★提前终止</w:t>
      </w:r>
    </w:p>
    <w:p w:rsidR="00E039EF" w:rsidRDefault="003F2D22">
      <w:pPr>
        <w:spacing w:line="360" w:lineRule="auto"/>
        <w:ind w:firstLineChars="200" w:firstLine="360"/>
        <w:rPr>
          <w:rFonts w:ascii="黑体" w:eastAsia="黑体" w:hAnsi="黑体"/>
          <w:bCs/>
          <w:sz w:val="18"/>
          <w:szCs w:val="18"/>
        </w:rPr>
      </w:pPr>
      <w:r>
        <w:rPr>
          <w:rFonts w:ascii="黑体" w:eastAsia="黑体" w:hAnsi="黑体" w:hint="eastAsia"/>
          <w:bCs/>
          <w:sz w:val="18"/>
          <w:szCs w:val="18"/>
        </w:rPr>
        <w:t>在理财产品投资运作期间内，投资者无权要求提前终止该理财产品</w:t>
      </w:r>
      <w:r>
        <w:rPr>
          <w:rFonts w:asciiTheme="majorEastAsia" w:eastAsiaTheme="majorEastAsia" w:hAnsiTheme="majorEastAsia" w:hint="eastAsia"/>
          <w:bCs/>
          <w:sz w:val="18"/>
          <w:szCs w:val="18"/>
        </w:rPr>
        <w:t>。在理财产品投资运作期间内，</w:t>
      </w:r>
      <w:r>
        <w:rPr>
          <w:rFonts w:ascii="黑体" w:eastAsia="黑体" w:hAnsi="黑体" w:hint="eastAsia"/>
          <w:bCs/>
          <w:sz w:val="18"/>
          <w:szCs w:val="18"/>
        </w:rPr>
        <w:t>当出现下列情形之一时，产品管理人有权部分或全部提前终止本产品：</w:t>
      </w:r>
    </w:p>
    <w:p w:rsidR="00E039EF" w:rsidRDefault="003F2D22">
      <w:pPr>
        <w:spacing w:line="360" w:lineRule="auto"/>
        <w:ind w:firstLineChars="200" w:firstLine="360"/>
        <w:rPr>
          <w:rFonts w:asciiTheme="majorEastAsia" w:eastAsiaTheme="majorEastAsia" w:hAnsiTheme="majorEastAsia"/>
          <w:bCs/>
          <w:sz w:val="18"/>
          <w:szCs w:val="18"/>
        </w:rPr>
      </w:pPr>
      <w:r>
        <w:rPr>
          <w:rFonts w:asciiTheme="majorEastAsia" w:eastAsiaTheme="majorEastAsia" w:hAnsiTheme="majorEastAsia" w:hint="eastAsia"/>
          <w:bCs/>
          <w:sz w:val="18"/>
          <w:szCs w:val="18"/>
        </w:rPr>
        <w:t>（</w:t>
      </w:r>
      <w:r>
        <w:rPr>
          <w:rFonts w:asciiTheme="majorEastAsia" w:eastAsiaTheme="majorEastAsia" w:hAnsiTheme="majorEastAsia"/>
          <w:bCs/>
          <w:sz w:val="18"/>
          <w:szCs w:val="18"/>
        </w:rPr>
        <w:t>1）</w:t>
      </w:r>
      <w:r>
        <w:rPr>
          <w:rFonts w:asciiTheme="majorEastAsia" w:eastAsiaTheme="majorEastAsia" w:hAnsiTheme="majorEastAsia" w:hint="eastAsia"/>
          <w:bCs/>
          <w:sz w:val="18"/>
          <w:szCs w:val="18"/>
        </w:rPr>
        <w:t>因不可抗力原因导致理财产品无法继续运作。</w:t>
      </w:r>
    </w:p>
    <w:p w:rsidR="00E039EF" w:rsidRDefault="003F2D22">
      <w:pPr>
        <w:spacing w:line="360" w:lineRule="auto"/>
        <w:ind w:firstLineChars="200" w:firstLine="360"/>
        <w:rPr>
          <w:rFonts w:asciiTheme="majorEastAsia" w:eastAsiaTheme="majorEastAsia" w:hAnsiTheme="majorEastAsia"/>
          <w:bCs/>
          <w:sz w:val="18"/>
          <w:szCs w:val="18"/>
        </w:rPr>
      </w:pPr>
      <w:r>
        <w:rPr>
          <w:rFonts w:asciiTheme="majorEastAsia" w:eastAsiaTheme="majorEastAsia" w:hAnsiTheme="majorEastAsia" w:hint="eastAsia"/>
          <w:bCs/>
          <w:sz w:val="18"/>
          <w:szCs w:val="18"/>
        </w:rPr>
        <w:t>（</w:t>
      </w:r>
      <w:r>
        <w:rPr>
          <w:rFonts w:asciiTheme="majorEastAsia" w:eastAsiaTheme="majorEastAsia" w:hAnsiTheme="majorEastAsia"/>
          <w:bCs/>
          <w:sz w:val="18"/>
          <w:szCs w:val="18"/>
        </w:rPr>
        <w:t>2）</w:t>
      </w:r>
      <w:r>
        <w:rPr>
          <w:rFonts w:asciiTheme="majorEastAsia" w:eastAsiaTheme="majorEastAsia" w:hAnsiTheme="majorEastAsia" w:hint="eastAsia"/>
          <w:bCs/>
          <w:sz w:val="18"/>
          <w:szCs w:val="18"/>
        </w:rPr>
        <w:t>遇有市场出现剧烈波动、异常风险事件等情形导致理财产品收益出现大幅波动或严重影响理财产品的资产安全。</w:t>
      </w:r>
    </w:p>
    <w:p w:rsidR="00E039EF" w:rsidRDefault="003F2D22">
      <w:pPr>
        <w:spacing w:line="360" w:lineRule="auto"/>
        <w:ind w:firstLineChars="200" w:firstLine="360"/>
        <w:rPr>
          <w:rFonts w:asciiTheme="majorEastAsia" w:eastAsiaTheme="majorEastAsia" w:hAnsiTheme="majorEastAsia"/>
          <w:bCs/>
          <w:sz w:val="18"/>
          <w:szCs w:val="18"/>
        </w:rPr>
      </w:pPr>
      <w:r>
        <w:rPr>
          <w:rFonts w:asciiTheme="majorEastAsia" w:eastAsiaTheme="majorEastAsia" w:hAnsiTheme="majorEastAsia" w:hint="eastAsia"/>
          <w:bCs/>
          <w:sz w:val="18"/>
          <w:szCs w:val="18"/>
        </w:rPr>
        <w:t>（</w:t>
      </w:r>
      <w:r>
        <w:rPr>
          <w:rFonts w:asciiTheme="majorEastAsia" w:eastAsiaTheme="majorEastAsia" w:hAnsiTheme="majorEastAsia"/>
          <w:bCs/>
          <w:sz w:val="18"/>
          <w:szCs w:val="18"/>
        </w:rPr>
        <w:t>3）</w:t>
      </w:r>
      <w:r>
        <w:rPr>
          <w:rFonts w:asciiTheme="majorEastAsia" w:eastAsiaTheme="majorEastAsia" w:hAnsiTheme="majorEastAsia" w:hint="eastAsia"/>
          <w:bCs/>
          <w:sz w:val="18"/>
          <w:szCs w:val="18"/>
        </w:rPr>
        <w:t>因投资者理财资金被有权机关扣划等原因导致理财产品剩余资产无法满足相关法律法规规定、所投资市场要求或协议等相关法律文件约定，或者继续存续无法实现投资目标。</w:t>
      </w:r>
    </w:p>
    <w:p w:rsidR="00E039EF" w:rsidRDefault="003F2D22">
      <w:pPr>
        <w:spacing w:line="360" w:lineRule="auto"/>
        <w:ind w:firstLineChars="200" w:firstLine="360"/>
        <w:rPr>
          <w:rFonts w:asciiTheme="majorEastAsia" w:eastAsiaTheme="majorEastAsia" w:hAnsiTheme="majorEastAsia"/>
          <w:bCs/>
          <w:sz w:val="18"/>
          <w:szCs w:val="18"/>
        </w:rPr>
      </w:pPr>
      <w:r>
        <w:rPr>
          <w:rFonts w:asciiTheme="majorEastAsia" w:eastAsiaTheme="majorEastAsia" w:hAnsiTheme="majorEastAsia" w:hint="eastAsia"/>
          <w:bCs/>
          <w:sz w:val="18"/>
          <w:szCs w:val="18"/>
        </w:rPr>
        <w:t>（</w:t>
      </w:r>
      <w:r>
        <w:rPr>
          <w:rFonts w:asciiTheme="majorEastAsia" w:eastAsiaTheme="majorEastAsia" w:hAnsiTheme="majorEastAsia"/>
          <w:bCs/>
          <w:sz w:val="18"/>
          <w:szCs w:val="18"/>
        </w:rPr>
        <w:t>4）</w:t>
      </w:r>
      <w:r>
        <w:rPr>
          <w:rFonts w:asciiTheme="majorEastAsia" w:eastAsiaTheme="majorEastAsia" w:hAnsiTheme="majorEastAsia" w:hint="eastAsia"/>
          <w:bCs/>
          <w:sz w:val="18"/>
          <w:szCs w:val="18"/>
        </w:rPr>
        <w:t>因相关投资管理机构解散、破产、撤销、被取消业务资格等原因无法继续履行相应职责导致产品无法继续运作。</w:t>
      </w:r>
    </w:p>
    <w:p w:rsidR="00E039EF" w:rsidRDefault="003F2D22">
      <w:pPr>
        <w:spacing w:line="360" w:lineRule="auto"/>
        <w:ind w:firstLineChars="200" w:firstLine="360"/>
        <w:rPr>
          <w:rFonts w:asciiTheme="majorEastAsia" w:eastAsiaTheme="majorEastAsia" w:hAnsiTheme="majorEastAsia"/>
          <w:bCs/>
          <w:sz w:val="18"/>
          <w:szCs w:val="18"/>
        </w:rPr>
      </w:pPr>
      <w:r>
        <w:rPr>
          <w:rFonts w:asciiTheme="majorEastAsia" w:eastAsiaTheme="majorEastAsia" w:hAnsiTheme="majorEastAsia" w:hint="eastAsia"/>
          <w:bCs/>
          <w:sz w:val="18"/>
          <w:szCs w:val="18"/>
        </w:rPr>
        <w:t>（</w:t>
      </w:r>
      <w:r>
        <w:rPr>
          <w:rFonts w:asciiTheme="majorEastAsia" w:eastAsiaTheme="majorEastAsia" w:hAnsiTheme="majorEastAsia"/>
          <w:bCs/>
          <w:sz w:val="18"/>
          <w:szCs w:val="18"/>
        </w:rPr>
        <w:t>5）</w:t>
      </w:r>
      <w:r>
        <w:rPr>
          <w:rFonts w:asciiTheme="majorEastAsia" w:eastAsiaTheme="majorEastAsia" w:hAnsiTheme="majorEastAsia" w:hint="eastAsia"/>
          <w:bCs/>
          <w:sz w:val="18"/>
          <w:szCs w:val="18"/>
        </w:rPr>
        <w:t>相关投资管理机构或运用理财资金的第三方主体实施符合法律法规规定或协议等相关文件约定的行为导致理财产品被动提前终止。</w:t>
      </w:r>
    </w:p>
    <w:p w:rsidR="00E039EF" w:rsidRDefault="003F2D22">
      <w:pPr>
        <w:spacing w:line="360" w:lineRule="auto"/>
        <w:ind w:firstLineChars="200" w:firstLine="360"/>
        <w:rPr>
          <w:rFonts w:asciiTheme="majorEastAsia" w:eastAsiaTheme="majorEastAsia" w:hAnsiTheme="majorEastAsia"/>
          <w:bCs/>
          <w:sz w:val="18"/>
          <w:szCs w:val="18"/>
        </w:rPr>
      </w:pPr>
      <w:r>
        <w:rPr>
          <w:rFonts w:asciiTheme="majorEastAsia" w:eastAsiaTheme="majorEastAsia" w:hAnsiTheme="majorEastAsia" w:hint="eastAsia"/>
          <w:bCs/>
          <w:sz w:val="18"/>
          <w:szCs w:val="18"/>
        </w:rPr>
        <w:t>（</w:t>
      </w:r>
      <w:r>
        <w:rPr>
          <w:rFonts w:asciiTheme="majorEastAsia" w:eastAsiaTheme="majorEastAsia" w:hAnsiTheme="majorEastAsia"/>
          <w:bCs/>
          <w:sz w:val="18"/>
          <w:szCs w:val="18"/>
        </w:rPr>
        <w:t>6）</w:t>
      </w:r>
      <w:r>
        <w:rPr>
          <w:rFonts w:asciiTheme="majorEastAsia" w:eastAsiaTheme="majorEastAsia" w:hAnsiTheme="majorEastAsia" w:hint="eastAsia"/>
          <w:bCs/>
          <w:sz w:val="18"/>
          <w:szCs w:val="18"/>
        </w:rPr>
        <w:t>因法律法规、国家金融政策或监管规定变化，或紧急措施出台影响产品继续正常运作。</w:t>
      </w:r>
    </w:p>
    <w:p w:rsidR="00E039EF" w:rsidRDefault="003F2D22">
      <w:pPr>
        <w:spacing w:line="360" w:lineRule="auto"/>
        <w:ind w:firstLineChars="200" w:firstLine="360"/>
        <w:rPr>
          <w:rFonts w:asciiTheme="majorEastAsia" w:eastAsiaTheme="majorEastAsia" w:hAnsiTheme="majorEastAsia"/>
          <w:bCs/>
          <w:sz w:val="18"/>
          <w:szCs w:val="18"/>
        </w:rPr>
      </w:pPr>
      <w:r>
        <w:rPr>
          <w:rFonts w:asciiTheme="majorEastAsia" w:eastAsiaTheme="majorEastAsia" w:hAnsiTheme="majorEastAsia" w:hint="eastAsia"/>
          <w:bCs/>
          <w:sz w:val="18"/>
          <w:szCs w:val="18"/>
        </w:rPr>
        <w:t>（</w:t>
      </w:r>
      <w:r>
        <w:rPr>
          <w:rFonts w:asciiTheme="majorEastAsia" w:eastAsiaTheme="majorEastAsia" w:hAnsiTheme="majorEastAsia"/>
          <w:bCs/>
          <w:sz w:val="18"/>
          <w:szCs w:val="18"/>
        </w:rPr>
        <w:t>7）</w:t>
      </w:r>
      <w:r>
        <w:rPr>
          <w:rFonts w:ascii="宋体" w:hAnsi="宋体" w:hint="eastAsia"/>
          <w:bCs/>
          <w:sz w:val="18"/>
          <w:szCs w:val="18"/>
        </w:rPr>
        <w:t>所投资资产部分或全部提前偿付。</w:t>
      </w:r>
    </w:p>
    <w:p w:rsidR="00E039EF" w:rsidRDefault="003F2D22">
      <w:pPr>
        <w:spacing w:line="360" w:lineRule="auto"/>
        <w:ind w:firstLineChars="200" w:firstLine="360"/>
        <w:rPr>
          <w:rFonts w:asciiTheme="majorEastAsia" w:eastAsiaTheme="majorEastAsia" w:hAnsiTheme="majorEastAsia"/>
          <w:bCs/>
          <w:sz w:val="18"/>
          <w:szCs w:val="18"/>
        </w:rPr>
      </w:pPr>
      <w:r>
        <w:rPr>
          <w:rFonts w:asciiTheme="majorEastAsia" w:eastAsiaTheme="majorEastAsia" w:hAnsiTheme="majorEastAsia" w:hint="eastAsia"/>
          <w:bCs/>
          <w:sz w:val="18"/>
          <w:szCs w:val="18"/>
        </w:rPr>
        <w:t>（</w:t>
      </w:r>
      <w:r>
        <w:rPr>
          <w:rFonts w:asciiTheme="majorEastAsia" w:eastAsiaTheme="majorEastAsia" w:hAnsiTheme="majorEastAsia"/>
          <w:bCs/>
          <w:sz w:val="18"/>
          <w:szCs w:val="18"/>
        </w:rPr>
        <w:t>8）提前终止产品比维持产品运作更有利于保护产品持有人的</w:t>
      </w:r>
      <w:r>
        <w:rPr>
          <w:rFonts w:asciiTheme="majorEastAsia" w:eastAsiaTheme="majorEastAsia" w:hAnsiTheme="majorEastAsia" w:hint="eastAsia"/>
          <w:bCs/>
          <w:sz w:val="18"/>
          <w:szCs w:val="18"/>
        </w:rPr>
        <w:t>权益。</w:t>
      </w:r>
    </w:p>
    <w:p w:rsidR="00E039EF" w:rsidRDefault="003F2D22">
      <w:pPr>
        <w:spacing w:line="360" w:lineRule="auto"/>
        <w:ind w:firstLineChars="200" w:firstLine="360"/>
        <w:rPr>
          <w:rFonts w:asciiTheme="majorEastAsia" w:eastAsiaTheme="majorEastAsia" w:hAnsiTheme="majorEastAsia"/>
          <w:bCs/>
          <w:sz w:val="18"/>
          <w:szCs w:val="18"/>
        </w:rPr>
      </w:pPr>
      <w:r>
        <w:rPr>
          <w:rFonts w:asciiTheme="majorEastAsia" w:eastAsiaTheme="majorEastAsia" w:hAnsiTheme="majorEastAsia" w:hint="eastAsia"/>
          <w:bCs/>
          <w:sz w:val="18"/>
          <w:szCs w:val="18"/>
        </w:rPr>
        <w:t>（</w:t>
      </w:r>
      <w:r>
        <w:rPr>
          <w:rFonts w:asciiTheme="majorEastAsia" w:eastAsiaTheme="majorEastAsia" w:hAnsiTheme="majorEastAsia"/>
          <w:bCs/>
          <w:sz w:val="18"/>
          <w:szCs w:val="18"/>
        </w:rPr>
        <w:t>9）</w:t>
      </w:r>
      <w:r>
        <w:rPr>
          <w:rFonts w:asciiTheme="majorEastAsia" w:eastAsiaTheme="majorEastAsia" w:hAnsiTheme="majorEastAsia" w:hint="eastAsia"/>
          <w:bCs/>
          <w:sz w:val="18"/>
          <w:szCs w:val="18"/>
        </w:rPr>
        <w:t>法律法规规定、监管部门要求或本销售文件约定的其他情形。</w:t>
      </w:r>
    </w:p>
    <w:p w:rsidR="00E039EF" w:rsidRDefault="003F2D22">
      <w:pPr>
        <w:spacing w:line="360" w:lineRule="auto"/>
        <w:ind w:firstLineChars="200" w:firstLine="360"/>
        <w:rPr>
          <w:rFonts w:ascii="黑体" w:eastAsia="黑体" w:hAnsi="黑体"/>
          <w:bCs/>
          <w:sz w:val="18"/>
          <w:szCs w:val="18"/>
        </w:rPr>
      </w:pPr>
      <w:r>
        <w:rPr>
          <w:rFonts w:ascii="黑体" w:eastAsia="黑体" w:hAnsi="黑体"/>
          <w:bCs/>
          <w:sz w:val="18"/>
          <w:szCs w:val="18"/>
        </w:rPr>
        <w:t>2.</w:t>
      </w:r>
      <w:r>
        <w:rPr>
          <w:rFonts w:ascii="黑体" w:eastAsia="黑体" w:hAnsi="黑体" w:hint="eastAsia"/>
          <w:bCs/>
          <w:sz w:val="18"/>
          <w:szCs w:val="18"/>
        </w:rPr>
        <w:t>★延期</w:t>
      </w:r>
      <w:r>
        <w:rPr>
          <w:rFonts w:ascii="黑体" w:eastAsia="黑体" w:hAnsi="黑体"/>
          <w:bCs/>
          <w:sz w:val="18"/>
          <w:szCs w:val="18"/>
        </w:rPr>
        <w:t>终止</w:t>
      </w:r>
    </w:p>
    <w:p w:rsidR="00E039EF" w:rsidRDefault="003F2D22">
      <w:pPr>
        <w:spacing w:line="360" w:lineRule="auto"/>
        <w:ind w:firstLineChars="200" w:firstLine="360"/>
        <w:rPr>
          <w:rFonts w:ascii="黑体" w:eastAsia="黑体" w:hAnsi="黑体"/>
          <w:bCs/>
          <w:sz w:val="18"/>
          <w:szCs w:val="18"/>
        </w:rPr>
      </w:pPr>
      <w:r>
        <w:rPr>
          <w:rFonts w:ascii="黑体" w:eastAsia="黑体" w:hAnsi="黑体" w:hint="eastAsia"/>
          <w:bCs/>
          <w:sz w:val="18"/>
          <w:szCs w:val="18"/>
        </w:rPr>
        <w:t>出现以下情况，产品管理人有权延长本理财产品的</w:t>
      </w:r>
      <w:r>
        <w:rPr>
          <w:rFonts w:ascii="黑体" w:eastAsia="黑体" w:hAnsi="黑体"/>
          <w:bCs/>
          <w:sz w:val="18"/>
          <w:szCs w:val="18"/>
        </w:rPr>
        <w:t>终止</w:t>
      </w:r>
      <w:r>
        <w:rPr>
          <w:rFonts w:ascii="黑体" w:eastAsia="黑体" w:hAnsi="黑体" w:hint="eastAsia"/>
          <w:bCs/>
          <w:sz w:val="18"/>
          <w:szCs w:val="18"/>
        </w:rPr>
        <w:t>日：</w:t>
      </w:r>
      <w:r>
        <w:rPr>
          <w:rFonts w:ascii="黑体" w:eastAsia="黑体" w:hAnsi="黑体"/>
          <w:bCs/>
          <w:sz w:val="18"/>
          <w:szCs w:val="18"/>
        </w:rPr>
        <w:t xml:space="preserve"> </w:t>
      </w:r>
    </w:p>
    <w:p w:rsidR="00E039EF" w:rsidRDefault="003F2D22">
      <w:pPr>
        <w:spacing w:line="360" w:lineRule="auto"/>
        <w:ind w:firstLineChars="200" w:firstLine="360"/>
        <w:rPr>
          <w:rFonts w:ascii="黑体" w:eastAsia="黑体" w:hAnsi="黑体"/>
          <w:bCs/>
          <w:sz w:val="18"/>
          <w:szCs w:val="18"/>
        </w:rPr>
      </w:pPr>
      <w:r>
        <w:rPr>
          <w:rFonts w:ascii="黑体" w:eastAsia="黑体" w:hAnsi="黑体" w:hint="eastAsia"/>
          <w:bCs/>
          <w:sz w:val="18"/>
          <w:szCs w:val="18"/>
        </w:rPr>
        <w:t>（</w:t>
      </w:r>
      <w:r>
        <w:rPr>
          <w:rFonts w:ascii="黑体" w:eastAsia="黑体" w:hAnsi="黑体"/>
          <w:bCs/>
          <w:sz w:val="18"/>
          <w:szCs w:val="18"/>
        </w:rPr>
        <w:t>1）</w:t>
      </w:r>
      <w:r>
        <w:rPr>
          <w:rFonts w:ascii="黑体" w:eastAsia="黑体" w:hAnsi="黑体" w:hint="eastAsia"/>
          <w:bCs/>
          <w:sz w:val="18"/>
          <w:szCs w:val="18"/>
        </w:rPr>
        <w:t>因市场成交量不足、资产限制赎回、暂停交易、缺乏意愿交易对手、交易对手违约等原因，导致产品项下对应的投资标的无法及时变现；</w:t>
      </w:r>
      <w:r>
        <w:rPr>
          <w:rFonts w:ascii="黑体" w:eastAsia="黑体" w:hAnsi="黑体"/>
          <w:bCs/>
          <w:sz w:val="18"/>
          <w:szCs w:val="18"/>
        </w:rPr>
        <w:t xml:space="preserve"> </w:t>
      </w:r>
    </w:p>
    <w:p w:rsidR="00E039EF" w:rsidRDefault="003F2D22">
      <w:pPr>
        <w:spacing w:line="360" w:lineRule="auto"/>
        <w:ind w:firstLineChars="200" w:firstLine="360"/>
        <w:rPr>
          <w:rFonts w:ascii="黑体" w:eastAsia="黑体" w:hAnsi="黑体"/>
          <w:bCs/>
          <w:sz w:val="18"/>
          <w:szCs w:val="18"/>
        </w:rPr>
      </w:pPr>
      <w:r>
        <w:rPr>
          <w:rFonts w:ascii="黑体" w:eastAsia="黑体" w:hAnsi="黑体" w:hint="eastAsia"/>
          <w:bCs/>
          <w:sz w:val="18"/>
          <w:szCs w:val="18"/>
        </w:rPr>
        <w:t>（</w:t>
      </w:r>
      <w:r>
        <w:rPr>
          <w:rFonts w:ascii="黑体" w:eastAsia="黑体" w:hAnsi="黑体"/>
          <w:bCs/>
          <w:sz w:val="18"/>
          <w:szCs w:val="18"/>
        </w:rPr>
        <w:t>2）</w:t>
      </w:r>
      <w:r>
        <w:rPr>
          <w:rFonts w:ascii="黑体" w:eastAsia="黑体" w:hAnsi="黑体" w:hint="eastAsia"/>
          <w:bCs/>
          <w:sz w:val="18"/>
          <w:szCs w:val="18"/>
        </w:rPr>
        <w:t>因资金在途等原因，导致未能及时收回资金；</w:t>
      </w:r>
      <w:r>
        <w:rPr>
          <w:rFonts w:ascii="黑体" w:eastAsia="黑体" w:hAnsi="黑体"/>
          <w:bCs/>
          <w:sz w:val="18"/>
          <w:szCs w:val="18"/>
        </w:rPr>
        <w:t xml:space="preserve"> </w:t>
      </w:r>
    </w:p>
    <w:p w:rsidR="00E039EF" w:rsidRDefault="003F2D22">
      <w:pPr>
        <w:spacing w:line="360" w:lineRule="auto"/>
        <w:ind w:firstLineChars="200" w:firstLine="360"/>
        <w:rPr>
          <w:rFonts w:ascii="黑体" w:eastAsia="黑体" w:hAnsi="黑体"/>
          <w:bCs/>
          <w:sz w:val="18"/>
          <w:szCs w:val="18"/>
        </w:rPr>
      </w:pPr>
      <w:r>
        <w:rPr>
          <w:rFonts w:ascii="黑体" w:eastAsia="黑体" w:hAnsi="黑体" w:hint="eastAsia"/>
          <w:bCs/>
          <w:sz w:val="18"/>
          <w:szCs w:val="18"/>
        </w:rPr>
        <w:t>（</w:t>
      </w:r>
      <w:r>
        <w:rPr>
          <w:rFonts w:ascii="黑体" w:eastAsia="黑体" w:hAnsi="黑体"/>
          <w:bCs/>
          <w:sz w:val="18"/>
          <w:szCs w:val="18"/>
        </w:rPr>
        <w:t>3）</w:t>
      </w:r>
      <w:r>
        <w:rPr>
          <w:rFonts w:ascii="黑体" w:eastAsia="黑体" w:hAnsi="黑体" w:hint="eastAsia"/>
          <w:bCs/>
          <w:sz w:val="18"/>
          <w:szCs w:val="18"/>
        </w:rPr>
        <w:t>因不可抗力等原因，导致产品管理人无法分配；</w:t>
      </w:r>
      <w:r>
        <w:rPr>
          <w:rFonts w:ascii="黑体" w:eastAsia="黑体" w:hAnsi="黑体"/>
          <w:bCs/>
          <w:sz w:val="18"/>
          <w:szCs w:val="18"/>
        </w:rPr>
        <w:t xml:space="preserve"> </w:t>
      </w:r>
    </w:p>
    <w:p w:rsidR="00E039EF" w:rsidRDefault="003F2D22">
      <w:pPr>
        <w:spacing w:line="360" w:lineRule="auto"/>
        <w:ind w:firstLineChars="200" w:firstLine="360"/>
        <w:rPr>
          <w:rFonts w:ascii="黑体" w:eastAsia="黑体" w:hAnsi="黑体"/>
          <w:bCs/>
          <w:sz w:val="18"/>
          <w:szCs w:val="18"/>
        </w:rPr>
      </w:pPr>
      <w:r>
        <w:rPr>
          <w:rFonts w:ascii="黑体" w:eastAsia="黑体" w:hAnsi="黑体" w:hint="eastAsia"/>
          <w:bCs/>
          <w:sz w:val="18"/>
          <w:szCs w:val="18"/>
        </w:rPr>
        <w:t>（</w:t>
      </w:r>
      <w:r>
        <w:rPr>
          <w:rFonts w:ascii="黑体" w:eastAsia="黑体" w:hAnsi="黑体"/>
          <w:bCs/>
          <w:sz w:val="18"/>
          <w:szCs w:val="18"/>
        </w:rPr>
        <w:t>4）</w:t>
      </w:r>
      <w:r>
        <w:rPr>
          <w:rFonts w:ascii="黑体" w:eastAsia="黑体" w:hAnsi="黑体" w:hint="eastAsia"/>
          <w:bCs/>
          <w:sz w:val="18"/>
          <w:szCs w:val="18"/>
        </w:rPr>
        <w:t>其他产品管理人认为需要延期终止的情形。</w:t>
      </w:r>
      <w:r>
        <w:rPr>
          <w:rFonts w:ascii="黑体" w:eastAsia="黑体" w:hAnsi="黑体"/>
          <w:bCs/>
          <w:sz w:val="18"/>
          <w:szCs w:val="18"/>
        </w:rPr>
        <w:t xml:space="preserve"> </w:t>
      </w:r>
    </w:p>
    <w:p w:rsidR="00E039EF" w:rsidRDefault="003F2D22">
      <w:pPr>
        <w:spacing w:line="360" w:lineRule="auto"/>
        <w:ind w:firstLineChars="200" w:firstLine="360"/>
        <w:rPr>
          <w:rFonts w:ascii="黑体" w:eastAsia="黑体" w:hAnsi="黑体"/>
          <w:bCs/>
          <w:sz w:val="18"/>
          <w:szCs w:val="18"/>
        </w:rPr>
      </w:pPr>
      <w:r>
        <w:rPr>
          <w:rFonts w:ascii="黑体" w:eastAsia="黑体" w:hAnsi="黑体" w:hint="eastAsia"/>
          <w:bCs/>
          <w:sz w:val="18"/>
          <w:szCs w:val="18"/>
        </w:rPr>
        <w:t>产品管理人决定延期</w:t>
      </w:r>
      <w:r>
        <w:rPr>
          <w:rFonts w:ascii="黑体" w:eastAsia="黑体" w:hAnsi="黑体"/>
          <w:bCs/>
          <w:sz w:val="18"/>
          <w:szCs w:val="18"/>
        </w:rPr>
        <w:t>终止</w:t>
      </w:r>
      <w:r>
        <w:rPr>
          <w:rFonts w:ascii="黑体" w:eastAsia="黑体" w:hAnsi="黑体" w:hint="eastAsia"/>
          <w:bCs/>
          <w:sz w:val="18"/>
          <w:szCs w:val="18"/>
        </w:rPr>
        <w:t>的，应依据约定进行公告。</w:t>
      </w:r>
      <w:r>
        <w:rPr>
          <w:rFonts w:ascii="黑体" w:eastAsia="黑体" w:hAnsi="黑体"/>
          <w:bCs/>
          <w:sz w:val="18"/>
          <w:szCs w:val="18"/>
        </w:rPr>
        <w:t xml:space="preserve"> </w:t>
      </w:r>
    </w:p>
    <w:p w:rsidR="00E039EF" w:rsidRDefault="003F2D22">
      <w:pPr>
        <w:spacing w:line="360" w:lineRule="auto"/>
        <w:ind w:firstLineChars="200" w:firstLine="361"/>
        <w:rPr>
          <w:rFonts w:asciiTheme="majorEastAsia" w:eastAsiaTheme="majorEastAsia" w:hAnsiTheme="majorEastAsia"/>
          <w:b/>
          <w:bCs/>
          <w:sz w:val="18"/>
          <w:szCs w:val="18"/>
        </w:rPr>
      </w:pPr>
      <w:r>
        <w:rPr>
          <w:rFonts w:asciiTheme="majorEastAsia" w:eastAsiaTheme="majorEastAsia" w:hAnsiTheme="majorEastAsia" w:hint="eastAsia"/>
          <w:b/>
          <w:bCs/>
          <w:sz w:val="18"/>
          <w:szCs w:val="18"/>
        </w:rPr>
        <w:t>（二）理财产品的清算</w:t>
      </w:r>
    </w:p>
    <w:p w:rsidR="00E039EF" w:rsidRDefault="003F2D22">
      <w:pPr>
        <w:spacing w:line="360" w:lineRule="auto"/>
        <w:ind w:firstLineChars="200" w:firstLine="360"/>
        <w:rPr>
          <w:rFonts w:asciiTheme="majorEastAsia" w:eastAsiaTheme="majorEastAsia" w:hAnsiTheme="majorEastAsia"/>
          <w:bCs/>
          <w:sz w:val="18"/>
          <w:szCs w:val="18"/>
        </w:rPr>
      </w:pPr>
      <w:r>
        <w:rPr>
          <w:rFonts w:asciiTheme="majorEastAsia" w:eastAsiaTheme="majorEastAsia" w:hAnsiTheme="majorEastAsia"/>
          <w:bCs/>
          <w:sz w:val="18"/>
          <w:szCs w:val="18"/>
        </w:rPr>
        <w:t>1.</w:t>
      </w:r>
      <w:r>
        <w:rPr>
          <w:rFonts w:asciiTheme="majorEastAsia" w:eastAsiaTheme="majorEastAsia" w:hAnsiTheme="majorEastAsia" w:hint="eastAsia"/>
          <w:bCs/>
          <w:sz w:val="18"/>
          <w:szCs w:val="18"/>
        </w:rPr>
        <w:t>理财产品到期日为理财产品终止日（含提前终止或延期终止）。产品到期后，理财产品终止运作，进入清算期，清算期不计算投资收益。理财资产清算后扣除理财相关费用、缴纳所欠税款并清偿理财产品</w:t>
      </w:r>
      <w:r>
        <w:rPr>
          <w:rFonts w:asciiTheme="majorEastAsia" w:eastAsiaTheme="majorEastAsia" w:hAnsiTheme="majorEastAsia" w:hint="eastAsia"/>
          <w:bCs/>
          <w:sz w:val="18"/>
          <w:szCs w:val="18"/>
        </w:rPr>
        <w:lastRenderedPageBreak/>
        <w:t>负债后，理财利益按投资者持有的理财产品份额比例进行分配。清算期原则上不得超过【</w:t>
      </w:r>
      <w:r>
        <w:rPr>
          <w:rFonts w:asciiTheme="majorEastAsia" w:eastAsiaTheme="majorEastAsia" w:hAnsiTheme="majorEastAsia"/>
          <w:bCs/>
          <w:sz w:val="18"/>
          <w:szCs w:val="18"/>
        </w:rPr>
        <w:t>5</w:t>
      </w:r>
      <w:r>
        <w:rPr>
          <w:rFonts w:asciiTheme="majorEastAsia" w:eastAsiaTheme="majorEastAsia" w:hAnsiTheme="majorEastAsia" w:hint="eastAsia"/>
          <w:bCs/>
          <w:sz w:val="18"/>
          <w:szCs w:val="18"/>
        </w:rPr>
        <w:t>】个工作日，清算期超过【</w:t>
      </w:r>
      <w:r>
        <w:rPr>
          <w:rFonts w:asciiTheme="majorEastAsia" w:eastAsiaTheme="majorEastAsia" w:hAnsiTheme="majorEastAsia"/>
          <w:bCs/>
          <w:sz w:val="18"/>
          <w:szCs w:val="18"/>
        </w:rPr>
        <w:t>5</w:t>
      </w:r>
      <w:r>
        <w:rPr>
          <w:rFonts w:asciiTheme="majorEastAsia" w:eastAsiaTheme="majorEastAsia" w:hAnsiTheme="majorEastAsia" w:hint="eastAsia"/>
          <w:bCs/>
          <w:sz w:val="18"/>
          <w:szCs w:val="18"/>
        </w:rPr>
        <w:t>】个工作日的，</w:t>
      </w:r>
      <w:r>
        <w:rPr>
          <w:rFonts w:asciiTheme="majorEastAsia" w:eastAsiaTheme="majorEastAsia" w:hAnsiTheme="majorEastAsia"/>
          <w:bCs/>
          <w:sz w:val="18"/>
          <w:szCs w:val="18"/>
        </w:rPr>
        <w:t>将依约</w:t>
      </w:r>
      <w:r>
        <w:rPr>
          <w:rFonts w:asciiTheme="majorEastAsia" w:eastAsiaTheme="majorEastAsia" w:hAnsiTheme="majorEastAsia" w:hint="eastAsia"/>
          <w:bCs/>
          <w:sz w:val="18"/>
          <w:szCs w:val="18"/>
        </w:rPr>
        <w:t>定进行公告。</w:t>
      </w:r>
      <w:r>
        <w:rPr>
          <w:rFonts w:asciiTheme="majorEastAsia" w:eastAsiaTheme="majorEastAsia" w:hAnsiTheme="majorEastAsia"/>
          <w:bCs/>
          <w:sz w:val="18"/>
          <w:szCs w:val="18"/>
        </w:rPr>
        <w:t xml:space="preserve"> </w:t>
      </w:r>
    </w:p>
    <w:p w:rsidR="00E039EF" w:rsidRDefault="003F2D22">
      <w:pPr>
        <w:spacing w:line="360" w:lineRule="auto"/>
        <w:ind w:firstLineChars="200" w:firstLine="360"/>
        <w:rPr>
          <w:rFonts w:asciiTheme="majorEastAsia" w:eastAsiaTheme="majorEastAsia" w:hAnsiTheme="majorEastAsia"/>
          <w:bCs/>
          <w:sz w:val="18"/>
          <w:szCs w:val="18"/>
        </w:rPr>
      </w:pPr>
      <w:r>
        <w:rPr>
          <w:rFonts w:asciiTheme="majorEastAsia" w:eastAsiaTheme="majorEastAsia" w:hAnsiTheme="majorEastAsia"/>
          <w:bCs/>
          <w:sz w:val="18"/>
          <w:szCs w:val="18"/>
        </w:rPr>
        <w:t>2.</w:t>
      </w:r>
      <w:r>
        <w:rPr>
          <w:rFonts w:asciiTheme="majorEastAsia" w:eastAsiaTheme="majorEastAsia" w:hAnsiTheme="majorEastAsia" w:hint="eastAsia"/>
          <w:bCs/>
          <w:sz w:val="18"/>
          <w:szCs w:val="18"/>
        </w:rPr>
        <w:t>产品管理人决定部分提前终止理财产品的，按以下约定处理：</w:t>
      </w:r>
    </w:p>
    <w:p w:rsidR="00E039EF" w:rsidRDefault="003F2D22">
      <w:pPr>
        <w:spacing w:line="360" w:lineRule="auto"/>
        <w:ind w:firstLineChars="200" w:firstLine="360"/>
        <w:rPr>
          <w:rFonts w:asciiTheme="majorEastAsia" w:eastAsiaTheme="majorEastAsia" w:hAnsiTheme="majorEastAsia"/>
          <w:bCs/>
          <w:sz w:val="18"/>
          <w:szCs w:val="18"/>
        </w:rPr>
      </w:pPr>
      <w:r>
        <w:rPr>
          <w:rFonts w:asciiTheme="majorEastAsia" w:eastAsiaTheme="majorEastAsia" w:hAnsiTheme="majorEastAsia" w:hint="eastAsia"/>
          <w:bCs/>
          <w:sz w:val="18"/>
          <w:szCs w:val="18"/>
        </w:rPr>
        <w:t>（</w:t>
      </w:r>
      <w:r>
        <w:rPr>
          <w:rFonts w:asciiTheme="majorEastAsia" w:eastAsiaTheme="majorEastAsia" w:hAnsiTheme="majorEastAsia"/>
          <w:bCs/>
          <w:sz w:val="18"/>
          <w:szCs w:val="18"/>
        </w:rPr>
        <w:t>1）</w:t>
      </w:r>
      <w:r>
        <w:rPr>
          <w:rFonts w:asciiTheme="majorEastAsia" w:eastAsiaTheme="majorEastAsia" w:hAnsiTheme="majorEastAsia" w:hint="eastAsia"/>
          <w:bCs/>
          <w:sz w:val="18"/>
          <w:szCs w:val="18"/>
        </w:rPr>
        <w:t>部分提前终止的比例：理财产品将按比例（已变现资产</w:t>
      </w:r>
      <w:r>
        <w:rPr>
          <w:rFonts w:asciiTheme="majorEastAsia" w:eastAsiaTheme="majorEastAsia" w:hAnsiTheme="majorEastAsia"/>
          <w:bCs/>
          <w:sz w:val="18"/>
          <w:szCs w:val="18"/>
        </w:rPr>
        <w:t>/理财产品净资产）</w:t>
      </w:r>
      <w:r>
        <w:rPr>
          <w:rFonts w:asciiTheme="majorEastAsia" w:eastAsiaTheme="majorEastAsia" w:hAnsiTheme="majorEastAsia" w:hint="eastAsia"/>
          <w:bCs/>
          <w:sz w:val="18"/>
          <w:szCs w:val="18"/>
        </w:rPr>
        <w:t>部分提前终止，同时根据产品最新的理财产品份额净值和份额计算并支付投资者相应的理财利益，投资者所持有的理财份额则按比例注销。</w:t>
      </w:r>
    </w:p>
    <w:p w:rsidR="00E039EF" w:rsidRDefault="003F2D22">
      <w:pPr>
        <w:spacing w:line="360" w:lineRule="auto"/>
        <w:ind w:firstLineChars="200" w:firstLine="360"/>
        <w:rPr>
          <w:rFonts w:asciiTheme="majorEastAsia" w:eastAsiaTheme="majorEastAsia" w:hAnsiTheme="majorEastAsia"/>
          <w:bCs/>
          <w:sz w:val="18"/>
          <w:szCs w:val="18"/>
        </w:rPr>
      </w:pPr>
      <w:r>
        <w:rPr>
          <w:rFonts w:asciiTheme="majorEastAsia" w:eastAsiaTheme="majorEastAsia" w:hAnsiTheme="majorEastAsia" w:hint="eastAsia"/>
          <w:bCs/>
          <w:sz w:val="18"/>
          <w:szCs w:val="18"/>
        </w:rPr>
        <w:t>（</w:t>
      </w:r>
      <w:r>
        <w:rPr>
          <w:rFonts w:asciiTheme="majorEastAsia" w:eastAsiaTheme="majorEastAsia" w:hAnsiTheme="majorEastAsia"/>
          <w:bCs/>
          <w:sz w:val="18"/>
          <w:szCs w:val="18"/>
        </w:rPr>
        <w:t>2）</w:t>
      </w:r>
      <w:r>
        <w:rPr>
          <w:rFonts w:asciiTheme="majorEastAsia" w:eastAsiaTheme="majorEastAsia" w:hAnsiTheme="majorEastAsia" w:hint="eastAsia"/>
          <w:bCs/>
          <w:sz w:val="18"/>
          <w:szCs w:val="18"/>
        </w:rPr>
        <w:t>部分提前终止的利益分配：产品管理人将依照销售文件公布部分提前终止日并指定利益分配日（一般为部分提前终止日之后的【</w:t>
      </w:r>
      <w:r>
        <w:rPr>
          <w:rFonts w:asciiTheme="majorEastAsia" w:eastAsiaTheme="majorEastAsia" w:hAnsiTheme="majorEastAsia"/>
          <w:bCs/>
          <w:sz w:val="18"/>
          <w:szCs w:val="18"/>
        </w:rPr>
        <w:t>5</w:t>
      </w:r>
      <w:r>
        <w:rPr>
          <w:rFonts w:asciiTheme="majorEastAsia" w:eastAsiaTheme="majorEastAsia" w:hAnsiTheme="majorEastAsia" w:hint="eastAsia"/>
          <w:bCs/>
          <w:sz w:val="18"/>
          <w:szCs w:val="18"/>
        </w:rPr>
        <w:t>】个工作日以内）。产品管理人应将理财利益于指定的利益分配</w:t>
      </w:r>
      <w:r>
        <w:rPr>
          <w:rFonts w:asciiTheme="majorEastAsia" w:eastAsiaTheme="majorEastAsia" w:hAnsiTheme="majorEastAsia"/>
          <w:bCs/>
          <w:sz w:val="18"/>
          <w:szCs w:val="18"/>
        </w:rPr>
        <w:t>日</w:t>
      </w:r>
      <w:r>
        <w:rPr>
          <w:rFonts w:asciiTheme="majorEastAsia" w:eastAsiaTheme="majorEastAsia" w:hAnsiTheme="majorEastAsia" w:hint="eastAsia"/>
          <w:bCs/>
          <w:sz w:val="18"/>
          <w:szCs w:val="18"/>
        </w:rPr>
        <w:t>（遇节假日顺延）向投资者分配。</w:t>
      </w:r>
    </w:p>
    <w:p w:rsidR="00E039EF" w:rsidRDefault="003F2D22">
      <w:pPr>
        <w:spacing w:line="360" w:lineRule="auto"/>
        <w:ind w:firstLineChars="200" w:firstLine="360"/>
        <w:rPr>
          <w:rFonts w:asciiTheme="majorEastAsia" w:eastAsiaTheme="majorEastAsia" w:hAnsiTheme="majorEastAsia"/>
          <w:bCs/>
          <w:sz w:val="18"/>
          <w:szCs w:val="18"/>
        </w:rPr>
      </w:pPr>
      <w:r>
        <w:rPr>
          <w:rFonts w:asciiTheme="majorEastAsia" w:eastAsiaTheme="majorEastAsia" w:hAnsiTheme="majorEastAsia" w:hint="eastAsia"/>
          <w:bCs/>
          <w:sz w:val="18"/>
          <w:szCs w:val="18"/>
        </w:rPr>
        <w:t>理财产品部分提前终止日（含当日）至理财</w:t>
      </w:r>
      <w:r>
        <w:rPr>
          <w:rFonts w:asciiTheme="majorEastAsia" w:eastAsiaTheme="majorEastAsia" w:hAnsiTheme="majorEastAsia"/>
          <w:bCs/>
          <w:sz w:val="18"/>
          <w:szCs w:val="18"/>
        </w:rPr>
        <w:t>利益</w:t>
      </w:r>
      <w:r>
        <w:rPr>
          <w:rFonts w:asciiTheme="majorEastAsia" w:eastAsiaTheme="majorEastAsia" w:hAnsiTheme="majorEastAsia" w:hint="eastAsia"/>
          <w:bCs/>
          <w:sz w:val="18"/>
          <w:szCs w:val="18"/>
        </w:rPr>
        <w:t>实际到账日之间，理财资金不计算</w:t>
      </w:r>
      <w:r>
        <w:rPr>
          <w:rFonts w:asciiTheme="majorEastAsia" w:eastAsiaTheme="majorEastAsia" w:hAnsiTheme="majorEastAsia"/>
          <w:bCs/>
          <w:sz w:val="18"/>
          <w:szCs w:val="18"/>
        </w:rPr>
        <w:t>收益</w:t>
      </w:r>
      <w:r>
        <w:rPr>
          <w:rFonts w:asciiTheme="majorEastAsia" w:eastAsiaTheme="majorEastAsia" w:hAnsiTheme="majorEastAsia" w:hint="eastAsia"/>
          <w:bCs/>
          <w:sz w:val="18"/>
          <w:szCs w:val="18"/>
        </w:rPr>
        <w:t>。</w:t>
      </w:r>
    </w:p>
    <w:p w:rsidR="00E039EF" w:rsidRDefault="003F2D22">
      <w:pPr>
        <w:spacing w:line="360" w:lineRule="auto"/>
        <w:ind w:firstLineChars="200" w:firstLine="360"/>
        <w:rPr>
          <w:rFonts w:asciiTheme="majorEastAsia" w:eastAsiaTheme="majorEastAsia" w:hAnsiTheme="majorEastAsia"/>
          <w:bCs/>
          <w:sz w:val="18"/>
          <w:szCs w:val="18"/>
        </w:rPr>
      </w:pPr>
      <w:r>
        <w:rPr>
          <w:rFonts w:asciiTheme="majorEastAsia" w:eastAsiaTheme="majorEastAsia" w:hAnsiTheme="majorEastAsia"/>
          <w:bCs/>
          <w:sz w:val="18"/>
          <w:szCs w:val="18"/>
        </w:rPr>
        <w:t>3.理财</w:t>
      </w:r>
      <w:r>
        <w:rPr>
          <w:rFonts w:asciiTheme="majorEastAsia" w:eastAsiaTheme="majorEastAsia" w:hAnsiTheme="majorEastAsia" w:hint="eastAsia"/>
          <w:bCs/>
          <w:sz w:val="18"/>
          <w:szCs w:val="18"/>
        </w:rPr>
        <w:t>产品到期日产品管理人按照《产品说明书》“第十条 理财产品的终止与清算”中延期终止的事项延长本理财产品终止日的，产品管理人应在原产品到期日后【5】个工作日内将已变现资产按投资者持有理财产品份额比例分配。理财产品终止日相应顺延至理财产品全部资产变现之日。待全部资产变现后，产品管理人依照清算条款分配理财利益至投资者账户。</w:t>
      </w:r>
    </w:p>
    <w:bookmarkEnd w:id="131"/>
    <w:bookmarkEnd w:id="132"/>
    <w:bookmarkEnd w:id="133"/>
    <w:p w:rsidR="00E039EF" w:rsidRDefault="003F2D22">
      <w:pPr>
        <w:pStyle w:val="1"/>
        <w:spacing w:before="0" w:after="0" w:line="360" w:lineRule="auto"/>
        <w:jc w:val="center"/>
        <w:rPr>
          <w:rFonts w:ascii="Times New Roman"/>
          <w:sz w:val="30"/>
        </w:rPr>
      </w:pPr>
      <w:r>
        <w:rPr>
          <w:rFonts w:ascii="Times New Roman"/>
          <w:b w:val="0"/>
          <w:bCs w:val="0"/>
          <w:kern w:val="2"/>
        </w:rPr>
        <w:br w:type="page"/>
      </w:r>
      <w:bookmarkStart w:id="134" w:name="_Toc123112238"/>
      <w:bookmarkStart w:id="135" w:name="_Toc17198"/>
      <w:bookmarkStart w:id="136" w:name="_Toc74065747"/>
      <w:bookmarkStart w:id="137" w:name="_Toc116649659"/>
      <w:bookmarkStart w:id="138" w:name="_Toc29408"/>
      <w:bookmarkStart w:id="139" w:name="_Toc141703890"/>
      <w:bookmarkStart w:id="140" w:name="_Toc98560356"/>
      <w:bookmarkStart w:id="141" w:name="_Toc8791"/>
      <w:bookmarkStart w:id="142" w:name="_Toc139991740"/>
      <w:bookmarkStart w:id="143" w:name="_Toc739"/>
      <w:bookmarkStart w:id="144" w:name="_Toc21237"/>
      <w:bookmarkStart w:id="145" w:name="_Toc123102457"/>
      <w:bookmarkStart w:id="146" w:name="_Toc17920"/>
      <w:bookmarkStart w:id="147" w:name="_Toc32584"/>
      <w:bookmarkStart w:id="148" w:name="_Toc32092"/>
      <w:bookmarkStart w:id="149" w:name="_Toc5170"/>
      <w:bookmarkStart w:id="150" w:name="_Toc79392622"/>
      <w:bookmarkStart w:id="151" w:name="_Toc3329"/>
      <w:bookmarkStart w:id="152" w:name="_Toc123051456"/>
      <w:bookmarkStart w:id="153" w:name="_Toc79154674"/>
      <w:bookmarkStart w:id="154" w:name="_Toc48649708"/>
      <w:r>
        <w:rPr>
          <w:rFonts w:ascii="Times New Roman"/>
          <w:sz w:val="30"/>
        </w:rPr>
        <w:lastRenderedPageBreak/>
        <w:t>第十一</w:t>
      </w:r>
      <w:r>
        <w:rPr>
          <w:rFonts w:ascii="Times New Roman" w:hint="eastAsia"/>
          <w:sz w:val="30"/>
        </w:rPr>
        <w:t>条</w:t>
      </w:r>
      <w:r>
        <w:rPr>
          <w:rFonts w:ascii="Times New Roman"/>
          <w:sz w:val="30"/>
        </w:rPr>
        <w:t xml:space="preserve">  </w:t>
      </w:r>
      <w:r>
        <w:rPr>
          <w:rFonts w:ascii="Times New Roman" w:hint="eastAsia"/>
          <w:sz w:val="30"/>
        </w:rPr>
        <w:t>理财产品的信息披露</w:t>
      </w:r>
      <w:bookmarkEnd w:id="134"/>
      <w:bookmarkEnd w:id="135"/>
      <w:bookmarkEnd w:id="136"/>
      <w:bookmarkEnd w:id="137"/>
      <w:bookmarkEnd w:id="138"/>
      <w:bookmarkEnd w:id="139"/>
      <w:bookmarkEnd w:id="140"/>
      <w:bookmarkEnd w:id="141"/>
      <w:bookmarkEnd w:id="142"/>
      <w:bookmarkEnd w:id="143"/>
      <w:bookmarkEnd w:id="144"/>
      <w:bookmarkEnd w:id="145"/>
      <w:bookmarkEnd w:id="146"/>
      <w:bookmarkEnd w:id="147"/>
      <w:bookmarkEnd w:id="148"/>
      <w:bookmarkEnd w:id="149"/>
      <w:bookmarkEnd w:id="150"/>
      <w:bookmarkEnd w:id="151"/>
      <w:bookmarkEnd w:id="152"/>
      <w:bookmarkEnd w:id="153"/>
      <w:bookmarkEnd w:id="154"/>
    </w:p>
    <w:p w:rsidR="00E039EF" w:rsidRDefault="003F2D22">
      <w:pPr>
        <w:spacing w:line="360" w:lineRule="auto"/>
        <w:ind w:firstLine="361"/>
        <w:rPr>
          <w:rFonts w:ascii="宋体" w:hAnsi="宋体"/>
          <w:b/>
          <w:bCs/>
          <w:sz w:val="18"/>
          <w:szCs w:val="18"/>
        </w:rPr>
      </w:pPr>
      <w:r>
        <w:rPr>
          <w:rFonts w:ascii="宋体" w:hAnsi="宋体" w:hint="eastAsia"/>
          <w:b/>
          <w:bCs/>
          <w:sz w:val="18"/>
          <w:szCs w:val="18"/>
        </w:rPr>
        <w:t>（一）信息</w:t>
      </w:r>
      <w:r>
        <w:rPr>
          <w:rFonts w:ascii="宋体" w:hAnsi="宋体"/>
          <w:b/>
          <w:bCs/>
          <w:sz w:val="18"/>
          <w:szCs w:val="18"/>
        </w:rPr>
        <w:t>披露的原则</w:t>
      </w:r>
    </w:p>
    <w:p w:rsidR="00E039EF" w:rsidRDefault="003F2D22">
      <w:pPr>
        <w:spacing w:line="360" w:lineRule="auto"/>
        <w:ind w:firstLine="360"/>
        <w:rPr>
          <w:rFonts w:ascii="宋体" w:hAnsi="宋体"/>
          <w:b/>
          <w:bCs/>
          <w:sz w:val="18"/>
          <w:szCs w:val="18"/>
        </w:rPr>
      </w:pPr>
      <w:r>
        <w:rPr>
          <w:rFonts w:ascii="宋体" w:hAnsi="宋体" w:hint="eastAsia"/>
          <w:bCs/>
          <w:sz w:val="18"/>
          <w:szCs w:val="18"/>
        </w:rPr>
        <w:t>产品管理人</w:t>
      </w:r>
      <w:r>
        <w:rPr>
          <w:rFonts w:ascii="宋体" w:hAnsi="宋体"/>
          <w:bCs/>
          <w:sz w:val="18"/>
          <w:szCs w:val="18"/>
        </w:rPr>
        <w:t>遵循真实性、准确性、完整性和及时性原则</w:t>
      </w:r>
      <w:r>
        <w:rPr>
          <w:rFonts w:ascii="宋体" w:hAnsi="宋体" w:hint="eastAsia"/>
          <w:bCs/>
          <w:sz w:val="18"/>
          <w:szCs w:val="18"/>
        </w:rPr>
        <w:t>进行</w:t>
      </w:r>
      <w:r>
        <w:rPr>
          <w:rFonts w:ascii="宋体" w:hAnsi="宋体"/>
          <w:bCs/>
          <w:sz w:val="18"/>
          <w:szCs w:val="18"/>
        </w:rPr>
        <w:t>信息披露</w:t>
      </w:r>
      <w:r>
        <w:rPr>
          <w:rFonts w:ascii="宋体" w:hAnsi="宋体" w:hint="eastAsia"/>
          <w:bCs/>
          <w:sz w:val="18"/>
          <w:szCs w:val="18"/>
        </w:rPr>
        <w:t>。</w:t>
      </w:r>
    </w:p>
    <w:p w:rsidR="00E039EF" w:rsidRDefault="003F2D22">
      <w:pPr>
        <w:spacing w:line="360" w:lineRule="auto"/>
        <w:ind w:firstLine="361"/>
        <w:rPr>
          <w:rFonts w:ascii="宋体" w:hAnsi="宋体"/>
          <w:b/>
          <w:bCs/>
          <w:sz w:val="18"/>
          <w:szCs w:val="18"/>
        </w:rPr>
      </w:pPr>
      <w:r>
        <w:rPr>
          <w:rFonts w:ascii="宋体" w:hAnsi="宋体" w:hint="eastAsia"/>
          <w:b/>
          <w:bCs/>
          <w:sz w:val="18"/>
          <w:szCs w:val="18"/>
        </w:rPr>
        <w:t>（二）信息披露的渠道</w:t>
      </w:r>
    </w:p>
    <w:p w:rsidR="00E039EF" w:rsidRDefault="003F2D22">
      <w:pPr>
        <w:spacing w:line="360" w:lineRule="auto"/>
        <w:ind w:firstLine="360"/>
        <w:rPr>
          <w:rFonts w:ascii="宋体" w:hAnsi="宋体"/>
          <w:bCs/>
          <w:sz w:val="18"/>
          <w:szCs w:val="18"/>
        </w:rPr>
      </w:pPr>
      <w:r>
        <w:rPr>
          <w:rFonts w:ascii="宋体" w:hAnsi="宋体"/>
          <w:bCs/>
          <w:sz w:val="18"/>
          <w:szCs w:val="18"/>
        </w:rPr>
        <w:t>1.</w:t>
      </w:r>
      <w:r>
        <w:rPr>
          <w:rFonts w:ascii="宋体" w:hAnsi="宋体" w:hint="eastAsia"/>
          <w:bCs/>
          <w:sz w:val="18"/>
          <w:szCs w:val="18"/>
        </w:rPr>
        <w:t>理财产品的信息披露将通过产品管理人或销售机构的门户网站、电子销售渠道或营业网点等进行</w:t>
      </w:r>
      <w:r>
        <w:rPr>
          <w:rFonts w:ascii="宋体" w:hAnsi="宋体"/>
          <w:bCs/>
          <w:sz w:val="18"/>
          <w:szCs w:val="18"/>
        </w:rPr>
        <w:t>。本理财产品认购期和存续期间，产品管理人将通过产品管理人或销售机构的信息披露渠道开展理财产品的信息披露工作。请投资者及时关注。</w:t>
      </w:r>
    </w:p>
    <w:p w:rsidR="00E039EF" w:rsidRDefault="003F2D22">
      <w:pPr>
        <w:spacing w:line="360" w:lineRule="auto"/>
        <w:ind w:firstLine="360"/>
        <w:rPr>
          <w:rFonts w:ascii="黑体" w:eastAsia="黑体" w:hAnsi="黑体"/>
          <w:bCs/>
          <w:sz w:val="18"/>
          <w:szCs w:val="18"/>
        </w:rPr>
      </w:pPr>
      <w:r>
        <w:rPr>
          <w:rFonts w:ascii="黑体" w:eastAsia="黑体" w:hAnsi="黑体"/>
          <w:bCs/>
          <w:sz w:val="18"/>
          <w:szCs w:val="18"/>
        </w:rPr>
        <w:t>2.★产品管理人</w:t>
      </w:r>
      <w:r>
        <w:rPr>
          <w:rFonts w:ascii="黑体" w:eastAsia="黑体" w:hAnsi="黑体" w:hint="eastAsia"/>
          <w:bCs/>
          <w:sz w:val="18"/>
          <w:szCs w:val="18"/>
        </w:rPr>
        <w:t>通过产品管理人或销售机构的信息披露渠道</w:t>
      </w:r>
      <w:r>
        <w:rPr>
          <w:rFonts w:ascii="黑体" w:eastAsia="黑体" w:hAnsi="黑体"/>
          <w:bCs/>
          <w:sz w:val="18"/>
          <w:szCs w:val="18"/>
        </w:rPr>
        <w:t>发布</w:t>
      </w:r>
      <w:r>
        <w:rPr>
          <w:rFonts w:ascii="黑体" w:eastAsia="黑体" w:hAnsi="黑体" w:hint="eastAsia"/>
          <w:bCs/>
          <w:sz w:val="18"/>
          <w:szCs w:val="18"/>
        </w:rPr>
        <w:t>理财产品有关</w:t>
      </w:r>
      <w:r>
        <w:rPr>
          <w:rFonts w:ascii="黑体" w:eastAsia="黑体" w:hAnsi="黑体"/>
          <w:bCs/>
          <w:sz w:val="18"/>
          <w:szCs w:val="18"/>
        </w:rPr>
        <w:t>信息，即视为已适当履行其信息披露义务。如</w:t>
      </w:r>
      <w:r>
        <w:rPr>
          <w:rFonts w:ascii="黑体" w:eastAsia="黑体" w:hAnsi="黑体" w:hint="eastAsia"/>
          <w:bCs/>
          <w:sz w:val="18"/>
          <w:szCs w:val="18"/>
        </w:rPr>
        <w:t>产品管理人</w:t>
      </w:r>
      <w:r>
        <w:rPr>
          <w:rFonts w:ascii="黑体" w:eastAsia="黑体" w:hAnsi="黑体"/>
          <w:bCs/>
          <w:sz w:val="18"/>
          <w:szCs w:val="18"/>
        </w:rPr>
        <w:t>认为需要直接联系</w:t>
      </w:r>
      <w:r>
        <w:rPr>
          <w:rFonts w:ascii="黑体" w:eastAsia="黑体" w:hAnsi="黑体" w:hint="eastAsia"/>
          <w:bCs/>
          <w:sz w:val="18"/>
          <w:szCs w:val="18"/>
        </w:rPr>
        <w:t>投资者</w:t>
      </w:r>
      <w:r>
        <w:rPr>
          <w:rFonts w:ascii="黑体" w:eastAsia="黑体" w:hAnsi="黑体"/>
          <w:bCs/>
          <w:sz w:val="18"/>
          <w:szCs w:val="18"/>
        </w:rPr>
        <w:t>的，将依据本说明书投资者信息中</w:t>
      </w:r>
      <w:r>
        <w:rPr>
          <w:rFonts w:ascii="黑体" w:eastAsia="黑体" w:hAnsi="黑体" w:hint="eastAsia"/>
          <w:bCs/>
          <w:sz w:val="18"/>
          <w:szCs w:val="18"/>
        </w:rPr>
        <w:t>投资者</w:t>
      </w:r>
      <w:r>
        <w:rPr>
          <w:rFonts w:ascii="黑体" w:eastAsia="黑体" w:hAnsi="黑体"/>
          <w:bCs/>
          <w:sz w:val="18"/>
          <w:szCs w:val="18"/>
        </w:rPr>
        <w:t>预留的</w:t>
      </w:r>
      <w:r>
        <w:rPr>
          <w:rFonts w:ascii="黑体" w:eastAsia="黑体" w:hAnsi="黑体" w:hint="eastAsia"/>
          <w:bCs/>
          <w:sz w:val="18"/>
          <w:szCs w:val="18"/>
        </w:rPr>
        <w:t>信息</w:t>
      </w:r>
      <w:r>
        <w:rPr>
          <w:rFonts w:ascii="黑体" w:eastAsia="黑体" w:hAnsi="黑体"/>
          <w:bCs/>
          <w:sz w:val="18"/>
          <w:szCs w:val="18"/>
        </w:rPr>
        <w:t>进行通知。因</w:t>
      </w:r>
      <w:r>
        <w:rPr>
          <w:rFonts w:ascii="黑体" w:eastAsia="黑体" w:hAnsi="黑体" w:hint="eastAsia"/>
          <w:bCs/>
          <w:sz w:val="18"/>
          <w:szCs w:val="18"/>
        </w:rPr>
        <w:t>投资者</w:t>
      </w:r>
      <w:r>
        <w:rPr>
          <w:rFonts w:ascii="黑体" w:eastAsia="黑体" w:hAnsi="黑体"/>
          <w:bCs/>
          <w:sz w:val="18"/>
          <w:szCs w:val="18"/>
        </w:rPr>
        <w:t>原因而导致该等通知失败的，</w:t>
      </w:r>
      <w:r>
        <w:rPr>
          <w:rFonts w:ascii="黑体" w:eastAsia="黑体" w:hAnsi="黑体" w:hint="eastAsia"/>
          <w:bCs/>
          <w:sz w:val="18"/>
          <w:szCs w:val="18"/>
        </w:rPr>
        <w:t>产品管理人</w:t>
      </w:r>
      <w:r>
        <w:rPr>
          <w:rFonts w:ascii="黑体" w:eastAsia="黑体" w:hAnsi="黑体"/>
          <w:bCs/>
          <w:sz w:val="18"/>
          <w:szCs w:val="18"/>
        </w:rPr>
        <w:t>不承担相应责任。</w:t>
      </w:r>
    </w:p>
    <w:p w:rsidR="00E039EF" w:rsidRDefault="003F2D22">
      <w:pPr>
        <w:spacing w:line="360" w:lineRule="auto"/>
        <w:ind w:firstLine="360"/>
        <w:rPr>
          <w:rFonts w:ascii="宋体" w:hAnsi="宋体"/>
          <w:bCs/>
          <w:sz w:val="18"/>
          <w:szCs w:val="18"/>
        </w:rPr>
      </w:pPr>
      <w:r>
        <w:rPr>
          <w:rFonts w:ascii="宋体" w:hAnsi="宋体"/>
          <w:bCs/>
          <w:sz w:val="18"/>
          <w:szCs w:val="18"/>
        </w:rPr>
        <w:t>3.投资者应定期通过约定的信息披露渠道获知有关理财产品相关信息。以上相关信息自披露之日即视为已送达投资者，也视为产品管理人</w:t>
      </w:r>
      <w:r>
        <w:rPr>
          <w:rFonts w:ascii="宋体" w:hAnsi="宋体" w:hint="eastAsia"/>
          <w:bCs/>
          <w:sz w:val="18"/>
          <w:szCs w:val="18"/>
        </w:rPr>
        <w:t>已适当披露理财产品相关信息。投资者承诺将及时接收、浏览和阅读该等信息。如投资者对本产品的运作状况有任何疑问，可向产品管理人或销售机构进行咨询。</w:t>
      </w:r>
    </w:p>
    <w:p w:rsidR="00E039EF" w:rsidRDefault="003F2D22">
      <w:pPr>
        <w:spacing w:line="360" w:lineRule="auto"/>
        <w:ind w:firstLine="360"/>
        <w:rPr>
          <w:rFonts w:ascii="宋体" w:hAnsi="宋体"/>
          <w:bCs/>
          <w:sz w:val="18"/>
          <w:szCs w:val="18"/>
        </w:rPr>
      </w:pPr>
      <w:r>
        <w:rPr>
          <w:rFonts w:ascii="宋体" w:hAnsi="宋体"/>
          <w:bCs/>
          <w:sz w:val="18"/>
          <w:szCs w:val="18"/>
        </w:rPr>
        <w:t>4.在保障投资者知情权的前提下</w:t>
      </w:r>
      <w:r>
        <w:rPr>
          <w:rFonts w:ascii="宋体" w:hAnsi="宋体" w:hint="eastAsia"/>
          <w:bCs/>
          <w:sz w:val="18"/>
          <w:szCs w:val="18"/>
        </w:rPr>
        <w:t>，</w:t>
      </w:r>
      <w:r>
        <w:rPr>
          <w:rFonts w:ascii="宋体" w:hAnsi="宋体"/>
          <w:bCs/>
          <w:sz w:val="18"/>
          <w:szCs w:val="18"/>
        </w:rPr>
        <w:t>产品管理人保留变更信息披露渠道的权利。</w:t>
      </w:r>
    </w:p>
    <w:p w:rsidR="00E039EF" w:rsidRDefault="003F2D22">
      <w:pPr>
        <w:spacing w:line="360" w:lineRule="auto"/>
        <w:ind w:firstLine="361"/>
        <w:rPr>
          <w:rFonts w:ascii="宋体" w:hAnsi="宋体"/>
          <w:b/>
          <w:bCs/>
          <w:sz w:val="18"/>
          <w:szCs w:val="18"/>
        </w:rPr>
      </w:pPr>
      <w:r>
        <w:rPr>
          <w:rFonts w:ascii="宋体" w:hAnsi="宋体" w:hint="eastAsia"/>
          <w:b/>
          <w:bCs/>
          <w:sz w:val="18"/>
          <w:szCs w:val="18"/>
        </w:rPr>
        <w:t>（三）信息披露的内容</w:t>
      </w:r>
    </w:p>
    <w:p w:rsidR="00E039EF" w:rsidRDefault="003F2D22">
      <w:pPr>
        <w:spacing w:line="360" w:lineRule="auto"/>
        <w:ind w:firstLine="360"/>
        <w:rPr>
          <w:rFonts w:ascii="宋体" w:hAnsi="宋体"/>
          <w:bCs/>
          <w:sz w:val="18"/>
          <w:szCs w:val="18"/>
        </w:rPr>
      </w:pPr>
      <w:r>
        <w:rPr>
          <w:rFonts w:ascii="宋体" w:hAnsi="宋体" w:hint="eastAsia"/>
          <w:bCs/>
          <w:sz w:val="18"/>
          <w:szCs w:val="18"/>
        </w:rPr>
        <w:t>理财产品信息披露</w:t>
      </w:r>
      <w:r>
        <w:rPr>
          <w:rFonts w:ascii="宋体" w:hAnsi="宋体"/>
          <w:bCs/>
          <w:sz w:val="18"/>
          <w:szCs w:val="18"/>
        </w:rPr>
        <w:t>包括但不限于产品成立、产品终止、</w:t>
      </w:r>
      <w:r>
        <w:rPr>
          <w:rFonts w:ascii="宋体" w:hAnsi="宋体" w:hint="eastAsia"/>
          <w:bCs/>
          <w:sz w:val="18"/>
          <w:szCs w:val="18"/>
        </w:rPr>
        <w:t>募集信息、资产净值、产品份额净值、暂停申购或赎回、投资对象和比例、产品组合资产情况及其流动性风险分析、杠杆水平、利益分配、托管安排、投资账户信息、主要投资风险、估值方法变更、收费标准变更等信息。</w:t>
      </w:r>
    </w:p>
    <w:p w:rsidR="00E039EF" w:rsidRDefault="003F2D22">
      <w:pPr>
        <w:spacing w:line="360" w:lineRule="auto"/>
        <w:ind w:firstLine="361"/>
        <w:rPr>
          <w:rFonts w:ascii="宋体" w:hAnsi="宋体"/>
          <w:b/>
          <w:bCs/>
          <w:sz w:val="18"/>
          <w:szCs w:val="18"/>
        </w:rPr>
      </w:pPr>
      <w:r>
        <w:rPr>
          <w:rFonts w:ascii="宋体" w:hAnsi="宋体" w:hint="eastAsia"/>
          <w:b/>
          <w:bCs/>
          <w:sz w:val="18"/>
          <w:szCs w:val="18"/>
        </w:rPr>
        <w:t>（四）信息披露的频率和时间</w:t>
      </w:r>
    </w:p>
    <w:p w:rsidR="00E039EF" w:rsidRDefault="003F2D22">
      <w:pPr>
        <w:spacing w:line="360" w:lineRule="auto"/>
        <w:ind w:firstLine="360"/>
        <w:rPr>
          <w:rFonts w:ascii="宋体" w:hAnsi="宋体"/>
          <w:bCs/>
          <w:sz w:val="18"/>
          <w:szCs w:val="18"/>
        </w:rPr>
      </w:pPr>
      <w:r>
        <w:rPr>
          <w:rFonts w:ascii="宋体" w:hAnsi="宋体"/>
          <w:bCs/>
          <w:sz w:val="18"/>
          <w:szCs w:val="18"/>
        </w:rPr>
        <w:t>1.产品成立公告</w:t>
      </w:r>
    </w:p>
    <w:p w:rsidR="00E039EF" w:rsidRDefault="003F2D22">
      <w:pPr>
        <w:spacing w:line="360" w:lineRule="auto"/>
        <w:ind w:firstLine="360"/>
        <w:rPr>
          <w:rFonts w:ascii="宋体" w:hAnsi="宋体"/>
          <w:bCs/>
          <w:sz w:val="18"/>
          <w:szCs w:val="18"/>
        </w:rPr>
      </w:pPr>
      <w:r>
        <w:rPr>
          <w:rFonts w:ascii="宋体" w:hAnsi="宋体" w:hint="eastAsia"/>
          <w:bCs/>
          <w:sz w:val="18"/>
          <w:szCs w:val="18"/>
        </w:rPr>
        <w:t>本产品成立后</w:t>
      </w:r>
      <w:r>
        <w:rPr>
          <w:rFonts w:ascii="宋体" w:hAnsi="宋体"/>
          <w:bCs/>
          <w:sz w:val="18"/>
          <w:szCs w:val="18"/>
        </w:rPr>
        <w:t>5个工作日内，产品管理人将发布产品成立公告。</w:t>
      </w:r>
    </w:p>
    <w:p w:rsidR="00E039EF" w:rsidRDefault="003F2D22">
      <w:pPr>
        <w:spacing w:line="360" w:lineRule="auto"/>
        <w:ind w:firstLine="360"/>
        <w:rPr>
          <w:rFonts w:ascii="宋体" w:hAnsi="宋体"/>
          <w:bCs/>
          <w:sz w:val="18"/>
          <w:szCs w:val="18"/>
        </w:rPr>
      </w:pPr>
      <w:r>
        <w:rPr>
          <w:rFonts w:ascii="宋体" w:hAnsi="宋体"/>
          <w:bCs/>
          <w:sz w:val="18"/>
          <w:szCs w:val="18"/>
        </w:rPr>
        <w:t>2.重大事项</w:t>
      </w:r>
      <w:r>
        <w:rPr>
          <w:rFonts w:ascii="宋体" w:hAnsi="宋体" w:hint="eastAsia"/>
          <w:bCs/>
          <w:sz w:val="18"/>
          <w:szCs w:val="18"/>
        </w:rPr>
        <w:t>公告</w:t>
      </w:r>
    </w:p>
    <w:p w:rsidR="00E039EF" w:rsidRDefault="003F2D22">
      <w:pPr>
        <w:spacing w:line="360" w:lineRule="auto"/>
        <w:ind w:firstLine="360"/>
        <w:rPr>
          <w:rFonts w:ascii="宋体" w:hAnsi="宋体"/>
          <w:bCs/>
          <w:sz w:val="18"/>
          <w:szCs w:val="18"/>
        </w:rPr>
      </w:pPr>
      <w:r>
        <w:rPr>
          <w:rFonts w:ascii="宋体" w:hAnsi="宋体" w:hint="eastAsia"/>
          <w:bCs/>
          <w:sz w:val="18"/>
          <w:szCs w:val="18"/>
        </w:rPr>
        <w:t>在发生可能对理财产品投资者或者理财产品收益产生重大影响的事件后</w:t>
      </w:r>
      <w:r>
        <w:rPr>
          <w:rFonts w:ascii="宋体" w:hAnsi="宋体"/>
          <w:bCs/>
          <w:sz w:val="18"/>
          <w:szCs w:val="18"/>
        </w:rPr>
        <w:t>2个工作日内发布重大事项公告。</w:t>
      </w:r>
    </w:p>
    <w:p w:rsidR="00E039EF" w:rsidRDefault="003F2D22">
      <w:pPr>
        <w:spacing w:line="360" w:lineRule="auto"/>
        <w:ind w:firstLine="360"/>
        <w:rPr>
          <w:rFonts w:ascii="宋体" w:hAnsi="宋体"/>
          <w:bCs/>
          <w:sz w:val="18"/>
          <w:szCs w:val="18"/>
        </w:rPr>
      </w:pPr>
      <w:r>
        <w:rPr>
          <w:rFonts w:ascii="宋体" w:hAnsi="宋体"/>
          <w:bCs/>
          <w:sz w:val="18"/>
          <w:szCs w:val="18"/>
        </w:rPr>
        <w:t>3.定期报告</w:t>
      </w:r>
    </w:p>
    <w:p w:rsidR="00E039EF" w:rsidRDefault="003F2D22">
      <w:pPr>
        <w:spacing w:line="360" w:lineRule="auto"/>
        <w:ind w:firstLine="360"/>
        <w:rPr>
          <w:rFonts w:ascii="宋体" w:hAnsi="宋体"/>
          <w:bCs/>
          <w:sz w:val="18"/>
          <w:szCs w:val="18"/>
        </w:rPr>
      </w:pPr>
      <w:r>
        <w:rPr>
          <w:rFonts w:ascii="宋体" w:hAnsi="宋体" w:hint="eastAsia"/>
          <w:bCs/>
          <w:sz w:val="18"/>
          <w:szCs w:val="18"/>
        </w:rPr>
        <w:t>定期报告分为</w:t>
      </w:r>
      <w:r>
        <w:rPr>
          <w:rFonts w:ascii="宋体" w:hAnsi="宋体"/>
          <w:bCs/>
          <w:sz w:val="18"/>
          <w:szCs w:val="18"/>
        </w:rPr>
        <w:t>季度、半年度和年度定期报告。</w:t>
      </w:r>
      <w:r>
        <w:rPr>
          <w:rFonts w:ascii="宋体" w:hAnsi="宋体" w:hint="eastAsia"/>
          <w:bCs/>
          <w:sz w:val="18"/>
          <w:szCs w:val="18"/>
        </w:rPr>
        <w:t>产品成立超过</w:t>
      </w:r>
      <w:r>
        <w:rPr>
          <w:rFonts w:ascii="宋体" w:hAnsi="宋体"/>
          <w:bCs/>
          <w:sz w:val="18"/>
          <w:szCs w:val="18"/>
        </w:rPr>
        <w:t>90日后且剩余存续期超过90日以上，产品管理人应在每季度结束之日起15个工作日内、上半年结束之日起60个工作日内、每年结束之日起90个工作日内，披露产品季度、半年度和年度报告等定期报告。产品成立不足90日或者剩余存续期不超过90日的，可以不编制产品的季度、半年度和年度报告等定期报告。</w:t>
      </w:r>
    </w:p>
    <w:p w:rsidR="00E039EF" w:rsidRDefault="003F2D22">
      <w:pPr>
        <w:spacing w:line="360" w:lineRule="auto"/>
        <w:ind w:firstLine="360"/>
        <w:rPr>
          <w:rFonts w:ascii="宋体" w:hAnsi="宋体"/>
          <w:bCs/>
          <w:sz w:val="18"/>
          <w:szCs w:val="18"/>
        </w:rPr>
      </w:pPr>
      <w:r>
        <w:rPr>
          <w:rFonts w:ascii="宋体" w:hAnsi="宋体"/>
          <w:bCs/>
          <w:sz w:val="18"/>
          <w:szCs w:val="18"/>
        </w:rPr>
        <w:t>4.到期公告</w:t>
      </w:r>
    </w:p>
    <w:p w:rsidR="00E039EF" w:rsidRDefault="003F2D22">
      <w:pPr>
        <w:spacing w:line="360" w:lineRule="auto"/>
        <w:ind w:firstLine="360"/>
        <w:rPr>
          <w:rFonts w:ascii="宋体" w:hAnsi="宋体"/>
          <w:bCs/>
          <w:sz w:val="18"/>
          <w:szCs w:val="18"/>
        </w:rPr>
      </w:pPr>
      <w:r>
        <w:rPr>
          <w:rFonts w:ascii="宋体" w:hAnsi="宋体" w:hint="eastAsia"/>
          <w:bCs/>
          <w:sz w:val="18"/>
          <w:szCs w:val="18"/>
        </w:rPr>
        <w:lastRenderedPageBreak/>
        <w:t>如果产品管理人主动提前终止本产品，产品管理人将提前</w:t>
      </w:r>
      <w:r>
        <w:rPr>
          <w:rFonts w:ascii="宋体" w:hAnsi="宋体"/>
          <w:bCs/>
          <w:sz w:val="18"/>
          <w:szCs w:val="18"/>
        </w:rPr>
        <w:t>2个工作日进行公告。本产品终止后5个工作日内，产品管理人发布产品到期公告。</w:t>
      </w:r>
    </w:p>
    <w:p w:rsidR="00E039EF" w:rsidRDefault="003F2D22">
      <w:pPr>
        <w:spacing w:line="360" w:lineRule="auto"/>
        <w:ind w:firstLine="360"/>
        <w:rPr>
          <w:rFonts w:ascii="宋体" w:hAnsi="宋体"/>
          <w:bCs/>
          <w:sz w:val="18"/>
          <w:szCs w:val="18"/>
        </w:rPr>
      </w:pPr>
      <w:r>
        <w:rPr>
          <w:rFonts w:ascii="宋体" w:hAnsi="宋体"/>
          <w:bCs/>
          <w:sz w:val="18"/>
          <w:szCs w:val="18"/>
        </w:rPr>
        <w:t>5.估值日公告</w:t>
      </w:r>
    </w:p>
    <w:p w:rsidR="00E039EF" w:rsidRDefault="003F2D22">
      <w:pPr>
        <w:spacing w:line="360" w:lineRule="auto"/>
        <w:ind w:firstLine="360"/>
        <w:rPr>
          <w:rFonts w:ascii="宋体" w:hAnsi="宋体"/>
          <w:bCs/>
          <w:sz w:val="18"/>
          <w:szCs w:val="18"/>
        </w:rPr>
      </w:pPr>
      <w:permStart w:id="2124569799" w:edGrp="everyone"/>
      <w:r>
        <w:rPr>
          <w:rFonts w:ascii="宋体" w:hAnsi="宋体" w:hint="eastAsia"/>
          <w:bCs/>
          <w:sz w:val="18"/>
          <w:szCs w:val="18"/>
        </w:rPr>
        <w:t>产品</w:t>
      </w:r>
      <w:r>
        <w:rPr>
          <w:rFonts w:ascii="宋体" w:hAnsi="宋体"/>
          <w:bCs/>
          <w:sz w:val="18"/>
          <w:szCs w:val="18"/>
        </w:rPr>
        <w:t>存续</w:t>
      </w:r>
      <w:r>
        <w:rPr>
          <w:rFonts w:ascii="宋体" w:hAnsi="宋体" w:hint="eastAsia"/>
          <w:bCs/>
          <w:sz w:val="18"/>
          <w:szCs w:val="18"/>
        </w:rPr>
        <w:t>期间，每【周】向投资者披露一次估值日公告，估值日公告披露的内容包括估值日的产品份额净值、产品份额累计净值等。如遇法定节假日顺延。此外，如遇其他特殊情况，以产品管理人信息披露为准。</w:t>
      </w:r>
    </w:p>
    <w:permEnd w:id="2124569799"/>
    <w:p w:rsidR="00E039EF" w:rsidRDefault="003F2D22">
      <w:pPr>
        <w:spacing w:line="360" w:lineRule="auto"/>
        <w:ind w:firstLine="360"/>
        <w:rPr>
          <w:rFonts w:ascii="宋体" w:hAnsi="宋体"/>
          <w:bCs/>
          <w:sz w:val="18"/>
          <w:szCs w:val="18"/>
        </w:rPr>
      </w:pPr>
      <w:r>
        <w:rPr>
          <w:rFonts w:ascii="宋体" w:hAnsi="宋体"/>
          <w:bCs/>
          <w:sz w:val="18"/>
          <w:szCs w:val="18"/>
        </w:rPr>
        <w:t>6.临时公告</w:t>
      </w:r>
    </w:p>
    <w:p w:rsidR="00E039EF" w:rsidRDefault="003F2D22">
      <w:pPr>
        <w:spacing w:line="360" w:lineRule="auto"/>
        <w:ind w:firstLine="361"/>
        <w:rPr>
          <w:rFonts w:ascii="黑体" w:eastAsia="黑体" w:hAnsi="黑体"/>
          <w:b/>
          <w:bCs/>
          <w:sz w:val="18"/>
          <w:szCs w:val="18"/>
        </w:rPr>
      </w:pPr>
      <w:r>
        <w:rPr>
          <w:rFonts w:ascii="黑体" w:eastAsia="黑体" w:hAnsi="黑体" w:hint="eastAsia"/>
          <w:b/>
          <w:bCs/>
          <w:sz w:val="18"/>
          <w:szCs w:val="18"/>
        </w:rPr>
        <w:t>（</w:t>
      </w:r>
      <w:r>
        <w:rPr>
          <w:rFonts w:ascii="黑体" w:eastAsia="黑体" w:hAnsi="黑体"/>
          <w:b/>
          <w:bCs/>
          <w:sz w:val="18"/>
          <w:szCs w:val="18"/>
        </w:rPr>
        <w:t>1）</w:t>
      </w:r>
      <w:r>
        <w:rPr>
          <w:rFonts w:ascii="黑体" w:eastAsia="黑体" w:hAnsi="黑体" w:hint="eastAsia"/>
          <w:b/>
          <w:bCs/>
          <w:sz w:val="18"/>
          <w:szCs w:val="18"/>
        </w:rPr>
        <w:t>★产品管理人</w:t>
      </w:r>
      <w:r>
        <w:rPr>
          <w:rFonts w:ascii="黑体" w:eastAsia="黑体" w:hAnsi="黑体"/>
          <w:b/>
          <w:bCs/>
          <w:sz w:val="18"/>
          <w:szCs w:val="18"/>
        </w:rPr>
        <w:t>对</w:t>
      </w:r>
      <w:r>
        <w:rPr>
          <w:rFonts w:ascii="黑体" w:eastAsia="黑体" w:hAnsi="黑体" w:hint="eastAsia"/>
          <w:b/>
          <w:bCs/>
          <w:sz w:val="18"/>
          <w:szCs w:val="18"/>
        </w:rPr>
        <w:t>投资范围、投资资产种类、</w:t>
      </w:r>
      <w:r>
        <w:rPr>
          <w:rFonts w:ascii="黑体" w:eastAsia="黑体" w:hAnsi="黑体"/>
          <w:b/>
          <w:bCs/>
          <w:sz w:val="18"/>
          <w:szCs w:val="18"/>
        </w:rPr>
        <w:t>投资</w:t>
      </w:r>
      <w:r>
        <w:rPr>
          <w:rFonts w:ascii="黑体" w:eastAsia="黑体" w:hAnsi="黑体" w:hint="eastAsia"/>
          <w:b/>
          <w:bCs/>
          <w:sz w:val="18"/>
          <w:szCs w:val="18"/>
        </w:rPr>
        <w:t>比例、估值方法、收费项目条件标准和方式、业绩比较基准（如有）、业绩报酬计提基准（如有）等保留变更的权利，如发生变更，调整后的要素以产品管理人发布的变更公告中所载明的内容为准。产品管理人将提前</w:t>
      </w:r>
      <w:r>
        <w:rPr>
          <w:rFonts w:ascii="黑体" w:eastAsia="黑体" w:hAnsi="黑体"/>
          <w:b/>
          <w:bCs/>
          <w:sz w:val="18"/>
          <w:szCs w:val="18"/>
        </w:rPr>
        <w:t>2个工作日发布变更公告</w:t>
      </w:r>
      <w:r>
        <w:rPr>
          <w:rFonts w:ascii="黑体" w:eastAsia="黑体" w:hAnsi="黑体" w:hint="eastAsia"/>
          <w:b/>
          <w:bCs/>
          <w:sz w:val="18"/>
          <w:szCs w:val="18"/>
        </w:rPr>
        <w:t>。</w:t>
      </w:r>
    </w:p>
    <w:p w:rsidR="00E039EF" w:rsidRDefault="003F2D22">
      <w:pPr>
        <w:spacing w:line="360" w:lineRule="auto"/>
        <w:ind w:firstLineChars="200" w:firstLine="360"/>
        <w:rPr>
          <w:rFonts w:ascii="宋体" w:hAnsi="宋体"/>
          <w:bCs/>
          <w:sz w:val="18"/>
          <w:szCs w:val="18"/>
        </w:rPr>
      </w:pPr>
      <w:r>
        <w:rPr>
          <w:rFonts w:ascii="宋体" w:hAnsi="宋体" w:hint="eastAsia"/>
          <w:bCs/>
          <w:sz w:val="18"/>
          <w:szCs w:val="18"/>
        </w:rPr>
        <w:t>（</w:t>
      </w:r>
      <w:r>
        <w:rPr>
          <w:rFonts w:ascii="宋体" w:hAnsi="宋体"/>
          <w:bCs/>
          <w:sz w:val="18"/>
          <w:szCs w:val="18"/>
        </w:rPr>
        <w:t>2）在发生</w:t>
      </w:r>
      <w:r>
        <w:rPr>
          <w:rFonts w:ascii="宋体" w:hAnsi="宋体" w:hint="eastAsia"/>
          <w:sz w:val="18"/>
          <w:szCs w:val="18"/>
        </w:rPr>
        <w:t>产品管理人</w:t>
      </w:r>
      <w:r>
        <w:rPr>
          <w:rFonts w:ascii="宋体" w:hAnsi="宋体" w:hint="eastAsia"/>
          <w:bCs/>
          <w:sz w:val="18"/>
          <w:szCs w:val="18"/>
        </w:rPr>
        <w:t>拒绝或暂停接受</w:t>
      </w:r>
      <w:r>
        <w:rPr>
          <w:rFonts w:ascii="宋体" w:hAnsi="宋体"/>
          <w:bCs/>
          <w:sz w:val="18"/>
          <w:szCs w:val="18"/>
        </w:rPr>
        <w:t>投资者</w:t>
      </w:r>
      <w:r>
        <w:rPr>
          <w:rFonts w:ascii="宋体" w:hAnsi="宋体" w:hint="eastAsia"/>
          <w:bCs/>
          <w:sz w:val="18"/>
          <w:szCs w:val="18"/>
        </w:rPr>
        <w:t>认购申请、暂停理财产品估值</w:t>
      </w:r>
      <w:r>
        <w:rPr>
          <w:rFonts w:ascii="宋体" w:hAnsi="宋体"/>
          <w:bCs/>
          <w:sz w:val="18"/>
          <w:szCs w:val="18"/>
        </w:rPr>
        <w:t>等</w:t>
      </w:r>
      <w:r>
        <w:rPr>
          <w:rFonts w:ascii="宋体" w:hAnsi="宋体" w:hint="eastAsia"/>
          <w:bCs/>
          <w:sz w:val="18"/>
          <w:szCs w:val="18"/>
        </w:rPr>
        <w:t>情形</w:t>
      </w:r>
      <w:r>
        <w:rPr>
          <w:rFonts w:ascii="宋体" w:hAnsi="宋体"/>
          <w:bCs/>
          <w:sz w:val="18"/>
          <w:szCs w:val="18"/>
        </w:rPr>
        <w:t>时，</w:t>
      </w:r>
      <w:r>
        <w:rPr>
          <w:rFonts w:ascii="宋体" w:hAnsi="宋体" w:hint="eastAsia"/>
          <w:sz w:val="18"/>
          <w:szCs w:val="18"/>
        </w:rPr>
        <w:t>产品管理人</w:t>
      </w:r>
      <w:r>
        <w:rPr>
          <w:rFonts w:ascii="宋体" w:hAnsi="宋体" w:hint="eastAsia"/>
          <w:bCs/>
          <w:sz w:val="18"/>
          <w:szCs w:val="18"/>
        </w:rPr>
        <w:t>将</w:t>
      </w:r>
      <w:r>
        <w:rPr>
          <w:rFonts w:ascii="宋体" w:hAnsi="宋体"/>
          <w:bCs/>
          <w:sz w:val="18"/>
          <w:szCs w:val="18"/>
        </w:rPr>
        <w:t>于3个</w:t>
      </w:r>
      <w:r>
        <w:rPr>
          <w:rFonts w:ascii="宋体" w:hAnsi="宋体" w:hint="eastAsia"/>
          <w:bCs/>
          <w:sz w:val="18"/>
          <w:szCs w:val="18"/>
        </w:rPr>
        <w:t>交易</w:t>
      </w:r>
      <w:r>
        <w:rPr>
          <w:rFonts w:ascii="宋体" w:hAnsi="宋体"/>
          <w:bCs/>
          <w:sz w:val="18"/>
          <w:szCs w:val="18"/>
        </w:rPr>
        <w:t>日</w:t>
      </w:r>
      <w:r>
        <w:rPr>
          <w:rFonts w:ascii="宋体" w:hAnsi="宋体" w:hint="eastAsia"/>
          <w:bCs/>
          <w:sz w:val="18"/>
          <w:szCs w:val="18"/>
        </w:rPr>
        <w:t>内告知投资者，并说明运用相关措施的原因和拟采取的应对安排等</w:t>
      </w:r>
      <w:r>
        <w:rPr>
          <w:rFonts w:ascii="宋体" w:hAnsi="宋体"/>
          <w:bCs/>
          <w:sz w:val="18"/>
          <w:szCs w:val="18"/>
        </w:rPr>
        <w:t>。</w:t>
      </w:r>
      <w:r>
        <w:rPr>
          <w:rFonts w:ascii="宋体" w:hAnsi="宋体" w:hint="eastAsia"/>
          <w:bCs/>
          <w:sz w:val="18"/>
          <w:szCs w:val="18"/>
        </w:rPr>
        <w:t>在发生涉及产品认购事项调整时，管理人将发布临时公告。</w:t>
      </w:r>
    </w:p>
    <w:p w:rsidR="00E039EF" w:rsidRDefault="003F2D22">
      <w:pPr>
        <w:spacing w:line="360" w:lineRule="auto"/>
        <w:ind w:firstLine="360"/>
        <w:rPr>
          <w:rFonts w:ascii="宋体" w:hAnsi="宋体"/>
          <w:bCs/>
          <w:sz w:val="18"/>
          <w:szCs w:val="18"/>
        </w:rPr>
      </w:pPr>
      <w:r>
        <w:rPr>
          <w:rFonts w:ascii="宋体" w:hAnsi="宋体" w:hint="eastAsia"/>
          <w:bCs/>
          <w:sz w:val="18"/>
          <w:szCs w:val="18"/>
        </w:rPr>
        <w:t>（</w:t>
      </w:r>
      <w:r>
        <w:rPr>
          <w:rFonts w:ascii="宋体" w:hAnsi="宋体"/>
          <w:bCs/>
          <w:sz w:val="18"/>
          <w:szCs w:val="18"/>
        </w:rPr>
        <w:t>3）理财产品清算期超过5个工作日的，产品管理人应当在理财产品终止前，根据与投资者的约定，在指定渠道向理财产品投资者进行披露。</w:t>
      </w:r>
    </w:p>
    <w:p w:rsidR="00E039EF" w:rsidRDefault="003F2D22">
      <w:pPr>
        <w:spacing w:line="360" w:lineRule="auto"/>
        <w:ind w:firstLine="361"/>
        <w:rPr>
          <w:rFonts w:ascii="黑体" w:eastAsia="黑体" w:hAnsi="黑体"/>
          <w:b/>
          <w:bCs/>
          <w:sz w:val="18"/>
          <w:szCs w:val="18"/>
        </w:rPr>
      </w:pPr>
      <w:r>
        <w:rPr>
          <w:rFonts w:ascii="黑体" w:eastAsia="黑体" w:hAnsi="黑体" w:hint="eastAsia"/>
          <w:b/>
          <w:bCs/>
          <w:sz w:val="18"/>
          <w:szCs w:val="18"/>
        </w:rPr>
        <w:t>（</w:t>
      </w:r>
      <w:r>
        <w:rPr>
          <w:rFonts w:ascii="黑体" w:eastAsia="黑体" w:hAnsi="黑体"/>
          <w:b/>
          <w:bCs/>
          <w:sz w:val="18"/>
          <w:szCs w:val="18"/>
        </w:rPr>
        <w:t>4）★在本产品存续期内，如因国家法律法规、监管规定发生变化，或是出于维护本产品正常运营的需要，在不损害投资者</w:t>
      </w:r>
      <w:r>
        <w:rPr>
          <w:rFonts w:ascii="黑体" w:eastAsia="黑体" w:hAnsi="黑体" w:hint="eastAsia"/>
          <w:b/>
          <w:bCs/>
          <w:sz w:val="18"/>
          <w:szCs w:val="18"/>
        </w:rPr>
        <w:t>权益</w:t>
      </w:r>
      <w:r>
        <w:rPr>
          <w:rFonts w:ascii="黑体" w:eastAsia="黑体" w:hAnsi="黑体"/>
          <w:b/>
          <w:bCs/>
          <w:sz w:val="18"/>
          <w:szCs w:val="18"/>
        </w:rPr>
        <w:t>的前提下，</w:t>
      </w:r>
      <w:r>
        <w:rPr>
          <w:rFonts w:ascii="黑体" w:eastAsia="黑体" w:hAnsi="黑体" w:hint="eastAsia"/>
          <w:b/>
          <w:bCs/>
          <w:sz w:val="18"/>
          <w:szCs w:val="18"/>
        </w:rPr>
        <w:t>产品管理人</w:t>
      </w:r>
      <w:r>
        <w:rPr>
          <w:rFonts w:ascii="黑体" w:eastAsia="黑体" w:hAnsi="黑体"/>
          <w:b/>
          <w:bCs/>
          <w:sz w:val="18"/>
          <w:szCs w:val="18"/>
        </w:rPr>
        <w:t>有权对</w:t>
      </w:r>
      <w:r>
        <w:rPr>
          <w:rFonts w:ascii="黑体" w:eastAsia="黑体" w:hAnsi="黑体" w:hint="eastAsia"/>
          <w:b/>
          <w:bCs/>
          <w:sz w:val="18"/>
          <w:szCs w:val="18"/>
        </w:rPr>
        <w:t>理财产品销售文件</w:t>
      </w:r>
      <w:r>
        <w:rPr>
          <w:rFonts w:ascii="黑体" w:eastAsia="黑体" w:hAnsi="黑体"/>
          <w:b/>
          <w:bCs/>
          <w:sz w:val="18"/>
          <w:szCs w:val="18"/>
        </w:rPr>
        <w:t>进行修订，并提前2个工作日进行</w:t>
      </w:r>
      <w:r>
        <w:rPr>
          <w:rFonts w:ascii="黑体" w:eastAsia="黑体" w:hAnsi="黑体" w:hint="eastAsia"/>
          <w:b/>
          <w:bCs/>
          <w:sz w:val="18"/>
          <w:szCs w:val="18"/>
        </w:rPr>
        <w:t>公告</w:t>
      </w:r>
      <w:r>
        <w:rPr>
          <w:rFonts w:ascii="黑体" w:eastAsia="黑体" w:hAnsi="黑体"/>
          <w:b/>
          <w:bCs/>
          <w:sz w:val="18"/>
          <w:szCs w:val="18"/>
        </w:rPr>
        <w:t>。</w:t>
      </w:r>
    </w:p>
    <w:p w:rsidR="00E039EF" w:rsidRDefault="003F2D22">
      <w:pPr>
        <w:spacing w:line="360" w:lineRule="auto"/>
        <w:ind w:firstLine="360"/>
        <w:rPr>
          <w:rFonts w:ascii="宋体" w:hAnsi="宋体"/>
          <w:bCs/>
          <w:sz w:val="18"/>
          <w:szCs w:val="18"/>
        </w:rPr>
      </w:pPr>
      <w:r>
        <w:rPr>
          <w:rFonts w:ascii="宋体" w:hAnsi="宋体" w:hint="eastAsia"/>
          <w:bCs/>
          <w:sz w:val="18"/>
          <w:szCs w:val="18"/>
        </w:rPr>
        <w:t>（</w:t>
      </w:r>
      <w:r>
        <w:rPr>
          <w:rFonts w:ascii="宋体" w:hAnsi="宋体"/>
          <w:bCs/>
          <w:sz w:val="18"/>
          <w:szCs w:val="18"/>
        </w:rPr>
        <w:t>5）其他临时性公告</w:t>
      </w:r>
    </w:p>
    <w:p w:rsidR="00E039EF" w:rsidRDefault="003F2D22">
      <w:pPr>
        <w:spacing w:line="360" w:lineRule="auto"/>
        <w:ind w:firstLine="360"/>
        <w:rPr>
          <w:rFonts w:ascii="宋体" w:hAnsi="宋体"/>
          <w:bCs/>
          <w:sz w:val="18"/>
          <w:szCs w:val="18"/>
        </w:rPr>
      </w:pPr>
      <w:r>
        <w:rPr>
          <w:rFonts w:ascii="宋体" w:hAnsi="宋体" w:hint="eastAsia"/>
          <w:bCs/>
          <w:sz w:val="18"/>
          <w:szCs w:val="18"/>
        </w:rPr>
        <w:t>除前述事项外，如出现其他突发事件，需在事件发生后及时进行披露。</w:t>
      </w:r>
    </w:p>
    <w:p w:rsidR="00E039EF" w:rsidRDefault="003F2D22">
      <w:pPr>
        <w:spacing w:line="360" w:lineRule="auto"/>
        <w:ind w:firstLineChars="200" w:firstLine="361"/>
        <w:rPr>
          <w:rFonts w:ascii="黑体" w:eastAsia="黑体" w:hAnsi="黑体"/>
          <w:b/>
          <w:bCs/>
          <w:sz w:val="18"/>
          <w:szCs w:val="18"/>
        </w:rPr>
      </w:pPr>
      <w:r>
        <w:rPr>
          <w:rFonts w:ascii="黑体" w:eastAsia="黑体" w:hAnsi="黑体" w:hint="eastAsia"/>
          <w:b/>
          <w:bCs/>
          <w:sz w:val="18"/>
          <w:szCs w:val="18"/>
        </w:rPr>
        <w:t>★在本产品存续期内，当管理人对理财产品进行相应变更（包括调整投资范围、投资资产种类、投资比例或收费项目、条件、标准和方式等）时，若构成对投资者利益产生实质性不利影响或涉及当事人权利义务的重大变更的，投资者有权不接受变更，在符合法律法规及监管政策的前提下，可由管理人决定投资者的提前退出方式，</w:t>
      </w:r>
      <w:r>
        <w:rPr>
          <w:rFonts w:ascii="黑体" w:eastAsia="黑体" w:hAnsi="黑体"/>
          <w:b/>
          <w:bCs/>
          <w:sz w:val="18"/>
          <w:szCs w:val="18"/>
        </w:rPr>
        <w:t>并提前2个工作日进行</w:t>
      </w:r>
      <w:r>
        <w:rPr>
          <w:rFonts w:ascii="黑体" w:eastAsia="黑体" w:hAnsi="黑体" w:hint="eastAsia"/>
          <w:b/>
          <w:bCs/>
          <w:sz w:val="18"/>
          <w:szCs w:val="18"/>
        </w:rPr>
        <w:t>公告。若投资者未选择退出本产品的，则视为已理解并接受管理人的相应变更。</w:t>
      </w:r>
    </w:p>
    <w:p w:rsidR="00E039EF" w:rsidRDefault="003F2D22">
      <w:pPr>
        <w:widowControl/>
        <w:spacing w:line="360" w:lineRule="auto"/>
        <w:jc w:val="left"/>
        <w:rPr>
          <w:bCs/>
          <w:sz w:val="24"/>
        </w:rPr>
      </w:pPr>
      <w:r>
        <w:rPr>
          <w:bCs/>
          <w:sz w:val="24"/>
        </w:rPr>
        <w:br w:type="page"/>
      </w:r>
    </w:p>
    <w:p w:rsidR="00E039EF" w:rsidRDefault="003F2D22">
      <w:pPr>
        <w:pStyle w:val="1"/>
        <w:spacing w:before="0" w:after="0" w:line="360" w:lineRule="auto"/>
        <w:jc w:val="center"/>
        <w:rPr>
          <w:rFonts w:ascii="Times New Roman"/>
          <w:b w:val="0"/>
          <w:sz w:val="30"/>
        </w:rPr>
      </w:pPr>
      <w:bookmarkStart w:id="155" w:name="_Toc116649660"/>
      <w:bookmarkStart w:id="156" w:name="_Toc79154675"/>
      <w:r>
        <w:rPr>
          <w:rFonts w:ascii="Times New Roman" w:hint="eastAsia"/>
          <w:sz w:val="30"/>
        </w:rPr>
        <w:lastRenderedPageBreak/>
        <w:t>第十</w:t>
      </w:r>
      <w:r>
        <w:rPr>
          <w:rFonts w:ascii="Times New Roman"/>
          <w:sz w:val="30"/>
        </w:rPr>
        <w:t>二</w:t>
      </w:r>
      <w:r>
        <w:rPr>
          <w:rFonts w:ascii="Times New Roman" w:hint="eastAsia"/>
          <w:sz w:val="30"/>
        </w:rPr>
        <w:t>条</w:t>
      </w:r>
      <w:r>
        <w:rPr>
          <w:rFonts w:ascii="Times New Roman"/>
          <w:sz w:val="30"/>
        </w:rPr>
        <w:t xml:space="preserve">  </w:t>
      </w:r>
      <w:r>
        <w:rPr>
          <w:rFonts w:ascii="Times New Roman" w:hint="eastAsia"/>
          <w:sz w:val="30"/>
        </w:rPr>
        <w:t>理财产品</w:t>
      </w:r>
      <w:r>
        <w:rPr>
          <w:rFonts w:ascii="Times New Roman"/>
          <w:sz w:val="30"/>
        </w:rPr>
        <w:t>的风险揭示</w:t>
      </w:r>
      <w:bookmarkEnd w:id="155"/>
      <w:bookmarkEnd w:id="156"/>
    </w:p>
    <w:p w:rsidR="00E039EF" w:rsidRDefault="003F2D22">
      <w:pPr>
        <w:spacing w:line="360" w:lineRule="auto"/>
        <w:ind w:firstLineChars="200" w:firstLine="361"/>
        <w:rPr>
          <w:rFonts w:ascii="宋体" w:hAnsi="宋体"/>
          <w:b/>
          <w:sz w:val="18"/>
          <w:szCs w:val="18"/>
        </w:rPr>
      </w:pPr>
      <w:r>
        <w:rPr>
          <w:rFonts w:ascii="宋体" w:hAnsi="宋体" w:hint="eastAsia"/>
          <w:b/>
          <w:sz w:val="18"/>
          <w:szCs w:val="18"/>
        </w:rPr>
        <w:t>（一）投资者投资本产品可能面临的特定风险主要包括（但不限于）：</w:t>
      </w:r>
    </w:p>
    <w:p w:rsidR="00E039EF" w:rsidRDefault="003F2D22">
      <w:pPr>
        <w:spacing w:line="360" w:lineRule="auto"/>
        <w:ind w:firstLineChars="200" w:firstLine="360"/>
        <w:rPr>
          <w:rFonts w:ascii="宋体" w:hAnsi="宋体"/>
          <w:sz w:val="18"/>
          <w:szCs w:val="18"/>
        </w:rPr>
      </w:pPr>
      <w:permStart w:id="1813204933" w:edGrp="everyone"/>
      <w:r>
        <w:rPr>
          <w:rFonts w:ascii="宋体" w:hAnsi="宋体" w:hint="eastAsia"/>
          <w:sz w:val="18"/>
          <w:szCs w:val="18"/>
        </w:rPr>
        <w:t>【1、拟投资市场和资产的风险：</w:t>
      </w:r>
    </w:p>
    <w:p w:rsidR="00E039EF" w:rsidRDefault="003F2D22">
      <w:pPr>
        <w:spacing w:line="360" w:lineRule="auto"/>
        <w:ind w:firstLineChars="200" w:firstLine="360"/>
        <w:rPr>
          <w:rFonts w:ascii="宋体" w:hAnsi="宋体"/>
          <w:sz w:val="18"/>
          <w:szCs w:val="18"/>
        </w:rPr>
      </w:pPr>
      <w:r>
        <w:rPr>
          <w:rFonts w:ascii="宋体" w:hAnsi="宋体" w:hint="eastAsia"/>
          <w:sz w:val="18"/>
          <w:szCs w:val="18"/>
        </w:rPr>
        <w:t>（1）投资债权类资产的风险</w:t>
      </w:r>
    </w:p>
    <w:p w:rsidR="00E039EF" w:rsidRDefault="003F2D22">
      <w:pPr>
        <w:spacing w:line="360" w:lineRule="auto"/>
        <w:ind w:firstLineChars="200" w:firstLine="360"/>
        <w:rPr>
          <w:rFonts w:ascii="宋体" w:hAnsi="宋体"/>
          <w:sz w:val="18"/>
          <w:szCs w:val="18"/>
        </w:rPr>
      </w:pPr>
      <w:r>
        <w:rPr>
          <w:rFonts w:ascii="宋体" w:hAnsi="宋体" w:hint="eastAsia"/>
          <w:sz w:val="18"/>
          <w:szCs w:val="18"/>
        </w:rPr>
        <w:t>1）投资标准化债权类资产的风险</w:t>
      </w:r>
    </w:p>
    <w:p w:rsidR="00E039EF" w:rsidRDefault="003F2D22">
      <w:pPr>
        <w:spacing w:line="360" w:lineRule="auto"/>
        <w:ind w:firstLineChars="200" w:firstLine="360"/>
        <w:rPr>
          <w:rFonts w:ascii="宋体" w:hAnsi="宋体"/>
          <w:sz w:val="18"/>
          <w:szCs w:val="18"/>
        </w:rPr>
      </w:pPr>
      <w:r>
        <w:rPr>
          <w:rFonts w:ascii="宋体" w:hAnsi="宋体" w:hint="eastAsia"/>
          <w:sz w:val="18"/>
          <w:szCs w:val="18"/>
        </w:rPr>
        <w:t>本产品投资债券、资产支持证券等债权类资产时可能面临以下风险：国家政策、经济周期、利率、汇率等因素可能发生的变化导致的市场风险；债券发行人的经营状况、信用质量降低等可能发生的变化导致的信用风险；可能因市场成交量不足、缺乏交易对手导致的流动性风险等。</w:t>
      </w:r>
    </w:p>
    <w:p w:rsidR="00E039EF" w:rsidRDefault="003F2D22">
      <w:pPr>
        <w:spacing w:line="360" w:lineRule="auto"/>
        <w:ind w:firstLineChars="200" w:firstLine="360"/>
        <w:rPr>
          <w:rFonts w:ascii="宋体" w:hAnsi="宋体"/>
          <w:bCs/>
          <w:sz w:val="18"/>
          <w:szCs w:val="18"/>
        </w:rPr>
      </w:pPr>
      <w:r>
        <w:rPr>
          <w:rFonts w:ascii="宋体" w:hAnsi="宋体" w:hint="eastAsia"/>
          <w:bCs/>
          <w:sz w:val="18"/>
          <w:szCs w:val="18"/>
        </w:rPr>
        <w:t xml:space="preserve">（2）投资商品和金融衍生品类资产的风险 </w:t>
      </w:r>
    </w:p>
    <w:p w:rsidR="00E039EF" w:rsidRDefault="003F2D22">
      <w:pPr>
        <w:spacing w:line="360" w:lineRule="auto"/>
        <w:ind w:firstLineChars="200" w:firstLine="360"/>
        <w:rPr>
          <w:rFonts w:ascii="宋体" w:hAnsi="宋体"/>
          <w:sz w:val="18"/>
          <w:szCs w:val="18"/>
        </w:rPr>
      </w:pPr>
      <w:r>
        <w:rPr>
          <w:rFonts w:ascii="宋体" w:hAnsi="宋体" w:hint="eastAsia"/>
          <w:bCs/>
          <w:sz w:val="18"/>
          <w:szCs w:val="18"/>
        </w:rPr>
        <w:t>本产品投资商品和金融衍生品类资产时可能面临以下风险：该衍生品资产可能实行保证金交易制度，具有高杠杆性，高杠杆效应放大了价格波动风险；若本产品运作中出现基差（注：基差是指现货价格与期货价格之间的差额）波动不确定性加大、基差向不利方向变动等情况，可能对本产品投资产生不利影响；本产品持有的衍生品合约临近交割期限，需要向较远月份的合约进行展期时，可能发生展期过程中价差损失以及交易成本损失的情况，对投资产生不利影响；当本产品投资的衍生品保证金不足时，可能使所持有的头寸面临被强制平仓的风险。</w:t>
      </w:r>
      <w:r>
        <w:rPr>
          <w:rFonts w:ascii="宋体" w:hAnsi="宋体" w:hint="eastAsia"/>
          <w:sz w:val="18"/>
          <w:szCs w:val="18"/>
        </w:rPr>
        <w:t>】</w:t>
      </w:r>
      <w:permEnd w:id="1813204933"/>
    </w:p>
    <w:p w:rsidR="00E039EF" w:rsidRDefault="003F2D22">
      <w:pPr>
        <w:pStyle w:val="af6"/>
        <w:spacing w:line="360" w:lineRule="auto"/>
        <w:ind w:firstLine="361"/>
        <w:rPr>
          <w:rFonts w:ascii="宋体" w:hAnsi="宋体"/>
          <w:sz w:val="18"/>
          <w:szCs w:val="18"/>
        </w:rPr>
      </w:pPr>
      <w:r>
        <w:rPr>
          <w:rFonts w:ascii="黑体" w:eastAsia="黑体" w:hAnsi="黑体" w:cs="仿宋_GB2312" w:hint="eastAsia"/>
          <w:b/>
          <w:kern w:val="0"/>
          <w:sz w:val="18"/>
          <w:szCs w:val="18"/>
        </w:rPr>
        <w:t>★</w:t>
      </w:r>
      <w:r>
        <w:rPr>
          <w:rFonts w:ascii="黑体" w:eastAsia="黑体" w:hAnsi="黑体" w:hint="eastAsia"/>
          <w:sz w:val="18"/>
          <w:szCs w:val="18"/>
        </w:rPr>
        <w:t>注：以上特定风险仅为列举性质，未能详尽列明投资本产品可能面临的全部风险和可能导致投资者投资本金及收益损失的所有因素。</w:t>
      </w:r>
    </w:p>
    <w:p w:rsidR="00E039EF" w:rsidRDefault="003F2D22">
      <w:pPr>
        <w:spacing w:line="360" w:lineRule="auto"/>
        <w:ind w:firstLineChars="200" w:firstLine="361"/>
        <w:rPr>
          <w:rFonts w:ascii="宋体" w:hAnsi="宋体"/>
          <w:b/>
          <w:sz w:val="18"/>
          <w:szCs w:val="18"/>
        </w:rPr>
      </w:pPr>
      <w:r>
        <w:rPr>
          <w:rFonts w:ascii="宋体" w:hAnsi="宋体" w:hint="eastAsia"/>
          <w:b/>
          <w:sz w:val="18"/>
          <w:szCs w:val="18"/>
        </w:rPr>
        <w:t xml:space="preserve">（二）投资者投资本产品可能面临的一般风险主要包括（但不限于）： </w:t>
      </w:r>
    </w:p>
    <w:p w:rsidR="00E039EF" w:rsidRDefault="003F2D22">
      <w:pPr>
        <w:spacing w:line="360" w:lineRule="auto"/>
        <w:ind w:firstLineChars="200" w:firstLine="360"/>
        <w:rPr>
          <w:rFonts w:ascii="宋体" w:hAnsi="宋体"/>
          <w:sz w:val="18"/>
          <w:szCs w:val="18"/>
        </w:rPr>
      </w:pPr>
      <w:r>
        <w:rPr>
          <w:rFonts w:ascii="宋体" w:hAnsi="宋体"/>
          <w:sz w:val="18"/>
          <w:szCs w:val="18"/>
        </w:rPr>
        <w:t>1</w:t>
      </w:r>
      <w:r>
        <w:rPr>
          <w:rFonts w:ascii="宋体" w:hAnsi="宋体" w:hint="eastAsia"/>
          <w:sz w:val="18"/>
          <w:szCs w:val="18"/>
        </w:rPr>
        <w:t>.</w:t>
      </w:r>
      <w:r>
        <w:rPr>
          <w:rFonts w:ascii="宋体" w:hAnsi="宋体"/>
          <w:sz w:val="18"/>
          <w:szCs w:val="18"/>
        </w:rPr>
        <w:t>信用风险</w:t>
      </w:r>
    </w:p>
    <w:p w:rsidR="00E039EF" w:rsidRDefault="003F2D22">
      <w:pPr>
        <w:spacing w:line="360" w:lineRule="auto"/>
        <w:ind w:firstLineChars="200" w:firstLine="360"/>
        <w:rPr>
          <w:rFonts w:ascii="宋体" w:hAnsi="宋体"/>
          <w:sz w:val="18"/>
          <w:szCs w:val="18"/>
        </w:rPr>
      </w:pPr>
      <w:r>
        <w:rPr>
          <w:rFonts w:ascii="宋体" w:hAnsi="宋体" w:hint="eastAsia"/>
          <w:sz w:val="18"/>
          <w:szCs w:val="18"/>
        </w:rPr>
        <w:t>理财产品投资运作过程中，理财产品管理人将根据《产品说明书》的约定投资于相关金融工具或资产，如果相关投资的债务人、交易对手等发生违约，信用状况恶化等，投资者将面临投资损失的风险。</w:t>
      </w:r>
    </w:p>
    <w:p w:rsidR="00E039EF" w:rsidRDefault="003F2D22">
      <w:pPr>
        <w:spacing w:line="360" w:lineRule="auto"/>
        <w:ind w:firstLineChars="200" w:firstLine="360"/>
        <w:rPr>
          <w:rFonts w:ascii="宋体" w:hAnsi="宋体"/>
          <w:sz w:val="18"/>
          <w:szCs w:val="18"/>
        </w:rPr>
      </w:pPr>
      <w:r>
        <w:rPr>
          <w:rFonts w:ascii="宋体" w:hAnsi="宋体"/>
          <w:sz w:val="18"/>
          <w:szCs w:val="18"/>
        </w:rPr>
        <w:t>2</w:t>
      </w:r>
      <w:r>
        <w:rPr>
          <w:rFonts w:ascii="宋体" w:hAnsi="宋体" w:hint="eastAsia"/>
          <w:sz w:val="18"/>
          <w:szCs w:val="18"/>
        </w:rPr>
        <w:t>.</w:t>
      </w:r>
      <w:r>
        <w:rPr>
          <w:rFonts w:ascii="宋体" w:hAnsi="宋体"/>
          <w:sz w:val="18"/>
          <w:szCs w:val="18"/>
        </w:rPr>
        <w:t>利率风险</w:t>
      </w:r>
    </w:p>
    <w:p w:rsidR="00E039EF" w:rsidRDefault="003F2D22">
      <w:pPr>
        <w:spacing w:line="360" w:lineRule="auto"/>
        <w:ind w:firstLineChars="200" w:firstLine="360"/>
        <w:rPr>
          <w:rFonts w:ascii="宋体" w:hAnsi="宋体"/>
          <w:sz w:val="18"/>
          <w:szCs w:val="18"/>
        </w:rPr>
      </w:pPr>
      <w:r>
        <w:rPr>
          <w:rFonts w:ascii="宋体" w:hAnsi="宋体" w:hint="eastAsia"/>
          <w:sz w:val="18"/>
          <w:szCs w:val="18"/>
        </w:rPr>
        <w:t>理财产品存续期内，如果市场利率发生变化，并导致本产品所投资产的收益大幅下跌，则可能造成投资者遭受损失；如果物价指数上升，理财产品的净值收益水平低于通货膨胀率，造成投资者投资理财产品遭受损失的风险。</w:t>
      </w:r>
    </w:p>
    <w:p w:rsidR="00E039EF" w:rsidRDefault="003F2D22">
      <w:pPr>
        <w:spacing w:line="360" w:lineRule="auto"/>
        <w:ind w:firstLineChars="200" w:firstLine="360"/>
        <w:rPr>
          <w:rFonts w:ascii="宋体" w:hAnsi="宋体"/>
          <w:sz w:val="18"/>
          <w:szCs w:val="18"/>
        </w:rPr>
      </w:pPr>
      <w:r>
        <w:rPr>
          <w:rFonts w:ascii="宋体" w:hAnsi="宋体" w:hint="eastAsia"/>
          <w:sz w:val="18"/>
          <w:szCs w:val="18"/>
        </w:rPr>
        <w:t>3.市场</w:t>
      </w:r>
      <w:r>
        <w:rPr>
          <w:rFonts w:ascii="宋体" w:hAnsi="宋体"/>
          <w:sz w:val="18"/>
          <w:szCs w:val="18"/>
        </w:rPr>
        <w:t>风险</w:t>
      </w:r>
    </w:p>
    <w:p w:rsidR="00E039EF" w:rsidRDefault="003F2D22">
      <w:pPr>
        <w:spacing w:line="360" w:lineRule="auto"/>
        <w:ind w:firstLineChars="200" w:firstLine="360"/>
        <w:rPr>
          <w:rFonts w:ascii="宋体" w:hAnsi="宋体"/>
          <w:sz w:val="18"/>
          <w:szCs w:val="18"/>
        </w:rPr>
      </w:pPr>
      <w:r>
        <w:rPr>
          <w:rFonts w:ascii="宋体" w:hAnsi="宋体" w:hint="eastAsia"/>
          <w:sz w:val="18"/>
          <w:szCs w:val="18"/>
        </w:rPr>
        <w:t>证券市场价格因受宏观政策面、利率、汇率变动等各种因素的影响而引起的波动，将使本产品资产面临潜在的风险。市场风险包括但不限于股票投资风险、债券投资风险、商品投资风险以及衍生品投资风险等。</w:t>
      </w:r>
    </w:p>
    <w:p w:rsidR="00E039EF" w:rsidRDefault="003F2D22">
      <w:pPr>
        <w:spacing w:line="360" w:lineRule="auto"/>
        <w:ind w:firstLineChars="200" w:firstLine="360"/>
        <w:rPr>
          <w:rFonts w:ascii="宋体" w:hAnsi="宋体"/>
          <w:sz w:val="18"/>
          <w:szCs w:val="18"/>
        </w:rPr>
      </w:pPr>
      <w:r>
        <w:rPr>
          <w:rFonts w:ascii="宋体" w:hAnsi="宋体" w:hint="eastAsia"/>
          <w:sz w:val="18"/>
          <w:szCs w:val="18"/>
        </w:rPr>
        <w:t>4.流动性风险</w:t>
      </w:r>
    </w:p>
    <w:p w:rsidR="00E039EF" w:rsidRDefault="003F2D22">
      <w:pPr>
        <w:spacing w:line="360" w:lineRule="auto"/>
        <w:ind w:firstLineChars="200" w:firstLine="360"/>
        <w:rPr>
          <w:rFonts w:ascii="宋体" w:hAnsi="宋体"/>
          <w:sz w:val="18"/>
          <w:szCs w:val="18"/>
        </w:rPr>
      </w:pPr>
      <w:r>
        <w:rPr>
          <w:rFonts w:ascii="宋体" w:hAnsi="宋体" w:hint="eastAsia"/>
          <w:sz w:val="18"/>
          <w:szCs w:val="18"/>
        </w:rPr>
        <w:lastRenderedPageBreak/>
        <w:t>若本理财产品为开放式产品的，管理人按本说明书约定接受投资者的申购与赎回申请。在理财产品面临流动性风险时，管理人将根据本说明书约定的方式采用流动性风险应对措施，投资者可能面临暂停赎回或延缓支付赎回款项的风险。在特定阶段、特定市场环境下，因市场成交量不足、资产限制赎回、暂停交易、缺乏意愿交易对手等原因，出现特定投资标的流动性较差的情况下时，可能导致本产品的投资组合存在无法及时变现及其他流动性风险。</w:t>
      </w:r>
    </w:p>
    <w:p w:rsidR="00E039EF" w:rsidRDefault="003F2D22">
      <w:pPr>
        <w:spacing w:line="360" w:lineRule="auto"/>
        <w:ind w:firstLineChars="200" w:firstLine="360"/>
        <w:rPr>
          <w:rFonts w:ascii="宋体" w:hAnsi="宋体"/>
          <w:sz w:val="18"/>
          <w:szCs w:val="18"/>
        </w:rPr>
      </w:pPr>
      <w:r>
        <w:rPr>
          <w:rFonts w:ascii="宋体" w:hAnsi="宋体" w:hint="eastAsia"/>
          <w:sz w:val="18"/>
          <w:szCs w:val="18"/>
        </w:rPr>
        <w:t>5.</w:t>
      </w:r>
      <w:r>
        <w:rPr>
          <w:rFonts w:ascii="宋体" w:hAnsi="宋体"/>
          <w:sz w:val="18"/>
          <w:szCs w:val="18"/>
        </w:rPr>
        <w:t>法律与政策风险</w:t>
      </w:r>
    </w:p>
    <w:p w:rsidR="00E039EF" w:rsidRDefault="003F2D22">
      <w:pPr>
        <w:spacing w:line="360" w:lineRule="auto"/>
        <w:ind w:firstLineChars="200" w:firstLine="360"/>
        <w:rPr>
          <w:rFonts w:ascii="宋体" w:hAnsi="宋体"/>
          <w:sz w:val="18"/>
          <w:szCs w:val="18"/>
        </w:rPr>
      </w:pPr>
      <w:r>
        <w:rPr>
          <w:rFonts w:ascii="宋体" w:hAnsi="宋体" w:hint="eastAsia"/>
          <w:sz w:val="18"/>
          <w:szCs w:val="18"/>
        </w:rPr>
        <w:t>国家监管政策、货币政策、财政税收政策、产业政策、宏观政策及相关法律、法规的调整与变化将会影响本产品的设立、投资及管理等的正常运行，甚至导致本产品发生损失。</w:t>
      </w:r>
    </w:p>
    <w:p w:rsidR="00E039EF" w:rsidRDefault="003F2D22">
      <w:pPr>
        <w:spacing w:line="360" w:lineRule="auto"/>
        <w:ind w:firstLineChars="200" w:firstLine="360"/>
        <w:rPr>
          <w:rFonts w:ascii="宋体" w:hAnsi="宋体"/>
          <w:sz w:val="18"/>
          <w:szCs w:val="18"/>
        </w:rPr>
      </w:pPr>
      <w:r>
        <w:rPr>
          <w:rFonts w:ascii="宋体" w:hAnsi="宋体" w:hint="eastAsia"/>
          <w:sz w:val="18"/>
          <w:szCs w:val="18"/>
        </w:rPr>
        <w:t>6.</w:t>
      </w:r>
      <w:r>
        <w:rPr>
          <w:rFonts w:ascii="宋体" w:hAnsi="宋体"/>
          <w:sz w:val="18"/>
          <w:szCs w:val="18"/>
        </w:rPr>
        <w:t>延期</w:t>
      </w:r>
      <w:r>
        <w:rPr>
          <w:rFonts w:ascii="宋体" w:hAnsi="宋体" w:hint="eastAsia"/>
          <w:sz w:val="18"/>
          <w:szCs w:val="18"/>
        </w:rPr>
        <w:t>终止</w:t>
      </w:r>
      <w:r>
        <w:rPr>
          <w:rFonts w:ascii="宋体" w:hAnsi="宋体"/>
          <w:sz w:val="18"/>
          <w:szCs w:val="18"/>
        </w:rPr>
        <w:t>风险</w:t>
      </w:r>
    </w:p>
    <w:p w:rsidR="00E039EF" w:rsidRDefault="003F2D22">
      <w:pPr>
        <w:spacing w:line="360" w:lineRule="auto"/>
        <w:ind w:firstLineChars="200" w:firstLine="360"/>
        <w:rPr>
          <w:rFonts w:ascii="宋体" w:hAnsi="宋体"/>
          <w:sz w:val="18"/>
          <w:szCs w:val="18"/>
        </w:rPr>
      </w:pPr>
      <w:r>
        <w:rPr>
          <w:rFonts w:ascii="宋体" w:hAnsi="宋体" w:hint="eastAsia"/>
          <w:sz w:val="18"/>
          <w:szCs w:val="18"/>
        </w:rPr>
        <w:t>指因市场内部和外部的原因导致理财基础资产不能及时变现而造成理财产品不能按时分配，理财期限将相应延长，从而导致本产品部分资金的延期分配。</w:t>
      </w:r>
    </w:p>
    <w:p w:rsidR="00E039EF" w:rsidRDefault="003F2D22">
      <w:pPr>
        <w:spacing w:line="360" w:lineRule="auto"/>
        <w:ind w:firstLineChars="200" w:firstLine="360"/>
        <w:rPr>
          <w:rFonts w:ascii="宋体" w:hAnsi="宋体"/>
          <w:sz w:val="18"/>
          <w:szCs w:val="18"/>
        </w:rPr>
      </w:pPr>
      <w:r>
        <w:rPr>
          <w:rFonts w:ascii="宋体" w:hAnsi="宋体" w:hint="eastAsia"/>
          <w:sz w:val="18"/>
          <w:szCs w:val="18"/>
        </w:rPr>
        <w:t>7.</w:t>
      </w:r>
      <w:r>
        <w:rPr>
          <w:rFonts w:ascii="宋体" w:hAnsi="宋体"/>
          <w:sz w:val="18"/>
          <w:szCs w:val="18"/>
        </w:rPr>
        <w:t>提前终止风险</w:t>
      </w:r>
    </w:p>
    <w:p w:rsidR="00E039EF" w:rsidRDefault="003F2D22">
      <w:pPr>
        <w:spacing w:line="360" w:lineRule="auto"/>
        <w:ind w:firstLineChars="200" w:firstLine="360"/>
        <w:rPr>
          <w:rFonts w:ascii="宋体" w:hAnsi="宋体"/>
          <w:sz w:val="18"/>
          <w:szCs w:val="18"/>
        </w:rPr>
      </w:pPr>
      <w:r>
        <w:rPr>
          <w:rFonts w:ascii="宋体" w:hAnsi="宋体" w:hint="eastAsia"/>
          <w:sz w:val="18"/>
          <w:szCs w:val="18"/>
        </w:rPr>
        <w:t>如遇国家金融政策重大调整或法律法规、监管政策发生变化等影响产品正常运作时、本产品的投资资产等不能成立或者提前终止、或者司法机关等有权机关要求、或发生其他产品管理人认为需要提前终止本产品等情况，产品管理人有权部分或全部提前终止本产品，投资者将面临再投资机会风险。</w:t>
      </w:r>
    </w:p>
    <w:p w:rsidR="00E039EF" w:rsidRDefault="003F2D22">
      <w:pPr>
        <w:spacing w:line="360" w:lineRule="auto"/>
        <w:ind w:firstLineChars="200" w:firstLine="360"/>
        <w:rPr>
          <w:rFonts w:ascii="黑体" w:eastAsia="黑体" w:hAnsi="黑体"/>
          <w:sz w:val="18"/>
          <w:szCs w:val="18"/>
        </w:rPr>
      </w:pPr>
      <w:r>
        <w:rPr>
          <w:rFonts w:ascii="黑体" w:eastAsia="黑体" w:hAnsi="黑体" w:hint="eastAsia"/>
          <w:sz w:val="18"/>
          <w:szCs w:val="18"/>
        </w:rPr>
        <w:t>8</w:t>
      </w:r>
      <w:r>
        <w:rPr>
          <w:rFonts w:ascii="黑体" w:eastAsia="黑体" w:hAnsi="黑体"/>
          <w:sz w:val="18"/>
          <w:szCs w:val="18"/>
        </w:rPr>
        <w:t>.★信息传递风险</w:t>
      </w:r>
    </w:p>
    <w:p w:rsidR="00E039EF" w:rsidRDefault="003F2D22">
      <w:pPr>
        <w:spacing w:line="360" w:lineRule="auto"/>
        <w:ind w:firstLineChars="200" w:firstLine="360"/>
        <w:rPr>
          <w:rFonts w:ascii="黑体" w:eastAsia="黑体" w:hAnsi="黑体"/>
          <w:sz w:val="18"/>
          <w:szCs w:val="18"/>
        </w:rPr>
      </w:pPr>
      <w:r>
        <w:rPr>
          <w:rFonts w:ascii="黑体" w:eastAsia="黑体" w:hAnsi="黑体" w:hint="eastAsia"/>
          <w:sz w:val="18"/>
          <w:szCs w:val="18"/>
        </w:rPr>
        <w:t>投资者需要通过约定的信息披露渠道了解产品相关信息公告。具体公告方式以理财产品</w:t>
      </w:r>
      <w:r>
        <w:rPr>
          <w:rFonts w:ascii="黑体" w:eastAsia="黑体" w:hAnsi="黑体"/>
          <w:sz w:val="18"/>
          <w:szCs w:val="18"/>
        </w:rPr>
        <w:t>销售文件</w:t>
      </w:r>
      <w:r>
        <w:rPr>
          <w:rFonts w:ascii="黑体" w:eastAsia="黑体" w:hAnsi="黑体" w:hint="eastAsia"/>
          <w:sz w:val="18"/>
          <w:szCs w:val="18"/>
        </w:rPr>
        <w:t>所载明的公告方式为准。投资者应根据本产品说明书所载明的公告方式及时查询本理财产品的相关信息。</w:t>
      </w:r>
      <w:r>
        <w:rPr>
          <w:rFonts w:ascii="黑体" w:eastAsia="黑体" w:hAnsi="黑体"/>
          <w:sz w:val="18"/>
          <w:szCs w:val="18"/>
        </w:rPr>
        <w:t>如果投资者未及时查询，或由于通讯故障、系统故障以及其他不可抗力等因素的影响使得投资者无法及时了解产品信息，由此而产生的责任和风险由投资者自行承担。如投资者预留的有效联系方式变更但未及时告知</w:t>
      </w:r>
      <w:r>
        <w:rPr>
          <w:rFonts w:ascii="黑体" w:eastAsia="黑体" w:hAnsi="黑体" w:hint="eastAsia"/>
          <w:sz w:val="18"/>
          <w:szCs w:val="18"/>
        </w:rPr>
        <w:t>产品管理人</w:t>
      </w:r>
      <w:r>
        <w:rPr>
          <w:rFonts w:ascii="黑体" w:eastAsia="黑体" w:hAnsi="黑体"/>
          <w:sz w:val="18"/>
          <w:szCs w:val="18"/>
        </w:rPr>
        <w:t>的，致使在需要联系投资者时无法及时联系并可能会由此影响投资者的投资决策，由此而产生的责任和风险由投资者自行承担。</w:t>
      </w:r>
    </w:p>
    <w:p w:rsidR="00E039EF" w:rsidRDefault="003F2D22">
      <w:pPr>
        <w:spacing w:line="360" w:lineRule="auto"/>
        <w:ind w:firstLineChars="200" w:firstLine="360"/>
        <w:rPr>
          <w:rFonts w:ascii="宋体" w:hAnsi="宋体"/>
          <w:sz w:val="18"/>
          <w:szCs w:val="18"/>
        </w:rPr>
      </w:pPr>
      <w:r>
        <w:rPr>
          <w:rFonts w:ascii="宋体" w:hAnsi="宋体" w:hint="eastAsia"/>
          <w:sz w:val="18"/>
          <w:szCs w:val="18"/>
        </w:rPr>
        <w:t>9.</w:t>
      </w:r>
      <w:r>
        <w:rPr>
          <w:rFonts w:ascii="宋体" w:hAnsi="宋体"/>
          <w:sz w:val="18"/>
          <w:szCs w:val="18"/>
        </w:rPr>
        <w:t>不可抗力及意外事件风险</w:t>
      </w:r>
    </w:p>
    <w:p w:rsidR="00E039EF" w:rsidRDefault="003F2D22">
      <w:pPr>
        <w:spacing w:line="360" w:lineRule="auto"/>
        <w:ind w:firstLineChars="200" w:firstLine="360"/>
        <w:rPr>
          <w:rFonts w:ascii="宋体" w:hAnsi="宋体"/>
          <w:sz w:val="18"/>
          <w:szCs w:val="18"/>
        </w:rPr>
      </w:pPr>
      <w:r>
        <w:rPr>
          <w:rFonts w:ascii="宋体" w:hAnsi="宋体" w:hint="eastAsia"/>
          <w:sz w:val="18"/>
          <w:szCs w:val="18"/>
        </w:rPr>
        <w:t>因战争、自然灾害、重大政治事件等不可抗力以及其他不可预见的意外事件可能致使理财产品面临损失的风险。</w:t>
      </w:r>
    </w:p>
    <w:p w:rsidR="00E039EF" w:rsidRDefault="003F2D22">
      <w:pPr>
        <w:spacing w:line="360" w:lineRule="auto"/>
        <w:ind w:firstLineChars="200" w:firstLine="360"/>
        <w:rPr>
          <w:rFonts w:ascii="宋体" w:hAnsi="宋体"/>
          <w:sz w:val="18"/>
          <w:szCs w:val="18"/>
        </w:rPr>
      </w:pPr>
      <w:r>
        <w:rPr>
          <w:rFonts w:ascii="宋体" w:hAnsi="宋体"/>
          <w:sz w:val="18"/>
          <w:szCs w:val="18"/>
        </w:rPr>
        <w:t>1</w:t>
      </w:r>
      <w:r>
        <w:rPr>
          <w:rFonts w:ascii="宋体" w:hAnsi="宋体" w:hint="eastAsia"/>
          <w:sz w:val="18"/>
          <w:szCs w:val="18"/>
        </w:rPr>
        <w:t>0.</w:t>
      </w:r>
      <w:r>
        <w:rPr>
          <w:rFonts w:ascii="宋体" w:hAnsi="宋体"/>
          <w:sz w:val="18"/>
          <w:szCs w:val="18"/>
        </w:rPr>
        <w:t>管理人风险</w:t>
      </w:r>
    </w:p>
    <w:p w:rsidR="00E039EF" w:rsidRDefault="003F2D22">
      <w:pPr>
        <w:spacing w:line="360" w:lineRule="auto"/>
        <w:ind w:firstLineChars="200" w:firstLine="360"/>
        <w:rPr>
          <w:rFonts w:ascii="宋体" w:hAnsi="宋体"/>
          <w:bCs/>
          <w:sz w:val="18"/>
          <w:szCs w:val="18"/>
        </w:rPr>
      </w:pPr>
      <w:r>
        <w:rPr>
          <w:rFonts w:ascii="宋体" w:hAnsi="宋体" w:hint="eastAsia"/>
          <w:sz w:val="18"/>
          <w:szCs w:val="18"/>
        </w:rPr>
        <w:t>理财产品管理人或理财投资资产相关服务机构受经验、技能等因素的限制，或者上述主体处理事务不当等，可能导致投资者遭受损失。</w:t>
      </w:r>
    </w:p>
    <w:p w:rsidR="00E039EF" w:rsidRDefault="003F2D22">
      <w:pPr>
        <w:spacing w:line="360" w:lineRule="auto"/>
        <w:ind w:firstLineChars="200" w:firstLine="360"/>
        <w:rPr>
          <w:rFonts w:ascii="宋体" w:hAnsi="宋体"/>
          <w:sz w:val="18"/>
          <w:szCs w:val="18"/>
        </w:rPr>
      </w:pPr>
      <w:r>
        <w:rPr>
          <w:rFonts w:ascii="宋体" w:hAnsi="宋体"/>
          <w:sz w:val="18"/>
          <w:szCs w:val="18"/>
        </w:rPr>
        <w:t>1</w:t>
      </w:r>
      <w:r>
        <w:rPr>
          <w:rFonts w:ascii="宋体" w:hAnsi="宋体" w:hint="eastAsia"/>
          <w:sz w:val="18"/>
          <w:szCs w:val="18"/>
        </w:rPr>
        <w:t>1.理财产品不成立风险</w:t>
      </w:r>
    </w:p>
    <w:p w:rsidR="00E039EF" w:rsidRDefault="003F2D22">
      <w:pPr>
        <w:spacing w:line="360" w:lineRule="auto"/>
        <w:ind w:firstLineChars="200" w:firstLine="360"/>
        <w:rPr>
          <w:rFonts w:ascii="宋体" w:hAnsi="宋体"/>
          <w:sz w:val="18"/>
          <w:szCs w:val="18"/>
        </w:rPr>
      </w:pPr>
      <w:r>
        <w:rPr>
          <w:rFonts w:ascii="宋体" w:hAnsi="宋体" w:hint="eastAsia"/>
          <w:sz w:val="18"/>
          <w:szCs w:val="18"/>
        </w:rPr>
        <w:t>如自本产品开始募集至认购期结束认购总金额未达到产品最小成立规模（如有约定），或</w:t>
      </w:r>
      <w:r>
        <w:rPr>
          <w:rFonts w:ascii="宋体" w:hAnsi="宋体"/>
          <w:sz w:val="18"/>
          <w:szCs w:val="18"/>
        </w:rPr>
        <w:t>融资人取消</w:t>
      </w:r>
      <w:r>
        <w:rPr>
          <w:rFonts w:ascii="宋体" w:hAnsi="宋体" w:hint="eastAsia"/>
          <w:sz w:val="18"/>
          <w:szCs w:val="18"/>
        </w:rPr>
        <w:lastRenderedPageBreak/>
        <w:t>融资</w:t>
      </w:r>
      <w:r>
        <w:rPr>
          <w:rFonts w:ascii="宋体" w:hAnsi="宋体"/>
          <w:sz w:val="18"/>
          <w:szCs w:val="18"/>
        </w:rPr>
        <w:t>计划，</w:t>
      </w:r>
      <w:r>
        <w:rPr>
          <w:rFonts w:ascii="宋体" w:hAnsi="宋体" w:hint="eastAsia"/>
          <w:sz w:val="18"/>
          <w:szCs w:val="18"/>
        </w:rPr>
        <w:t>或市场发生剧烈波动，或不可抗力，或相关法律法规以及监管部门规定等原因，经产品管理人谨慎合理判断难以按照理财产品销售文件有关规定向投资者提供本产品，产品管理人有权宣布本产品不成立并</w:t>
      </w:r>
      <w:r>
        <w:rPr>
          <w:rFonts w:ascii="宋体" w:hAnsi="宋体"/>
          <w:sz w:val="18"/>
          <w:szCs w:val="18"/>
        </w:rPr>
        <w:t>及时返还投资者资金</w:t>
      </w:r>
      <w:r>
        <w:rPr>
          <w:rFonts w:ascii="宋体" w:hAnsi="宋体" w:hint="eastAsia"/>
          <w:sz w:val="18"/>
          <w:szCs w:val="18"/>
        </w:rPr>
        <w:t>，投资者将承担投资本产品不成立的风险。</w:t>
      </w:r>
    </w:p>
    <w:p w:rsidR="00E039EF" w:rsidRDefault="003F2D22">
      <w:pPr>
        <w:spacing w:line="360" w:lineRule="auto"/>
        <w:ind w:firstLineChars="200" w:firstLine="360"/>
        <w:rPr>
          <w:rFonts w:ascii="宋体" w:hAnsi="宋体"/>
          <w:sz w:val="18"/>
          <w:szCs w:val="18"/>
        </w:rPr>
      </w:pPr>
      <w:r>
        <w:rPr>
          <w:rFonts w:ascii="宋体" w:hAnsi="宋体"/>
          <w:sz w:val="18"/>
          <w:szCs w:val="18"/>
        </w:rPr>
        <w:t>1</w:t>
      </w:r>
      <w:r>
        <w:rPr>
          <w:rFonts w:ascii="宋体" w:hAnsi="宋体" w:hint="eastAsia"/>
          <w:sz w:val="18"/>
          <w:szCs w:val="18"/>
        </w:rPr>
        <w:t>2.</w:t>
      </w:r>
      <w:r>
        <w:rPr>
          <w:rFonts w:ascii="宋体" w:hAnsi="宋体"/>
          <w:sz w:val="18"/>
          <w:szCs w:val="18"/>
        </w:rPr>
        <w:t>操作风险</w:t>
      </w:r>
    </w:p>
    <w:p w:rsidR="00E039EF" w:rsidRDefault="003F2D22">
      <w:pPr>
        <w:spacing w:line="360" w:lineRule="auto"/>
        <w:ind w:firstLineChars="200" w:firstLine="360"/>
        <w:rPr>
          <w:rFonts w:ascii="宋体" w:hAnsi="宋体"/>
          <w:sz w:val="18"/>
          <w:szCs w:val="18"/>
        </w:rPr>
      </w:pPr>
      <w:r>
        <w:rPr>
          <w:rFonts w:ascii="宋体" w:hAnsi="宋体" w:hint="eastAsia"/>
          <w:sz w:val="18"/>
          <w:szCs w:val="18"/>
        </w:rPr>
        <w:t>由于产品管理人的</w:t>
      </w:r>
      <w:r>
        <w:rPr>
          <w:rFonts w:ascii="宋体" w:hAnsi="宋体"/>
          <w:sz w:val="18"/>
          <w:szCs w:val="18"/>
        </w:rPr>
        <w:t>不完善或有问题的内部程序、员工和信息科技系统，以及外部事件所造成损失的风险。</w:t>
      </w:r>
    </w:p>
    <w:p w:rsidR="00E039EF" w:rsidRDefault="003F2D22">
      <w:pPr>
        <w:spacing w:line="360" w:lineRule="auto"/>
        <w:ind w:firstLineChars="200" w:firstLine="360"/>
        <w:rPr>
          <w:rFonts w:ascii="宋体" w:hAnsi="宋体"/>
          <w:sz w:val="18"/>
          <w:szCs w:val="18"/>
        </w:rPr>
      </w:pPr>
      <w:r>
        <w:rPr>
          <w:rFonts w:ascii="宋体" w:hAnsi="宋体"/>
          <w:sz w:val="18"/>
          <w:szCs w:val="18"/>
        </w:rPr>
        <w:t>1</w:t>
      </w:r>
      <w:r>
        <w:rPr>
          <w:rFonts w:ascii="宋体" w:hAnsi="宋体" w:hint="eastAsia"/>
          <w:sz w:val="18"/>
          <w:szCs w:val="18"/>
        </w:rPr>
        <w:t>3</w:t>
      </w:r>
      <w:r>
        <w:rPr>
          <w:rFonts w:ascii="宋体" w:hAnsi="宋体"/>
          <w:sz w:val="18"/>
          <w:szCs w:val="18"/>
        </w:rPr>
        <w:t>.估值</w:t>
      </w:r>
      <w:r>
        <w:rPr>
          <w:rFonts w:ascii="宋体" w:hAnsi="宋体" w:hint="eastAsia"/>
          <w:sz w:val="18"/>
          <w:szCs w:val="18"/>
        </w:rPr>
        <w:t>波动</w:t>
      </w:r>
      <w:r>
        <w:rPr>
          <w:rFonts w:ascii="宋体" w:hAnsi="宋体"/>
          <w:sz w:val="18"/>
          <w:szCs w:val="18"/>
        </w:rPr>
        <w:t>风险</w:t>
      </w:r>
    </w:p>
    <w:p w:rsidR="00E039EF" w:rsidRDefault="003F2D22">
      <w:pPr>
        <w:spacing w:line="360" w:lineRule="auto"/>
        <w:ind w:firstLineChars="200" w:firstLine="360"/>
        <w:rPr>
          <w:rFonts w:ascii="宋体" w:hAnsi="宋体"/>
          <w:sz w:val="18"/>
          <w:szCs w:val="18"/>
        </w:rPr>
      </w:pPr>
      <w:r>
        <w:rPr>
          <w:rFonts w:ascii="宋体" w:hAnsi="宋体" w:hint="eastAsia"/>
          <w:sz w:val="18"/>
          <w:szCs w:val="18"/>
        </w:rPr>
        <w:t>本理财产品可能</w:t>
      </w:r>
      <w:r>
        <w:rPr>
          <w:rFonts w:ascii="宋体" w:hAnsi="宋体"/>
          <w:sz w:val="18"/>
          <w:szCs w:val="18"/>
        </w:rPr>
        <w:t>投资符合监管</w:t>
      </w:r>
      <w:r>
        <w:rPr>
          <w:rFonts w:ascii="宋体" w:hAnsi="宋体" w:hint="eastAsia"/>
          <w:sz w:val="18"/>
          <w:szCs w:val="18"/>
        </w:rPr>
        <w:t>要求的资产管理产品（包括但不限于信托计划、公募基金、基金公司或子公司资产管理计划、证券公司资产管理计划、期货资产管理计划、保险资产管理计划等），前述资产管理产品的管理人可能收取</w:t>
      </w:r>
      <w:r>
        <w:rPr>
          <w:rFonts w:ascii="宋体" w:hAnsi="宋体"/>
          <w:sz w:val="18"/>
          <w:szCs w:val="18"/>
        </w:rPr>
        <w:t>业绩报酬，</w:t>
      </w:r>
      <w:r>
        <w:rPr>
          <w:rFonts w:ascii="宋体" w:hAnsi="宋体" w:hint="eastAsia"/>
          <w:sz w:val="18"/>
          <w:szCs w:val="18"/>
        </w:rPr>
        <w:t>当前述资产管理产品计提业绩报酬时，本理财产品的产品份额净值存在下跌的风险。</w:t>
      </w:r>
    </w:p>
    <w:p w:rsidR="00E039EF" w:rsidRDefault="003F2D22">
      <w:pPr>
        <w:spacing w:line="360" w:lineRule="auto"/>
        <w:ind w:firstLineChars="200" w:firstLine="360"/>
        <w:rPr>
          <w:rFonts w:ascii="宋体" w:hAnsi="宋体"/>
          <w:sz w:val="18"/>
          <w:szCs w:val="18"/>
        </w:rPr>
      </w:pPr>
      <w:r>
        <w:rPr>
          <w:rFonts w:ascii="宋体" w:hAnsi="宋体"/>
          <w:sz w:val="18"/>
          <w:szCs w:val="18"/>
        </w:rPr>
        <w:t>1</w:t>
      </w:r>
      <w:r>
        <w:rPr>
          <w:rFonts w:ascii="宋体" w:hAnsi="宋体" w:hint="eastAsia"/>
          <w:sz w:val="18"/>
          <w:szCs w:val="18"/>
        </w:rPr>
        <w:t>4.</w:t>
      </w:r>
      <w:r>
        <w:rPr>
          <w:rFonts w:ascii="宋体" w:hAnsi="宋体"/>
          <w:sz w:val="18"/>
          <w:szCs w:val="18"/>
        </w:rPr>
        <w:t>估值差错风险</w:t>
      </w:r>
    </w:p>
    <w:p w:rsidR="00E039EF" w:rsidRDefault="003F2D22">
      <w:pPr>
        <w:spacing w:line="360" w:lineRule="auto"/>
        <w:ind w:firstLineChars="200" w:firstLine="360"/>
        <w:rPr>
          <w:rFonts w:ascii="宋体" w:hAnsi="宋体"/>
          <w:sz w:val="18"/>
          <w:szCs w:val="18"/>
        </w:rPr>
      </w:pPr>
      <w:r>
        <w:rPr>
          <w:rFonts w:ascii="宋体" w:hAnsi="宋体" w:hint="eastAsia"/>
          <w:sz w:val="18"/>
          <w:szCs w:val="18"/>
        </w:rPr>
        <w:t>理财投资基础资产时涉及对资产估值不准确、及时的，理财产品管理人及产品托管人对理财产品费用计提出现错误，将导致本产品估值差错，可能影响理财产品份额净值。</w:t>
      </w:r>
    </w:p>
    <w:p w:rsidR="00E039EF" w:rsidRDefault="003F2D22">
      <w:pPr>
        <w:spacing w:line="360" w:lineRule="auto"/>
        <w:ind w:firstLineChars="200" w:firstLine="360"/>
        <w:rPr>
          <w:rFonts w:ascii="黑体" w:eastAsia="黑体" w:hAnsi="黑体" w:cs="黑体"/>
          <w:sz w:val="18"/>
          <w:szCs w:val="18"/>
        </w:rPr>
      </w:pPr>
      <w:r>
        <w:rPr>
          <w:rFonts w:ascii="黑体" w:eastAsia="黑体" w:hAnsi="黑体" w:cs="黑体" w:hint="eastAsia"/>
          <w:sz w:val="18"/>
          <w:szCs w:val="18"/>
        </w:rPr>
        <w:t>15.★代销风险</w:t>
      </w:r>
    </w:p>
    <w:p w:rsidR="00E039EF" w:rsidRDefault="003F2D22">
      <w:pPr>
        <w:spacing w:line="360" w:lineRule="auto"/>
        <w:ind w:firstLineChars="200" w:firstLine="360"/>
        <w:rPr>
          <w:rFonts w:ascii="黑体" w:eastAsia="黑体" w:hAnsi="黑体" w:cs="黑体"/>
          <w:sz w:val="18"/>
          <w:szCs w:val="18"/>
        </w:rPr>
      </w:pPr>
      <w:r>
        <w:rPr>
          <w:rFonts w:ascii="黑体" w:eastAsia="黑体" w:hAnsi="黑体" w:cs="黑体" w:hint="eastAsia"/>
          <w:sz w:val="18"/>
          <w:szCs w:val="18"/>
        </w:rPr>
        <w:t>本理财产品若通过非产品管理人自有渠道进行销售的属于代理销售，认购/申购时投资者购买理财产品的资金由代理销售机构从投资者指定账户扣收并划付管理人，赎回理财产品份额时相应款项由管理人按约定划付至代理销售机构，并由代理销售机构向投资者支付投资者应得理财利益。不同代理销售机构的销售渠道，其申购/赎回确认时效可能存在差异。如因投资者指定账户余额不足，或代理销售机构未及时足额划付资金，或代理销售机构清算账户内资金被依法冻结或扣划，或代理销售机构清算账户处于被挂失、冻结、注销或其他非正常状态等原因而导致交易失败，由代理销售机构与投资者依法协商解决，但前述约定不免除因代理销售机构过错依法应由代理销售机构承担的责任。</w:t>
      </w:r>
    </w:p>
    <w:p w:rsidR="00E039EF" w:rsidRDefault="003F2D22">
      <w:pPr>
        <w:spacing w:line="360" w:lineRule="auto"/>
        <w:ind w:firstLineChars="200" w:firstLine="360"/>
        <w:rPr>
          <w:rFonts w:ascii="黑体" w:eastAsia="黑体" w:hAnsi="黑体"/>
          <w:sz w:val="18"/>
          <w:szCs w:val="18"/>
        </w:rPr>
      </w:pPr>
      <w:r>
        <w:rPr>
          <w:rFonts w:ascii="黑体" w:eastAsia="黑体" w:hAnsi="黑体"/>
          <w:sz w:val="18"/>
          <w:szCs w:val="18"/>
        </w:rPr>
        <w:t>1</w:t>
      </w:r>
      <w:r>
        <w:rPr>
          <w:rFonts w:ascii="黑体" w:eastAsia="黑体" w:hAnsi="黑体" w:hint="eastAsia"/>
          <w:sz w:val="18"/>
          <w:szCs w:val="18"/>
        </w:rPr>
        <w:t>6</w:t>
      </w:r>
      <w:r>
        <w:rPr>
          <w:rFonts w:ascii="黑体" w:eastAsia="黑体" w:hAnsi="黑体"/>
          <w:sz w:val="18"/>
          <w:szCs w:val="18"/>
        </w:rPr>
        <w:t>.</w:t>
      </w:r>
      <w:r>
        <w:rPr>
          <w:rFonts w:ascii="黑体" w:eastAsia="黑体" w:hAnsi="黑体" w:hint="eastAsia"/>
          <w:sz w:val="18"/>
          <w:szCs w:val="18"/>
        </w:rPr>
        <w:t>★不同理财产品份额类别存在差异的风险</w:t>
      </w:r>
    </w:p>
    <w:p w:rsidR="00E039EF" w:rsidRDefault="003F2D22">
      <w:pPr>
        <w:spacing w:line="360" w:lineRule="auto"/>
        <w:ind w:firstLineChars="200" w:firstLine="360"/>
        <w:rPr>
          <w:rFonts w:ascii="黑体" w:eastAsia="黑体" w:hAnsi="黑体"/>
          <w:sz w:val="18"/>
          <w:szCs w:val="18"/>
        </w:rPr>
      </w:pPr>
      <w:r>
        <w:rPr>
          <w:rFonts w:ascii="黑体" w:eastAsia="黑体" w:hAnsi="黑体" w:hint="eastAsia"/>
          <w:sz w:val="18"/>
          <w:szCs w:val="18"/>
        </w:rPr>
        <w:t>理财产品管理人可根据投资者购买理财产品的金额、销售</w:t>
      </w:r>
      <w:r>
        <w:rPr>
          <w:rFonts w:ascii="黑体" w:eastAsia="黑体" w:hAnsi="黑体"/>
          <w:sz w:val="18"/>
          <w:szCs w:val="18"/>
        </w:rPr>
        <w:t>渠道</w:t>
      </w:r>
      <w:r>
        <w:rPr>
          <w:rFonts w:ascii="黑体" w:eastAsia="黑体" w:hAnsi="黑体" w:hint="eastAsia"/>
          <w:sz w:val="18"/>
          <w:szCs w:val="18"/>
        </w:rPr>
        <w:t>等因素，对理财投资者所持有的理财产品设置不同理财产品份额类别。不同类别的理财产品份额可能在销售名称、收费方式、销售服务费、销售代码、销售对象、销售起点金额（认购、申购的</w:t>
      </w:r>
      <w:r>
        <w:rPr>
          <w:rFonts w:ascii="黑体" w:eastAsia="黑体" w:hAnsi="黑体"/>
          <w:sz w:val="18"/>
          <w:szCs w:val="18"/>
        </w:rPr>
        <w:t>起点金额</w:t>
      </w:r>
      <w:r>
        <w:rPr>
          <w:rFonts w:ascii="黑体" w:eastAsia="黑体" w:hAnsi="黑体" w:hint="eastAsia"/>
          <w:sz w:val="18"/>
          <w:szCs w:val="18"/>
        </w:rPr>
        <w:t>）、投资者认购申购和赎回的数量限制、投资者持有本产品的最高限额最低限额、计算和公告产品份额净值方面存在差异。</w:t>
      </w:r>
    </w:p>
    <w:p w:rsidR="00E039EF" w:rsidRDefault="003F2D22">
      <w:pPr>
        <w:spacing w:line="360" w:lineRule="auto"/>
        <w:ind w:firstLineChars="200" w:firstLine="360"/>
        <w:rPr>
          <w:rFonts w:ascii="宋体" w:hAnsi="宋体"/>
          <w:sz w:val="18"/>
          <w:szCs w:val="18"/>
        </w:rPr>
      </w:pPr>
      <w:r>
        <w:rPr>
          <w:rFonts w:ascii="宋体" w:hAnsi="宋体"/>
          <w:sz w:val="18"/>
          <w:szCs w:val="18"/>
        </w:rPr>
        <w:t>1</w:t>
      </w:r>
      <w:r>
        <w:rPr>
          <w:rFonts w:ascii="宋体" w:hAnsi="宋体" w:hint="eastAsia"/>
          <w:sz w:val="18"/>
          <w:szCs w:val="18"/>
        </w:rPr>
        <w:t>7</w:t>
      </w:r>
      <w:r>
        <w:rPr>
          <w:rFonts w:ascii="宋体" w:hAnsi="宋体"/>
          <w:sz w:val="18"/>
          <w:szCs w:val="18"/>
        </w:rPr>
        <w:t>.</w:t>
      </w:r>
      <w:r>
        <w:rPr>
          <w:rFonts w:ascii="宋体" w:hAnsi="宋体" w:hint="eastAsia"/>
          <w:sz w:val="18"/>
          <w:szCs w:val="18"/>
        </w:rPr>
        <w:t>关联交易风险</w:t>
      </w:r>
    </w:p>
    <w:p w:rsidR="00E039EF" w:rsidRDefault="003F2D22">
      <w:pPr>
        <w:spacing w:line="360" w:lineRule="auto"/>
        <w:ind w:firstLineChars="200" w:firstLine="360"/>
        <w:rPr>
          <w:rFonts w:ascii="宋体" w:hAnsi="宋体"/>
          <w:sz w:val="18"/>
          <w:szCs w:val="18"/>
        </w:rPr>
      </w:pPr>
      <w:r>
        <w:rPr>
          <w:rFonts w:ascii="宋体" w:hAnsi="宋体" w:hint="eastAsia"/>
          <w:sz w:val="18"/>
          <w:szCs w:val="18"/>
        </w:rPr>
        <w:t>若本产品的销售机构为兴业银行股份有限公司（以下简称“兴业银行”），鉴于兴业银行是产品管理人的关联方，尽管兴业银行已建立健全关联方产品销售管理制度，但上述关联</w:t>
      </w:r>
      <w:r>
        <w:rPr>
          <w:rFonts w:ascii="宋体" w:hAnsi="宋体"/>
          <w:sz w:val="18"/>
          <w:szCs w:val="18"/>
        </w:rPr>
        <w:t>关系</w:t>
      </w:r>
      <w:r>
        <w:rPr>
          <w:rFonts w:ascii="宋体" w:hAnsi="宋体" w:hint="eastAsia"/>
          <w:sz w:val="18"/>
          <w:szCs w:val="18"/>
        </w:rPr>
        <w:t>仍可能产生</w:t>
      </w:r>
      <w:r>
        <w:rPr>
          <w:rFonts w:ascii="宋体" w:hAnsi="宋体"/>
          <w:sz w:val="18"/>
          <w:szCs w:val="18"/>
        </w:rPr>
        <w:t>不利影响和</w:t>
      </w:r>
      <w:r>
        <w:rPr>
          <w:rFonts w:ascii="宋体" w:hAnsi="宋体"/>
          <w:sz w:val="18"/>
          <w:szCs w:val="18"/>
        </w:rPr>
        <w:lastRenderedPageBreak/>
        <w:t>投资</w:t>
      </w:r>
      <w:r>
        <w:rPr>
          <w:rFonts w:ascii="宋体" w:hAnsi="宋体" w:hint="eastAsia"/>
          <w:sz w:val="18"/>
          <w:szCs w:val="18"/>
        </w:rPr>
        <w:t>风险，进而可能影响投资者的利益。</w:t>
      </w:r>
    </w:p>
    <w:p w:rsidR="00E039EF" w:rsidRDefault="003F2D22">
      <w:pPr>
        <w:spacing w:line="360" w:lineRule="auto"/>
        <w:ind w:firstLineChars="200" w:firstLine="360"/>
        <w:rPr>
          <w:rFonts w:hAnsi="宋体"/>
          <w:sz w:val="18"/>
          <w:szCs w:val="18"/>
        </w:rPr>
      </w:pPr>
      <w:r>
        <w:rPr>
          <w:rFonts w:ascii="黑体" w:eastAsia="黑体" w:hAnsi="黑体" w:hint="eastAsia"/>
          <w:sz w:val="18"/>
          <w:szCs w:val="18"/>
        </w:rPr>
        <w:t>（</w:t>
      </w:r>
      <w:r>
        <w:rPr>
          <w:rFonts w:ascii="黑体" w:eastAsia="黑体" w:hAnsi="黑体"/>
          <w:sz w:val="18"/>
          <w:szCs w:val="18"/>
        </w:rPr>
        <w:t>三</w:t>
      </w:r>
      <w:r>
        <w:rPr>
          <w:rFonts w:ascii="黑体" w:eastAsia="黑体" w:hAnsi="黑体" w:hint="eastAsia"/>
          <w:sz w:val="18"/>
          <w:szCs w:val="18"/>
        </w:rPr>
        <w:t>）★最不利投资情形下的投资结果示例：产品管理人对本产品的理财本金和收益不提供保证承诺，若理财产品运作期间，该理财产品投资标的出现风险，则投资者可能无法获得理财收益</w:t>
      </w:r>
      <w:r>
        <w:rPr>
          <w:rFonts w:ascii="黑体" w:eastAsia="黑体" w:hAnsi="黑体"/>
          <w:sz w:val="18"/>
          <w:szCs w:val="18"/>
        </w:rPr>
        <w:t>，甚至投资者的投资本金将遭受损失，在最不利的极端情况下，投资者可能损失全部本金。</w:t>
      </w:r>
    </w:p>
    <w:p w:rsidR="00E039EF" w:rsidRDefault="003F2D22">
      <w:pPr>
        <w:widowControl/>
        <w:jc w:val="left"/>
        <w:rPr>
          <w:rFonts w:ascii="宋体" w:hAnsi="宋体"/>
          <w:color w:val="000000"/>
          <w:kern w:val="0"/>
          <w:sz w:val="18"/>
          <w:szCs w:val="18"/>
        </w:rPr>
      </w:pPr>
      <w:r>
        <w:rPr>
          <w:rFonts w:hAnsi="宋体"/>
          <w:sz w:val="18"/>
          <w:szCs w:val="18"/>
        </w:rPr>
        <w:br w:type="page"/>
      </w:r>
    </w:p>
    <w:tbl>
      <w:tblPr>
        <w:tblStyle w:val="af"/>
        <w:tblW w:w="8222" w:type="dxa"/>
        <w:tblInd w:w="-176"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ayout w:type="fixed"/>
        <w:tblLook w:val="04A0" w:firstRow="1" w:lastRow="0" w:firstColumn="1" w:lastColumn="0" w:noHBand="0" w:noVBand="1"/>
      </w:tblPr>
      <w:tblGrid>
        <w:gridCol w:w="851"/>
        <w:gridCol w:w="7371"/>
      </w:tblGrid>
      <w:tr w:rsidR="00E039EF">
        <w:trPr>
          <w:trHeight w:hRule="exact" w:val="316"/>
        </w:trPr>
        <w:tc>
          <w:tcPr>
            <w:tcW w:w="8222" w:type="dxa"/>
            <w:gridSpan w:val="2"/>
          </w:tcPr>
          <w:p w:rsidR="00E039EF" w:rsidRDefault="003F2D22">
            <w:pPr>
              <w:spacing w:line="280" w:lineRule="atLeast"/>
              <w:ind w:firstLine="422"/>
              <w:jc w:val="center"/>
              <w:rPr>
                <w:rFonts w:ascii="宋体" w:hAnsi="宋体" w:cs="Arial"/>
                <w:b/>
                <w:szCs w:val="21"/>
              </w:rPr>
            </w:pPr>
            <w:r>
              <w:rPr>
                <w:rFonts w:ascii="宋体" w:hAnsi="宋体" w:cs="Arial" w:hint="eastAsia"/>
                <w:b/>
                <w:szCs w:val="21"/>
              </w:rPr>
              <w:lastRenderedPageBreak/>
              <w:t>投资者确认栏</w:t>
            </w:r>
          </w:p>
          <w:p w:rsidR="00E039EF" w:rsidRDefault="00E039EF">
            <w:pPr>
              <w:spacing w:line="360" w:lineRule="auto"/>
              <w:ind w:firstLine="361"/>
              <w:rPr>
                <w:b/>
                <w:sz w:val="18"/>
                <w:szCs w:val="18"/>
              </w:rPr>
            </w:pPr>
          </w:p>
        </w:tc>
      </w:tr>
      <w:tr w:rsidR="00E039EF">
        <w:trPr>
          <w:trHeight w:hRule="exact" w:val="1862"/>
        </w:trPr>
        <w:tc>
          <w:tcPr>
            <w:tcW w:w="851" w:type="dxa"/>
          </w:tcPr>
          <w:p w:rsidR="00E039EF" w:rsidRDefault="003F2D22">
            <w:pPr>
              <w:spacing w:line="360" w:lineRule="auto"/>
              <w:jc w:val="left"/>
              <w:rPr>
                <w:b/>
                <w:sz w:val="18"/>
                <w:szCs w:val="18"/>
              </w:rPr>
            </w:pPr>
            <w:r>
              <w:rPr>
                <w:rFonts w:hint="eastAsia"/>
                <w:b/>
                <w:sz w:val="18"/>
                <w:szCs w:val="18"/>
              </w:rPr>
              <w:t>个人投资者适用</w:t>
            </w:r>
          </w:p>
        </w:tc>
        <w:tc>
          <w:tcPr>
            <w:tcW w:w="7371" w:type="dxa"/>
          </w:tcPr>
          <w:p w:rsidR="00E039EF" w:rsidRDefault="003F2D22">
            <w:pPr>
              <w:spacing w:line="360" w:lineRule="auto"/>
              <w:ind w:firstLine="360"/>
              <w:jc w:val="left"/>
              <w:rPr>
                <w:sz w:val="18"/>
                <w:szCs w:val="18"/>
              </w:rPr>
            </w:pPr>
            <w:r>
              <w:rPr>
                <w:rFonts w:hint="eastAsia"/>
                <w:sz w:val="18"/>
                <w:szCs w:val="18"/>
              </w:rPr>
              <w:t>投资者（签字）：</w:t>
            </w:r>
          </w:p>
          <w:p w:rsidR="00E039EF" w:rsidRDefault="00E039EF">
            <w:pPr>
              <w:spacing w:line="360" w:lineRule="auto"/>
              <w:ind w:firstLine="361"/>
              <w:jc w:val="left"/>
              <w:rPr>
                <w:b/>
                <w:sz w:val="18"/>
                <w:szCs w:val="18"/>
              </w:rPr>
            </w:pPr>
          </w:p>
          <w:p w:rsidR="00E039EF" w:rsidRDefault="003F2D22">
            <w:pPr>
              <w:spacing w:line="360" w:lineRule="auto"/>
              <w:ind w:firstLine="360"/>
              <w:jc w:val="left"/>
              <w:rPr>
                <w:sz w:val="18"/>
                <w:szCs w:val="18"/>
              </w:rPr>
            </w:pPr>
            <w:r>
              <w:rPr>
                <w:rFonts w:hint="eastAsia"/>
                <w:sz w:val="18"/>
                <w:szCs w:val="18"/>
              </w:rPr>
              <w:t>日期：</w:t>
            </w:r>
          </w:p>
        </w:tc>
      </w:tr>
      <w:tr w:rsidR="00E039EF">
        <w:trPr>
          <w:trHeight w:val="1954"/>
        </w:trPr>
        <w:tc>
          <w:tcPr>
            <w:tcW w:w="851" w:type="dxa"/>
          </w:tcPr>
          <w:p w:rsidR="00E039EF" w:rsidRDefault="003F2D22">
            <w:pPr>
              <w:spacing w:line="360" w:lineRule="auto"/>
              <w:jc w:val="left"/>
              <w:rPr>
                <w:b/>
                <w:sz w:val="18"/>
                <w:szCs w:val="18"/>
              </w:rPr>
            </w:pPr>
            <w:r>
              <w:rPr>
                <w:rFonts w:hint="eastAsia"/>
                <w:b/>
                <w:sz w:val="18"/>
                <w:szCs w:val="18"/>
              </w:rPr>
              <w:t>机构投资者适用</w:t>
            </w:r>
          </w:p>
        </w:tc>
        <w:tc>
          <w:tcPr>
            <w:tcW w:w="7371" w:type="dxa"/>
          </w:tcPr>
          <w:p w:rsidR="00E039EF" w:rsidRDefault="003F2D22">
            <w:pPr>
              <w:spacing w:line="360" w:lineRule="auto"/>
              <w:ind w:firstLine="360"/>
              <w:jc w:val="left"/>
              <w:rPr>
                <w:rFonts w:cs="Arial"/>
                <w:sz w:val="18"/>
                <w:szCs w:val="18"/>
              </w:rPr>
            </w:pPr>
            <w:r>
              <w:rPr>
                <w:rFonts w:hint="eastAsia"/>
                <w:sz w:val="18"/>
                <w:szCs w:val="18"/>
              </w:rPr>
              <w:t>投资者</w:t>
            </w:r>
            <w:r>
              <w:rPr>
                <w:rFonts w:cs="Arial" w:hint="eastAsia"/>
                <w:sz w:val="18"/>
                <w:szCs w:val="18"/>
              </w:rPr>
              <w:t>（盖章）：</w:t>
            </w:r>
          </w:p>
          <w:p w:rsidR="00E039EF" w:rsidRDefault="00E039EF">
            <w:pPr>
              <w:spacing w:line="360" w:lineRule="auto"/>
              <w:ind w:firstLine="360"/>
              <w:jc w:val="left"/>
              <w:rPr>
                <w:rFonts w:cs="Arial"/>
                <w:sz w:val="18"/>
                <w:szCs w:val="18"/>
              </w:rPr>
            </w:pPr>
          </w:p>
          <w:p w:rsidR="00E039EF" w:rsidRDefault="003F2D22">
            <w:pPr>
              <w:spacing w:line="360" w:lineRule="auto"/>
              <w:ind w:firstLine="360"/>
              <w:jc w:val="left"/>
              <w:rPr>
                <w:rFonts w:cs="Arial"/>
                <w:sz w:val="18"/>
                <w:szCs w:val="18"/>
              </w:rPr>
            </w:pPr>
            <w:r>
              <w:rPr>
                <w:rFonts w:cs="Arial" w:hint="eastAsia"/>
                <w:sz w:val="18"/>
                <w:szCs w:val="18"/>
              </w:rPr>
              <w:t>投资者法定代表人或授权代理人（签字或盖章）：</w:t>
            </w:r>
          </w:p>
          <w:p w:rsidR="00E039EF" w:rsidRDefault="003F2D22">
            <w:pPr>
              <w:spacing w:line="360" w:lineRule="auto"/>
              <w:ind w:firstLine="360"/>
              <w:jc w:val="left"/>
              <w:rPr>
                <w:sz w:val="18"/>
                <w:szCs w:val="18"/>
              </w:rPr>
            </w:pPr>
            <w:r>
              <w:rPr>
                <w:rFonts w:hint="eastAsia"/>
                <w:sz w:val="18"/>
                <w:szCs w:val="18"/>
              </w:rPr>
              <w:t>日期：</w:t>
            </w:r>
          </w:p>
        </w:tc>
      </w:tr>
    </w:tbl>
    <w:p w:rsidR="00E039EF" w:rsidRDefault="003F2D22">
      <w:pPr>
        <w:spacing w:line="360" w:lineRule="auto"/>
        <w:jc w:val="left"/>
        <w:rPr>
          <w:bCs/>
        </w:rPr>
      </w:pPr>
      <w:r>
        <w:rPr>
          <w:rFonts w:ascii="宋体" w:hAnsi="宋体" w:hint="eastAsia"/>
          <w:b/>
          <w:sz w:val="18"/>
          <w:szCs w:val="18"/>
        </w:rPr>
        <w:t>（本《产品说明书》</w:t>
      </w:r>
      <w:r>
        <w:rPr>
          <w:rFonts w:ascii="宋体" w:hAnsi="宋体" w:cs="Arial" w:hint="eastAsia"/>
          <w:b/>
          <w:sz w:val="18"/>
          <w:szCs w:val="18"/>
        </w:rPr>
        <w:t>共有三份</w:t>
      </w:r>
      <w:r>
        <w:rPr>
          <w:rFonts w:ascii="宋体" w:hAnsi="宋体" w:cs="Arial"/>
          <w:b/>
          <w:sz w:val="18"/>
          <w:szCs w:val="18"/>
        </w:rPr>
        <w:t>签署</w:t>
      </w:r>
      <w:r>
        <w:rPr>
          <w:rFonts w:ascii="宋体" w:hAnsi="宋体" w:cs="Arial" w:hint="eastAsia"/>
          <w:b/>
          <w:sz w:val="18"/>
          <w:szCs w:val="18"/>
        </w:rPr>
        <w:t>文本，第一联销售机构留存，第二联投资者留存，第三联产品管理人留存</w:t>
      </w:r>
      <w:r>
        <w:rPr>
          <w:rFonts w:ascii="宋体" w:hAnsi="宋体" w:hint="eastAsia"/>
          <w:b/>
          <w:sz w:val="18"/>
          <w:szCs w:val="18"/>
        </w:rPr>
        <w:t>。）</w:t>
      </w:r>
    </w:p>
    <w:p w:rsidR="00E039EF" w:rsidRDefault="00E039EF">
      <w:pPr>
        <w:pStyle w:val="Default"/>
        <w:spacing w:line="360" w:lineRule="auto"/>
        <w:rPr>
          <w:rFonts w:hAnsi="宋体"/>
          <w:sz w:val="18"/>
          <w:szCs w:val="18"/>
        </w:rPr>
      </w:pPr>
    </w:p>
    <w:sectPr w:rsidR="00E039EF">
      <w:headerReference w:type="default" r:id="rId27"/>
      <w:footerReference w:type="default" r:id="rId28"/>
      <w:pgSz w:w="11906" w:h="16838"/>
      <w:pgMar w:top="1276" w:right="1800" w:bottom="1418" w:left="1800" w:header="567" w:footer="964" w:gutter="0"/>
      <w:pgNumType w:start="1"/>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B4E5D" w:rsidRDefault="002B4E5D">
      <w:r>
        <w:separator/>
      </w:r>
    </w:p>
  </w:endnote>
  <w:endnote w:type="continuationSeparator" w:id="0">
    <w:p w:rsidR="002B4E5D" w:rsidRDefault="002B4E5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 w:name="Courier New">
    <w:panose1 w:val="02070309020205020404"/>
    <w:charset w:val="00"/>
    <w:family w:val="modern"/>
    <w:notTrueType/>
    <w:pitch w:val="fixed"/>
    <w:sig w:usb0="00000003" w:usb1="00000000" w:usb2="00000000" w:usb3="00000000" w:csb0="00000001" w:csb1="00000000"/>
  </w:font>
  <w:font w:name="仿宋_GB2312">
    <w:panose1 w:val="02010609030101010101"/>
    <w:charset w:val="86"/>
    <w:family w:val="modern"/>
    <w:pitch w:val="fixed"/>
    <w:sig w:usb0="00000001" w:usb1="080E0000" w:usb2="00000010" w:usb3="00000000" w:csb0="00040000"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039EF" w:rsidRDefault="003F2D22">
    <w:pPr>
      <w:pStyle w:val="a9"/>
      <w:jc w:val="center"/>
      <w:rPr>
        <w:kern w:val="0"/>
        <w:szCs w:val="21"/>
      </w:rPr>
    </w:pPr>
    <w:r>
      <w:rPr>
        <w:kern w:val="0"/>
        <w:szCs w:val="21"/>
      </w:rPr>
      <w:fldChar w:fldCharType="begin"/>
    </w:r>
    <w:r>
      <w:rPr>
        <w:kern w:val="0"/>
        <w:szCs w:val="21"/>
      </w:rPr>
      <w:instrText xml:space="preserve"> PAGE </w:instrText>
    </w:r>
    <w:r>
      <w:rPr>
        <w:kern w:val="0"/>
        <w:szCs w:val="21"/>
      </w:rPr>
      <w:fldChar w:fldCharType="separate"/>
    </w:r>
    <w:r w:rsidR="00262A44">
      <w:rPr>
        <w:noProof/>
        <w:kern w:val="0"/>
        <w:szCs w:val="21"/>
      </w:rPr>
      <w:t>21</w:t>
    </w:r>
    <w:r>
      <w:rPr>
        <w:kern w:val="0"/>
        <w:szCs w:val="21"/>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B4E5D" w:rsidRDefault="002B4E5D">
      <w:r>
        <w:separator/>
      </w:r>
    </w:p>
  </w:footnote>
  <w:footnote w:type="continuationSeparator" w:id="0">
    <w:p w:rsidR="002B4E5D" w:rsidRDefault="002B4E5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039EF" w:rsidRDefault="003F2D22">
    <w:pPr>
      <w:pStyle w:val="aa"/>
      <w:jc w:val="right"/>
      <w:rPr>
        <w:rFonts w:ascii="Times New Roman" w:hAnsi="Times New Roman"/>
        <w:b/>
      </w:rPr>
    </w:pPr>
    <w:r>
      <w:rPr>
        <w:rFonts w:ascii="Times New Roman" w:hAnsi="Times New Roman" w:cs="Times New Roman" w:hint="eastAsia"/>
        <w:b/>
        <w:szCs w:val="20"/>
      </w:rPr>
      <w:t xml:space="preserve"> </w:t>
    </w:r>
    <w:r>
      <w:rPr>
        <w:rFonts w:ascii="Times New Roman" w:hAnsi="Times New Roman" w:hint="eastAsia"/>
        <w:b/>
      </w:rPr>
      <w:t>产品说明书</w:t>
    </w:r>
  </w:p>
  <w:p w:rsidR="00E039EF" w:rsidRDefault="003F2D22">
    <w:pPr>
      <w:pStyle w:val="aa"/>
      <w:jc w:val="right"/>
      <w:rPr>
        <w:rFonts w:ascii="Times New Roman" w:hAnsi="Times New Roman"/>
        <w:b/>
      </w:rPr>
    </w:pPr>
    <w:r>
      <w:rPr>
        <w:rFonts w:ascii="Times New Roman" w:hAnsi="Times New Roman" w:hint="eastAsia"/>
        <w:b/>
      </w:rPr>
      <w:t>注：本文件由兴银理财有限责任公司统一编制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A"/>
    <w:multiLevelType w:val="singleLevel"/>
    <w:tmpl w:val="0000000A"/>
    <w:lvl w:ilvl="0">
      <w:start w:val="1"/>
      <w:numFmt w:val="bullet"/>
      <w:pStyle w:val="Listbullet"/>
      <w:lvlText w:val=""/>
      <w:lvlJc w:val="left"/>
      <w:pPr>
        <w:tabs>
          <w:tab w:val="left" w:pos="360"/>
        </w:tabs>
        <w:ind w:left="360" w:hanging="360"/>
      </w:pPr>
      <w:rPr>
        <w:rFonts w:ascii="Symbol" w:hAnsi="Symbol" w:hint="default"/>
        <w:color w:val="auto"/>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bordersDoNotSurroundHeader/>
  <w:bordersDoNotSurroundFooter/>
  <w:documentProtection w:edit="readOnly" w:enforcement="1" w:cryptProviderType="rsaAES" w:cryptAlgorithmClass="hash" w:cryptAlgorithmType="typeAny" w:cryptAlgorithmSid="14" w:cryptSpinCount="100000" w:hash="ekj1XTDl7v8nbskwfCpcrAGsIrulYz/0+FnZwM+jllHFEkwu+YjW9GcRYRuTt/qylFsqZkXcToQJJZdSJI8lYA==" w:salt="P6XXnKTB8hiPkN0zDbdr2g=="/>
  <w:defaultTabStop w:val="420"/>
  <w:drawingGridHorizontalSpacing w:val="105"/>
  <w:drawingGridVerticalSpacing w:val="156"/>
  <w:displayHorizontalDrawingGridEvery w:val="2"/>
  <w:displayVerticalDrawingGridEvery w:val="2"/>
  <w:noPunctuationKerning/>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NmIwNTljODZlNmMxN2IxODkyNGQ0MzYwYjkyOGU4YWIifQ=="/>
  </w:docVars>
  <w:rsids>
    <w:rsidRoot w:val="006E7124"/>
    <w:rsid w:val="0000208C"/>
    <w:rsid w:val="00002480"/>
    <w:rsid w:val="0001202B"/>
    <w:rsid w:val="000124BB"/>
    <w:rsid w:val="00014A51"/>
    <w:rsid w:val="00014CFA"/>
    <w:rsid w:val="000160F8"/>
    <w:rsid w:val="00020E26"/>
    <w:rsid w:val="00022093"/>
    <w:rsid w:val="000240C1"/>
    <w:rsid w:val="0002421F"/>
    <w:rsid w:val="0002475B"/>
    <w:rsid w:val="00024B59"/>
    <w:rsid w:val="00024D52"/>
    <w:rsid w:val="000257FD"/>
    <w:rsid w:val="00026801"/>
    <w:rsid w:val="0002771C"/>
    <w:rsid w:val="000307FF"/>
    <w:rsid w:val="00030826"/>
    <w:rsid w:val="000310FD"/>
    <w:rsid w:val="00033D3E"/>
    <w:rsid w:val="000360AD"/>
    <w:rsid w:val="0004119D"/>
    <w:rsid w:val="0004124F"/>
    <w:rsid w:val="00042C76"/>
    <w:rsid w:val="00042CE7"/>
    <w:rsid w:val="00044823"/>
    <w:rsid w:val="00045941"/>
    <w:rsid w:val="00050766"/>
    <w:rsid w:val="0005088E"/>
    <w:rsid w:val="00051D28"/>
    <w:rsid w:val="00051DE2"/>
    <w:rsid w:val="00055773"/>
    <w:rsid w:val="000565A5"/>
    <w:rsid w:val="0005743B"/>
    <w:rsid w:val="00057BC6"/>
    <w:rsid w:val="0006031B"/>
    <w:rsid w:val="00061C70"/>
    <w:rsid w:val="00062695"/>
    <w:rsid w:val="000629DD"/>
    <w:rsid w:val="00063B03"/>
    <w:rsid w:val="000705EE"/>
    <w:rsid w:val="00070857"/>
    <w:rsid w:val="00073A90"/>
    <w:rsid w:val="000747D8"/>
    <w:rsid w:val="0007760F"/>
    <w:rsid w:val="00077A54"/>
    <w:rsid w:val="00077C13"/>
    <w:rsid w:val="00080277"/>
    <w:rsid w:val="0008037A"/>
    <w:rsid w:val="00081DC7"/>
    <w:rsid w:val="000826C9"/>
    <w:rsid w:val="00085DD5"/>
    <w:rsid w:val="0009086F"/>
    <w:rsid w:val="00092A5F"/>
    <w:rsid w:val="00093F35"/>
    <w:rsid w:val="00094CA6"/>
    <w:rsid w:val="00095235"/>
    <w:rsid w:val="00097047"/>
    <w:rsid w:val="000A0882"/>
    <w:rsid w:val="000A0CC9"/>
    <w:rsid w:val="000A0DC8"/>
    <w:rsid w:val="000A1E0C"/>
    <w:rsid w:val="000A3063"/>
    <w:rsid w:val="000A45C6"/>
    <w:rsid w:val="000A51DD"/>
    <w:rsid w:val="000A5A4A"/>
    <w:rsid w:val="000A5AAB"/>
    <w:rsid w:val="000B378B"/>
    <w:rsid w:val="000B6819"/>
    <w:rsid w:val="000B7F67"/>
    <w:rsid w:val="000C31AC"/>
    <w:rsid w:val="000C3B81"/>
    <w:rsid w:val="000C69CB"/>
    <w:rsid w:val="000C6BF4"/>
    <w:rsid w:val="000C7C96"/>
    <w:rsid w:val="000D01BB"/>
    <w:rsid w:val="000D0C3A"/>
    <w:rsid w:val="000D10B1"/>
    <w:rsid w:val="000D1473"/>
    <w:rsid w:val="000D19CF"/>
    <w:rsid w:val="000D2623"/>
    <w:rsid w:val="000D3E2A"/>
    <w:rsid w:val="000D4DAE"/>
    <w:rsid w:val="000D5369"/>
    <w:rsid w:val="000D548F"/>
    <w:rsid w:val="000D591B"/>
    <w:rsid w:val="000E008C"/>
    <w:rsid w:val="000E181B"/>
    <w:rsid w:val="000E18C8"/>
    <w:rsid w:val="000E4365"/>
    <w:rsid w:val="000E5A74"/>
    <w:rsid w:val="000E798C"/>
    <w:rsid w:val="000E7BB9"/>
    <w:rsid w:val="000F09FA"/>
    <w:rsid w:val="000F4322"/>
    <w:rsid w:val="000F556F"/>
    <w:rsid w:val="000F7FB5"/>
    <w:rsid w:val="00100295"/>
    <w:rsid w:val="00100789"/>
    <w:rsid w:val="00100D6E"/>
    <w:rsid w:val="00103221"/>
    <w:rsid w:val="0010351A"/>
    <w:rsid w:val="001048D9"/>
    <w:rsid w:val="00104FAF"/>
    <w:rsid w:val="0011092D"/>
    <w:rsid w:val="00111430"/>
    <w:rsid w:val="00112922"/>
    <w:rsid w:val="00112BE0"/>
    <w:rsid w:val="001139C8"/>
    <w:rsid w:val="001152F4"/>
    <w:rsid w:val="001157E6"/>
    <w:rsid w:val="00115A4C"/>
    <w:rsid w:val="00121A98"/>
    <w:rsid w:val="00122AA4"/>
    <w:rsid w:val="00122E28"/>
    <w:rsid w:val="001232D0"/>
    <w:rsid w:val="00124098"/>
    <w:rsid w:val="0012639A"/>
    <w:rsid w:val="00127FAE"/>
    <w:rsid w:val="00134EC8"/>
    <w:rsid w:val="00140E17"/>
    <w:rsid w:val="00140FD0"/>
    <w:rsid w:val="00142E86"/>
    <w:rsid w:val="00144336"/>
    <w:rsid w:val="00144A06"/>
    <w:rsid w:val="00144E84"/>
    <w:rsid w:val="00146F91"/>
    <w:rsid w:val="001507DF"/>
    <w:rsid w:val="00153415"/>
    <w:rsid w:val="001547CA"/>
    <w:rsid w:val="00154F9C"/>
    <w:rsid w:val="001562FA"/>
    <w:rsid w:val="0016331D"/>
    <w:rsid w:val="00163655"/>
    <w:rsid w:val="00163854"/>
    <w:rsid w:val="00165A9A"/>
    <w:rsid w:val="00167B0D"/>
    <w:rsid w:val="00171033"/>
    <w:rsid w:val="001715BB"/>
    <w:rsid w:val="00172BBF"/>
    <w:rsid w:val="0017394A"/>
    <w:rsid w:val="0017488D"/>
    <w:rsid w:val="00175F68"/>
    <w:rsid w:val="00176589"/>
    <w:rsid w:val="00176C88"/>
    <w:rsid w:val="00180376"/>
    <w:rsid w:val="001822B0"/>
    <w:rsid w:val="0018230F"/>
    <w:rsid w:val="001844D6"/>
    <w:rsid w:val="0018459A"/>
    <w:rsid w:val="00186521"/>
    <w:rsid w:val="00187F37"/>
    <w:rsid w:val="0019010B"/>
    <w:rsid w:val="00190633"/>
    <w:rsid w:val="0019071D"/>
    <w:rsid w:val="00190B9A"/>
    <w:rsid w:val="0019134D"/>
    <w:rsid w:val="0019285E"/>
    <w:rsid w:val="00192C78"/>
    <w:rsid w:val="00194E1F"/>
    <w:rsid w:val="0019519C"/>
    <w:rsid w:val="0019545E"/>
    <w:rsid w:val="001957A5"/>
    <w:rsid w:val="00196E62"/>
    <w:rsid w:val="001A0033"/>
    <w:rsid w:val="001A141C"/>
    <w:rsid w:val="001A352E"/>
    <w:rsid w:val="001A434D"/>
    <w:rsid w:val="001A6633"/>
    <w:rsid w:val="001B218F"/>
    <w:rsid w:val="001B21AE"/>
    <w:rsid w:val="001C31CB"/>
    <w:rsid w:val="001C41C7"/>
    <w:rsid w:val="001C5E54"/>
    <w:rsid w:val="001C7184"/>
    <w:rsid w:val="001C730C"/>
    <w:rsid w:val="001C770D"/>
    <w:rsid w:val="001C7B1B"/>
    <w:rsid w:val="001D03C8"/>
    <w:rsid w:val="001D06D0"/>
    <w:rsid w:val="001D1C72"/>
    <w:rsid w:val="001D1D5B"/>
    <w:rsid w:val="001D2824"/>
    <w:rsid w:val="001D3E8B"/>
    <w:rsid w:val="001D4AC9"/>
    <w:rsid w:val="001D4BC1"/>
    <w:rsid w:val="001D570A"/>
    <w:rsid w:val="001D688E"/>
    <w:rsid w:val="001E14FD"/>
    <w:rsid w:val="001E291D"/>
    <w:rsid w:val="001E461E"/>
    <w:rsid w:val="001E487F"/>
    <w:rsid w:val="001E54CE"/>
    <w:rsid w:val="001E61BD"/>
    <w:rsid w:val="001E6C14"/>
    <w:rsid w:val="001E70FE"/>
    <w:rsid w:val="001E77D6"/>
    <w:rsid w:val="001F00E4"/>
    <w:rsid w:val="001F4671"/>
    <w:rsid w:val="001F6BB0"/>
    <w:rsid w:val="001F7B81"/>
    <w:rsid w:val="001F7E0A"/>
    <w:rsid w:val="00201415"/>
    <w:rsid w:val="0020141D"/>
    <w:rsid w:val="00204063"/>
    <w:rsid w:val="0020563F"/>
    <w:rsid w:val="0020668E"/>
    <w:rsid w:val="00211510"/>
    <w:rsid w:val="002126B6"/>
    <w:rsid w:val="00214771"/>
    <w:rsid w:val="0021477B"/>
    <w:rsid w:val="002160B9"/>
    <w:rsid w:val="0021611E"/>
    <w:rsid w:val="00216882"/>
    <w:rsid w:val="002168CF"/>
    <w:rsid w:val="00217789"/>
    <w:rsid w:val="00220D74"/>
    <w:rsid w:val="002213EA"/>
    <w:rsid w:val="00223351"/>
    <w:rsid w:val="00223B5B"/>
    <w:rsid w:val="00224505"/>
    <w:rsid w:val="002265AA"/>
    <w:rsid w:val="00226925"/>
    <w:rsid w:val="00226E60"/>
    <w:rsid w:val="00227359"/>
    <w:rsid w:val="00231FC0"/>
    <w:rsid w:val="00233392"/>
    <w:rsid w:val="002366D2"/>
    <w:rsid w:val="00242CDB"/>
    <w:rsid w:val="0024456C"/>
    <w:rsid w:val="0024625D"/>
    <w:rsid w:val="00247F2A"/>
    <w:rsid w:val="002509C7"/>
    <w:rsid w:val="00251975"/>
    <w:rsid w:val="00252788"/>
    <w:rsid w:val="002533A3"/>
    <w:rsid w:val="00253B8C"/>
    <w:rsid w:val="00254D9A"/>
    <w:rsid w:val="00255373"/>
    <w:rsid w:val="002553DF"/>
    <w:rsid w:val="0025557C"/>
    <w:rsid w:val="00255756"/>
    <w:rsid w:val="0025790B"/>
    <w:rsid w:val="00262A44"/>
    <w:rsid w:val="00264630"/>
    <w:rsid w:val="002653AC"/>
    <w:rsid w:val="00265722"/>
    <w:rsid w:val="00266037"/>
    <w:rsid w:val="00266978"/>
    <w:rsid w:val="00266DAB"/>
    <w:rsid w:val="00272C40"/>
    <w:rsid w:val="00273F65"/>
    <w:rsid w:val="00274BFD"/>
    <w:rsid w:val="00275526"/>
    <w:rsid w:val="00275757"/>
    <w:rsid w:val="00281B9A"/>
    <w:rsid w:val="002826EB"/>
    <w:rsid w:val="00284D4C"/>
    <w:rsid w:val="00290893"/>
    <w:rsid w:val="0029197D"/>
    <w:rsid w:val="00293329"/>
    <w:rsid w:val="002A1894"/>
    <w:rsid w:val="002A2964"/>
    <w:rsid w:val="002A3DA0"/>
    <w:rsid w:val="002A6688"/>
    <w:rsid w:val="002B0A68"/>
    <w:rsid w:val="002B2349"/>
    <w:rsid w:val="002B389F"/>
    <w:rsid w:val="002B4AAF"/>
    <w:rsid w:val="002B4E5D"/>
    <w:rsid w:val="002B5421"/>
    <w:rsid w:val="002B75A8"/>
    <w:rsid w:val="002C036C"/>
    <w:rsid w:val="002C063A"/>
    <w:rsid w:val="002C0CF5"/>
    <w:rsid w:val="002C3DA6"/>
    <w:rsid w:val="002C3DD6"/>
    <w:rsid w:val="002C446D"/>
    <w:rsid w:val="002C6117"/>
    <w:rsid w:val="002C6DB5"/>
    <w:rsid w:val="002D0829"/>
    <w:rsid w:val="002D3AB7"/>
    <w:rsid w:val="002D3AEF"/>
    <w:rsid w:val="002D6AFD"/>
    <w:rsid w:val="002D7737"/>
    <w:rsid w:val="002E134B"/>
    <w:rsid w:val="002E25FC"/>
    <w:rsid w:val="002E393C"/>
    <w:rsid w:val="002E5F4C"/>
    <w:rsid w:val="002E6721"/>
    <w:rsid w:val="002E7C23"/>
    <w:rsid w:val="002F29C4"/>
    <w:rsid w:val="002F389F"/>
    <w:rsid w:val="002F45BC"/>
    <w:rsid w:val="002F4C49"/>
    <w:rsid w:val="00301106"/>
    <w:rsid w:val="003029FF"/>
    <w:rsid w:val="0030325C"/>
    <w:rsid w:val="00304D9D"/>
    <w:rsid w:val="00306DA6"/>
    <w:rsid w:val="0031156D"/>
    <w:rsid w:val="003122D5"/>
    <w:rsid w:val="00313E17"/>
    <w:rsid w:val="00314DBE"/>
    <w:rsid w:val="00320153"/>
    <w:rsid w:val="003224C7"/>
    <w:rsid w:val="003229E9"/>
    <w:rsid w:val="00331380"/>
    <w:rsid w:val="00331423"/>
    <w:rsid w:val="00331AA1"/>
    <w:rsid w:val="00332367"/>
    <w:rsid w:val="0033357B"/>
    <w:rsid w:val="00335A6D"/>
    <w:rsid w:val="003363E0"/>
    <w:rsid w:val="0033710A"/>
    <w:rsid w:val="00337172"/>
    <w:rsid w:val="00337AF2"/>
    <w:rsid w:val="00337EC3"/>
    <w:rsid w:val="003405D3"/>
    <w:rsid w:val="00341DFC"/>
    <w:rsid w:val="003444E9"/>
    <w:rsid w:val="00350B80"/>
    <w:rsid w:val="0035109F"/>
    <w:rsid w:val="00351B3C"/>
    <w:rsid w:val="0035299D"/>
    <w:rsid w:val="00356734"/>
    <w:rsid w:val="00356F2E"/>
    <w:rsid w:val="003601A7"/>
    <w:rsid w:val="00361109"/>
    <w:rsid w:val="00363191"/>
    <w:rsid w:val="00363504"/>
    <w:rsid w:val="0036433E"/>
    <w:rsid w:val="003669E3"/>
    <w:rsid w:val="00370696"/>
    <w:rsid w:val="00371546"/>
    <w:rsid w:val="003727DA"/>
    <w:rsid w:val="00373305"/>
    <w:rsid w:val="003745A5"/>
    <w:rsid w:val="00375BC6"/>
    <w:rsid w:val="00380DB4"/>
    <w:rsid w:val="00381A67"/>
    <w:rsid w:val="003823A6"/>
    <w:rsid w:val="003838B9"/>
    <w:rsid w:val="00383D2C"/>
    <w:rsid w:val="0038516F"/>
    <w:rsid w:val="00387E86"/>
    <w:rsid w:val="00391BBC"/>
    <w:rsid w:val="00392F32"/>
    <w:rsid w:val="00396C37"/>
    <w:rsid w:val="00396E72"/>
    <w:rsid w:val="003A42AD"/>
    <w:rsid w:val="003A430B"/>
    <w:rsid w:val="003B00EC"/>
    <w:rsid w:val="003B1841"/>
    <w:rsid w:val="003B32A0"/>
    <w:rsid w:val="003B343A"/>
    <w:rsid w:val="003B600B"/>
    <w:rsid w:val="003B72A3"/>
    <w:rsid w:val="003C2C6C"/>
    <w:rsid w:val="003C2FD0"/>
    <w:rsid w:val="003C3843"/>
    <w:rsid w:val="003C4A62"/>
    <w:rsid w:val="003C4CEB"/>
    <w:rsid w:val="003C51FE"/>
    <w:rsid w:val="003C6DEC"/>
    <w:rsid w:val="003C7EAF"/>
    <w:rsid w:val="003D26D0"/>
    <w:rsid w:val="003D3411"/>
    <w:rsid w:val="003D5ED1"/>
    <w:rsid w:val="003D63E6"/>
    <w:rsid w:val="003E2F07"/>
    <w:rsid w:val="003E31AA"/>
    <w:rsid w:val="003E3D00"/>
    <w:rsid w:val="003F2D22"/>
    <w:rsid w:val="003F4B74"/>
    <w:rsid w:val="00400144"/>
    <w:rsid w:val="00400D54"/>
    <w:rsid w:val="0040151D"/>
    <w:rsid w:val="0040285C"/>
    <w:rsid w:val="004043E5"/>
    <w:rsid w:val="00404A76"/>
    <w:rsid w:val="00404C4F"/>
    <w:rsid w:val="00406C36"/>
    <w:rsid w:val="0040736E"/>
    <w:rsid w:val="00407912"/>
    <w:rsid w:val="00410860"/>
    <w:rsid w:val="004111DE"/>
    <w:rsid w:val="00411594"/>
    <w:rsid w:val="004134C2"/>
    <w:rsid w:val="00416AC9"/>
    <w:rsid w:val="00416CB0"/>
    <w:rsid w:val="00420268"/>
    <w:rsid w:val="004227D0"/>
    <w:rsid w:val="0042292D"/>
    <w:rsid w:val="00422B14"/>
    <w:rsid w:val="00424562"/>
    <w:rsid w:val="0042456A"/>
    <w:rsid w:val="004259CB"/>
    <w:rsid w:val="00426CB5"/>
    <w:rsid w:val="0042700C"/>
    <w:rsid w:val="00430DF1"/>
    <w:rsid w:val="00434DA3"/>
    <w:rsid w:val="004365C7"/>
    <w:rsid w:val="004369A7"/>
    <w:rsid w:val="0043725F"/>
    <w:rsid w:val="00440E4C"/>
    <w:rsid w:val="00441309"/>
    <w:rsid w:val="00441A1F"/>
    <w:rsid w:val="00441C87"/>
    <w:rsid w:val="0044275F"/>
    <w:rsid w:val="00444B08"/>
    <w:rsid w:val="00444C05"/>
    <w:rsid w:val="00444E95"/>
    <w:rsid w:val="004451F2"/>
    <w:rsid w:val="00447A83"/>
    <w:rsid w:val="00450AE7"/>
    <w:rsid w:val="00452527"/>
    <w:rsid w:val="00453F94"/>
    <w:rsid w:val="0045405E"/>
    <w:rsid w:val="0045524D"/>
    <w:rsid w:val="00455720"/>
    <w:rsid w:val="00460E19"/>
    <w:rsid w:val="00461E0D"/>
    <w:rsid w:val="00462328"/>
    <w:rsid w:val="00462D9E"/>
    <w:rsid w:val="00466864"/>
    <w:rsid w:val="00466F57"/>
    <w:rsid w:val="00467C9D"/>
    <w:rsid w:val="00470261"/>
    <w:rsid w:val="004711A9"/>
    <w:rsid w:val="00471ABA"/>
    <w:rsid w:val="0047289E"/>
    <w:rsid w:val="00477510"/>
    <w:rsid w:val="00480985"/>
    <w:rsid w:val="00480CC1"/>
    <w:rsid w:val="00480FF7"/>
    <w:rsid w:val="004811BA"/>
    <w:rsid w:val="0048253E"/>
    <w:rsid w:val="00482F37"/>
    <w:rsid w:val="00483507"/>
    <w:rsid w:val="00485D45"/>
    <w:rsid w:val="00486A6C"/>
    <w:rsid w:val="00487444"/>
    <w:rsid w:val="004902E2"/>
    <w:rsid w:val="00490E3D"/>
    <w:rsid w:val="004917FC"/>
    <w:rsid w:val="004922CC"/>
    <w:rsid w:val="004940D3"/>
    <w:rsid w:val="004960D3"/>
    <w:rsid w:val="00497FEC"/>
    <w:rsid w:val="004A0C4A"/>
    <w:rsid w:val="004A0D93"/>
    <w:rsid w:val="004A12AC"/>
    <w:rsid w:val="004A2354"/>
    <w:rsid w:val="004B1194"/>
    <w:rsid w:val="004B1599"/>
    <w:rsid w:val="004B3136"/>
    <w:rsid w:val="004B5526"/>
    <w:rsid w:val="004C1BF8"/>
    <w:rsid w:val="004C2000"/>
    <w:rsid w:val="004C4C0A"/>
    <w:rsid w:val="004C4C12"/>
    <w:rsid w:val="004C51D4"/>
    <w:rsid w:val="004C62FA"/>
    <w:rsid w:val="004C6A3A"/>
    <w:rsid w:val="004C75D9"/>
    <w:rsid w:val="004D0C41"/>
    <w:rsid w:val="004D1CFA"/>
    <w:rsid w:val="004D2141"/>
    <w:rsid w:val="004D3932"/>
    <w:rsid w:val="004D5055"/>
    <w:rsid w:val="004D5AAF"/>
    <w:rsid w:val="004D5BE2"/>
    <w:rsid w:val="004D5E18"/>
    <w:rsid w:val="004D6163"/>
    <w:rsid w:val="004D6C75"/>
    <w:rsid w:val="004E17EB"/>
    <w:rsid w:val="004E20E1"/>
    <w:rsid w:val="004E3BD3"/>
    <w:rsid w:val="004E605C"/>
    <w:rsid w:val="004E78A6"/>
    <w:rsid w:val="004F0C90"/>
    <w:rsid w:val="004F10F4"/>
    <w:rsid w:val="004F14E2"/>
    <w:rsid w:val="004F15A3"/>
    <w:rsid w:val="004F2F63"/>
    <w:rsid w:val="004F3020"/>
    <w:rsid w:val="004F3355"/>
    <w:rsid w:val="004F45E5"/>
    <w:rsid w:val="004F483B"/>
    <w:rsid w:val="004F58A4"/>
    <w:rsid w:val="00500B33"/>
    <w:rsid w:val="0050192C"/>
    <w:rsid w:val="00502068"/>
    <w:rsid w:val="005023E9"/>
    <w:rsid w:val="005030D1"/>
    <w:rsid w:val="00503239"/>
    <w:rsid w:val="005048A9"/>
    <w:rsid w:val="00504CD2"/>
    <w:rsid w:val="005058C6"/>
    <w:rsid w:val="00506FB3"/>
    <w:rsid w:val="00512B61"/>
    <w:rsid w:val="00512E3B"/>
    <w:rsid w:val="00513143"/>
    <w:rsid w:val="005131E7"/>
    <w:rsid w:val="00517C1B"/>
    <w:rsid w:val="00521905"/>
    <w:rsid w:val="00521A8A"/>
    <w:rsid w:val="0052537A"/>
    <w:rsid w:val="005261C6"/>
    <w:rsid w:val="00526A8B"/>
    <w:rsid w:val="005306F5"/>
    <w:rsid w:val="0053145D"/>
    <w:rsid w:val="0053265E"/>
    <w:rsid w:val="00534837"/>
    <w:rsid w:val="00534ED6"/>
    <w:rsid w:val="005356DD"/>
    <w:rsid w:val="0054383E"/>
    <w:rsid w:val="00544067"/>
    <w:rsid w:val="0054458D"/>
    <w:rsid w:val="00544689"/>
    <w:rsid w:val="005448AE"/>
    <w:rsid w:val="00544EBF"/>
    <w:rsid w:val="0054752F"/>
    <w:rsid w:val="005477FF"/>
    <w:rsid w:val="005514EA"/>
    <w:rsid w:val="00551E13"/>
    <w:rsid w:val="0055265D"/>
    <w:rsid w:val="00556B03"/>
    <w:rsid w:val="00557F13"/>
    <w:rsid w:val="0056057A"/>
    <w:rsid w:val="005634A0"/>
    <w:rsid w:val="00564A34"/>
    <w:rsid w:val="00564BAA"/>
    <w:rsid w:val="005669ED"/>
    <w:rsid w:val="00566E49"/>
    <w:rsid w:val="00571676"/>
    <w:rsid w:val="0057386A"/>
    <w:rsid w:val="005745C2"/>
    <w:rsid w:val="00575575"/>
    <w:rsid w:val="005756EF"/>
    <w:rsid w:val="00580472"/>
    <w:rsid w:val="00583DB2"/>
    <w:rsid w:val="0058644F"/>
    <w:rsid w:val="00586B5E"/>
    <w:rsid w:val="0058793F"/>
    <w:rsid w:val="00587E86"/>
    <w:rsid w:val="005905CC"/>
    <w:rsid w:val="0059345F"/>
    <w:rsid w:val="005942B5"/>
    <w:rsid w:val="005964FC"/>
    <w:rsid w:val="00596640"/>
    <w:rsid w:val="005A1A2E"/>
    <w:rsid w:val="005A2814"/>
    <w:rsid w:val="005A3E7B"/>
    <w:rsid w:val="005A52CE"/>
    <w:rsid w:val="005A5694"/>
    <w:rsid w:val="005A60A3"/>
    <w:rsid w:val="005B07FC"/>
    <w:rsid w:val="005B1513"/>
    <w:rsid w:val="005B1F01"/>
    <w:rsid w:val="005B3D95"/>
    <w:rsid w:val="005B45B8"/>
    <w:rsid w:val="005B6567"/>
    <w:rsid w:val="005C1011"/>
    <w:rsid w:val="005C1A4B"/>
    <w:rsid w:val="005C2C22"/>
    <w:rsid w:val="005C3351"/>
    <w:rsid w:val="005C46BB"/>
    <w:rsid w:val="005C6C9D"/>
    <w:rsid w:val="005D0EC6"/>
    <w:rsid w:val="005D2A2A"/>
    <w:rsid w:val="005D30EC"/>
    <w:rsid w:val="005D3EBA"/>
    <w:rsid w:val="005D3F7B"/>
    <w:rsid w:val="005D3F83"/>
    <w:rsid w:val="005D5021"/>
    <w:rsid w:val="005D6B6D"/>
    <w:rsid w:val="005E0304"/>
    <w:rsid w:val="005E1F5B"/>
    <w:rsid w:val="005E2522"/>
    <w:rsid w:val="005E34A7"/>
    <w:rsid w:val="005E3ECC"/>
    <w:rsid w:val="005E5B83"/>
    <w:rsid w:val="005E6FB7"/>
    <w:rsid w:val="005F0064"/>
    <w:rsid w:val="005F2F17"/>
    <w:rsid w:val="005F30D3"/>
    <w:rsid w:val="005F379A"/>
    <w:rsid w:val="005F4287"/>
    <w:rsid w:val="005F469C"/>
    <w:rsid w:val="005F5D9F"/>
    <w:rsid w:val="005F7FD5"/>
    <w:rsid w:val="00600FE7"/>
    <w:rsid w:val="006019D1"/>
    <w:rsid w:val="00605524"/>
    <w:rsid w:val="00605B31"/>
    <w:rsid w:val="00605C5D"/>
    <w:rsid w:val="006065FB"/>
    <w:rsid w:val="00607DDC"/>
    <w:rsid w:val="00612793"/>
    <w:rsid w:val="00612869"/>
    <w:rsid w:val="006146BA"/>
    <w:rsid w:val="00620063"/>
    <w:rsid w:val="00620D75"/>
    <w:rsid w:val="00621F2C"/>
    <w:rsid w:val="00624760"/>
    <w:rsid w:val="00624F2C"/>
    <w:rsid w:val="00625B80"/>
    <w:rsid w:val="00626BC0"/>
    <w:rsid w:val="0063051C"/>
    <w:rsid w:val="006307AD"/>
    <w:rsid w:val="00631736"/>
    <w:rsid w:val="006328AE"/>
    <w:rsid w:val="0064020E"/>
    <w:rsid w:val="0064087A"/>
    <w:rsid w:val="006451BF"/>
    <w:rsid w:val="006453CC"/>
    <w:rsid w:val="006468C6"/>
    <w:rsid w:val="00646E3F"/>
    <w:rsid w:val="00646E40"/>
    <w:rsid w:val="00647424"/>
    <w:rsid w:val="006476D3"/>
    <w:rsid w:val="00652FE7"/>
    <w:rsid w:val="0065431E"/>
    <w:rsid w:val="0065499A"/>
    <w:rsid w:val="00655124"/>
    <w:rsid w:val="00657909"/>
    <w:rsid w:val="006612EA"/>
    <w:rsid w:val="006617D1"/>
    <w:rsid w:val="00661C8C"/>
    <w:rsid w:val="006623D6"/>
    <w:rsid w:val="0066478A"/>
    <w:rsid w:val="0066625E"/>
    <w:rsid w:val="006676FD"/>
    <w:rsid w:val="0067005D"/>
    <w:rsid w:val="00672FF4"/>
    <w:rsid w:val="00675B54"/>
    <w:rsid w:val="006809FB"/>
    <w:rsid w:val="00682623"/>
    <w:rsid w:val="00684401"/>
    <w:rsid w:val="00684ECC"/>
    <w:rsid w:val="006856C3"/>
    <w:rsid w:val="006863E0"/>
    <w:rsid w:val="006877C1"/>
    <w:rsid w:val="00687A26"/>
    <w:rsid w:val="006904D3"/>
    <w:rsid w:val="0069132D"/>
    <w:rsid w:val="006929EA"/>
    <w:rsid w:val="00692BC9"/>
    <w:rsid w:val="0069501F"/>
    <w:rsid w:val="00695141"/>
    <w:rsid w:val="006961A8"/>
    <w:rsid w:val="00697C87"/>
    <w:rsid w:val="00697D22"/>
    <w:rsid w:val="006A1579"/>
    <w:rsid w:val="006A2FDF"/>
    <w:rsid w:val="006A4A8A"/>
    <w:rsid w:val="006A4B96"/>
    <w:rsid w:val="006A5309"/>
    <w:rsid w:val="006A5968"/>
    <w:rsid w:val="006A68DA"/>
    <w:rsid w:val="006A6C9E"/>
    <w:rsid w:val="006A7E97"/>
    <w:rsid w:val="006B3727"/>
    <w:rsid w:val="006B4BAA"/>
    <w:rsid w:val="006B5EEE"/>
    <w:rsid w:val="006B7BA8"/>
    <w:rsid w:val="006B7E76"/>
    <w:rsid w:val="006C19CF"/>
    <w:rsid w:val="006C3458"/>
    <w:rsid w:val="006C3815"/>
    <w:rsid w:val="006C4170"/>
    <w:rsid w:val="006C4848"/>
    <w:rsid w:val="006C4A05"/>
    <w:rsid w:val="006C5ACD"/>
    <w:rsid w:val="006C6D81"/>
    <w:rsid w:val="006C7218"/>
    <w:rsid w:val="006C75F7"/>
    <w:rsid w:val="006C7E9B"/>
    <w:rsid w:val="006D0BDE"/>
    <w:rsid w:val="006D160E"/>
    <w:rsid w:val="006D3D10"/>
    <w:rsid w:val="006D4093"/>
    <w:rsid w:val="006D4430"/>
    <w:rsid w:val="006D586E"/>
    <w:rsid w:val="006D6C20"/>
    <w:rsid w:val="006D7C06"/>
    <w:rsid w:val="006D7D05"/>
    <w:rsid w:val="006E1A9B"/>
    <w:rsid w:val="006E2E41"/>
    <w:rsid w:val="006E5D67"/>
    <w:rsid w:val="006E6ED0"/>
    <w:rsid w:val="006E7124"/>
    <w:rsid w:val="006E7FC7"/>
    <w:rsid w:val="006F2488"/>
    <w:rsid w:val="006F356A"/>
    <w:rsid w:val="006F5923"/>
    <w:rsid w:val="006F6174"/>
    <w:rsid w:val="006F7D4D"/>
    <w:rsid w:val="0070045F"/>
    <w:rsid w:val="007048B2"/>
    <w:rsid w:val="00706406"/>
    <w:rsid w:val="00706DCA"/>
    <w:rsid w:val="00707A7B"/>
    <w:rsid w:val="007123F2"/>
    <w:rsid w:val="00712CFF"/>
    <w:rsid w:val="0071321B"/>
    <w:rsid w:val="007143E3"/>
    <w:rsid w:val="0071446F"/>
    <w:rsid w:val="00714473"/>
    <w:rsid w:val="007166B2"/>
    <w:rsid w:val="00717330"/>
    <w:rsid w:val="007207A0"/>
    <w:rsid w:val="00720D3D"/>
    <w:rsid w:val="00720E8F"/>
    <w:rsid w:val="007210F9"/>
    <w:rsid w:val="0072322A"/>
    <w:rsid w:val="00724416"/>
    <w:rsid w:val="0072773A"/>
    <w:rsid w:val="00727C00"/>
    <w:rsid w:val="007305B6"/>
    <w:rsid w:val="007319DA"/>
    <w:rsid w:val="00741F90"/>
    <w:rsid w:val="007425D7"/>
    <w:rsid w:val="00742D00"/>
    <w:rsid w:val="007431C0"/>
    <w:rsid w:val="00743AB2"/>
    <w:rsid w:val="00746AF7"/>
    <w:rsid w:val="00746FAD"/>
    <w:rsid w:val="0075157C"/>
    <w:rsid w:val="00752FA6"/>
    <w:rsid w:val="007530BD"/>
    <w:rsid w:val="00754168"/>
    <w:rsid w:val="00755570"/>
    <w:rsid w:val="00755F45"/>
    <w:rsid w:val="00757357"/>
    <w:rsid w:val="00760BF7"/>
    <w:rsid w:val="00762022"/>
    <w:rsid w:val="007630BD"/>
    <w:rsid w:val="00763193"/>
    <w:rsid w:val="0076459F"/>
    <w:rsid w:val="00764E0B"/>
    <w:rsid w:val="00764FD2"/>
    <w:rsid w:val="007650F1"/>
    <w:rsid w:val="00765862"/>
    <w:rsid w:val="0077274B"/>
    <w:rsid w:val="00774135"/>
    <w:rsid w:val="00775691"/>
    <w:rsid w:val="00775E75"/>
    <w:rsid w:val="00780770"/>
    <w:rsid w:val="00784BFC"/>
    <w:rsid w:val="007871C4"/>
    <w:rsid w:val="0078739B"/>
    <w:rsid w:val="00794CF9"/>
    <w:rsid w:val="0079594A"/>
    <w:rsid w:val="007A104C"/>
    <w:rsid w:val="007A2250"/>
    <w:rsid w:val="007A2E91"/>
    <w:rsid w:val="007A3563"/>
    <w:rsid w:val="007A56C3"/>
    <w:rsid w:val="007A610A"/>
    <w:rsid w:val="007A6A71"/>
    <w:rsid w:val="007B095E"/>
    <w:rsid w:val="007B256F"/>
    <w:rsid w:val="007B2905"/>
    <w:rsid w:val="007B335E"/>
    <w:rsid w:val="007B3CAC"/>
    <w:rsid w:val="007B435B"/>
    <w:rsid w:val="007B7E70"/>
    <w:rsid w:val="007C0495"/>
    <w:rsid w:val="007C67CB"/>
    <w:rsid w:val="007D115D"/>
    <w:rsid w:val="007D37FB"/>
    <w:rsid w:val="007D3AB0"/>
    <w:rsid w:val="007D3C57"/>
    <w:rsid w:val="007D5878"/>
    <w:rsid w:val="007D6324"/>
    <w:rsid w:val="007D68C9"/>
    <w:rsid w:val="007D6F94"/>
    <w:rsid w:val="007D7B84"/>
    <w:rsid w:val="007E1F76"/>
    <w:rsid w:val="007E3453"/>
    <w:rsid w:val="007E3857"/>
    <w:rsid w:val="007E4180"/>
    <w:rsid w:val="007E4637"/>
    <w:rsid w:val="007E4A3F"/>
    <w:rsid w:val="007E6CAE"/>
    <w:rsid w:val="007E6E94"/>
    <w:rsid w:val="007E775F"/>
    <w:rsid w:val="007F0860"/>
    <w:rsid w:val="007F1299"/>
    <w:rsid w:val="007F19E2"/>
    <w:rsid w:val="007F2369"/>
    <w:rsid w:val="007F2A00"/>
    <w:rsid w:val="007F2DEA"/>
    <w:rsid w:val="007F353C"/>
    <w:rsid w:val="007F42B0"/>
    <w:rsid w:val="007F557D"/>
    <w:rsid w:val="007F5D9C"/>
    <w:rsid w:val="008002FC"/>
    <w:rsid w:val="008016A7"/>
    <w:rsid w:val="00801ED9"/>
    <w:rsid w:val="00802399"/>
    <w:rsid w:val="008027C8"/>
    <w:rsid w:val="00803922"/>
    <w:rsid w:val="00804D31"/>
    <w:rsid w:val="0080586D"/>
    <w:rsid w:val="00805A3D"/>
    <w:rsid w:val="00806DDF"/>
    <w:rsid w:val="00807174"/>
    <w:rsid w:val="00807C0F"/>
    <w:rsid w:val="00807F91"/>
    <w:rsid w:val="0081012C"/>
    <w:rsid w:val="0081039A"/>
    <w:rsid w:val="008103FD"/>
    <w:rsid w:val="00810BBC"/>
    <w:rsid w:val="0081517F"/>
    <w:rsid w:val="0081549F"/>
    <w:rsid w:val="008176FD"/>
    <w:rsid w:val="00820221"/>
    <w:rsid w:val="00820966"/>
    <w:rsid w:val="008216F7"/>
    <w:rsid w:val="00822153"/>
    <w:rsid w:val="00822FBD"/>
    <w:rsid w:val="00823AB7"/>
    <w:rsid w:val="00827169"/>
    <w:rsid w:val="00827DAF"/>
    <w:rsid w:val="00830FAF"/>
    <w:rsid w:val="00831F70"/>
    <w:rsid w:val="00833134"/>
    <w:rsid w:val="00833713"/>
    <w:rsid w:val="00833D9B"/>
    <w:rsid w:val="008340FE"/>
    <w:rsid w:val="008341F6"/>
    <w:rsid w:val="00835A40"/>
    <w:rsid w:val="00835AA0"/>
    <w:rsid w:val="00835FBF"/>
    <w:rsid w:val="00836DA8"/>
    <w:rsid w:val="00836ECE"/>
    <w:rsid w:val="00840A55"/>
    <w:rsid w:val="008414B9"/>
    <w:rsid w:val="0084380A"/>
    <w:rsid w:val="00843D2E"/>
    <w:rsid w:val="00844E66"/>
    <w:rsid w:val="00847CD5"/>
    <w:rsid w:val="00850B2A"/>
    <w:rsid w:val="00850F7C"/>
    <w:rsid w:val="0085322F"/>
    <w:rsid w:val="0085408C"/>
    <w:rsid w:val="0085557B"/>
    <w:rsid w:val="00856A09"/>
    <w:rsid w:val="00856B4C"/>
    <w:rsid w:val="00856BBC"/>
    <w:rsid w:val="00857149"/>
    <w:rsid w:val="00860A39"/>
    <w:rsid w:val="00861B3E"/>
    <w:rsid w:val="00862A70"/>
    <w:rsid w:val="008655A1"/>
    <w:rsid w:val="008666DD"/>
    <w:rsid w:val="00866CCD"/>
    <w:rsid w:val="00870018"/>
    <w:rsid w:val="00871411"/>
    <w:rsid w:val="00871A7B"/>
    <w:rsid w:val="00872192"/>
    <w:rsid w:val="008726D9"/>
    <w:rsid w:val="008740D8"/>
    <w:rsid w:val="0087506B"/>
    <w:rsid w:val="008767F0"/>
    <w:rsid w:val="0087693A"/>
    <w:rsid w:val="00876C63"/>
    <w:rsid w:val="00876D94"/>
    <w:rsid w:val="0088624B"/>
    <w:rsid w:val="0089069E"/>
    <w:rsid w:val="008912D3"/>
    <w:rsid w:val="008914CB"/>
    <w:rsid w:val="008937B1"/>
    <w:rsid w:val="00894A43"/>
    <w:rsid w:val="00895477"/>
    <w:rsid w:val="008A15AE"/>
    <w:rsid w:val="008A1DBB"/>
    <w:rsid w:val="008A2A18"/>
    <w:rsid w:val="008A6A39"/>
    <w:rsid w:val="008B185F"/>
    <w:rsid w:val="008B3113"/>
    <w:rsid w:val="008B45F2"/>
    <w:rsid w:val="008B4E65"/>
    <w:rsid w:val="008B5744"/>
    <w:rsid w:val="008B7818"/>
    <w:rsid w:val="008C04C6"/>
    <w:rsid w:val="008C1D87"/>
    <w:rsid w:val="008C2047"/>
    <w:rsid w:val="008C2490"/>
    <w:rsid w:val="008C2FED"/>
    <w:rsid w:val="008C4AC0"/>
    <w:rsid w:val="008C5304"/>
    <w:rsid w:val="008C6459"/>
    <w:rsid w:val="008C7CC2"/>
    <w:rsid w:val="008D01F8"/>
    <w:rsid w:val="008D0325"/>
    <w:rsid w:val="008D0AD4"/>
    <w:rsid w:val="008D2BA4"/>
    <w:rsid w:val="008D4CB3"/>
    <w:rsid w:val="008D5CDB"/>
    <w:rsid w:val="008D643C"/>
    <w:rsid w:val="008D6554"/>
    <w:rsid w:val="008D756F"/>
    <w:rsid w:val="008D7E71"/>
    <w:rsid w:val="008E6072"/>
    <w:rsid w:val="008E6640"/>
    <w:rsid w:val="008F2669"/>
    <w:rsid w:val="008F2710"/>
    <w:rsid w:val="008F432E"/>
    <w:rsid w:val="008F784B"/>
    <w:rsid w:val="008F7A01"/>
    <w:rsid w:val="009003A6"/>
    <w:rsid w:val="00900AF7"/>
    <w:rsid w:val="00901909"/>
    <w:rsid w:val="00901ACE"/>
    <w:rsid w:val="00901B37"/>
    <w:rsid w:val="009043D1"/>
    <w:rsid w:val="00904AA1"/>
    <w:rsid w:val="0090500B"/>
    <w:rsid w:val="0090746E"/>
    <w:rsid w:val="0090771A"/>
    <w:rsid w:val="00907D44"/>
    <w:rsid w:val="009106C1"/>
    <w:rsid w:val="00910BA4"/>
    <w:rsid w:val="00911E11"/>
    <w:rsid w:val="00912C9D"/>
    <w:rsid w:val="00915499"/>
    <w:rsid w:val="00915546"/>
    <w:rsid w:val="00916595"/>
    <w:rsid w:val="009169DE"/>
    <w:rsid w:val="00922E94"/>
    <w:rsid w:val="00924CB1"/>
    <w:rsid w:val="00925905"/>
    <w:rsid w:val="00926039"/>
    <w:rsid w:val="009275C5"/>
    <w:rsid w:val="00927772"/>
    <w:rsid w:val="00931E88"/>
    <w:rsid w:val="009330D9"/>
    <w:rsid w:val="00933939"/>
    <w:rsid w:val="00934162"/>
    <w:rsid w:val="009342D4"/>
    <w:rsid w:val="00936818"/>
    <w:rsid w:val="009369EF"/>
    <w:rsid w:val="00936A52"/>
    <w:rsid w:val="00940B15"/>
    <w:rsid w:val="0094391C"/>
    <w:rsid w:val="00946996"/>
    <w:rsid w:val="0095322B"/>
    <w:rsid w:val="0095360A"/>
    <w:rsid w:val="009604D5"/>
    <w:rsid w:val="009626CA"/>
    <w:rsid w:val="00962D06"/>
    <w:rsid w:val="00963402"/>
    <w:rsid w:val="00964835"/>
    <w:rsid w:val="00966917"/>
    <w:rsid w:val="00967387"/>
    <w:rsid w:val="009709AB"/>
    <w:rsid w:val="00971FD5"/>
    <w:rsid w:val="0097223A"/>
    <w:rsid w:val="009729E3"/>
    <w:rsid w:val="009732DD"/>
    <w:rsid w:val="00974167"/>
    <w:rsid w:val="00974BED"/>
    <w:rsid w:val="00976143"/>
    <w:rsid w:val="00980073"/>
    <w:rsid w:val="00982041"/>
    <w:rsid w:val="00983099"/>
    <w:rsid w:val="009832E7"/>
    <w:rsid w:val="009836DB"/>
    <w:rsid w:val="00984A57"/>
    <w:rsid w:val="00984EF3"/>
    <w:rsid w:val="009868B1"/>
    <w:rsid w:val="00990135"/>
    <w:rsid w:val="009911A1"/>
    <w:rsid w:val="00992322"/>
    <w:rsid w:val="00993261"/>
    <w:rsid w:val="00993578"/>
    <w:rsid w:val="00997E03"/>
    <w:rsid w:val="009A0770"/>
    <w:rsid w:val="009A0BA3"/>
    <w:rsid w:val="009A1A8B"/>
    <w:rsid w:val="009A2A56"/>
    <w:rsid w:val="009A418D"/>
    <w:rsid w:val="009A520C"/>
    <w:rsid w:val="009A58CA"/>
    <w:rsid w:val="009A6EB5"/>
    <w:rsid w:val="009A75FE"/>
    <w:rsid w:val="009B137E"/>
    <w:rsid w:val="009B2144"/>
    <w:rsid w:val="009B6315"/>
    <w:rsid w:val="009B6C73"/>
    <w:rsid w:val="009C4645"/>
    <w:rsid w:val="009C59F9"/>
    <w:rsid w:val="009C63B1"/>
    <w:rsid w:val="009C6C6F"/>
    <w:rsid w:val="009D0173"/>
    <w:rsid w:val="009D0895"/>
    <w:rsid w:val="009D3644"/>
    <w:rsid w:val="009D3EAE"/>
    <w:rsid w:val="009D4BEF"/>
    <w:rsid w:val="009D4D73"/>
    <w:rsid w:val="009D5DD3"/>
    <w:rsid w:val="009D6DC4"/>
    <w:rsid w:val="009D7295"/>
    <w:rsid w:val="009D761B"/>
    <w:rsid w:val="009D7AAE"/>
    <w:rsid w:val="009E0D4A"/>
    <w:rsid w:val="009E246D"/>
    <w:rsid w:val="009E2A07"/>
    <w:rsid w:val="009E3AA4"/>
    <w:rsid w:val="009E3C63"/>
    <w:rsid w:val="009E6590"/>
    <w:rsid w:val="009F01CF"/>
    <w:rsid w:val="009F06C5"/>
    <w:rsid w:val="009F0C46"/>
    <w:rsid w:val="009F2607"/>
    <w:rsid w:val="009F599E"/>
    <w:rsid w:val="009F5B9C"/>
    <w:rsid w:val="009F7D3B"/>
    <w:rsid w:val="00A00126"/>
    <w:rsid w:val="00A003C1"/>
    <w:rsid w:val="00A00655"/>
    <w:rsid w:val="00A00C58"/>
    <w:rsid w:val="00A010F0"/>
    <w:rsid w:val="00A02290"/>
    <w:rsid w:val="00A04535"/>
    <w:rsid w:val="00A070EE"/>
    <w:rsid w:val="00A07363"/>
    <w:rsid w:val="00A0739C"/>
    <w:rsid w:val="00A13043"/>
    <w:rsid w:val="00A13616"/>
    <w:rsid w:val="00A1363C"/>
    <w:rsid w:val="00A13BD0"/>
    <w:rsid w:val="00A14DE4"/>
    <w:rsid w:val="00A151FA"/>
    <w:rsid w:val="00A179D3"/>
    <w:rsid w:val="00A23587"/>
    <w:rsid w:val="00A23EE3"/>
    <w:rsid w:val="00A25A3F"/>
    <w:rsid w:val="00A25C59"/>
    <w:rsid w:val="00A3012B"/>
    <w:rsid w:val="00A30F3D"/>
    <w:rsid w:val="00A31F82"/>
    <w:rsid w:val="00A350E9"/>
    <w:rsid w:val="00A3538E"/>
    <w:rsid w:val="00A3720D"/>
    <w:rsid w:val="00A37505"/>
    <w:rsid w:val="00A40594"/>
    <w:rsid w:val="00A41A0B"/>
    <w:rsid w:val="00A44C46"/>
    <w:rsid w:val="00A455E5"/>
    <w:rsid w:val="00A455F7"/>
    <w:rsid w:val="00A456F5"/>
    <w:rsid w:val="00A45853"/>
    <w:rsid w:val="00A46E22"/>
    <w:rsid w:val="00A513D2"/>
    <w:rsid w:val="00A51406"/>
    <w:rsid w:val="00A530A2"/>
    <w:rsid w:val="00A54120"/>
    <w:rsid w:val="00A54A51"/>
    <w:rsid w:val="00A56887"/>
    <w:rsid w:val="00A60B29"/>
    <w:rsid w:val="00A60B80"/>
    <w:rsid w:val="00A61197"/>
    <w:rsid w:val="00A63267"/>
    <w:rsid w:val="00A64046"/>
    <w:rsid w:val="00A64535"/>
    <w:rsid w:val="00A71411"/>
    <w:rsid w:val="00A71C30"/>
    <w:rsid w:val="00A71EF1"/>
    <w:rsid w:val="00A72235"/>
    <w:rsid w:val="00A72A25"/>
    <w:rsid w:val="00A736A6"/>
    <w:rsid w:val="00A740D7"/>
    <w:rsid w:val="00A75555"/>
    <w:rsid w:val="00A759CD"/>
    <w:rsid w:val="00A776D2"/>
    <w:rsid w:val="00A82C81"/>
    <w:rsid w:val="00A836BF"/>
    <w:rsid w:val="00A83C4D"/>
    <w:rsid w:val="00A83D4C"/>
    <w:rsid w:val="00A84317"/>
    <w:rsid w:val="00A85490"/>
    <w:rsid w:val="00A85845"/>
    <w:rsid w:val="00A86794"/>
    <w:rsid w:val="00A9216C"/>
    <w:rsid w:val="00A93438"/>
    <w:rsid w:val="00A9361C"/>
    <w:rsid w:val="00A94EEF"/>
    <w:rsid w:val="00A9587C"/>
    <w:rsid w:val="00A9619D"/>
    <w:rsid w:val="00A967E5"/>
    <w:rsid w:val="00A9697A"/>
    <w:rsid w:val="00A96CB3"/>
    <w:rsid w:val="00A97AA9"/>
    <w:rsid w:val="00AA054E"/>
    <w:rsid w:val="00AA17E3"/>
    <w:rsid w:val="00AA1C72"/>
    <w:rsid w:val="00AA2A5E"/>
    <w:rsid w:val="00AA2BF1"/>
    <w:rsid w:val="00AA3558"/>
    <w:rsid w:val="00AA5D0C"/>
    <w:rsid w:val="00AA6712"/>
    <w:rsid w:val="00AA6B2C"/>
    <w:rsid w:val="00AB15E6"/>
    <w:rsid w:val="00AB1EE0"/>
    <w:rsid w:val="00AB2014"/>
    <w:rsid w:val="00AB234B"/>
    <w:rsid w:val="00AB23FC"/>
    <w:rsid w:val="00AB2493"/>
    <w:rsid w:val="00AB3C03"/>
    <w:rsid w:val="00AB50AF"/>
    <w:rsid w:val="00AB52EA"/>
    <w:rsid w:val="00AB7BAC"/>
    <w:rsid w:val="00AC0EF8"/>
    <w:rsid w:val="00AC263A"/>
    <w:rsid w:val="00AC2A27"/>
    <w:rsid w:val="00AC2E64"/>
    <w:rsid w:val="00AC3DBE"/>
    <w:rsid w:val="00AC4959"/>
    <w:rsid w:val="00AC67EB"/>
    <w:rsid w:val="00AC7995"/>
    <w:rsid w:val="00AD039B"/>
    <w:rsid w:val="00AD0565"/>
    <w:rsid w:val="00AD0A0A"/>
    <w:rsid w:val="00AD32D9"/>
    <w:rsid w:val="00AD3352"/>
    <w:rsid w:val="00AD47E3"/>
    <w:rsid w:val="00AD4A59"/>
    <w:rsid w:val="00AD5746"/>
    <w:rsid w:val="00AD60A8"/>
    <w:rsid w:val="00AD64B8"/>
    <w:rsid w:val="00AE089F"/>
    <w:rsid w:val="00AE36AF"/>
    <w:rsid w:val="00AE3F46"/>
    <w:rsid w:val="00AE4061"/>
    <w:rsid w:val="00AE68F6"/>
    <w:rsid w:val="00AF17F6"/>
    <w:rsid w:val="00AF4901"/>
    <w:rsid w:val="00AF4B88"/>
    <w:rsid w:val="00AF670F"/>
    <w:rsid w:val="00AF75AC"/>
    <w:rsid w:val="00AF766A"/>
    <w:rsid w:val="00B012B6"/>
    <w:rsid w:val="00B014BB"/>
    <w:rsid w:val="00B045EC"/>
    <w:rsid w:val="00B058FF"/>
    <w:rsid w:val="00B074D0"/>
    <w:rsid w:val="00B10CFD"/>
    <w:rsid w:val="00B11E34"/>
    <w:rsid w:val="00B14A84"/>
    <w:rsid w:val="00B158C3"/>
    <w:rsid w:val="00B22517"/>
    <w:rsid w:val="00B2293D"/>
    <w:rsid w:val="00B2353C"/>
    <w:rsid w:val="00B272BE"/>
    <w:rsid w:val="00B27A14"/>
    <w:rsid w:val="00B32C84"/>
    <w:rsid w:val="00B33E5E"/>
    <w:rsid w:val="00B34D85"/>
    <w:rsid w:val="00B3567F"/>
    <w:rsid w:val="00B3710C"/>
    <w:rsid w:val="00B37FE3"/>
    <w:rsid w:val="00B413CC"/>
    <w:rsid w:val="00B41521"/>
    <w:rsid w:val="00B415FE"/>
    <w:rsid w:val="00B42205"/>
    <w:rsid w:val="00B43502"/>
    <w:rsid w:val="00B445B9"/>
    <w:rsid w:val="00B46A08"/>
    <w:rsid w:val="00B46C4E"/>
    <w:rsid w:val="00B47DAA"/>
    <w:rsid w:val="00B504BE"/>
    <w:rsid w:val="00B506B0"/>
    <w:rsid w:val="00B51FD6"/>
    <w:rsid w:val="00B52A04"/>
    <w:rsid w:val="00B53238"/>
    <w:rsid w:val="00B5343C"/>
    <w:rsid w:val="00B53B5A"/>
    <w:rsid w:val="00B53EA7"/>
    <w:rsid w:val="00B561E7"/>
    <w:rsid w:val="00B568BF"/>
    <w:rsid w:val="00B664E9"/>
    <w:rsid w:val="00B67A2A"/>
    <w:rsid w:val="00B70610"/>
    <w:rsid w:val="00B72DDC"/>
    <w:rsid w:val="00B7347F"/>
    <w:rsid w:val="00B74AB7"/>
    <w:rsid w:val="00B75565"/>
    <w:rsid w:val="00B76017"/>
    <w:rsid w:val="00B7689E"/>
    <w:rsid w:val="00B81053"/>
    <w:rsid w:val="00B82164"/>
    <w:rsid w:val="00B870C8"/>
    <w:rsid w:val="00B87B00"/>
    <w:rsid w:val="00B90513"/>
    <w:rsid w:val="00B90A5B"/>
    <w:rsid w:val="00B916FF"/>
    <w:rsid w:val="00B92345"/>
    <w:rsid w:val="00B92C4F"/>
    <w:rsid w:val="00B9530E"/>
    <w:rsid w:val="00B95B12"/>
    <w:rsid w:val="00B96026"/>
    <w:rsid w:val="00BA02A3"/>
    <w:rsid w:val="00BA14BA"/>
    <w:rsid w:val="00BA17A9"/>
    <w:rsid w:val="00BA1F6D"/>
    <w:rsid w:val="00BA30F2"/>
    <w:rsid w:val="00BA4EAC"/>
    <w:rsid w:val="00BA617C"/>
    <w:rsid w:val="00BA68B2"/>
    <w:rsid w:val="00BA7C51"/>
    <w:rsid w:val="00BA7E1E"/>
    <w:rsid w:val="00BA7E21"/>
    <w:rsid w:val="00BB18C4"/>
    <w:rsid w:val="00BB505E"/>
    <w:rsid w:val="00BB7324"/>
    <w:rsid w:val="00BB78A6"/>
    <w:rsid w:val="00BC0543"/>
    <w:rsid w:val="00BC11E8"/>
    <w:rsid w:val="00BC15FB"/>
    <w:rsid w:val="00BC16FF"/>
    <w:rsid w:val="00BC22CF"/>
    <w:rsid w:val="00BC3D6F"/>
    <w:rsid w:val="00BC4C6A"/>
    <w:rsid w:val="00BC57F5"/>
    <w:rsid w:val="00BC782B"/>
    <w:rsid w:val="00BD498B"/>
    <w:rsid w:val="00BD604B"/>
    <w:rsid w:val="00BD65CD"/>
    <w:rsid w:val="00BD6A7C"/>
    <w:rsid w:val="00BD768A"/>
    <w:rsid w:val="00BD7AFF"/>
    <w:rsid w:val="00BD7CA7"/>
    <w:rsid w:val="00BE13B9"/>
    <w:rsid w:val="00BE2BF4"/>
    <w:rsid w:val="00BE4FCF"/>
    <w:rsid w:val="00BE5DA9"/>
    <w:rsid w:val="00BE69FF"/>
    <w:rsid w:val="00BF0872"/>
    <w:rsid w:val="00BF1745"/>
    <w:rsid w:val="00BF19FA"/>
    <w:rsid w:val="00BF4C3E"/>
    <w:rsid w:val="00BF54B5"/>
    <w:rsid w:val="00BF757A"/>
    <w:rsid w:val="00C017FF"/>
    <w:rsid w:val="00C01FBD"/>
    <w:rsid w:val="00C02090"/>
    <w:rsid w:val="00C03970"/>
    <w:rsid w:val="00C04AA0"/>
    <w:rsid w:val="00C060B9"/>
    <w:rsid w:val="00C06806"/>
    <w:rsid w:val="00C0746C"/>
    <w:rsid w:val="00C07ED9"/>
    <w:rsid w:val="00C11341"/>
    <w:rsid w:val="00C17352"/>
    <w:rsid w:val="00C17507"/>
    <w:rsid w:val="00C17BFA"/>
    <w:rsid w:val="00C22767"/>
    <w:rsid w:val="00C22C2F"/>
    <w:rsid w:val="00C25992"/>
    <w:rsid w:val="00C2610D"/>
    <w:rsid w:val="00C267E3"/>
    <w:rsid w:val="00C27B64"/>
    <w:rsid w:val="00C30167"/>
    <w:rsid w:val="00C308DC"/>
    <w:rsid w:val="00C31807"/>
    <w:rsid w:val="00C31AC5"/>
    <w:rsid w:val="00C31CE3"/>
    <w:rsid w:val="00C3206E"/>
    <w:rsid w:val="00C37F27"/>
    <w:rsid w:val="00C40CC6"/>
    <w:rsid w:val="00C41E59"/>
    <w:rsid w:val="00C449B4"/>
    <w:rsid w:val="00C4510D"/>
    <w:rsid w:val="00C471D2"/>
    <w:rsid w:val="00C47231"/>
    <w:rsid w:val="00C4754D"/>
    <w:rsid w:val="00C52276"/>
    <w:rsid w:val="00C5311E"/>
    <w:rsid w:val="00C5343D"/>
    <w:rsid w:val="00C54A52"/>
    <w:rsid w:val="00C55EAD"/>
    <w:rsid w:val="00C60A5E"/>
    <w:rsid w:val="00C61028"/>
    <w:rsid w:val="00C62B36"/>
    <w:rsid w:val="00C63219"/>
    <w:rsid w:val="00C6376A"/>
    <w:rsid w:val="00C64182"/>
    <w:rsid w:val="00C70604"/>
    <w:rsid w:val="00C7392F"/>
    <w:rsid w:val="00C74622"/>
    <w:rsid w:val="00C74920"/>
    <w:rsid w:val="00C7610F"/>
    <w:rsid w:val="00C773F9"/>
    <w:rsid w:val="00C775A1"/>
    <w:rsid w:val="00C77B0A"/>
    <w:rsid w:val="00C8091E"/>
    <w:rsid w:val="00C80EE0"/>
    <w:rsid w:val="00C8162B"/>
    <w:rsid w:val="00C816BA"/>
    <w:rsid w:val="00C81CA2"/>
    <w:rsid w:val="00C8291D"/>
    <w:rsid w:val="00C833B1"/>
    <w:rsid w:val="00C91C9D"/>
    <w:rsid w:val="00C93A2E"/>
    <w:rsid w:val="00C96BF3"/>
    <w:rsid w:val="00C97AFD"/>
    <w:rsid w:val="00CA13D6"/>
    <w:rsid w:val="00CA17E1"/>
    <w:rsid w:val="00CA2484"/>
    <w:rsid w:val="00CA2910"/>
    <w:rsid w:val="00CA296D"/>
    <w:rsid w:val="00CA32BF"/>
    <w:rsid w:val="00CA32DC"/>
    <w:rsid w:val="00CA5D88"/>
    <w:rsid w:val="00CA5EA6"/>
    <w:rsid w:val="00CA6433"/>
    <w:rsid w:val="00CA647F"/>
    <w:rsid w:val="00CA69D7"/>
    <w:rsid w:val="00CA70D9"/>
    <w:rsid w:val="00CA79F7"/>
    <w:rsid w:val="00CB00DA"/>
    <w:rsid w:val="00CB5291"/>
    <w:rsid w:val="00CB644D"/>
    <w:rsid w:val="00CB7517"/>
    <w:rsid w:val="00CC016D"/>
    <w:rsid w:val="00CC01F2"/>
    <w:rsid w:val="00CC07FA"/>
    <w:rsid w:val="00CC0B97"/>
    <w:rsid w:val="00CC2B30"/>
    <w:rsid w:val="00CC3532"/>
    <w:rsid w:val="00CC5AC0"/>
    <w:rsid w:val="00CC6554"/>
    <w:rsid w:val="00CD00BC"/>
    <w:rsid w:val="00CD1954"/>
    <w:rsid w:val="00CD1F12"/>
    <w:rsid w:val="00CD34FF"/>
    <w:rsid w:val="00CD37B5"/>
    <w:rsid w:val="00CD3B65"/>
    <w:rsid w:val="00CD3CB1"/>
    <w:rsid w:val="00CD43FA"/>
    <w:rsid w:val="00CD608D"/>
    <w:rsid w:val="00CD7616"/>
    <w:rsid w:val="00CD795A"/>
    <w:rsid w:val="00CE11DD"/>
    <w:rsid w:val="00CE3283"/>
    <w:rsid w:val="00CE4D95"/>
    <w:rsid w:val="00CE629D"/>
    <w:rsid w:val="00CF07E6"/>
    <w:rsid w:val="00CF226E"/>
    <w:rsid w:val="00CF232C"/>
    <w:rsid w:val="00CF2562"/>
    <w:rsid w:val="00CF33B6"/>
    <w:rsid w:val="00CF406F"/>
    <w:rsid w:val="00CF5521"/>
    <w:rsid w:val="00CF656C"/>
    <w:rsid w:val="00CF7D29"/>
    <w:rsid w:val="00D00853"/>
    <w:rsid w:val="00D01FB8"/>
    <w:rsid w:val="00D021C2"/>
    <w:rsid w:val="00D02A81"/>
    <w:rsid w:val="00D04C65"/>
    <w:rsid w:val="00D04C90"/>
    <w:rsid w:val="00D062BE"/>
    <w:rsid w:val="00D06457"/>
    <w:rsid w:val="00D06776"/>
    <w:rsid w:val="00D07E73"/>
    <w:rsid w:val="00D115E6"/>
    <w:rsid w:val="00D13FEF"/>
    <w:rsid w:val="00D151E7"/>
    <w:rsid w:val="00D1730F"/>
    <w:rsid w:val="00D17B1C"/>
    <w:rsid w:val="00D22406"/>
    <w:rsid w:val="00D2384D"/>
    <w:rsid w:val="00D25869"/>
    <w:rsid w:val="00D25C0A"/>
    <w:rsid w:val="00D25D86"/>
    <w:rsid w:val="00D263F1"/>
    <w:rsid w:val="00D26487"/>
    <w:rsid w:val="00D265C8"/>
    <w:rsid w:val="00D323C4"/>
    <w:rsid w:val="00D33F2B"/>
    <w:rsid w:val="00D34189"/>
    <w:rsid w:val="00D34CE8"/>
    <w:rsid w:val="00D3593A"/>
    <w:rsid w:val="00D375D6"/>
    <w:rsid w:val="00D4001C"/>
    <w:rsid w:val="00D438F0"/>
    <w:rsid w:val="00D44372"/>
    <w:rsid w:val="00D443D4"/>
    <w:rsid w:val="00D45834"/>
    <w:rsid w:val="00D4603C"/>
    <w:rsid w:val="00D5206B"/>
    <w:rsid w:val="00D52ADB"/>
    <w:rsid w:val="00D53161"/>
    <w:rsid w:val="00D5508F"/>
    <w:rsid w:val="00D55786"/>
    <w:rsid w:val="00D55EC2"/>
    <w:rsid w:val="00D55F02"/>
    <w:rsid w:val="00D60812"/>
    <w:rsid w:val="00D60A30"/>
    <w:rsid w:val="00D623DD"/>
    <w:rsid w:val="00D62D39"/>
    <w:rsid w:val="00D632DB"/>
    <w:rsid w:val="00D63708"/>
    <w:rsid w:val="00D643B5"/>
    <w:rsid w:val="00D6481B"/>
    <w:rsid w:val="00D66900"/>
    <w:rsid w:val="00D67371"/>
    <w:rsid w:val="00D70935"/>
    <w:rsid w:val="00D724FE"/>
    <w:rsid w:val="00D759E5"/>
    <w:rsid w:val="00D77706"/>
    <w:rsid w:val="00D77A2F"/>
    <w:rsid w:val="00D80219"/>
    <w:rsid w:val="00D8128F"/>
    <w:rsid w:val="00D82717"/>
    <w:rsid w:val="00D82D31"/>
    <w:rsid w:val="00D82E17"/>
    <w:rsid w:val="00D84645"/>
    <w:rsid w:val="00D859AC"/>
    <w:rsid w:val="00D86198"/>
    <w:rsid w:val="00D874EA"/>
    <w:rsid w:val="00D87704"/>
    <w:rsid w:val="00D878BD"/>
    <w:rsid w:val="00D90EDE"/>
    <w:rsid w:val="00D9165A"/>
    <w:rsid w:val="00D91EAA"/>
    <w:rsid w:val="00D92AC0"/>
    <w:rsid w:val="00D94DD8"/>
    <w:rsid w:val="00D96028"/>
    <w:rsid w:val="00DA1892"/>
    <w:rsid w:val="00DA22EF"/>
    <w:rsid w:val="00DA34B6"/>
    <w:rsid w:val="00DA36CA"/>
    <w:rsid w:val="00DA48A7"/>
    <w:rsid w:val="00DA5907"/>
    <w:rsid w:val="00DA6E7B"/>
    <w:rsid w:val="00DB0AED"/>
    <w:rsid w:val="00DB10AB"/>
    <w:rsid w:val="00DB1F0A"/>
    <w:rsid w:val="00DB3001"/>
    <w:rsid w:val="00DB3CCC"/>
    <w:rsid w:val="00DB53CB"/>
    <w:rsid w:val="00DB67F3"/>
    <w:rsid w:val="00DC11F9"/>
    <w:rsid w:val="00DC2867"/>
    <w:rsid w:val="00DC343A"/>
    <w:rsid w:val="00DD130F"/>
    <w:rsid w:val="00DD229C"/>
    <w:rsid w:val="00DD4131"/>
    <w:rsid w:val="00DD4387"/>
    <w:rsid w:val="00DD5B36"/>
    <w:rsid w:val="00DE295D"/>
    <w:rsid w:val="00DE2B95"/>
    <w:rsid w:val="00DE45E9"/>
    <w:rsid w:val="00DE51F9"/>
    <w:rsid w:val="00DE56BC"/>
    <w:rsid w:val="00DE7746"/>
    <w:rsid w:val="00DE7F8F"/>
    <w:rsid w:val="00DF03B9"/>
    <w:rsid w:val="00DF0C4B"/>
    <w:rsid w:val="00DF0F34"/>
    <w:rsid w:val="00DF1657"/>
    <w:rsid w:val="00DF36FD"/>
    <w:rsid w:val="00DF38F5"/>
    <w:rsid w:val="00DF6462"/>
    <w:rsid w:val="00DF6D4A"/>
    <w:rsid w:val="00E01C2C"/>
    <w:rsid w:val="00E020B4"/>
    <w:rsid w:val="00E023F7"/>
    <w:rsid w:val="00E02EB4"/>
    <w:rsid w:val="00E035A1"/>
    <w:rsid w:val="00E03911"/>
    <w:rsid w:val="00E039EF"/>
    <w:rsid w:val="00E049CB"/>
    <w:rsid w:val="00E04D19"/>
    <w:rsid w:val="00E05B4C"/>
    <w:rsid w:val="00E10691"/>
    <w:rsid w:val="00E1143F"/>
    <w:rsid w:val="00E1160F"/>
    <w:rsid w:val="00E116BC"/>
    <w:rsid w:val="00E11A5D"/>
    <w:rsid w:val="00E12377"/>
    <w:rsid w:val="00E12D42"/>
    <w:rsid w:val="00E12E5C"/>
    <w:rsid w:val="00E13986"/>
    <w:rsid w:val="00E14FF2"/>
    <w:rsid w:val="00E2059A"/>
    <w:rsid w:val="00E234C8"/>
    <w:rsid w:val="00E23FD9"/>
    <w:rsid w:val="00E241D9"/>
    <w:rsid w:val="00E24E21"/>
    <w:rsid w:val="00E26111"/>
    <w:rsid w:val="00E27F54"/>
    <w:rsid w:val="00E30277"/>
    <w:rsid w:val="00E308BB"/>
    <w:rsid w:val="00E313CE"/>
    <w:rsid w:val="00E3244D"/>
    <w:rsid w:val="00E32751"/>
    <w:rsid w:val="00E33895"/>
    <w:rsid w:val="00E3398B"/>
    <w:rsid w:val="00E367DC"/>
    <w:rsid w:val="00E36D70"/>
    <w:rsid w:val="00E37693"/>
    <w:rsid w:val="00E377C9"/>
    <w:rsid w:val="00E37B82"/>
    <w:rsid w:val="00E37D59"/>
    <w:rsid w:val="00E42E68"/>
    <w:rsid w:val="00E449C3"/>
    <w:rsid w:val="00E453B2"/>
    <w:rsid w:val="00E46571"/>
    <w:rsid w:val="00E501E2"/>
    <w:rsid w:val="00E5484C"/>
    <w:rsid w:val="00E550CC"/>
    <w:rsid w:val="00E55672"/>
    <w:rsid w:val="00E56FEA"/>
    <w:rsid w:val="00E60196"/>
    <w:rsid w:val="00E61F8D"/>
    <w:rsid w:val="00E63C2D"/>
    <w:rsid w:val="00E67590"/>
    <w:rsid w:val="00E67F1D"/>
    <w:rsid w:val="00E709FC"/>
    <w:rsid w:val="00E71ADD"/>
    <w:rsid w:val="00E73876"/>
    <w:rsid w:val="00E74575"/>
    <w:rsid w:val="00E74AD8"/>
    <w:rsid w:val="00E76CEE"/>
    <w:rsid w:val="00E77286"/>
    <w:rsid w:val="00E77455"/>
    <w:rsid w:val="00E77A51"/>
    <w:rsid w:val="00E804D3"/>
    <w:rsid w:val="00E80AC4"/>
    <w:rsid w:val="00E816A6"/>
    <w:rsid w:val="00E81DB4"/>
    <w:rsid w:val="00E82C77"/>
    <w:rsid w:val="00E84A30"/>
    <w:rsid w:val="00E857F8"/>
    <w:rsid w:val="00E86ECC"/>
    <w:rsid w:val="00E87CB3"/>
    <w:rsid w:val="00E91141"/>
    <w:rsid w:val="00E925A6"/>
    <w:rsid w:val="00E945AC"/>
    <w:rsid w:val="00E94859"/>
    <w:rsid w:val="00E94C30"/>
    <w:rsid w:val="00E95C4B"/>
    <w:rsid w:val="00E965EE"/>
    <w:rsid w:val="00E9683E"/>
    <w:rsid w:val="00E96ECC"/>
    <w:rsid w:val="00E9744A"/>
    <w:rsid w:val="00E97657"/>
    <w:rsid w:val="00EA2A51"/>
    <w:rsid w:val="00EA3F51"/>
    <w:rsid w:val="00EA536C"/>
    <w:rsid w:val="00EB0052"/>
    <w:rsid w:val="00EB0FBB"/>
    <w:rsid w:val="00EB215C"/>
    <w:rsid w:val="00EB3768"/>
    <w:rsid w:val="00EB3A44"/>
    <w:rsid w:val="00EB5817"/>
    <w:rsid w:val="00EB5D26"/>
    <w:rsid w:val="00EB7522"/>
    <w:rsid w:val="00EB7D69"/>
    <w:rsid w:val="00EC2870"/>
    <w:rsid w:val="00EC2AC1"/>
    <w:rsid w:val="00EC4184"/>
    <w:rsid w:val="00EC70FA"/>
    <w:rsid w:val="00EC7BA7"/>
    <w:rsid w:val="00ED0CB1"/>
    <w:rsid w:val="00ED230B"/>
    <w:rsid w:val="00ED3570"/>
    <w:rsid w:val="00ED368F"/>
    <w:rsid w:val="00ED3B71"/>
    <w:rsid w:val="00ED4A3F"/>
    <w:rsid w:val="00ED4FDE"/>
    <w:rsid w:val="00ED6D87"/>
    <w:rsid w:val="00EE1DB5"/>
    <w:rsid w:val="00EE3357"/>
    <w:rsid w:val="00EF0C29"/>
    <w:rsid w:val="00EF30E2"/>
    <w:rsid w:val="00EF3119"/>
    <w:rsid w:val="00EF3282"/>
    <w:rsid w:val="00EF6C64"/>
    <w:rsid w:val="00F016BB"/>
    <w:rsid w:val="00F039CF"/>
    <w:rsid w:val="00F05328"/>
    <w:rsid w:val="00F05335"/>
    <w:rsid w:val="00F0536E"/>
    <w:rsid w:val="00F05D39"/>
    <w:rsid w:val="00F06333"/>
    <w:rsid w:val="00F06593"/>
    <w:rsid w:val="00F0725A"/>
    <w:rsid w:val="00F10E47"/>
    <w:rsid w:val="00F12F6E"/>
    <w:rsid w:val="00F13CBC"/>
    <w:rsid w:val="00F14855"/>
    <w:rsid w:val="00F21417"/>
    <w:rsid w:val="00F21E4B"/>
    <w:rsid w:val="00F22A72"/>
    <w:rsid w:val="00F231CE"/>
    <w:rsid w:val="00F247C8"/>
    <w:rsid w:val="00F25BF4"/>
    <w:rsid w:val="00F2635E"/>
    <w:rsid w:val="00F278B9"/>
    <w:rsid w:val="00F30AFD"/>
    <w:rsid w:val="00F318C5"/>
    <w:rsid w:val="00F3199A"/>
    <w:rsid w:val="00F319A5"/>
    <w:rsid w:val="00F32C8C"/>
    <w:rsid w:val="00F33B1D"/>
    <w:rsid w:val="00F343E0"/>
    <w:rsid w:val="00F360B3"/>
    <w:rsid w:val="00F40A28"/>
    <w:rsid w:val="00F41232"/>
    <w:rsid w:val="00F41319"/>
    <w:rsid w:val="00F421E6"/>
    <w:rsid w:val="00F4303A"/>
    <w:rsid w:val="00F475D0"/>
    <w:rsid w:val="00F5118A"/>
    <w:rsid w:val="00F555B0"/>
    <w:rsid w:val="00F56C19"/>
    <w:rsid w:val="00F6162A"/>
    <w:rsid w:val="00F66759"/>
    <w:rsid w:val="00F677CF"/>
    <w:rsid w:val="00F67967"/>
    <w:rsid w:val="00F67CF6"/>
    <w:rsid w:val="00F72651"/>
    <w:rsid w:val="00F8175E"/>
    <w:rsid w:val="00F81B05"/>
    <w:rsid w:val="00F81F15"/>
    <w:rsid w:val="00F82049"/>
    <w:rsid w:val="00F82C9F"/>
    <w:rsid w:val="00F8388A"/>
    <w:rsid w:val="00F84E80"/>
    <w:rsid w:val="00F87537"/>
    <w:rsid w:val="00F947DC"/>
    <w:rsid w:val="00F97424"/>
    <w:rsid w:val="00F9781A"/>
    <w:rsid w:val="00FA057C"/>
    <w:rsid w:val="00FA086F"/>
    <w:rsid w:val="00FA0D16"/>
    <w:rsid w:val="00FA185B"/>
    <w:rsid w:val="00FA60BF"/>
    <w:rsid w:val="00FA6883"/>
    <w:rsid w:val="00FA7405"/>
    <w:rsid w:val="00FB0D12"/>
    <w:rsid w:val="00FB1CB4"/>
    <w:rsid w:val="00FB3D40"/>
    <w:rsid w:val="00FB44EB"/>
    <w:rsid w:val="00FB675F"/>
    <w:rsid w:val="00FC1300"/>
    <w:rsid w:val="00FC1C93"/>
    <w:rsid w:val="00FC42A3"/>
    <w:rsid w:val="00FC55F9"/>
    <w:rsid w:val="00FC60D4"/>
    <w:rsid w:val="00FC77AE"/>
    <w:rsid w:val="00FC7D9F"/>
    <w:rsid w:val="00FD10B0"/>
    <w:rsid w:val="00FD2BAD"/>
    <w:rsid w:val="00FD2F51"/>
    <w:rsid w:val="00FD330C"/>
    <w:rsid w:val="00FD3660"/>
    <w:rsid w:val="00FD484C"/>
    <w:rsid w:val="00FD49D6"/>
    <w:rsid w:val="00FD55FB"/>
    <w:rsid w:val="00FD569D"/>
    <w:rsid w:val="00FD678B"/>
    <w:rsid w:val="00FD6903"/>
    <w:rsid w:val="00FE225D"/>
    <w:rsid w:val="00FE5C3E"/>
    <w:rsid w:val="00FF0A2F"/>
    <w:rsid w:val="00FF1B04"/>
    <w:rsid w:val="00FF22F8"/>
    <w:rsid w:val="00FF3255"/>
    <w:rsid w:val="00FF738C"/>
    <w:rsid w:val="020A6A96"/>
    <w:rsid w:val="0356786B"/>
    <w:rsid w:val="046E31C1"/>
    <w:rsid w:val="056C4F65"/>
    <w:rsid w:val="06F4696E"/>
    <w:rsid w:val="07245E56"/>
    <w:rsid w:val="09953EB9"/>
    <w:rsid w:val="0C023D8C"/>
    <w:rsid w:val="0E94232E"/>
    <w:rsid w:val="0F1306D5"/>
    <w:rsid w:val="11295396"/>
    <w:rsid w:val="163E2FB7"/>
    <w:rsid w:val="1A48157B"/>
    <w:rsid w:val="1ABE2ED9"/>
    <w:rsid w:val="1BD70953"/>
    <w:rsid w:val="1BF87698"/>
    <w:rsid w:val="1C78144D"/>
    <w:rsid w:val="1E585AB7"/>
    <w:rsid w:val="1EB160C2"/>
    <w:rsid w:val="1FF145B9"/>
    <w:rsid w:val="2193546F"/>
    <w:rsid w:val="23083986"/>
    <w:rsid w:val="23AF29A3"/>
    <w:rsid w:val="26123FD6"/>
    <w:rsid w:val="26F50BA9"/>
    <w:rsid w:val="29026D00"/>
    <w:rsid w:val="2A642791"/>
    <w:rsid w:val="2EA644DF"/>
    <w:rsid w:val="2ECE6508"/>
    <w:rsid w:val="2FB532A0"/>
    <w:rsid w:val="319C4BEA"/>
    <w:rsid w:val="33DA2E89"/>
    <w:rsid w:val="34C829B2"/>
    <w:rsid w:val="35381804"/>
    <w:rsid w:val="386A3F56"/>
    <w:rsid w:val="3A810EF7"/>
    <w:rsid w:val="3C3802E9"/>
    <w:rsid w:val="3E0C1771"/>
    <w:rsid w:val="3E586AB8"/>
    <w:rsid w:val="3E5C1B1D"/>
    <w:rsid w:val="3EAE14E9"/>
    <w:rsid w:val="3FD261A6"/>
    <w:rsid w:val="42EB2F9C"/>
    <w:rsid w:val="45226963"/>
    <w:rsid w:val="469F5C49"/>
    <w:rsid w:val="4D39606F"/>
    <w:rsid w:val="4F8E3D4D"/>
    <w:rsid w:val="4FA308F4"/>
    <w:rsid w:val="53B3493A"/>
    <w:rsid w:val="5537323C"/>
    <w:rsid w:val="55855837"/>
    <w:rsid w:val="56503211"/>
    <w:rsid w:val="57BD5DAE"/>
    <w:rsid w:val="598B567E"/>
    <w:rsid w:val="5BA577EB"/>
    <w:rsid w:val="5C624734"/>
    <w:rsid w:val="5FE91ABC"/>
    <w:rsid w:val="60D42826"/>
    <w:rsid w:val="628E734C"/>
    <w:rsid w:val="6580603B"/>
    <w:rsid w:val="68B96EA7"/>
    <w:rsid w:val="68C7223A"/>
    <w:rsid w:val="68EF6886"/>
    <w:rsid w:val="694A7300"/>
    <w:rsid w:val="699457CF"/>
    <w:rsid w:val="6E5B6D6D"/>
    <w:rsid w:val="6FDD1093"/>
    <w:rsid w:val="709C0126"/>
    <w:rsid w:val="724A5751"/>
    <w:rsid w:val="76022652"/>
    <w:rsid w:val="768501BE"/>
    <w:rsid w:val="76C8601E"/>
    <w:rsid w:val="7D80556D"/>
    <w:rsid w:val="7ED86E63"/>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58330498-86B5-4E3A-9F4D-5325B96845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uiPriority="0"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qFormat="1"/>
    <w:lsdException w:name="toc 2" w:uiPriority="39" w:qFormat="1"/>
    <w:lsdException w:name="toc 3" w:uiPriority="39"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uiPriority="0" w:qFormat="1"/>
    <w:lsdException w:name="footnote text" w:uiPriority="0" w:qFormat="1"/>
    <w:lsdException w:name="annotation text" w:qFormat="1"/>
    <w:lsdException w:name="header" w:qFormat="1"/>
    <w:lsdException w:name="footer"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uiPriority="0" w:qFormat="1"/>
    <w:lsdException w:name="annotation reference" w:uiPriority="0" w:qFormat="1"/>
    <w:lsdException w:name="line number" w:semiHidden="1" w:unhideWhenUsed="1"/>
    <w:lsdException w:name="page number" w:uiPriority="0"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uiPriority="0"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uiPriority="0" w:qFormat="1"/>
    <w:lsdException w:name="Body Text Indent 3" w:uiPriority="0" w:qFormat="1"/>
    <w:lsdException w:name="Block Text" w:semiHidden="1" w:unhideWhenUsed="1"/>
    <w:lsdException w:name="Hyperlink" w:unhideWhenUsed="1" w:qFormat="1"/>
    <w:lsdException w:name="FollowedHyperlink" w:semiHidden="1" w:unhideWhenUsed="1"/>
    <w:lsdException w:name="Strong" w:uiPriority="22" w:qFormat="1"/>
    <w:lsdException w:name="Emphasis" w:uiPriority="20" w:qFormat="1"/>
    <w:lsdException w:name="Document Map" w:uiPriority="0" w:qFormat="1"/>
    <w:lsdException w:name="Plain Text" w:uiPriority="0" w:qFormat="1"/>
    <w:lsdException w:name="E-mail Signature" w:semiHidden="1" w:unhideWhenUsed="1"/>
    <w:lsdException w:name="HTML Top of Form" w:semiHidden="1" w:unhideWhenUsed="1"/>
    <w:lsdException w:name="HTML Bottom of Form" w:semiHidden="1" w:unhideWhenUsed="1"/>
    <w:lsdException w:name="Normal (Web)" w:uiPriority="0"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qFormat="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uiPriority="0"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qFormat="1"/>
    <w:lsdException w:name="Table Grid" w:uiPriority="0" w:qFormat="1"/>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rFonts w:ascii="Calibri" w:hAnsi="Calibri" w:cs="宋体"/>
      <w:kern w:val="2"/>
      <w:sz w:val="21"/>
      <w:szCs w:val="22"/>
    </w:rPr>
  </w:style>
  <w:style w:type="paragraph" w:styleId="1">
    <w:name w:val="heading 1"/>
    <w:basedOn w:val="a"/>
    <w:next w:val="a"/>
    <w:link w:val="1Char"/>
    <w:qFormat/>
    <w:pPr>
      <w:keepNext/>
      <w:keepLines/>
      <w:spacing w:before="340" w:after="330" w:line="578" w:lineRule="auto"/>
      <w:outlineLvl w:val="0"/>
    </w:pPr>
    <w:rPr>
      <w:b/>
      <w:bCs/>
      <w:kern w:val="44"/>
      <w:sz w:val="44"/>
      <w:szCs w:val="44"/>
    </w:rPr>
  </w:style>
  <w:style w:type="paragraph" w:styleId="2">
    <w:name w:val="heading 2"/>
    <w:basedOn w:val="a"/>
    <w:next w:val="a"/>
    <w:link w:val="2Char"/>
    <w:qFormat/>
    <w:pPr>
      <w:keepNext/>
      <w:keepLines/>
      <w:spacing w:before="260" w:after="260" w:line="413" w:lineRule="auto"/>
      <w:outlineLvl w:val="1"/>
    </w:pPr>
    <w:rPr>
      <w:rFonts w:ascii="Arial" w:eastAsia="黑体" w:hAnsi="Arial" w:cs="Times New Roman"/>
      <w:b/>
      <w:sz w:val="32"/>
      <w:szCs w:val="20"/>
    </w:rPr>
  </w:style>
  <w:style w:type="paragraph" w:styleId="3">
    <w:name w:val="heading 3"/>
    <w:basedOn w:val="a"/>
    <w:next w:val="a"/>
    <w:link w:val="3Char"/>
    <w:qFormat/>
    <w:pPr>
      <w:keepNext/>
      <w:keepLines/>
      <w:spacing w:before="260" w:after="260" w:line="413" w:lineRule="auto"/>
      <w:outlineLvl w:val="2"/>
    </w:pPr>
    <w:rPr>
      <w:rFonts w:ascii="Times New Roman" w:hAnsi="Times New Roman" w:cs="Times New Roman"/>
      <w:b/>
      <w:sz w:val="32"/>
      <w:szCs w:val="20"/>
    </w:rPr>
  </w:style>
  <w:style w:type="paragraph" w:styleId="4">
    <w:name w:val="heading 4"/>
    <w:basedOn w:val="a"/>
    <w:next w:val="a"/>
    <w:link w:val="4Char"/>
    <w:uiPriority w:val="9"/>
    <w:semiHidden/>
    <w:unhideWhenUsed/>
    <w:qFormat/>
    <w:pPr>
      <w:keepNext/>
      <w:keepLines/>
      <w:spacing w:before="280" w:after="290" w:line="376" w:lineRule="auto"/>
      <w:outlineLvl w:val="3"/>
    </w:pPr>
    <w:rPr>
      <w:rFonts w:asciiTheme="majorHAnsi" w:eastAsiaTheme="majorEastAsia" w:hAnsiTheme="majorHAnsi" w:cstheme="majorBidi"/>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Indent"/>
    <w:basedOn w:val="a"/>
    <w:qFormat/>
    <w:pPr>
      <w:ind w:firstLineChars="200" w:firstLine="420"/>
    </w:pPr>
    <w:rPr>
      <w:rFonts w:ascii="Times New Roman" w:hAnsi="Times New Roman" w:cs="Times New Roman"/>
      <w:szCs w:val="20"/>
    </w:rPr>
  </w:style>
  <w:style w:type="paragraph" w:styleId="a4">
    <w:name w:val="Document Map"/>
    <w:basedOn w:val="a"/>
    <w:link w:val="Char"/>
    <w:qFormat/>
    <w:pPr>
      <w:shd w:val="clear" w:color="auto" w:fill="000080"/>
    </w:pPr>
    <w:rPr>
      <w:rFonts w:ascii="Times New Roman" w:hAnsi="Times New Roman" w:cs="Times New Roman"/>
      <w:szCs w:val="20"/>
    </w:rPr>
  </w:style>
  <w:style w:type="paragraph" w:styleId="a5">
    <w:name w:val="annotation text"/>
    <w:basedOn w:val="a"/>
    <w:link w:val="Char0"/>
    <w:uiPriority w:val="99"/>
    <w:qFormat/>
    <w:pPr>
      <w:widowControl/>
      <w:jc w:val="left"/>
    </w:pPr>
    <w:rPr>
      <w:rFonts w:ascii="宋体" w:hAnsi="宋体"/>
      <w:kern w:val="0"/>
      <w:sz w:val="24"/>
      <w:szCs w:val="24"/>
    </w:rPr>
  </w:style>
  <w:style w:type="paragraph" w:styleId="a6">
    <w:name w:val="Body Text"/>
    <w:basedOn w:val="a"/>
    <w:link w:val="Char1"/>
    <w:qFormat/>
    <w:pPr>
      <w:autoSpaceDE w:val="0"/>
      <w:autoSpaceDN w:val="0"/>
      <w:adjustRightInd w:val="0"/>
      <w:spacing w:line="360" w:lineRule="auto"/>
      <w:jc w:val="left"/>
    </w:pPr>
    <w:rPr>
      <w:rFonts w:ascii="宋体"/>
      <w:kern w:val="0"/>
      <w:sz w:val="20"/>
      <w:szCs w:val="20"/>
    </w:rPr>
  </w:style>
  <w:style w:type="paragraph" w:styleId="30">
    <w:name w:val="toc 3"/>
    <w:basedOn w:val="a"/>
    <w:next w:val="a"/>
    <w:uiPriority w:val="39"/>
    <w:qFormat/>
    <w:pPr>
      <w:widowControl/>
      <w:spacing w:after="100" w:line="276" w:lineRule="auto"/>
      <w:ind w:left="440"/>
      <w:jc w:val="left"/>
    </w:pPr>
    <w:rPr>
      <w:kern w:val="0"/>
      <w:sz w:val="22"/>
    </w:rPr>
  </w:style>
  <w:style w:type="paragraph" w:styleId="a7">
    <w:name w:val="Plain Text"/>
    <w:basedOn w:val="a"/>
    <w:link w:val="Char2"/>
    <w:qFormat/>
    <w:pPr>
      <w:adjustRightInd w:val="0"/>
      <w:spacing w:line="312" w:lineRule="atLeast"/>
      <w:textAlignment w:val="baseline"/>
    </w:pPr>
    <w:rPr>
      <w:rFonts w:ascii="宋体" w:hAnsi="Courier New" w:cs="Times New Roman"/>
      <w:kern w:val="0"/>
      <w:szCs w:val="20"/>
    </w:rPr>
  </w:style>
  <w:style w:type="paragraph" w:styleId="20">
    <w:name w:val="Body Text Indent 2"/>
    <w:basedOn w:val="a"/>
    <w:link w:val="2Char0"/>
    <w:qFormat/>
    <w:pPr>
      <w:spacing w:line="360" w:lineRule="auto"/>
      <w:ind w:firstLine="425"/>
    </w:pPr>
    <w:rPr>
      <w:rFonts w:ascii="仿宋_GB2312" w:eastAsia="仿宋_GB2312" w:hAnsi="Times New Roman" w:cs="Times New Roman"/>
      <w:sz w:val="28"/>
      <w:szCs w:val="20"/>
    </w:rPr>
  </w:style>
  <w:style w:type="paragraph" w:styleId="a8">
    <w:name w:val="Balloon Text"/>
    <w:basedOn w:val="a"/>
    <w:link w:val="Char3"/>
    <w:uiPriority w:val="99"/>
    <w:qFormat/>
    <w:rPr>
      <w:sz w:val="18"/>
      <w:szCs w:val="18"/>
    </w:rPr>
  </w:style>
  <w:style w:type="paragraph" w:styleId="a9">
    <w:name w:val="footer"/>
    <w:basedOn w:val="a"/>
    <w:link w:val="Char4"/>
    <w:uiPriority w:val="99"/>
    <w:qFormat/>
    <w:pPr>
      <w:tabs>
        <w:tab w:val="center" w:pos="4153"/>
        <w:tab w:val="right" w:pos="8306"/>
      </w:tabs>
      <w:snapToGrid w:val="0"/>
      <w:jc w:val="left"/>
    </w:pPr>
    <w:rPr>
      <w:sz w:val="18"/>
      <w:szCs w:val="18"/>
    </w:rPr>
  </w:style>
  <w:style w:type="paragraph" w:styleId="aa">
    <w:name w:val="header"/>
    <w:basedOn w:val="a"/>
    <w:link w:val="Char5"/>
    <w:uiPriority w:val="99"/>
    <w:qFormat/>
    <w:pPr>
      <w:pBdr>
        <w:bottom w:val="single" w:sz="6" w:space="1" w:color="auto"/>
      </w:pBdr>
      <w:tabs>
        <w:tab w:val="center" w:pos="4153"/>
        <w:tab w:val="right" w:pos="8306"/>
      </w:tabs>
      <w:snapToGrid w:val="0"/>
      <w:jc w:val="center"/>
    </w:pPr>
    <w:rPr>
      <w:sz w:val="18"/>
      <w:szCs w:val="18"/>
    </w:rPr>
  </w:style>
  <w:style w:type="paragraph" w:styleId="10">
    <w:name w:val="toc 1"/>
    <w:basedOn w:val="a"/>
    <w:next w:val="a"/>
    <w:uiPriority w:val="39"/>
    <w:qFormat/>
    <w:pPr>
      <w:widowControl/>
      <w:spacing w:after="100" w:line="276" w:lineRule="auto"/>
      <w:jc w:val="left"/>
    </w:pPr>
    <w:rPr>
      <w:kern w:val="0"/>
      <w:sz w:val="22"/>
    </w:rPr>
  </w:style>
  <w:style w:type="paragraph" w:styleId="ab">
    <w:name w:val="footnote text"/>
    <w:basedOn w:val="a"/>
    <w:link w:val="Char6"/>
    <w:qFormat/>
    <w:pPr>
      <w:snapToGrid w:val="0"/>
      <w:jc w:val="left"/>
    </w:pPr>
    <w:rPr>
      <w:rFonts w:ascii="Times New Roman" w:hAnsi="Times New Roman" w:cs="Times New Roman"/>
      <w:sz w:val="18"/>
      <w:szCs w:val="20"/>
    </w:rPr>
  </w:style>
  <w:style w:type="paragraph" w:styleId="31">
    <w:name w:val="Body Text Indent 3"/>
    <w:basedOn w:val="a"/>
    <w:link w:val="3Char0"/>
    <w:qFormat/>
    <w:pPr>
      <w:autoSpaceDE w:val="0"/>
      <w:autoSpaceDN w:val="0"/>
      <w:adjustRightInd w:val="0"/>
      <w:spacing w:line="360" w:lineRule="auto"/>
      <w:ind w:left="420" w:firstLine="435"/>
    </w:pPr>
    <w:rPr>
      <w:rFonts w:ascii="Times New Roman" w:hAnsi="Times New Roman" w:cs="Times New Roman"/>
      <w:color w:val="0000FF"/>
      <w:szCs w:val="20"/>
    </w:rPr>
  </w:style>
  <w:style w:type="paragraph" w:styleId="21">
    <w:name w:val="toc 2"/>
    <w:basedOn w:val="a"/>
    <w:next w:val="a"/>
    <w:uiPriority w:val="39"/>
    <w:qFormat/>
    <w:pPr>
      <w:widowControl/>
      <w:spacing w:after="100" w:line="276" w:lineRule="auto"/>
      <w:ind w:left="220"/>
      <w:jc w:val="left"/>
    </w:pPr>
    <w:rPr>
      <w:kern w:val="0"/>
      <w:sz w:val="22"/>
    </w:rPr>
  </w:style>
  <w:style w:type="paragraph" w:styleId="HTML">
    <w:name w:val="HTML Preformatted"/>
    <w:basedOn w:val="a"/>
    <w:link w:val="HTMLChar"/>
    <w:uiPriority w:val="99"/>
    <w:qFormat/>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kern w:val="0"/>
      <w:sz w:val="24"/>
      <w:szCs w:val="24"/>
    </w:rPr>
  </w:style>
  <w:style w:type="paragraph" w:styleId="ac">
    <w:name w:val="Normal (Web)"/>
    <w:basedOn w:val="a"/>
    <w:qFormat/>
    <w:pPr>
      <w:widowControl/>
      <w:spacing w:before="100" w:beforeAutospacing="1" w:after="100" w:afterAutospacing="1"/>
      <w:jc w:val="left"/>
    </w:pPr>
    <w:rPr>
      <w:rFonts w:ascii="宋体" w:hAnsi="宋体"/>
      <w:kern w:val="0"/>
      <w:sz w:val="24"/>
      <w:szCs w:val="24"/>
    </w:rPr>
  </w:style>
  <w:style w:type="paragraph" w:styleId="ad">
    <w:name w:val="Title"/>
    <w:basedOn w:val="a"/>
    <w:next w:val="a"/>
    <w:link w:val="Char7"/>
    <w:qFormat/>
    <w:pPr>
      <w:spacing w:before="240" w:after="60"/>
      <w:jc w:val="center"/>
      <w:outlineLvl w:val="0"/>
    </w:pPr>
    <w:rPr>
      <w:rFonts w:ascii="Cambria" w:hAnsi="Cambria"/>
      <w:b/>
      <w:sz w:val="32"/>
      <w:szCs w:val="20"/>
    </w:rPr>
  </w:style>
  <w:style w:type="paragraph" w:styleId="ae">
    <w:name w:val="annotation subject"/>
    <w:basedOn w:val="a5"/>
    <w:next w:val="a5"/>
    <w:link w:val="Char8"/>
    <w:qFormat/>
    <w:pPr>
      <w:widowControl w:val="0"/>
    </w:pPr>
    <w:rPr>
      <w:rFonts w:ascii="Calibri" w:hAnsi="Calibri"/>
      <w:b/>
      <w:bCs/>
      <w:kern w:val="2"/>
      <w:sz w:val="21"/>
      <w:szCs w:val="22"/>
    </w:rPr>
  </w:style>
  <w:style w:type="table" w:styleId="af">
    <w:name w:val="Table Grid"/>
    <w:basedOn w:val="a1"/>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0">
    <w:name w:val="Strong"/>
    <w:uiPriority w:val="22"/>
    <w:qFormat/>
    <w:rPr>
      <w:b/>
      <w:bCs/>
    </w:rPr>
  </w:style>
  <w:style w:type="character" w:styleId="af1">
    <w:name w:val="page number"/>
    <w:basedOn w:val="a0"/>
    <w:qFormat/>
  </w:style>
  <w:style w:type="character" w:styleId="af2">
    <w:name w:val="Hyperlink"/>
    <w:basedOn w:val="a0"/>
    <w:uiPriority w:val="99"/>
    <w:unhideWhenUsed/>
    <w:qFormat/>
    <w:rPr>
      <w:color w:val="0000FF" w:themeColor="hyperlink"/>
      <w:u w:val="single"/>
    </w:rPr>
  </w:style>
  <w:style w:type="character" w:styleId="af3">
    <w:name w:val="annotation reference"/>
    <w:qFormat/>
    <w:rPr>
      <w:sz w:val="21"/>
      <w:szCs w:val="21"/>
    </w:rPr>
  </w:style>
  <w:style w:type="character" w:styleId="af4">
    <w:name w:val="footnote reference"/>
    <w:qFormat/>
    <w:rPr>
      <w:vertAlign w:val="superscript"/>
    </w:rPr>
  </w:style>
  <w:style w:type="character" w:customStyle="1" w:styleId="Char5">
    <w:name w:val="页眉 Char"/>
    <w:basedOn w:val="a0"/>
    <w:link w:val="aa"/>
    <w:uiPriority w:val="99"/>
    <w:qFormat/>
    <w:rPr>
      <w:sz w:val="18"/>
      <w:szCs w:val="18"/>
    </w:rPr>
  </w:style>
  <w:style w:type="character" w:customStyle="1" w:styleId="Char4">
    <w:name w:val="页脚 Char"/>
    <w:basedOn w:val="a0"/>
    <w:link w:val="a9"/>
    <w:uiPriority w:val="99"/>
    <w:qFormat/>
    <w:rPr>
      <w:sz w:val="18"/>
      <w:szCs w:val="18"/>
    </w:rPr>
  </w:style>
  <w:style w:type="paragraph" w:customStyle="1" w:styleId="Default">
    <w:name w:val="Default"/>
    <w:qFormat/>
    <w:pPr>
      <w:widowControl w:val="0"/>
      <w:autoSpaceDE w:val="0"/>
      <w:autoSpaceDN w:val="0"/>
      <w:adjustRightInd w:val="0"/>
    </w:pPr>
    <w:rPr>
      <w:rFonts w:ascii="宋体" w:hAnsi="Calibri" w:cs="宋体"/>
      <w:color w:val="000000"/>
      <w:sz w:val="24"/>
      <w:szCs w:val="24"/>
    </w:rPr>
  </w:style>
  <w:style w:type="paragraph" w:customStyle="1" w:styleId="af5">
    <w:name w:val="a"/>
    <w:basedOn w:val="a"/>
    <w:uiPriority w:val="99"/>
    <w:qFormat/>
    <w:pPr>
      <w:widowControl/>
      <w:spacing w:before="100" w:beforeAutospacing="1" w:after="100" w:afterAutospacing="1"/>
      <w:jc w:val="left"/>
    </w:pPr>
    <w:rPr>
      <w:rFonts w:ascii="宋体" w:hAnsi="宋体"/>
      <w:kern w:val="0"/>
      <w:sz w:val="24"/>
      <w:szCs w:val="24"/>
    </w:rPr>
  </w:style>
  <w:style w:type="character" w:customStyle="1" w:styleId="Char0">
    <w:name w:val="批注文字 Char"/>
    <w:basedOn w:val="a0"/>
    <w:link w:val="a5"/>
    <w:uiPriority w:val="99"/>
    <w:qFormat/>
    <w:rPr>
      <w:rFonts w:ascii="宋体" w:eastAsia="宋体" w:hAnsi="宋体" w:cs="宋体"/>
      <w:kern w:val="0"/>
      <w:sz w:val="24"/>
      <w:szCs w:val="24"/>
    </w:rPr>
  </w:style>
  <w:style w:type="character" w:customStyle="1" w:styleId="Char3">
    <w:name w:val="批注框文本 Char"/>
    <w:basedOn w:val="a0"/>
    <w:link w:val="a8"/>
    <w:uiPriority w:val="99"/>
    <w:qFormat/>
    <w:rPr>
      <w:sz w:val="18"/>
      <w:szCs w:val="18"/>
    </w:rPr>
  </w:style>
  <w:style w:type="paragraph" w:styleId="af6">
    <w:name w:val="List Paragraph"/>
    <w:basedOn w:val="a"/>
    <w:qFormat/>
    <w:pPr>
      <w:ind w:firstLineChars="200" w:firstLine="420"/>
    </w:pPr>
  </w:style>
  <w:style w:type="character" w:customStyle="1" w:styleId="1Char">
    <w:name w:val="标题 1 Char"/>
    <w:basedOn w:val="a0"/>
    <w:link w:val="1"/>
    <w:uiPriority w:val="9"/>
    <w:qFormat/>
    <w:rPr>
      <w:b/>
      <w:bCs/>
      <w:kern w:val="44"/>
      <w:sz w:val="44"/>
      <w:szCs w:val="44"/>
    </w:rPr>
  </w:style>
  <w:style w:type="paragraph" w:customStyle="1" w:styleId="TOC1">
    <w:name w:val="TOC 标题1"/>
    <w:basedOn w:val="1"/>
    <w:next w:val="a"/>
    <w:uiPriority w:val="39"/>
    <w:qFormat/>
    <w:pPr>
      <w:widowControl/>
      <w:spacing w:before="240" w:after="0" w:line="259" w:lineRule="auto"/>
      <w:jc w:val="left"/>
      <w:outlineLvl w:val="9"/>
    </w:pPr>
    <w:rPr>
      <w:rFonts w:ascii="Calibri Light" w:hAnsi="Calibri Light"/>
      <w:b w:val="0"/>
      <w:bCs w:val="0"/>
      <w:color w:val="2E74B5"/>
      <w:kern w:val="0"/>
      <w:sz w:val="32"/>
      <w:szCs w:val="32"/>
    </w:rPr>
  </w:style>
  <w:style w:type="paragraph" w:customStyle="1" w:styleId="11">
    <w:name w:val="修订1"/>
    <w:uiPriority w:val="99"/>
    <w:qFormat/>
    <w:rPr>
      <w:rFonts w:ascii="Calibri" w:hAnsi="Calibri" w:cs="宋体"/>
      <w:kern w:val="2"/>
      <w:sz w:val="21"/>
      <w:szCs w:val="22"/>
    </w:rPr>
  </w:style>
  <w:style w:type="character" w:customStyle="1" w:styleId="Char8">
    <w:name w:val="批注主题 Char"/>
    <w:basedOn w:val="Char0"/>
    <w:link w:val="ae"/>
    <w:uiPriority w:val="99"/>
    <w:qFormat/>
    <w:rPr>
      <w:rFonts w:ascii="宋体" w:eastAsia="宋体" w:hAnsi="宋体" w:cs="宋体"/>
      <w:b/>
      <w:bCs/>
      <w:kern w:val="0"/>
      <w:sz w:val="24"/>
      <w:szCs w:val="24"/>
    </w:rPr>
  </w:style>
  <w:style w:type="character" w:customStyle="1" w:styleId="HTMLChar">
    <w:name w:val="HTML 预设格式 Char"/>
    <w:basedOn w:val="a0"/>
    <w:link w:val="HTML"/>
    <w:uiPriority w:val="99"/>
    <w:qFormat/>
    <w:rPr>
      <w:rFonts w:ascii="宋体" w:eastAsia="宋体" w:hAnsi="宋体" w:cs="宋体"/>
      <w:kern w:val="0"/>
      <w:sz w:val="24"/>
      <w:szCs w:val="24"/>
    </w:rPr>
  </w:style>
  <w:style w:type="paragraph" w:customStyle="1" w:styleId="p0">
    <w:name w:val="p0"/>
    <w:basedOn w:val="a"/>
    <w:qFormat/>
    <w:pPr>
      <w:widowControl/>
      <w:spacing w:before="100" w:beforeAutospacing="1" w:after="100" w:afterAutospacing="1"/>
      <w:jc w:val="left"/>
    </w:pPr>
    <w:rPr>
      <w:rFonts w:ascii="宋体" w:hAnsi="宋体"/>
      <w:kern w:val="0"/>
      <w:sz w:val="24"/>
      <w:szCs w:val="24"/>
    </w:rPr>
  </w:style>
  <w:style w:type="paragraph" w:customStyle="1" w:styleId="22">
    <w:name w:val="修订2"/>
    <w:hidden/>
    <w:uiPriority w:val="99"/>
    <w:semiHidden/>
    <w:qFormat/>
    <w:rPr>
      <w:rFonts w:ascii="Calibri" w:hAnsi="Calibri" w:cs="宋体"/>
      <w:kern w:val="2"/>
      <w:sz w:val="21"/>
      <w:szCs w:val="22"/>
    </w:rPr>
  </w:style>
  <w:style w:type="character" w:customStyle="1" w:styleId="Char10">
    <w:name w:val="批注文字 Char1"/>
    <w:basedOn w:val="a0"/>
    <w:qFormat/>
    <w:rPr>
      <w:kern w:val="2"/>
      <w:sz w:val="21"/>
    </w:rPr>
  </w:style>
  <w:style w:type="paragraph" w:customStyle="1" w:styleId="32">
    <w:name w:val="修订3"/>
    <w:hidden/>
    <w:uiPriority w:val="99"/>
    <w:semiHidden/>
    <w:qFormat/>
    <w:rPr>
      <w:rFonts w:ascii="Calibri" w:hAnsi="Calibri" w:cs="宋体"/>
      <w:kern w:val="2"/>
      <w:sz w:val="21"/>
      <w:szCs w:val="22"/>
    </w:rPr>
  </w:style>
  <w:style w:type="paragraph" w:customStyle="1" w:styleId="TOC2">
    <w:name w:val="TOC 标题2"/>
    <w:basedOn w:val="1"/>
    <w:next w:val="a"/>
    <w:uiPriority w:val="39"/>
    <w:unhideWhenUsed/>
    <w:qFormat/>
    <w:pPr>
      <w:widowControl/>
      <w:spacing w:before="480" w:after="0" w:line="276" w:lineRule="auto"/>
      <w:jc w:val="left"/>
      <w:outlineLvl w:val="9"/>
    </w:pPr>
    <w:rPr>
      <w:rFonts w:asciiTheme="majorHAnsi" w:eastAsiaTheme="majorEastAsia" w:hAnsiTheme="majorHAnsi" w:cstheme="majorBidi"/>
      <w:color w:val="365F91" w:themeColor="accent1" w:themeShade="BF"/>
      <w:kern w:val="0"/>
      <w:sz w:val="28"/>
      <w:szCs w:val="28"/>
    </w:rPr>
  </w:style>
  <w:style w:type="character" w:customStyle="1" w:styleId="2Char">
    <w:name w:val="标题 2 Char"/>
    <w:basedOn w:val="a0"/>
    <w:link w:val="2"/>
    <w:qFormat/>
    <w:rPr>
      <w:rFonts w:ascii="Arial" w:eastAsia="黑体" w:hAnsi="Arial" w:cs="Times New Roman"/>
      <w:b/>
      <w:kern w:val="2"/>
      <w:sz w:val="32"/>
    </w:rPr>
  </w:style>
  <w:style w:type="character" w:customStyle="1" w:styleId="3Char">
    <w:name w:val="标题 3 Char"/>
    <w:basedOn w:val="a0"/>
    <w:link w:val="3"/>
    <w:qFormat/>
    <w:rPr>
      <w:rFonts w:ascii="Times New Roman" w:hAnsi="Times New Roman" w:cs="Times New Roman"/>
      <w:b/>
      <w:kern w:val="2"/>
      <w:sz w:val="32"/>
    </w:rPr>
  </w:style>
  <w:style w:type="character" w:customStyle="1" w:styleId="4Char">
    <w:name w:val="标题 4 Char"/>
    <w:basedOn w:val="a0"/>
    <w:link w:val="4"/>
    <w:uiPriority w:val="9"/>
    <w:semiHidden/>
    <w:qFormat/>
    <w:rPr>
      <w:rFonts w:asciiTheme="majorHAnsi" w:eastAsiaTheme="majorEastAsia" w:hAnsiTheme="majorHAnsi" w:cstheme="majorBidi"/>
      <w:b/>
      <w:bCs/>
      <w:kern w:val="2"/>
      <w:sz w:val="28"/>
      <w:szCs w:val="28"/>
    </w:rPr>
  </w:style>
  <w:style w:type="character" w:customStyle="1" w:styleId="unnamed11">
    <w:name w:val="unnamed11"/>
    <w:qFormat/>
    <w:rPr>
      <w:rFonts w:ascii="宋体" w:eastAsia="宋体" w:hAnsi="宋体" w:hint="eastAsia"/>
      <w:sz w:val="18"/>
    </w:rPr>
  </w:style>
  <w:style w:type="character" w:customStyle="1" w:styleId="read">
    <w:name w:val="read"/>
    <w:basedOn w:val="a0"/>
    <w:qFormat/>
  </w:style>
  <w:style w:type="character" w:customStyle="1" w:styleId="Char7">
    <w:name w:val="标题 Char"/>
    <w:link w:val="ad"/>
    <w:qFormat/>
    <w:rPr>
      <w:rFonts w:ascii="Cambria" w:hAnsi="Cambria"/>
      <w:b/>
      <w:kern w:val="2"/>
      <w:sz w:val="32"/>
    </w:rPr>
  </w:style>
  <w:style w:type="character" w:customStyle="1" w:styleId="Char1">
    <w:name w:val="正文文本 Char"/>
    <w:link w:val="a6"/>
    <w:qFormat/>
    <w:rPr>
      <w:rFonts w:ascii="宋体"/>
    </w:rPr>
  </w:style>
  <w:style w:type="paragraph" w:customStyle="1" w:styleId="Char9">
    <w:name w:val="Char"/>
    <w:basedOn w:val="a"/>
    <w:qFormat/>
    <w:rPr>
      <w:rFonts w:ascii="Times New Roman" w:hAnsi="Times New Roman" w:cs="Times New Roman"/>
      <w:szCs w:val="20"/>
    </w:rPr>
  </w:style>
  <w:style w:type="paragraph" w:customStyle="1" w:styleId="CharCharCharChar">
    <w:name w:val="Char Char Char Char"/>
    <w:basedOn w:val="a"/>
    <w:qFormat/>
    <w:pPr>
      <w:tabs>
        <w:tab w:val="left" w:pos="360"/>
      </w:tabs>
    </w:pPr>
    <w:rPr>
      <w:rFonts w:ascii="Times New Roman" w:hAnsi="Times New Roman" w:cs="Times New Roman"/>
      <w:szCs w:val="20"/>
    </w:rPr>
  </w:style>
  <w:style w:type="paragraph" w:customStyle="1" w:styleId="CharChar1">
    <w:name w:val="Char Char1"/>
    <w:basedOn w:val="a"/>
    <w:qFormat/>
    <w:rPr>
      <w:rFonts w:ascii="Times New Roman" w:hAnsi="Times New Roman" w:cs="Times New Roman"/>
      <w:szCs w:val="20"/>
    </w:rPr>
  </w:style>
  <w:style w:type="paragraph" w:customStyle="1" w:styleId="unnamed1">
    <w:name w:val="unnamed1"/>
    <w:basedOn w:val="a"/>
    <w:qFormat/>
    <w:pPr>
      <w:spacing w:before="60" w:after="60"/>
      <w:ind w:left="15" w:right="15"/>
    </w:pPr>
    <w:rPr>
      <w:rFonts w:ascii="宋体" w:hAnsi="宋体" w:cs="Times New Roman" w:hint="eastAsia"/>
      <w:color w:val="000000"/>
      <w:sz w:val="18"/>
      <w:szCs w:val="18"/>
    </w:rPr>
  </w:style>
  <w:style w:type="paragraph" w:customStyle="1" w:styleId="af7">
    <w:name w:val="正文正文"/>
    <w:basedOn w:val="a"/>
    <w:qFormat/>
    <w:pPr>
      <w:spacing w:afterLines="25" w:line="360" w:lineRule="auto"/>
      <w:ind w:firstLineChars="200" w:firstLine="200"/>
    </w:pPr>
    <w:rPr>
      <w:rFonts w:ascii="Times New Roman" w:hAnsi="Times New Roman" w:cs="Times New Roman"/>
      <w:sz w:val="24"/>
      <w:szCs w:val="20"/>
    </w:rPr>
  </w:style>
  <w:style w:type="paragraph" w:customStyle="1" w:styleId="Char20">
    <w:name w:val="Char2"/>
    <w:basedOn w:val="a"/>
    <w:qFormat/>
    <w:rPr>
      <w:rFonts w:ascii="Times New Roman" w:hAnsi="Times New Roman" w:cs="Times New Roman"/>
      <w:szCs w:val="20"/>
    </w:rPr>
  </w:style>
  <w:style w:type="character" w:customStyle="1" w:styleId="Char">
    <w:name w:val="文档结构图 Char"/>
    <w:basedOn w:val="a0"/>
    <w:link w:val="a4"/>
    <w:qFormat/>
    <w:rPr>
      <w:rFonts w:ascii="Times New Roman" w:hAnsi="Times New Roman" w:cs="Times New Roman"/>
      <w:kern w:val="2"/>
      <w:sz w:val="21"/>
      <w:shd w:val="clear" w:color="auto" w:fill="000080"/>
    </w:rPr>
  </w:style>
  <w:style w:type="character" w:customStyle="1" w:styleId="Char2">
    <w:name w:val="纯文本 Char"/>
    <w:basedOn w:val="a0"/>
    <w:link w:val="a7"/>
    <w:qFormat/>
    <w:rPr>
      <w:rFonts w:ascii="宋体" w:hAnsi="Courier New" w:cs="Times New Roman"/>
      <w:sz w:val="21"/>
    </w:rPr>
  </w:style>
  <w:style w:type="paragraph" w:customStyle="1" w:styleId="CharChar">
    <w:name w:val="Char Char"/>
    <w:basedOn w:val="a"/>
    <w:qFormat/>
    <w:rPr>
      <w:rFonts w:ascii="Times New Roman" w:hAnsi="Times New Roman" w:cs="Times New Roman"/>
      <w:szCs w:val="20"/>
    </w:rPr>
  </w:style>
  <w:style w:type="character" w:customStyle="1" w:styleId="Char11">
    <w:name w:val="正文文本 Char1"/>
    <w:basedOn w:val="a0"/>
    <w:uiPriority w:val="99"/>
    <w:semiHidden/>
    <w:qFormat/>
    <w:rPr>
      <w:kern w:val="2"/>
      <w:sz w:val="21"/>
      <w:szCs w:val="22"/>
    </w:rPr>
  </w:style>
  <w:style w:type="character" w:customStyle="1" w:styleId="Char12">
    <w:name w:val="标题 Char1"/>
    <w:basedOn w:val="a0"/>
    <w:uiPriority w:val="10"/>
    <w:qFormat/>
    <w:rPr>
      <w:rFonts w:asciiTheme="majorHAnsi" w:hAnsiTheme="majorHAnsi" w:cstheme="majorBidi"/>
      <w:b/>
      <w:bCs/>
      <w:kern w:val="2"/>
      <w:sz w:val="32"/>
      <w:szCs w:val="32"/>
    </w:rPr>
  </w:style>
  <w:style w:type="paragraph" w:customStyle="1" w:styleId="CharCharChar">
    <w:name w:val="Char Char Char"/>
    <w:basedOn w:val="a"/>
    <w:qFormat/>
    <w:rPr>
      <w:rFonts w:ascii="Times New Roman" w:hAnsi="Times New Roman" w:cs="Times New Roman"/>
      <w:szCs w:val="20"/>
    </w:rPr>
  </w:style>
  <w:style w:type="paragraph" w:customStyle="1" w:styleId="msonormal1">
    <w:name w:val="msonormal1"/>
    <w:qFormat/>
    <w:pPr>
      <w:widowControl w:val="0"/>
      <w:jc w:val="both"/>
    </w:pPr>
    <w:rPr>
      <w:kern w:val="2"/>
      <w:sz w:val="21"/>
    </w:rPr>
  </w:style>
  <w:style w:type="character" w:customStyle="1" w:styleId="3Char0">
    <w:name w:val="正文文本缩进 3 Char"/>
    <w:basedOn w:val="a0"/>
    <w:link w:val="31"/>
    <w:qFormat/>
    <w:rPr>
      <w:rFonts w:ascii="Times New Roman" w:hAnsi="Times New Roman" w:cs="Times New Roman"/>
      <w:color w:val="0000FF"/>
      <w:kern w:val="2"/>
      <w:sz w:val="21"/>
    </w:rPr>
  </w:style>
  <w:style w:type="character" w:customStyle="1" w:styleId="2Char0">
    <w:name w:val="正文文本缩进 2 Char"/>
    <w:basedOn w:val="a0"/>
    <w:link w:val="20"/>
    <w:qFormat/>
    <w:rPr>
      <w:rFonts w:ascii="仿宋_GB2312" w:eastAsia="仿宋_GB2312" w:hAnsi="Times New Roman" w:cs="Times New Roman"/>
      <w:kern w:val="2"/>
      <w:sz w:val="28"/>
    </w:rPr>
  </w:style>
  <w:style w:type="character" w:customStyle="1" w:styleId="Char6">
    <w:name w:val="脚注文本 Char"/>
    <w:basedOn w:val="a0"/>
    <w:link w:val="ab"/>
    <w:qFormat/>
    <w:rPr>
      <w:rFonts w:ascii="Times New Roman" w:hAnsi="Times New Roman" w:cs="Times New Roman"/>
      <w:kern w:val="2"/>
      <w:sz w:val="18"/>
    </w:rPr>
  </w:style>
  <w:style w:type="paragraph" w:customStyle="1" w:styleId="Listbullet">
    <w:name w:val="List_bullet"/>
    <w:basedOn w:val="a"/>
    <w:qFormat/>
    <w:pPr>
      <w:widowControl/>
      <w:numPr>
        <w:numId w:val="1"/>
      </w:numPr>
      <w:jc w:val="left"/>
    </w:pPr>
    <w:rPr>
      <w:rFonts w:ascii="Times New Roman" w:hAnsi="Times New Roman" w:cs="Times New Roman"/>
      <w:kern w:val="0"/>
      <w:sz w:val="24"/>
      <w:szCs w:val="20"/>
    </w:rPr>
  </w:style>
  <w:style w:type="paragraph" w:customStyle="1" w:styleId="InfoBlue">
    <w:name w:val="InfoBlue"/>
    <w:basedOn w:val="a"/>
    <w:next w:val="a6"/>
    <w:qFormat/>
    <w:pPr>
      <w:tabs>
        <w:tab w:val="left" w:pos="420"/>
      </w:tabs>
      <w:spacing w:after="120" w:line="240" w:lineRule="atLeast"/>
      <w:ind w:left="420" w:hanging="420"/>
      <w:jc w:val="left"/>
    </w:pPr>
    <w:rPr>
      <w:rFonts w:ascii="宋体" w:hAnsi="宋体" w:cs="Times New Roman"/>
      <w:szCs w:val="20"/>
    </w:rPr>
  </w:style>
  <w:style w:type="paragraph" w:customStyle="1" w:styleId="af8">
    <w:name w:val="正文所"/>
    <w:basedOn w:val="a"/>
    <w:qFormat/>
    <w:pPr>
      <w:spacing w:line="360" w:lineRule="auto"/>
      <w:ind w:firstLineChars="200" w:firstLine="420"/>
    </w:pPr>
    <w:rPr>
      <w:rFonts w:ascii="宋体" w:hAnsi="Times New Roman" w:cs="Times New Roman"/>
      <w:szCs w:val="20"/>
    </w:rPr>
  </w:style>
  <w:style w:type="paragraph" w:customStyle="1" w:styleId="CharChar6">
    <w:name w:val="Char Char6"/>
    <w:basedOn w:val="a"/>
    <w:qFormat/>
    <w:rPr>
      <w:rFonts w:ascii="Times New Roman" w:hAnsi="Times New Roman" w:cs="Times New Roman"/>
      <w:szCs w:val="20"/>
    </w:rPr>
  </w:style>
  <w:style w:type="paragraph" w:customStyle="1" w:styleId="CharCharCharChar1">
    <w:name w:val="Char Char Char Char1"/>
    <w:basedOn w:val="a"/>
    <w:qFormat/>
    <w:pPr>
      <w:tabs>
        <w:tab w:val="left" w:pos="360"/>
      </w:tabs>
    </w:pPr>
    <w:rPr>
      <w:rFonts w:ascii="Times New Roman" w:hAnsi="Times New Roman" w:cs="Times New Roman"/>
      <w:szCs w:val="20"/>
    </w:rPr>
  </w:style>
  <w:style w:type="paragraph" w:customStyle="1" w:styleId="CharChar11">
    <w:name w:val="Char Char11"/>
    <w:basedOn w:val="a"/>
    <w:qFormat/>
    <w:rPr>
      <w:rFonts w:ascii="Times New Roman" w:hAnsi="Times New Roman" w:cs="Times New Roman"/>
      <w:szCs w:val="20"/>
    </w:rPr>
  </w:style>
  <w:style w:type="paragraph" w:customStyle="1" w:styleId="Char13">
    <w:name w:val="Char1"/>
    <w:basedOn w:val="a"/>
    <w:qFormat/>
    <w:rPr>
      <w:rFonts w:ascii="Times New Roman" w:hAnsi="Times New Roman" w:cs="Times New Roman"/>
      <w:szCs w:val="20"/>
    </w:rPr>
  </w:style>
  <w:style w:type="paragraph" w:customStyle="1" w:styleId="CharChar5">
    <w:name w:val="Char Char5"/>
    <w:basedOn w:val="a"/>
    <w:qFormat/>
    <w:rPr>
      <w:rFonts w:ascii="Times New Roman" w:hAnsi="Times New Roman" w:cs="Times New Roman"/>
      <w:szCs w:val="20"/>
    </w:rPr>
  </w:style>
  <w:style w:type="paragraph" w:customStyle="1" w:styleId="CharCharChar1">
    <w:name w:val="Char Char Char1"/>
    <w:basedOn w:val="a"/>
    <w:qFormat/>
    <w:rPr>
      <w:rFonts w:ascii="Times New Roman" w:hAnsi="Times New Roman" w:cs="Times New Roman"/>
      <w:szCs w:val="20"/>
    </w:rPr>
  </w:style>
  <w:style w:type="paragraph" w:customStyle="1" w:styleId="CharChar4">
    <w:name w:val="Char Char4"/>
    <w:basedOn w:val="a"/>
    <w:qFormat/>
    <w:rPr>
      <w:rFonts w:ascii="Times New Roman" w:hAnsi="Times New Roman" w:cs="Times New Roman"/>
      <w:szCs w:val="20"/>
    </w:rPr>
  </w:style>
  <w:style w:type="paragraph" w:customStyle="1" w:styleId="CharChar3">
    <w:name w:val="Char Char3"/>
    <w:basedOn w:val="a"/>
    <w:qFormat/>
    <w:rPr>
      <w:rFonts w:ascii="Times New Roman" w:hAnsi="Times New Roman" w:cs="Times New Roman"/>
      <w:szCs w:val="20"/>
    </w:rPr>
  </w:style>
  <w:style w:type="paragraph" w:customStyle="1" w:styleId="CharChar2">
    <w:name w:val="Char Char2"/>
    <w:basedOn w:val="a"/>
    <w:qFormat/>
    <w:rPr>
      <w:rFonts w:ascii="Times New Roman" w:hAnsi="Times New Roman" w:cs="Times New Roman"/>
      <w:szCs w:val="20"/>
    </w:rPr>
  </w:style>
  <w:style w:type="paragraph" w:customStyle="1" w:styleId="12">
    <w:name w:val="正文1"/>
    <w:qFormat/>
    <w:pPr>
      <w:jc w:val="both"/>
    </w:pPr>
    <w:rPr>
      <w:kern w:val="2"/>
      <w:sz w:val="21"/>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52132866">
      <w:bodyDiv w:val="1"/>
      <w:marLeft w:val="0"/>
      <w:marRight w:val="0"/>
      <w:marTop w:val="0"/>
      <w:marBottom w:val="0"/>
      <w:divBdr>
        <w:top w:val="none" w:sz="0" w:space="0" w:color="auto"/>
        <w:left w:val="none" w:sz="0" w:space="0" w:color="auto"/>
        <w:bottom w:val="none" w:sz="0" w:space="0" w:color="auto"/>
        <w:right w:val="none" w:sz="0" w:space="0" w:color="auto"/>
      </w:divBdr>
    </w:div>
    <w:div w:id="1089080052">
      <w:bodyDiv w:val="1"/>
      <w:marLeft w:val="0"/>
      <w:marRight w:val="0"/>
      <w:marTop w:val="0"/>
      <w:marBottom w:val="0"/>
      <w:divBdr>
        <w:top w:val="none" w:sz="0" w:space="0" w:color="auto"/>
        <w:left w:val="none" w:sz="0" w:space="0" w:color="auto"/>
        <w:bottom w:val="none" w:sz="0" w:space="0" w:color="auto"/>
        <w:right w:val="none" w:sz="0" w:space="0" w:color="auto"/>
      </w:divBdr>
    </w:div>
    <w:div w:id="1381132718">
      <w:bodyDiv w:val="1"/>
      <w:marLeft w:val="0"/>
      <w:marRight w:val="0"/>
      <w:marTop w:val="0"/>
      <w:marBottom w:val="0"/>
      <w:divBdr>
        <w:top w:val="none" w:sz="0" w:space="0" w:color="auto"/>
        <w:left w:val="none" w:sz="0" w:space="0" w:color="auto"/>
        <w:bottom w:val="none" w:sz="0" w:space="0" w:color="auto"/>
        <w:right w:val="none" w:sz="0" w:space="0" w:color="auto"/>
      </w:divBdr>
    </w:div>
    <w:div w:id="1497577721">
      <w:bodyDiv w:val="1"/>
      <w:marLeft w:val="0"/>
      <w:marRight w:val="0"/>
      <w:marTop w:val="0"/>
      <w:marBottom w:val="0"/>
      <w:divBdr>
        <w:top w:val="none" w:sz="0" w:space="0" w:color="auto"/>
        <w:left w:val="none" w:sz="0" w:space="0" w:color="auto"/>
        <w:bottom w:val="none" w:sz="0" w:space="0" w:color="auto"/>
        <w:right w:val="none" w:sz="0" w:space="0" w:color="auto"/>
      </w:divBdr>
    </w:div>
    <w:div w:id="1866168885">
      <w:bodyDiv w:val="1"/>
      <w:marLeft w:val="0"/>
      <w:marRight w:val="0"/>
      <w:marTop w:val="0"/>
      <w:marBottom w:val="0"/>
      <w:divBdr>
        <w:top w:val="none" w:sz="0" w:space="0" w:color="auto"/>
        <w:left w:val="none" w:sz="0" w:space="0" w:color="auto"/>
        <w:bottom w:val="none" w:sz="0" w:space="0" w:color="auto"/>
        <w:right w:val="none" w:sz="0" w:space="0" w:color="auto"/>
      </w:divBdr>
    </w:div>
    <w:div w:id="196857965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customXml" Target="../customXml/item8.xml"/><Relationship Id="rId13" Type="http://schemas.openxmlformats.org/officeDocument/2006/relationships/customXml" Target="../customXml/item13.xml"/><Relationship Id="rId18" Type="http://schemas.openxmlformats.org/officeDocument/2006/relationships/customXml" Target="../customXml/item18.xml"/><Relationship Id="rId26" Type="http://schemas.openxmlformats.org/officeDocument/2006/relationships/hyperlink" Target="http://www.chinawealth.com.cn" TargetMode="External"/><Relationship Id="rId3" Type="http://schemas.openxmlformats.org/officeDocument/2006/relationships/customXml" Target="../customXml/item3.xml"/><Relationship Id="rId21" Type="http://schemas.openxmlformats.org/officeDocument/2006/relationships/settings" Target="settings.xml"/><Relationship Id="rId7" Type="http://schemas.openxmlformats.org/officeDocument/2006/relationships/customXml" Target="../customXml/item7.xml"/><Relationship Id="rId12" Type="http://schemas.openxmlformats.org/officeDocument/2006/relationships/customXml" Target="../customXml/item12.xml"/><Relationship Id="rId17" Type="http://schemas.openxmlformats.org/officeDocument/2006/relationships/customXml" Target="../customXml/item17.xml"/><Relationship Id="rId25" Type="http://schemas.openxmlformats.org/officeDocument/2006/relationships/image" Target="media/image1.jpeg"/><Relationship Id="rId2" Type="http://schemas.openxmlformats.org/officeDocument/2006/relationships/customXml" Target="../customXml/item2.xml"/><Relationship Id="rId16" Type="http://schemas.openxmlformats.org/officeDocument/2006/relationships/customXml" Target="../customXml/item16.xml"/><Relationship Id="rId20" Type="http://schemas.openxmlformats.org/officeDocument/2006/relationships/styles" Target="styles.xm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customXml" Target="../customXml/item11.xml"/><Relationship Id="rId24"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customXml" Target="../customXml/item15.xml"/><Relationship Id="rId23" Type="http://schemas.openxmlformats.org/officeDocument/2006/relationships/footnotes" Target="footnotes.xml"/><Relationship Id="rId28" Type="http://schemas.openxmlformats.org/officeDocument/2006/relationships/footer" Target="footer1.xml"/><Relationship Id="rId10" Type="http://schemas.openxmlformats.org/officeDocument/2006/relationships/customXml" Target="../customXml/item10.xml"/><Relationship Id="rId19" Type="http://schemas.openxmlformats.org/officeDocument/2006/relationships/numbering" Target="numbering.xml"/><Relationship Id="rId4" Type="http://schemas.openxmlformats.org/officeDocument/2006/relationships/customXml" Target="../customXml/item4.xml"/><Relationship Id="rId9" Type="http://schemas.openxmlformats.org/officeDocument/2006/relationships/customXml" Target="../customXml/item9.xml"/><Relationship Id="rId14" Type="http://schemas.openxmlformats.org/officeDocument/2006/relationships/customXml" Target="../customXml/item14.xml"/><Relationship Id="rId22" Type="http://schemas.openxmlformats.org/officeDocument/2006/relationships/webSettings" Target="webSettings.xml"/><Relationship Id="rId27" Type="http://schemas.openxmlformats.org/officeDocument/2006/relationships/header" Target="header1.xml"/><Relationship Id="rId30"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_rels/item7.xml.rels><?xml version="1.0" encoding="UTF-8" standalone="yes"?>
<Relationships xmlns="http://schemas.openxmlformats.org/package/2006/relationships"><Relationship Id="rId1" Type="http://schemas.openxmlformats.org/officeDocument/2006/relationships/customXmlProps" Target="itemProps7.xml"/></Relationships>
</file>

<file path=customXml/_rels/item8.xml.rels><?xml version="1.0" encoding="UTF-8" standalone="yes"?>
<Relationships xmlns="http://schemas.openxmlformats.org/package/2006/relationships"><Relationship Id="rId1" Type="http://schemas.openxmlformats.org/officeDocument/2006/relationships/customXmlProps" Target="itemProps8.xml"/></Relationships>
</file>

<file path=customXml/_rels/item9.xml.rels><?xml version="1.0" encoding="UTF-8" standalone="yes"?>
<Relationships xmlns="http://schemas.openxmlformats.org/package/2006/relationships"><Relationship Id="rId1" Type="http://schemas.openxmlformats.org/officeDocument/2006/relationships/customXmlProps" Target="itemProps9.xml"/></Relationships>
</file>

<file path=customXml/_rels/item10.xml.rels><?xml version="1.0" encoding="UTF-8" standalone="yes"?>
<Relationships xmlns="http://schemas.openxmlformats.org/package/2006/relationships"><Relationship Id="rId1" Type="http://schemas.openxmlformats.org/officeDocument/2006/relationships/customXmlProps" Target="itemProps10.xml"/></Relationships>
</file>

<file path=customXml/_rels/item11.xml.rels><?xml version="1.0" encoding="UTF-8" standalone="yes"?>
<Relationships xmlns="http://schemas.openxmlformats.org/package/2006/relationships"><Relationship Id="rId1" Type="http://schemas.openxmlformats.org/officeDocument/2006/relationships/customXmlProps" Target="itemProps11.xml"/></Relationships>
</file>

<file path=customXml/_rels/item12.xml.rels><?xml version="1.0" encoding="UTF-8" standalone="yes"?>
<Relationships xmlns="http://schemas.openxmlformats.org/package/2006/relationships"><Relationship Id="rId1" Type="http://schemas.openxmlformats.org/officeDocument/2006/relationships/customXmlProps" Target="itemProps12.xml"/></Relationships>
</file>

<file path=customXml/_rels/item13.xml.rels><?xml version="1.0" encoding="UTF-8" standalone="yes"?>
<Relationships xmlns="http://schemas.openxmlformats.org/package/2006/relationships"><Relationship Id="rId1" Type="http://schemas.openxmlformats.org/officeDocument/2006/relationships/customXmlProps" Target="itemProps13.xml"/></Relationships>
</file>

<file path=customXml/_rels/item14.xml.rels><?xml version="1.0" encoding="UTF-8" standalone="yes"?>
<Relationships xmlns="http://schemas.openxmlformats.org/package/2006/relationships"><Relationship Id="rId1" Type="http://schemas.openxmlformats.org/officeDocument/2006/relationships/customXmlProps" Target="itemProps14.xml"/></Relationships>
</file>

<file path=customXml/_rels/item15.xml.rels><?xml version="1.0" encoding="UTF-8" standalone="yes"?>
<Relationships xmlns="http://schemas.openxmlformats.org/package/2006/relationships"><Relationship Id="rId1" Type="http://schemas.openxmlformats.org/officeDocument/2006/relationships/customXmlProps" Target="itemProps15.xml"/></Relationships>
</file>

<file path=customXml/_rels/item16.xml.rels><?xml version="1.0" encoding="UTF-8" standalone="yes"?>
<Relationships xmlns="http://schemas.openxmlformats.org/package/2006/relationships"><Relationship Id="rId1" Type="http://schemas.openxmlformats.org/officeDocument/2006/relationships/customXmlProps" Target="itemProps16.xml"/></Relationships>
</file>

<file path=customXml/_rels/item17.xml.rels><?xml version="1.0" encoding="UTF-8" standalone="yes"?>
<Relationships xmlns="http://schemas.openxmlformats.org/package/2006/relationships"><Relationship Id="rId1" Type="http://schemas.openxmlformats.org/officeDocument/2006/relationships/customXmlProps" Target="itemProps17.xml"/></Relationships>
</file>

<file path=customXml/_rels/item18.xml.rels><?xml version="1.0" encoding="UTF-8" standalone="yes"?>
<Relationships xmlns="http://schemas.openxmlformats.org/package/2006/relationships"><Relationship Id="rId1" Type="http://schemas.openxmlformats.org/officeDocument/2006/relationships/customXmlProps" Target="itemProps18.xml"/></Relationships>
</file>

<file path=customXml/item1.xml><?xml version="1.0" encoding="utf-8"?>
<mcd:customData xmlns="http://www.wps.cn/android/officeDocument/2013/mofficeCustomData" xmlns:mcd="http://www.wps.cn/android/officeDocument/2013/mofficeCustomData" version="2">
  <mcd:comments/>
</mcd:customData>
</file>

<file path=customXml/item2.xml><?xml version="1.0" encoding="utf-8"?>
<mcd:customData xmlns="http://www.wps.cn/android/officeDocument/2013/mofficeCustomData" xmlns:mcd="http://www.wps.cn/android/officeDocument/2013/mofficeCustomData" version="2">
  <mcd:comments/>
</mcd:customData>
</file>

<file path=customXml/item3.xml><?xml version="1.0" encoding="utf-8"?>
<mcd:customData xmlns="http://www.wps.cn/android/officeDocument/2013/mofficeCustomData" xmlns:mcd="http://www.wps.cn/android/officeDocument/2013/mofficeCustomData" version="2">
  <mcd:comments/>
</mcd:customData>
</file>

<file path=customXml/item4.xml><?xml version="1.0" encoding="utf-8"?>
<s:customData xmlns="http://www.wps.cn/officeDocument/2013/wpsCustomData" xmlns:s="http://www.wps.cn/officeDocument/2013/wpsCustomData">
  <customSectProps>
    <customSectPr/>
  </customSectProps>
</s:customData>
</file>

<file path=customXml/item5.xml><?xml version="1.0" encoding="utf-8"?>
<mcd:customData xmlns="http://www.wps.cn/android/officeDocument/2013/mofficeCustomData" xmlns:mcd="http://www.wps.cn/android/officeDocument/2013/mofficeCustomData" version="2">
  <mcd:comments/>
</mcd:customData>
</file>

<file path=customXml/item6.xml><?xml version="1.0" encoding="utf-8"?>
<mcd:customData xmlns="http://www.wps.cn/android/officeDocument/2013/mofficeCustomData" xmlns:mcd="http://www.wps.cn/android/officeDocument/2013/mofficeCustomData" version="2">
  <mcd:comments/>
</mcd:customData>
</file>

<file path=customXml/item7.xml><?xml version="1.0" encoding="utf-8"?>
<mcd:customData xmlns="http://www.wps.cn/android/officeDocument/2013/mofficeCustomData" xmlns:mcd="http://www.wps.cn/android/officeDocument/2013/mofficeCustomData" version="2">
  <mcd:comments/>
</mcd:customData>
</file>

<file path=customXml/item8.xml><?xml version="1.0" encoding="utf-8"?>
<mcd:customData xmlns="http://www.wps.cn/android/officeDocument/2013/mofficeCustomData" xmlns:mcd="http://www.wps.cn/android/officeDocument/2013/mofficeCustomData" version="2">
  <mcd:comments/>
</mcd:customData>
</file>

<file path=customXml/item9.xml><?xml version="1.0" encoding="utf-8"?>
<mcd:customData xmlns="http://www.wps.cn/android/officeDocument/2013/mofficeCustomData" xmlns:mcd="http://www.wps.cn/android/officeDocument/2013/mofficeCustomData" version="2">
  <mcd:comments/>
</mcd:customData>
</file>

<file path=customXml/item10.xml><?xml version="1.0" encoding="utf-8"?>
<mcd:customData xmlns="http://www.wps.cn/android/officeDocument/2013/mofficeCustomData" xmlns:mcd="http://www.wps.cn/android/officeDocument/2013/mofficeCustomData" version="2">
  <mcd:comments/>
</mcd:customData>
</file>

<file path=customXml/item11.xml><?xml version="1.0" encoding="utf-8"?>
<mcd:customData xmlns="http://www.wps.cn/android/officeDocument/2013/mofficeCustomData" xmlns:mcd="http://www.wps.cn/android/officeDocument/2013/mofficeCustomData" version="2">
  <mcd:comments/>
</mcd:customData>
</file>

<file path=customXml/item12.xml><?xml version="1.0" encoding="utf-8"?>
<mcd:customData xmlns="http://www.wps.cn/android/officeDocument/2013/mofficeCustomData" xmlns:mcd="http://www.wps.cn/android/officeDocument/2013/mofficeCustomData" version="2">
  <mcd:comments/>
</mcd:customData>
</file>

<file path=customXml/item13.xml><?xml version="1.0" encoding="utf-8"?>
<mcd:customData xmlns="http://www.wps.cn/android/officeDocument/2013/mofficeCustomData" xmlns:mcd="http://www.wps.cn/android/officeDocument/2013/mofficeCustomData" version="2">
  <mcd:comments/>
</mcd:customData>
</file>

<file path=customXml/item14.xml><?xml version="1.0" encoding="utf-8"?>
<mcd:customData xmlns="http://www.wps.cn/android/officeDocument/2013/mofficeCustomData" xmlns:mcd="http://www.wps.cn/android/officeDocument/2013/mofficeCustomData" version="2">
  <mcd:comments/>
</mcd:customData>
</file>

<file path=customXml/item15.xml><?xml version="1.0" encoding="utf-8"?>
<mcd:customData xmlns="http://www.wps.cn/android/officeDocument/2013/mofficeCustomData" xmlns:mcd="http://www.wps.cn/android/officeDocument/2013/mofficeCustomData" version="2">
  <mcd:comments/>
</mcd:customData>
</file>

<file path=customXml/item16.xml><?xml version="1.0" encoding="utf-8"?>
<mcd:customData xmlns="http://www.wps.cn/android/officeDocument/2013/mofficeCustomData" xmlns:mcd="http://www.wps.cn/android/officeDocument/2013/mofficeCustomData" version="2">
  <mcd:comments/>
</mcd:customData>
</file>

<file path=customXml/item17.xml><?xml version="1.0" encoding="utf-8"?>
<mcd:customData xmlns="http://www.wps.cn/android/officeDocument/2013/mofficeCustomData" xmlns:mcd="http://www.wps.cn/android/officeDocument/2013/mofficeCustomData" version="2">
  <mcd:comments/>
</mcd:customData>
</file>

<file path=customXml/item18.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990A2D8-324F-45D5-B9CD-07245ED2860B}">
  <ds:schemaRefs>
    <ds:schemaRef ds:uri="http://www.wps.cn/android/officeDocument/2013/mofficeCustomData"/>
  </ds:schemaRefs>
</ds:datastoreItem>
</file>

<file path=customXml/itemProps2.xml><?xml version="1.0" encoding="utf-8"?>
<ds:datastoreItem xmlns:ds="http://schemas.openxmlformats.org/officeDocument/2006/customXml" ds:itemID="{9114D43D-ED98-4C7B-A3AE-26D78B80CA82}">
  <ds:schemaRefs>
    <ds:schemaRef ds:uri="http://www.wps.cn/android/officeDocument/2013/mofficeCustomData"/>
  </ds:schemaRefs>
</ds:datastoreItem>
</file>

<file path=customXml/itemProps3.xml><?xml version="1.0" encoding="utf-8"?>
<ds:datastoreItem xmlns:ds="http://schemas.openxmlformats.org/officeDocument/2006/customXml" ds:itemID="{3A3C3A8D-C5E4-45AF-8B48-C3BF528808AD}">
  <ds:schemaRefs>
    <ds:schemaRef ds:uri="http://www.wps.cn/android/officeDocument/2013/mofficeCustomData"/>
  </ds:schemaRefs>
</ds:datastoreItem>
</file>

<file path=customXml/itemProps4.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5.xml><?xml version="1.0" encoding="utf-8"?>
<ds:datastoreItem xmlns:ds="http://schemas.openxmlformats.org/officeDocument/2006/customXml" ds:itemID="{AC86F3EB-DB57-4B60-8A7E-BBB67A22EE0B}">
  <ds:schemaRefs>
    <ds:schemaRef ds:uri="http://www.wps.cn/android/officeDocument/2013/mofficeCustomData"/>
  </ds:schemaRefs>
</ds:datastoreItem>
</file>

<file path=customXml/itemProps6.xml><?xml version="1.0" encoding="utf-8"?>
<ds:datastoreItem xmlns:ds="http://schemas.openxmlformats.org/officeDocument/2006/customXml" ds:itemID="{7E5C9D84-6DB6-48FB-8632-D5279FC233C8}">
  <ds:schemaRefs>
    <ds:schemaRef ds:uri="http://www.wps.cn/android/officeDocument/2013/mofficeCustomData"/>
  </ds:schemaRefs>
</ds:datastoreItem>
</file>

<file path=customXml/itemProps7.xml><?xml version="1.0" encoding="utf-8"?>
<ds:datastoreItem xmlns:ds="http://schemas.openxmlformats.org/officeDocument/2006/customXml" ds:itemID="{A06CD169-7F5C-4082-81B2-6ECAA9AF6149}">
  <ds:schemaRefs>
    <ds:schemaRef ds:uri="http://www.wps.cn/android/officeDocument/2013/mofficeCustomData"/>
  </ds:schemaRefs>
</ds:datastoreItem>
</file>

<file path=customXml/itemProps8.xml><?xml version="1.0" encoding="utf-8"?>
<ds:datastoreItem xmlns:ds="http://schemas.openxmlformats.org/officeDocument/2006/customXml" ds:itemID="{D902962D-C8CC-43BF-804A-CD60AE6D7475}">
  <ds:schemaRefs>
    <ds:schemaRef ds:uri="http://www.wps.cn/android/officeDocument/2013/mofficeCustomData"/>
  </ds:schemaRefs>
</ds:datastoreItem>
</file>

<file path=customXml/itemProps9.xml><?xml version="1.0" encoding="utf-8"?>
<ds:datastoreItem xmlns:ds="http://schemas.openxmlformats.org/officeDocument/2006/customXml" ds:itemID="{EC45DDBE-A426-47CA-BC62-D025DE29F1BC}">
  <ds:schemaRefs>
    <ds:schemaRef ds:uri="http://www.wps.cn/android/officeDocument/2013/mofficeCustomData"/>
  </ds:schemaRefs>
</ds:datastoreItem>
</file>

<file path=customXml/itemProps10.xml><?xml version="1.0" encoding="utf-8"?>
<ds:datastoreItem xmlns:ds="http://schemas.openxmlformats.org/officeDocument/2006/customXml" ds:itemID="{0A7AA9EF-3B8C-4BAA-9155-A6E3E5337D3C}">
  <ds:schemaRefs>
    <ds:schemaRef ds:uri="http://www.wps.cn/android/officeDocument/2013/mofficeCustomData"/>
  </ds:schemaRefs>
</ds:datastoreItem>
</file>

<file path=customXml/itemProps11.xml><?xml version="1.0" encoding="utf-8"?>
<ds:datastoreItem xmlns:ds="http://schemas.openxmlformats.org/officeDocument/2006/customXml" ds:itemID="{CF487381-D648-48A1-B1E4-A4540B0D3650}">
  <ds:schemaRefs>
    <ds:schemaRef ds:uri="http://www.wps.cn/android/officeDocument/2013/mofficeCustomData"/>
  </ds:schemaRefs>
</ds:datastoreItem>
</file>

<file path=customXml/itemProps12.xml><?xml version="1.0" encoding="utf-8"?>
<ds:datastoreItem xmlns:ds="http://schemas.openxmlformats.org/officeDocument/2006/customXml" ds:itemID="{BEEE0313-55EB-45FA-BBBD-C0232D367255}">
  <ds:schemaRefs>
    <ds:schemaRef ds:uri="http://www.wps.cn/android/officeDocument/2013/mofficeCustomData"/>
  </ds:schemaRefs>
</ds:datastoreItem>
</file>

<file path=customXml/itemProps13.xml><?xml version="1.0" encoding="utf-8"?>
<ds:datastoreItem xmlns:ds="http://schemas.openxmlformats.org/officeDocument/2006/customXml" ds:itemID="{2108FF18-8EC8-4170-A536-1AA8E39CC797}">
  <ds:schemaRefs>
    <ds:schemaRef ds:uri="http://www.wps.cn/android/officeDocument/2013/mofficeCustomData"/>
  </ds:schemaRefs>
</ds:datastoreItem>
</file>

<file path=customXml/itemProps14.xml><?xml version="1.0" encoding="utf-8"?>
<ds:datastoreItem xmlns:ds="http://schemas.openxmlformats.org/officeDocument/2006/customXml" ds:itemID="{509BA638-9D3A-4AA3-A169-FF78BC0E4BE9}">
  <ds:schemaRefs>
    <ds:schemaRef ds:uri="http://www.wps.cn/android/officeDocument/2013/mofficeCustomData"/>
  </ds:schemaRefs>
</ds:datastoreItem>
</file>

<file path=customXml/itemProps15.xml><?xml version="1.0" encoding="utf-8"?>
<ds:datastoreItem xmlns:ds="http://schemas.openxmlformats.org/officeDocument/2006/customXml" ds:itemID="{79B37214-9E52-4241-8DD2-9E9CD9442006}">
  <ds:schemaRefs>
    <ds:schemaRef ds:uri="http://www.wps.cn/android/officeDocument/2013/mofficeCustomData"/>
  </ds:schemaRefs>
</ds:datastoreItem>
</file>

<file path=customXml/itemProps16.xml><?xml version="1.0" encoding="utf-8"?>
<ds:datastoreItem xmlns:ds="http://schemas.openxmlformats.org/officeDocument/2006/customXml" ds:itemID="{1A3BDF38-4832-4575-A8AB-7A1679738229}">
  <ds:schemaRefs>
    <ds:schemaRef ds:uri="http://www.wps.cn/android/officeDocument/2013/mofficeCustomData"/>
  </ds:schemaRefs>
</ds:datastoreItem>
</file>

<file path=customXml/itemProps17.xml><?xml version="1.0" encoding="utf-8"?>
<ds:datastoreItem xmlns:ds="http://schemas.openxmlformats.org/officeDocument/2006/customXml" ds:itemID="{E6D3D55C-3DD8-4C31-8069-E5508DD844FB}">
  <ds:schemaRefs>
    <ds:schemaRef ds:uri="http://www.wps.cn/android/officeDocument/2013/mofficeCustomData"/>
  </ds:schemaRefs>
</ds:datastoreItem>
</file>

<file path=customXml/itemProps18.xml><?xml version="1.0" encoding="utf-8"?>
<ds:datastoreItem xmlns:ds="http://schemas.openxmlformats.org/officeDocument/2006/customXml" ds:itemID="{5A105961-6A2B-49AD-BA91-FEE7BCED8C6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32</TotalTime>
  <Pages>36</Pages>
  <Words>3664</Words>
  <Characters>20890</Characters>
  <Application>Microsoft Office Word</Application>
  <DocSecurity>8</DocSecurity>
  <Lines>174</Lines>
  <Paragraphs>49</Paragraphs>
  <ScaleCrop>false</ScaleCrop>
  <Company>Microsoft</Company>
  <LinksUpToDate>false</LinksUpToDate>
  <CharactersWithSpaces>24505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张淼雯</dc:creator>
  <cp:lastModifiedBy>俞嘉骏</cp:lastModifiedBy>
  <cp:revision>17</cp:revision>
  <cp:lastPrinted>2020-09-21T06:35:00Z</cp:lastPrinted>
  <dcterms:created xsi:type="dcterms:W3CDTF">2023-11-02T08:56:00Z</dcterms:created>
  <dcterms:modified xsi:type="dcterms:W3CDTF">2023-12-15T05:58:00Z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2052-11.8.2.8959</vt:lpwstr>
  </property>
  <property fmtid="{D5CDD505-2E9C-101B-9397-08002B2CF9AE}" pid="3" name="ICV">
    <vt:lpwstr>0EC4E53844084BB8BF9E6D0327B3F36C</vt:lpwstr>
  </property>
</Properties>
</file>