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9EF" w:rsidRDefault="003F2D22">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E039EF" w:rsidRDefault="00E039EF">
      <w:pPr>
        <w:adjustRightInd w:val="0"/>
        <w:spacing w:line="360" w:lineRule="auto"/>
        <w:jc w:val="center"/>
        <w:rPr>
          <w:rStyle w:val="af0"/>
          <w:rFonts w:ascii="宋体" w:hAnsi="宋体"/>
          <w:sz w:val="32"/>
          <w:szCs w:val="32"/>
        </w:rPr>
      </w:pP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jc w:val="center"/>
        <w:rPr>
          <w:rStyle w:val="af0"/>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兴银理财</w:t>
      </w:r>
      <w:permStart w:id="2083080943" w:edGrp="everyone"/>
      <w:r>
        <w:rPr>
          <w:rStyle w:val="af0"/>
          <w:rFonts w:ascii="黑体" w:eastAsia="黑体" w:hAnsi="黑体" w:hint="eastAsia"/>
          <w:sz w:val="44"/>
          <w:szCs w:val="44"/>
        </w:rPr>
        <w:t>【</w:t>
      </w:r>
      <w:r w:rsidR="004227D0">
        <w:rPr>
          <w:rStyle w:val="af0"/>
          <w:rFonts w:ascii="黑体" w:eastAsia="黑体" w:hAnsi="黑体" w:hint="eastAsia"/>
          <w:sz w:val="44"/>
          <w:szCs w:val="44"/>
        </w:rPr>
        <w:t>稳利丰收封闭式固收类</w:t>
      </w:r>
      <w:r>
        <w:rPr>
          <w:rStyle w:val="af0"/>
          <w:rFonts w:ascii="黑体" w:eastAsia="黑体" w:hAnsi="黑体" w:hint="eastAsia"/>
          <w:sz w:val="44"/>
          <w:szCs w:val="44"/>
        </w:rPr>
        <w:t>】</w:t>
      </w:r>
      <w:permEnd w:id="2083080943"/>
      <w:r>
        <w:rPr>
          <w:rStyle w:val="af0"/>
          <w:rFonts w:ascii="黑体" w:eastAsia="黑体" w:hAnsi="黑体" w:hint="eastAsia"/>
          <w:sz w:val="44"/>
          <w:szCs w:val="44"/>
        </w:rPr>
        <w:t>理财产品</w:t>
      </w:r>
    </w:p>
    <w:p w:rsidR="00E039EF" w:rsidRDefault="003F2D2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产品说明书</w:t>
      </w: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E039EF" w:rsidRDefault="003F2D22">
      <w:pPr>
        <w:adjustRightInd w:val="0"/>
        <w:spacing w:line="360" w:lineRule="auto"/>
        <w:jc w:val="center"/>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E039EF" w:rsidRDefault="00E039EF">
      <w:pPr>
        <w:adjustRightInd w:val="0"/>
        <w:spacing w:line="360" w:lineRule="auto"/>
        <w:jc w:val="center"/>
        <w:rPr>
          <w:rStyle w:val="af0"/>
          <w:rFonts w:ascii="黑体" w:eastAsia="黑体" w:hAnsi="黑体"/>
          <w:bCs w:val="0"/>
          <w:sz w:val="28"/>
          <w:szCs w:val="28"/>
        </w:rPr>
      </w:pPr>
    </w:p>
    <w:p w:rsidR="00E039EF" w:rsidRDefault="003F2D22">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理财产品管理人：兴银理财有限责任公司</w:t>
      </w:r>
    </w:p>
    <w:p w:rsidR="00E039EF" w:rsidRDefault="00E039EF">
      <w:pPr>
        <w:adjustRightInd w:val="0"/>
        <w:spacing w:line="360" w:lineRule="auto"/>
        <w:jc w:val="center"/>
        <w:rPr>
          <w:rStyle w:val="af0"/>
          <w:rFonts w:ascii="宋体" w:hAnsi="宋体"/>
          <w:sz w:val="32"/>
          <w:szCs w:val="32"/>
        </w:rPr>
      </w:pPr>
    </w:p>
    <w:p w:rsidR="00E039EF" w:rsidRDefault="00E039EF">
      <w:pPr>
        <w:adjustRightInd w:val="0"/>
        <w:spacing w:line="360" w:lineRule="auto"/>
        <w:jc w:val="center"/>
        <w:rPr>
          <w:rStyle w:val="af0"/>
          <w:rFonts w:ascii="宋体" w:hAnsi="宋体"/>
          <w:sz w:val="32"/>
          <w:szCs w:val="32"/>
        </w:rPr>
      </w:pPr>
    </w:p>
    <w:p w:rsidR="00E039EF" w:rsidRDefault="003F2D22">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日期</w:t>
      </w:r>
      <w:r>
        <w:rPr>
          <w:rStyle w:val="af0"/>
          <w:rFonts w:ascii="宋体" w:hAnsi="宋体" w:cs="Times New Roman"/>
          <w:sz w:val="32"/>
          <w:szCs w:val="32"/>
        </w:rPr>
        <w:t>：</w:t>
      </w:r>
      <w:permStart w:id="1022885948" w:edGrp="everyone"/>
      <w:r>
        <w:rPr>
          <w:rStyle w:val="af0"/>
          <w:rFonts w:ascii="宋体" w:hAnsi="宋体" w:cs="Times New Roman" w:hint="eastAsia"/>
          <w:sz w:val="32"/>
          <w:szCs w:val="32"/>
        </w:rPr>
        <w:t>【2</w:t>
      </w:r>
      <w:r>
        <w:rPr>
          <w:rStyle w:val="af0"/>
          <w:rFonts w:ascii="宋体" w:hAnsi="宋体" w:cs="Times New Roman"/>
          <w:sz w:val="32"/>
          <w:szCs w:val="32"/>
        </w:rPr>
        <w:t>023</w:t>
      </w:r>
      <w:r>
        <w:rPr>
          <w:rStyle w:val="af0"/>
          <w:rFonts w:ascii="宋体" w:hAnsi="宋体" w:cs="Times New Roman" w:hint="eastAsia"/>
          <w:sz w:val="32"/>
          <w:szCs w:val="32"/>
        </w:rPr>
        <w:t>】年【1</w:t>
      </w:r>
      <w:r w:rsidR="008E7801">
        <w:rPr>
          <w:rStyle w:val="af0"/>
          <w:rFonts w:ascii="宋体" w:hAnsi="宋体" w:cs="Times New Roman"/>
          <w:sz w:val="32"/>
          <w:szCs w:val="32"/>
        </w:rPr>
        <w:t>2</w:t>
      </w:r>
      <w:r>
        <w:rPr>
          <w:rStyle w:val="af0"/>
          <w:rFonts w:ascii="宋体" w:hAnsi="宋体" w:cs="Times New Roman" w:hint="eastAsia"/>
          <w:sz w:val="32"/>
          <w:szCs w:val="32"/>
        </w:rPr>
        <w:t>】月</w:t>
      </w:r>
      <w:permEnd w:id="1022885948"/>
    </w:p>
    <w:p w:rsidR="00E039EF" w:rsidRDefault="00E039EF">
      <w:pPr>
        <w:adjustRightInd w:val="0"/>
        <w:spacing w:line="360" w:lineRule="auto"/>
        <w:jc w:val="center"/>
        <w:rPr>
          <w:rStyle w:val="af0"/>
          <w:rFonts w:ascii="宋体" w:hAnsi="宋体"/>
          <w:sz w:val="32"/>
          <w:szCs w:val="32"/>
        </w:rPr>
      </w:pPr>
    </w:p>
    <w:p w:rsidR="00E039EF" w:rsidRDefault="003F2D22">
      <w:pPr>
        <w:pStyle w:val="Default"/>
        <w:spacing w:line="360" w:lineRule="auto"/>
        <w:rPr>
          <w:rFonts w:hAnsi="宋体"/>
          <w:sz w:val="28"/>
          <w:szCs w:val="28"/>
        </w:rPr>
      </w:pPr>
      <w:r>
        <w:rPr>
          <w:rFonts w:hAnsi="宋体"/>
          <w:sz w:val="28"/>
          <w:szCs w:val="28"/>
        </w:rPr>
        <w:br w:type="page"/>
      </w:r>
    </w:p>
    <w:bookmarkStart w:id="0"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E039EF" w:rsidRDefault="003F2D22">
          <w:pPr>
            <w:pStyle w:val="TOC2"/>
            <w:spacing w:line="360" w:lineRule="auto"/>
            <w:jc w:val="center"/>
          </w:pPr>
          <w:r>
            <w:rPr>
              <w:lang w:val="zh-CN"/>
            </w:rPr>
            <w:t>目录</w:t>
          </w:r>
        </w:p>
        <w:p w:rsidR="00E039EF" w:rsidRDefault="003F2D22">
          <w:pPr>
            <w:pStyle w:val="10"/>
            <w:tabs>
              <w:tab w:val="right" w:leader="dot" w:pos="8296"/>
            </w:tabs>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116649649" w:history="1">
            <w:r>
              <w:rPr>
                <w:rStyle w:val="af2"/>
                <w:rFonts w:ascii="Times New Roman" w:hint="eastAsia"/>
              </w:rPr>
              <w:t>第一条</w:t>
            </w:r>
            <w:r>
              <w:rPr>
                <w:rStyle w:val="af2"/>
                <w:rFonts w:ascii="Times New Roman"/>
              </w:rPr>
              <w:t xml:space="preserve">  </w:t>
            </w:r>
            <w:r>
              <w:rPr>
                <w:rStyle w:val="af2"/>
                <w:rFonts w:ascii="Times New Roman" w:hint="eastAsia"/>
              </w:rPr>
              <w:t>释义</w:t>
            </w:r>
            <w:r>
              <w:tab/>
            </w:r>
            <w:r>
              <w:fldChar w:fldCharType="begin"/>
            </w:r>
            <w:r>
              <w:instrText xml:space="preserve"> PAGEREF _Toc116649649 \h </w:instrText>
            </w:r>
            <w:r>
              <w:fldChar w:fldCharType="separate"/>
            </w:r>
            <w:r>
              <w:t>3</w:t>
            </w:r>
            <w:r>
              <w:fldChar w:fldCharType="end"/>
            </w:r>
          </w:hyperlink>
        </w:p>
        <w:p w:rsidR="00E039EF" w:rsidRDefault="00B86646">
          <w:pPr>
            <w:pStyle w:val="10"/>
            <w:tabs>
              <w:tab w:val="right" w:leader="dot" w:pos="8296"/>
            </w:tabs>
            <w:rPr>
              <w:rFonts w:asciiTheme="minorHAnsi" w:eastAsiaTheme="minorEastAsia" w:hAnsiTheme="minorHAnsi" w:cstheme="minorBidi"/>
              <w:kern w:val="2"/>
              <w:sz w:val="21"/>
            </w:rPr>
          </w:pPr>
          <w:hyperlink w:anchor="_Toc116649650" w:history="1">
            <w:r w:rsidR="003F2D22">
              <w:rPr>
                <w:rStyle w:val="af2"/>
                <w:rFonts w:hAnsi="宋体" w:hint="eastAsia"/>
              </w:rPr>
              <w:t>第二条</w:t>
            </w:r>
            <w:r w:rsidR="003F2D22">
              <w:rPr>
                <w:rStyle w:val="af2"/>
                <w:rFonts w:hAnsi="宋体"/>
              </w:rPr>
              <w:t xml:space="preserve">  </w:t>
            </w:r>
            <w:r w:rsidR="003F2D22">
              <w:rPr>
                <w:rStyle w:val="af2"/>
                <w:rFonts w:hAnsi="宋体" w:hint="eastAsia"/>
              </w:rPr>
              <w:t>理财产品基本情况</w:t>
            </w:r>
            <w:r w:rsidR="003F2D22">
              <w:rPr>
                <w:rStyle w:val="af2"/>
                <w:rFonts w:hAnsi="宋体"/>
              </w:rPr>
              <w:t xml:space="preserve"> </w:t>
            </w:r>
            <w:r w:rsidR="003F2D22">
              <w:tab/>
            </w:r>
            <w:r w:rsidR="003F2D22">
              <w:fldChar w:fldCharType="begin"/>
            </w:r>
            <w:r w:rsidR="003F2D22">
              <w:instrText xml:space="preserve"> PAGEREF _Toc116649650 \h </w:instrText>
            </w:r>
            <w:r w:rsidR="003F2D22">
              <w:fldChar w:fldCharType="separate"/>
            </w:r>
            <w:r w:rsidR="003F2D22">
              <w:t>8</w:t>
            </w:r>
            <w:r w:rsidR="003F2D22">
              <w:fldChar w:fldCharType="end"/>
            </w:r>
          </w:hyperlink>
        </w:p>
        <w:p w:rsidR="00E039EF" w:rsidRDefault="00B86646">
          <w:pPr>
            <w:pStyle w:val="10"/>
            <w:tabs>
              <w:tab w:val="right" w:leader="dot" w:pos="8296"/>
            </w:tabs>
            <w:rPr>
              <w:rFonts w:asciiTheme="minorHAnsi" w:eastAsiaTheme="minorEastAsia" w:hAnsiTheme="minorHAnsi" w:cstheme="minorBidi"/>
              <w:kern w:val="2"/>
              <w:sz w:val="21"/>
            </w:rPr>
          </w:pPr>
          <w:hyperlink w:anchor="_Toc116649651" w:history="1">
            <w:r w:rsidR="003F2D22">
              <w:rPr>
                <w:rStyle w:val="af2"/>
                <w:rFonts w:ascii="Times New Roman" w:hint="eastAsia"/>
              </w:rPr>
              <w:t>第三条</w:t>
            </w:r>
            <w:r w:rsidR="003F2D22">
              <w:rPr>
                <w:rStyle w:val="af2"/>
                <w:rFonts w:ascii="Times New Roman"/>
              </w:rPr>
              <w:t xml:space="preserve">  </w:t>
            </w:r>
            <w:r w:rsidR="003F2D22">
              <w:rPr>
                <w:rStyle w:val="af2"/>
                <w:rFonts w:ascii="Times New Roman" w:hint="eastAsia"/>
              </w:rPr>
              <w:t>理财产品的认购</w:t>
            </w:r>
            <w:r w:rsidR="003F2D22">
              <w:tab/>
            </w:r>
            <w:r w:rsidR="003F2D22">
              <w:fldChar w:fldCharType="begin"/>
            </w:r>
            <w:r w:rsidR="003F2D22">
              <w:instrText xml:space="preserve"> PAGEREF _Toc116649651 \h </w:instrText>
            </w:r>
            <w:r w:rsidR="003F2D22">
              <w:fldChar w:fldCharType="separate"/>
            </w:r>
            <w:r w:rsidR="003F2D22">
              <w:t>14</w:t>
            </w:r>
            <w:r w:rsidR="003F2D22">
              <w:fldChar w:fldCharType="end"/>
            </w:r>
          </w:hyperlink>
        </w:p>
        <w:p w:rsidR="00E039EF" w:rsidRDefault="00B86646">
          <w:pPr>
            <w:pStyle w:val="10"/>
            <w:tabs>
              <w:tab w:val="right" w:leader="dot" w:pos="8296"/>
            </w:tabs>
            <w:rPr>
              <w:rFonts w:asciiTheme="minorHAnsi" w:eastAsiaTheme="minorEastAsia" w:hAnsiTheme="minorHAnsi" w:cstheme="minorBidi"/>
              <w:kern w:val="2"/>
              <w:sz w:val="21"/>
            </w:rPr>
          </w:pPr>
          <w:hyperlink w:anchor="_Toc116649652" w:history="1">
            <w:r w:rsidR="003F2D22">
              <w:rPr>
                <w:rStyle w:val="af2"/>
                <w:rFonts w:ascii="Times New Roman" w:hint="eastAsia"/>
              </w:rPr>
              <w:t>第四条</w:t>
            </w:r>
            <w:r w:rsidR="003F2D22">
              <w:rPr>
                <w:rStyle w:val="af2"/>
                <w:rFonts w:ascii="Times New Roman"/>
              </w:rPr>
              <w:t xml:space="preserve">  </w:t>
            </w:r>
            <w:r w:rsidR="003F2D22">
              <w:rPr>
                <w:rStyle w:val="af2"/>
                <w:rFonts w:ascii="Times New Roman" w:hint="eastAsia"/>
              </w:rPr>
              <w:t>理财产品的申购与赎回</w:t>
            </w:r>
            <w:r w:rsidR="003F2D22">
              <w:tab/>
            </w:r>
            <w:r w:rsidR="003F2D22">
              <w:fldChar w:fldCharType="begin"/>
            </w:r>
            <w:r w:rsidR="003F2D22">
              <w:instrText xml:space="preserve"> PAGEREF _Toc116649652 \h </w:instrText>
            </w:r>
            <w:r w:rsidR="003F2D22">
              <w:fldChar w:fldCharType="separate"/>
            </w:r>
            <w:r w:rsidR="003F2D22">
              <w:t>16</w:t>
            </w:r>
            <w:r w:rsidR="003F2D22">
              <w:fldChar w:fldCharType="end"/>
            </w:r>
          </w:hyperlink>
        </w:p>
        <w:p w:rsidR="00E039EF" w:rsidRDefault="00B86646">
          <w:pPr>
            <w:pStyle w:val="10"/>
            <w:tabs>
              <w:tab w:val="right" w:leader="dot" w:pos="8296"/>
            </w:tabs>
            <w:rPr>
              <w:rFonts w:asciiTheme="minorHAnsi" w:eastAsiaTheme="minorEastAsia" w:hAnsiTheme="minorHAnsi" w:cstheme="minorBidi"/>
              <w:kern w:val="2"/>
              <w:sz w:val="21"/>
            </w:rPr>
          </w:pPr>
          <w:hyperlink w:anchor="_Toc116649653" w:history="1">
            <w:r w:rsidR="003F2D22">
              <w:rPr>
                <w:rStyle w:val="af2"/>
                <w:rFonts w:ascii="Times New Roman" w:hint="eastAsia"/>
              </w:rPr>
              <w:t>第五条</w:t>
            </w:r>
            <w:r w:rsidR="003F2D22">
              <w:rPr>
                <w:rStyle w:val="af2"/>
                <w:rFonts w:ascii="Times New Roman"/>
              </w:rPr>
              <w:t xml:space="preserve">  </w:t>
            </w:r>
            <w:r w:rsidR="003F2D22">
              <w:rPr>
                <w:rStyle w:val="af2"/>
                <w:rFonts w:ascii="Times New Roman" w:hint="eastAsia"/>
              </w:rPr>
              <w:t>理财产品的投资</w:t>
            </w:r>
            <w:r w:rsidR="003F2D22">
              <w:tab/>
            </w:r>
            <w:r w:rsidR="003F2D22">
              <w:fldChar w:fldCharType="begin"/>
            </w:r>
            <w:r w:rsidR="003F2D22">
              <w:instrText xml:space="preserve"> PAGEREF _Toc116649653 \h </w:instrText>
            </w:r>
            <w:r w:rsidR="003F2D22">
              <w:fldChar w:fldCharType="separate"/>
            </w:r>
            <w:r w:rsidR="003F2D22">
              <w:t>17</w:t>
            </w:r>
            <w:r w:rsidR="003F2D22">
              <w:fldChar w:fldCharType="end"/>
            </w:r>
          </w:hyperlink>
        </w:p>
        <w:p w:rsidR="00E039EF" w:rsidRDefault="00B86646">
          <w:pPr>
            <w:pStyle w:val="10"/>
            <w:tabs>
              <w:tab w:val="right" w:leader="dot" w:pos="8296"/>
            </w:tabs>
            <w:rPr>
              <w:rFonts w:asciiTheme="minorHAnsi" w:eastAsiaTheme="minorEastAsia" w:hAnsiTheme="minorHAnsi" w:cstheme="minorBidi"/>
              <w:kern w:val="2"/>
              <w:sz w:val="21"/>
            </w:rPr>
          </w:pPr>
          <w:hyperlink w:anchor="_Toc116649654" w:history="1">
            <w:r w:rsidR="003F2D22">
              <w:rPr>
                <w:rStyle w:val="af2"/>
                <w:rFonts w:ascii="Times New Roman" w:hint="eastAsia"/>
              </w:rPr>
              <w:t>第六条</w:t>
            </w:r>
            <w:r w:rsidR="003F2D22">
              <w:rPr>
                <w:rStyle w:val="af2"/>
                <w:rFonts w:ascii="Times New Roman"/>
              </w:rPr>
              <w:t xml:space="preserve">  </w:t>
            </w:r>
            <w:r w:rsidR="003F2D22">
              <w:rPr>
                <w:rStyle w:val="af2"/>
                <w:rFonts w:ascii="Times New Roman" w:hint="eastAsia"/>
              </w:rPr>
              <w:t>理财产品的资产</w:t>
            </w:r>
            <w:r w:rsidR="003F2D22">
              <w:tab/>
            </w:r>
            <w:r w:rsidR="003F2D22">
              <w:fldChar w:fldCharType="begin"/>
            </w:r>
            <w:r w:rsidR="003F2D22">
              <w:instrText xml:space="preserve"> PAGEREF _Toc116649654 \h </w:instrText>
            </w:r>
            <w:r w:rsidR="003F2D22">
              <w:fldChar w:fldCharType="separate"/>
            </w:r>
            <w:r w:rsidR="003F2D22">
              <w:t>20</w:t>
            </w:r>
            <w:r w:rsidR="003F2D22">
              <w:fldChar w:fldCharType="end"/>
            </w:r>
          </w:hyperlink>
        </w:p>
        <w:p w:rsidR="00E039EF" w:rsidRDefault="00B86646">
          <w:pPr>
            <w:pStyle w:val="10"/>
            <w:tabs>
              <w:tab w:val="right" w:leader="dot" w:pos="8296"/>
            </w:tabs>
            <w:rPr>
              <w:rFonts w:asciiTheme="minorHAnsi" w:eastAsiaTheme="minorEastAsia" w:hAnsiTheme="minorHAnsi" w:cstheme="minorBidi"/>
              <w:kern w:val="2"/>
              <w:sz w:val="21"/>
            </w:rPr>
          </w:pPr>
          <w:hyperlink w:anchor="_Toc116649655" w:history="1">
            <w:r w:rsidR="003F2D22">
              <w:rPr>
                <w:rStyle w:val="af2"/>
                <w:rFonts w:ascii="Times New Roman" w:hint="eastAsia"/>
              </w:rPr>
              <w:t>第七条</w:t>
            </w:r>
            <w:r w:rsidR="003F2D22">
              <w:rPr>
                <w:rStyle w:val="af2"/>
                <w:rFonts w:ascii="Times New Roman"/>
              </w:rPr>
              <w:t xml:space="preserve">  </w:t>
            </w:r>
            <w:r w:rsidR="003F2D22">
              <w:rPr>
                <w:rStyle w:val="af2"/>
                <w:rFonts w:ascii="Times New Roman" w:hint="eastAsia"/>
              </w:rPr>
              <w:t>理财产品项下资产的估值</w:t>
            </w:r>
            <w:r w:rsidR="003F2D22">
              <w:tab/>
            </w:r>
            <w:r w:rsidR="003F2D22">
              <w:fldChar w:fldCharType="begin"/>
            </w:r>
            <w:r w:rsidR="003F2D22">
              <w:instrText xml:space="preserve"> PAGEREF _Toc116649655 \h </w:instrText>
            </w:r>
            <w:r w:rsidR="003F2D22">
              <w:fldChar w:fldCharType="separate"/>
            </w:r>
            <w:r w:rsidR="003F2D22">
              <w:t>21</w:t>
            </w:r>
            <w:r w:rsidR="003F2D22">
              <w:fldChar w:fldCharType="end"/>
            </w:r>
          </w:hyperlink>
        </w:p>
        <w:p w:rsidR="00E039EF" w:rsidRDefault="00B86646">
          <w:pPr>
            <w:pStyle w:val="10"/>
            <w:tabs>
              <w:tab w:val="right" w:leader="dot" w:pos="8296"/>
            </w:tabs>
            <w:rPr>
              <w:rFonts w:asciiTheme="minorHAnsi" w:eastAsiaTheme="minorEastAsia" w:hAnsiTheme="minorHAnsi" w:cstheme="minorBidi"/>
              <w:kern w:val="2"/>
              <w:sz w:val="21"/>
            </w:rPr>
          </w:pPr>
          <w:hyperlink w:anchor="_Toc116649656" w:history="1">
            <w:r w:rsidR="003F2D22">
              <w:rPr>
                <w:rStyle w:val="af2"/>
                <w:rFonts w:ascii="Times New Roman" w:hint="eastAsia"/>
              </w:rPr>
              <w:t>第八条</w:t>
            </w:r>
            <w:r w:rsidR="003F2D22">
              <w:rPr>
                <w:rStyle w:val="af2"/>
                <w:rFonts w:ascii="Times New Roman"/>
              </w:rPr>
              <w:t xml:space="preserve">  </w:t>
            </w:r>
            <w:r w:rsidR="003F2D22">
              <w:rPr>
                <w:rStyle w:val="af2"/>
                <w:rFonts w:ascii="Times New Roman" w:hint="eastAsia"/>
              </w:rPr>
              <w:t>理财产品的利益分配</w:t>
            </w:r>
            <w:r w:rsidR="003F2D22">
              <w:tab/>
            </w:r>
            <w:r w:rsidR="003F2D22">
              <w:fldChar w:fldCharType="begin"/>
            </w:r>
            <w:r w:rsidR="003F2D22">
              <w:instrText xml:space="preserve"> PAGEREF _Toc116649656 \h </w:instrText>
            </w:r>
            <w:r w:rsidR="003F2D22">
              <w:fldChar w:fldCharType="separate"/>
            </w:r>
            <w:r w:rsidR="003F2D22">
              <w:t>25</w:t>
            </w:r>
            <w:r w:rsidR="003F2D22">
              <w:fldChar w:fldCharType="end"/>
            </w:r>
          </w:hyperlink>
        </w:p>
        <w:p w:rsidR="00E039EF" w:rsidRDefault="00B86646">
          <w:pPr>
            <w:pStyle w:val="10"/>
            <w:tabs>
              <w:tab w:val="right" w:leader="dot" w:pos="8296"/>
            </w:tabs>
            <w:rPr>
              <w:rFonts w:asciiTheme="minorHAnsi" w:eastAsiaTheme="minorEastAsia" w:hAnsiTheme="minorHAnsi" w:cstheme="minorBidi"/>
              <w:kern w:val="2"/>
              <w:sz w:val="21"/>
            </w:rPr>
          </w:pPr>
          <w:hyperlink w:anchor="_Toc116649657" w:history="1">
            <w:r w:rsidR="003F2D22">
              <w:rPr>
                <w:rStyle w:val="af2"/>
                <w:rFonts w:ascii="Times New Roman" w:hint="eastAsia"/>
              </w:rPr>
              <w:t>第九条</w:t>
            </w:r>
            <w:r w:rsidR="003F2D22">
              <w:rPr>
                <w:rStyle w:val="af2"/>
                <w:rFonts w:ascii="Times New Roman"/>
              </w:rPr>
              <w:t xml:space="preserve">  </w:t>
            </w:r>
            <w:r w:rsidR="003F2D22">
              <w:rPr>
                <w:rStyle w:val="af2"/>
                <w:rFonts w:ascii="Times New Roman" w:hint="eastAsia"/>
              </w:rPr>
              <w:t>理财产品的费用与税收</w:t>
            </w:r>
            <w:r w:rsidR="003F2D22">
              <w:tab/>
            </w:r>
            <w:r w:rsidR="003F2D22">
              <w:fldChar w:fldCharType="begin"/>
            </w:r>
            <w:r w:rsidR="003F2D22">
              <w:instrText xml:space="preserve"> PAGEREF _Toc116649657 \h </w:instrText>
            </w:r>
            <w:r w:rsidR="003F2D22">
              <w:fldChar w:fldCharType="separate"/>
            </w:r>
            <w:r w:rsidR="003F2D22">
              <w:t>26</w:t>
            </w:r>
            <w:r w:rsidR="003F2D22">
              <w:fldChar w:fldCharType="end"/>
            </w:r>
          </w:hyperlink>
        </w:p>
        <w:p w:rsidR="00E039EF" w:rsidRDefault="00B86646">
          <w:pPr>
            <w:pStyle w:val="10"/>
            <w:tabs>
              <w:tab w:val="right" w:leader="dot" w:pos="8296"/>
            </w:tabs>
            <w:rPr>
              <w:rFonts w:asciiTheme="minorHAnsi" w:eastAsiaTheme="minorEastAsia" w:hAnsiTheme="minorHAnsi" w:cstheme="minorBidi"/>
              <w:kern w:val="2"/>
              <w:sz w:val="21"/>
            </w:rPr>
          </w:pPr>
          <w:hyperlink w:anchor="_Toc116649658" w:history="1">
            <w:r w:rsidR="003F2D22">
              <w:rPr>
                <w:rStyle w:val="af2"/>
                <w:rFonts w:hint="eastAsia"/>
              </w:rPr>
              <w:t>第十条</w:t>
            </w:r>
            <w:r w:rsidR="003F2D22">
              <w:rPr>
                <w:rStyle w:val="af2"/>
              </w:rPr>
              <w:t xml:space="preserve">  </w:t>
            </w:r>
            <w:r w:rsidR="003F2D22">
              <w:rPr>
                <w:rStyle w:val="af2"/>
                <w:rFonts w:hint="eastAsia"/>
              </w:rPr>
              <w:t>理财产品的终止与清算</w:t>
            </w:r>
            <w:r w:rsidR="003F2D22">
              <w:tab/>
            </w:r>
            <w:r w:rsidR="003F2D22">
              <w:fldChar w:fldCharType="begin"/>
            </w:r>
            <w:r w:rsidR="003F2D22">
              <w:instrText xml:space="preserve"> PAGEREF _Toc116649658 \h </w:instrText>
            </w:r>
            <w:r w:rsidR="003F2D22">
              <w:fldChar w:fldCharType="separate"/>
            </w:r>
            <w:r w:rsidR="003F2D22">
              <w:t>29</w:t>
            </w:r>
            <w:r w:rsidR="003F2D22">
              <w:fldChar w:fldCharType="end"/>
            </w:r>
          </w:hyperlink>
        </w:p>
        <w:p w:rsidR="00E039EF" w:rsidRDefault="00B86646">
          <w:pPr>
            <w:pStyle w:val="10"/>
            <w:tabs>
              <w:tab w:val="right" w:leader="dot" w:pos="8296"/>
            </w:tabs>
            <w:rPr>
              <w:rFonts w:asciiTheme="minorHAnsi" w:eastAsiaTheme="minorEastAsia" w:hAnsiTheme="minorHAnsi" w:cstheme="minorBidi"/>
              <w:kern w:val="2"/>
              <w:sz w:val="21"/>
            </w:rPr>
          </w:pPr>
          <w:hyperlink w:anchor="_Toc116649659" w:history="1">
            <w:r w:rsidR="003F2D22">
              <w:rPr>
                <w:rStyle w:val="af2"/>
                <w:rFonts w:ascii="Times New Roman" w:hint="eastAsia"/>
              </w:rPr>
              <w:t>第十一条</w:t>
            </w:r>
            <w:r w:rsidR="003F2D22">
              <w:rPr>
                <w:rStyle w:val="af2"/>
                <w:rFonts w:ascii="Times New Roman"/>
              </w:rPr>
              <w:t xml:space="preserve">  </w:t>
            </w:r>
            <w:r w:rsidR="003F2D22">
              <w:rPr>
                <w:rStyle w:val="af2"/>
                <w:rFonts w:ascii="Times New Roman" w:hint="eastAsia"/>
              </w:rPr>
              <w:t>理财产品的信息披露</w:t>
            </w:r>
            <w:r w:rsidR="003F2D22">
              <w:tab/>
            </w:r>
            <w:r w:rsidR="003F2D22">
              <w:fldChar w:fldCharType="begin"/>
            </w:r>
            <w:r w:rsidR="003F2D22">
              <w:instrText xml:space="preserve"> PAGEREF _Toc116649659 \h </w:instrText>
            </w:r>
            <w:r w:rsidR="003F2D22">
              <w:fldChar w:fldCharType="separate"/>
            </w:r>
            <w:r w:rsidR="003F2D22">
              <w:t>31</w:t>
            </w:r>
            <w:r w:rsidR="003F2D22">
              <w:fldChar w:fldCharType="end"/>
            </w:r>
          </w:hyperlink>
        </w:p>
        <w:p w:rsidR="00E039EF" w:rsidRDefault="00B86646">
          <w:pPr>
            <w:pStyle w:val="10"/>
            <w:tabs>
              <w:tab w:val="right" w:leader="dot" w:pos="8296"/>
            </w:tabs>
            <w:rPr>
              <w:rFonts w:asciiTheme="minorHAnsi" w:eastAsiaTheme="minorEastAsia" w:hAnsiTheme="minorHAnsi" w:cstheme="minorBidi"/>
              <w:kern w:val="2"/>
              <w:sz w:val="21"/>
            </w:rPr>
          </w:pPr>
          <w:hyperlink w:anchor="_Toc116649660" w:history="1">
            <w:r w:rsidR="003F2D22">
              <w:rPr>
                <w:rStyle w:val="af2"/>
                <w:rFonts w:ascii="Times New Roman" w:hint="eastAsia"/>
              </w:rPr>
              <w:t>第十二条</w:t>
            </w:r>
            <w:r w:rsidR="003F2D22">
              <w:rPr>
                <w:rStyle w:val="af2"/>
                <w:rFonts w:ascii="Times New Roman"/>
              </w:rPr>
              <w:t xml:space="preserve">  </w:t>
            </w:r>
            <w:r w:rsidR="003F2D22">
              <w:rPr>
                <w:rStyle w:val="af2"/>
                <w:rFonts w:ascii="Times New Roman" w:hint="eastAsia"/>
              </w:rPr>
              <w:t>理财产品的风险揭示</w:t>
            </w:r>
            <w:r w:rsidR="003F2D22">
              <w:tab/>
            </w:r>
            <w:r w:rsidR="003F2D22">
              <w:fldChar w:fldCharType="begin"/>
            </w:r>
            <w:r w:rsidR="003F2D22">
              <w:instrText xml:space="preserve"> PAGEREF _Toc116649660 \h </w:instrText>
            </w:r>
            <w:r w:rsidR="003F2D22">
              <w:fldChar w:fldCharType="separate"/>
            </w:r>
            <w:r w:rsidR="003F2D22">
              <w:t>33</w:t>
            </w:r>
            <w:r w:rsidR="003F2D22">
              <w:fldChar w:fldCharType="end"/>
            </w:r>
          </w:hyperlink>
        </w:p>
        <w:p w:rsidR="00E039EF" w:rsidRDefault="003F2D22">
          <w:pPr>
            <w:spacing w:line="360" w:lineRule="auto"/>
          </w:pPr>
          <w:r>
            <w:fldChar w:fldCharType="end"/>
          </w:r>
        </w:p>
      </w:sdtContent>
    </w:sdt>
    <w:p w:rsidR="00E039EF" w:rsidRDefault="003F2D22">
      <w:pPr>
        <w:rPr>
          <w:rFonts w:ascii="Times New Roman"/>
          <w:sz w:val="30"/>
        </w:rPr>
      </w:pPr>
      <w:r>
        <w:rPr>
          <w:rFonts w:ascii="Times New Roman"/>
          <w:sz w:val="30"/>
        </w:rPr>
        <w:br w:type="page"/>
      </w:r>
    </w:p>
    <w:p w:rsidR="00E039EF" w:rsidRDefault="003F2D22">
      <w:pPr>
        <w:pStyle w:val="1"/>
        <w:spacing w:before="0" w:after="0" w:line="360" w:lineRule="auto"/>
        <w:jc w:val="center"/>
        <w:rPr>
          <w:rFonts w:ascii="Times New Roman"/>
          <w:sz w:val="30"/>
        </w:rPr>
      </w:pPr>
      <w:bookmarkStart w:id="1" w:name="_Toc116649649"/>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0"/>
      <w:bookmarkEnd w:id="1"/>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（一）在本产品说明书中，除非上下文另有明确约定，下列用词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产品管理人/理财产品</w:t>
      </w:r>
      <w:r>
        <w:rPr>
          <w:rFonts w:ascii="黑体" w:eastAsia="黑体" w:hAnsi="黑体"/>
          <w:bCs/>
          <w:color w:val="auto"/>
          <w:sz w:val="18"/>
          <w:szCs w:val="18"/>
        </w:rPr>
        <w:t>管理人</w:t>
      </w:r>
      <w:r>
        <w:rPr>
          <w:rFonts w:ascii="黑体" w:eastAsia="黑体" w:hAnsi="黑体" w:hint="eastAsia"/>
          <w:bCs/>
          <w:color w:val="auto"/>
          <w:sz w:val="18"/>
          <w:szCs w:val="18"/>
        </w:rPr>
        <w:t>：指兴银理财有限责任公司（以下简称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w:t>
      </w:r>
      <w:permStart w:id="1504528480" w:edGrp="everyone"/>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1988年，于2005年开展资产托管业务，具备理财产品托管资格。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permEnd w:id="1504528480"/>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）以展示、介绍、比较单只或多只理财产品部分或全部特征信息并直接或间接提供认购、申购、赎回服务等方式宣传推介理财产品；</w:t>
      </w:r>
      <w:r>
        <w:rPr>
          <w:rFonts w:asciiTheme="majorEastAsia" w:eastAsiaTheme="majorEastAsia" w:hAnsiTheme="majorEastAsia"/>
          <w:bCs/>
          <w:color w:val="auto"/>
          <w:sz w:val="18"/>
          <w:szCs w:val="18"/>
        </w:rPr>
        <w:t>2）提供单只或多只理财产品投资建议；3）为投资者办理理财产品认购、申购和赎回；4）</w:t>
      </w:r>
      <w:r>
        <w:rPr>
          <w:rFonts w:asciiTheme="majorEastAsia" w:eastAsiaTheme="majorEastAsia" w:hAnsiTheme="majorEastAsia" w:hint="eastAsia"/>
          <w:bCs/>
          <w:color w:val="auto"/>
          <w:sz w:val="18"/>
          <w:szCs w:val="18"/>
        </w:rPr>
        <w:t>监管部门</w:t>
      </w:r>
      <w:r>
        <w:rPr>
          <w:rFonts w:asciiTheme="majorEastAsia" w:eastAsiaTheme="majorEastAsia" w:hAnsiTheme="majorEastAsia"/>
          <w:bCs/>
          <w:color w:val="auto"/>
          <w:sz w:val="18"/>
          <w:szCs w:val="18"/>
        </w:rPr>
        <w:t>认定的其他业务活动。各</w:t>
      </w:r>
      <w:r>
        <w:rPr>
          <w:rFonts w:asciiTheme="majorEastAsia" w:eastAsiaTheme="majorEastAsia" w:hAnsiTheme="majorEastAsia" w:hint="eastAsia"/>
          <w:bCs/>
          <w:color w:val="auto"/>
          <w:sz w:val="18"/>
          <w:szCs w:val="18"/>
        </w:rPr>
        <w:t>销售机构的具体名单见产品管理人届时发布的相关公告及相关《（代理）销售协议书》中的约定。</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（5）合格投资者：合格投资者是指具备相应风险识别能力和风险承受能力，投资于单只理财产品不低于一定金额且符合下列条件的自然人、法人或者依法成立的其他组织：</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2年以上投资经历，且满足家庭金融净资产不低于300万元人民币，或者家庭金融资产不低于500万元人民币，或者近3年本人年均收入不低于40万元人民币；</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2）最近</w:t>
      </w:r>
      <w:r>
        <w:rPr>
          <w:rFonts w:asciiTheme="majorEastAsia" w:eastAsiaTheme="majorEastAsia" w:hAnsiTheme="majorEastAsia"/>
          <w:bCs/>
          <w:sz w:val="18"/>
          <w:szCs w:val="18"/>
        </w:rPr>
        <w:t>1年末净资产不低于1000万元人民币的法人或者依法成立的其他组织；</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3）国务院银行业监督管理机构规定的其他情形。</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（6）全国银行业理财信息登记系统：指供商业银行及商业银行理财公司进行理财产品电子化报告和信息登记的电子信息系统。</w:t>
      </w:r>
    </w:p>
    <w:p w:rsidR="00E039EF" w:rsidRDefault="003F2D22">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w:t>
      </w:r>
      <w:permStart w:id="1839799029"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839799029"/>
      <w:r>
        <w:rPr>
          <w:rFonts w:asciiTheme="majorEastAsia" w:eastAsiaTheme="majorEastAsia" w:hAnsiTheme="majorEastAsia" w:hint="eastAsia"/>
          <w:bCs/>
          <w:sz w:val="18"/>
          <w:szCs w:val="18"/>
        </w:rPr>
        <w:t>理财产品销售文件</w:t>
      </w:r>
      <w:proofErr w:type="gramStart"/>
      <w:r>
        <w:rPr>
          <w:rFonts w:asciiTheme="majorEastAsia" w:eastAsiaTheme="majorEastAsia" w:hAnsiTheme="majorEastAsia" w:hint="eastAsia"/>
          <w:bCs/>
          <w:sz w:val="18"/>
          <w:szCs w:val="18"/>
        </w:rPr>
        <w:t>》</w:t>
      </w:r>
      <w:proofErr w:type="gramEnd"/>
      <w:r>
        <w:rPr>
          <w:rFonts w:asciiTheme="majorEastAsia" w:eastAsiaTheme="majorEastAsia" w:hAnsiTheme="majorEastAsia" w:hint="eastAsia"/>
          <w:bCs/>
          <w:sz w:val="18"/>
          <w:szCs w:val="18"/>
        </w:rPr>
        <w:t>，包括《投资协议书》、《产品说明书》、《（代理）销售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w:t>
      </w:r>
      <w:r>
        <w:rPr>
          <w:rFonts w:asciiTheme="majorEastAsia" w:eastAsiaTheme="majorEastAsia" w:hAnsiTheme="majorEastAsia" w:hint="eastAsia"/>
          <w:bCs/>
          <w:sz w:val="18"/>
          <w:szCs w:val="18"/>
        </w:rPr>
        <w:lastRenderedPageBreak/>
        <w:t>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《投资协议书》：指管理人统一编制的《兴银理财</w:t>
      </w:r>
      <w:permStart w:id="455428541"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455428541"/>
      <w:r>
        <w:rPr>
          <w:rFonts w:asciiTheme="majorEastAsia" w:eastAsiaTheme="majorEastAsia" w:hAnsiTheme="majorEastAsia" w:hint="eastAsia"/>
          <w:bCs/>
          <w:sz w:val="18"/>
          <w:szCs w:val="18"/>
        </w:rPr>
        <w:t>理财产品投资协议书</w:t>
      </w:r>
      <w:proofErr w:type="gramStart"/>
      <w:r>
        <w:rPr>
          <w:rFonts w:asciiTheme="majorEastAsia" w:eastAsiaTheme="majorEastAsia" w:hAnsiTheme="majorEastAsia" w:hint="eastAsia"/>
          <w:bCs/>
          <w:sz w:val="18"/>
          <w:szCs w:val="18"/>
        </w:rPr>
        <w:t>》</w:t>
      </w:r>
      <w:proofErr w:type="gramEnd"/>
      <w:r>
        <w:rPr>
          <w:rFonts w:asciiTheme="majorEastAsia" w:eastAsiaTheme="majorEastAsia" w:hAnsiTheme="majorEastAsia" w:hint="eastAsia"/>
          <w:bCs/>
          <w:sz w:val="18"/>
          <w:szCs w:val="18"/>
        </w:rPr>
        <w:t>，以及对该文件的有效修改或补充。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w:t>
      </w:r>
      <w:permStart w:id="2018970290"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2018970290"/>
      <w:r>
        <w:rPr>
          <w:rFonts w:asciiTheme="majorEastAsia" w:eastAsiaTheme="majorEastAsia" w:hAnsiTheme="majorEastAsia" w:hint="eastAsia"/>
          <w:bCs/>
          <w:sz w:val="18"/>
          <w:szCs w:val="18"/>
        </w:rPr>
        <w:t>理财</w:t>
      </w:r>
      <w:proofErr w:type="gramStart"/>
      <w:r>
        <w:rPr>
          <w:rFonts w:asciiTheme="majorEastAsia" w:eastAsiaTheme="majorEastAsia" w:hAnsiTheme="majorEastAsia" w:hint="eastAsia"/>
          <w:bCs/>
          <w:sz w:val="18"/>
          <w:szCs w:val="18"/>
        </w:rPr>
        <w:t>产品产品</w:t>
      </w:r>
      <w:proofErr w:type="gramEnd"/>
      <w:r>
        <w:rPr>
          <w:rFonts w:asciiTheme="majorEastAsia" w:eastAsiaTheme="majorEastAsia" w:hAnsiTheme="majorEastAsia" w:hint="eastAsia"/>
          <w:bCs/>
          <w:sz w:val="18"/>
          <w:szCs w:val="18"/>
        </w:rPr>
        <w:t>说明书</w:t>
      </w:r>
      <w:proofErr w:type="gramStart"/>
      <w:r>
        <w:rPr>
          <w:rFonts w:asciiTheme="majorEastAsia" w:eastAsiaTheme="majorEastAsia" w:hAnsiTheme="majorEastAsia" w:hint="eastAsia"/>
          <w:bCs/>
          <w:sz w:val="18"/>
          <w:szCs w:val="18"/>
        </w:rPr>
        <w:t>》</w:t>
      </w:r>
      <w:proofErr w:type="gramEnd"/>
      <w:r>
        <w:rPr>
          <w:rFonts w:asciiTheme="majorEastAsia" w:eastAsiaTheme="majorEastAsia" w:hAnsiTheme="majorEastAsia" w:hint="eastAsia"/>
          <w:bCs/>
          <w:sz w:val="18"/>
          <w:szCs w:val="18"/>
        </w:rPr>
        <w:t>，以及对该文件的有效修改或补充。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（4）《（代理）销售协议书》：指管理人统一编制的《兴银理财</w:t>
      </w:r>
      <w:permStart w:id="1256419707"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256419707"/>
      <w:r>
        <w:rPr>
          <w:rFonts w:asciiTheme="majorEastAsia" w:eastAsiaTheme="majorEastAsia" w:hAnsiTheme="majorEastAsia" w:hint="eastAsia"/>
          <w:bCs/>
          <w:sz w:val="18"/>
          <w:szCs w:val="18"/>
        </w:rPr>
        <w:t>理财产品（代理）销售协议书</w:t>
      </w:r>
      <w:proofErr w:type="gramStart"/>
      <w:r>
        <w:rPr>
          <w:rFonts w:asciiTheme="majorEastAsia" w:eastAsiaTheme="majorEastAsia" w:hAnsiTheme="majorEastAsia" w:hint="eastAsia"/>
          <w:bCs/>
          <w:sz w:val="18"/>
          <w:szCs w:val="18"/>
        </w:rPr>
        <w:t>》</w:t>
      </w:r>
      <w:proofErr w:type="gramEnd"/>
      <w:r>
        <w:rPr>
          <w:rFonts w:asciiTheme="majorEastAsia" w:eastAsiaTheme="majorEastAsia" w:hAnsiTheme="majorEastAsia" w:hint="eastAsia"/>
          <w:bCs/>
          <w:sz w:val="18"/>
          <w:szCs w:val="18"/>
        </w:rPr>
        <w:t>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279788367"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279788367"/>
      <w:r>
        <w:rPr>
          <w:rFonts w:asciiTheme="majorEastAsia" w:eastAsiaTheme="majorEastAsia" w:hAnsiTheme="majorEastAsia" w:hint="eastAsia"/>
          <w:bCs/>
          <w:sz w:val="18"/>
          <w:szCs w:val="18"/>
        </w:rPr>
        <w:t>理财产品（代理）销售协议书》（文件名称以代理销售机构实际编制为准），以及对该文件的有效修改或补充。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w:t>
      </w:r>
      <w:permStart w:id="971602106"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971602106"/>
      <w:r>
        <w:rPr>
          <w:rFonts w:asciiTheme="majorEastAsia" w:eastAsiaTheme="majorEastAsia" w:hAnsiTheme="majorEastAsia" w:hint="eastAsia"/>
          <w:bCs/>
          <w:sz w:val="18"/>
          <w:szCs w:val="18"/>
        </w:rPr>
        <w:t>理财产品风险揭示书</w:t>
      </w:r>
      <w:proofErr w:type="gramStart"/>
      <w:r>
        <w:rPr>
          <w:rFonts w:asciiTheme="majorEastAsia" w:eastAsiaTheme="majorEastAsia" w:hAnsiTheme="majorEastAsia" w:hint="eastAsia"/>
          <w:bCs/>
          <w:sz w:val="18"/>
          <w:szCs w:val="18"/>
        </w:rPr>
        <w:t>》</w:t>
      </w:r>
      <w:proofErr w:type="gramEnd"/>
      <w:r>
        <w:rPr>
          <w:rFonts w:asciiTheme="majorEastAsia" w:eastAsiaTheme="majorEastAsia" w:hAnsiTheme="majorEastAsia" w:hint="eastAsia"/>
          <w:bCs/>
          <w:sz w:val="18"/>
          <w:szCs w:val="18"/>
        </w:rPr>
        <w:t>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342121101"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342121101"/>
      <w:r>
        <w:rPr>
          <w:rFonts w:asciiTheme="majorEastAsia" w:eastAsiaTheme="majorEastAsia" w:hAnsiTheme="majorEastAsia" w:hint="eastAsia"/>
          <w:bCs/>
          <w:sz w:val="18"/>
          <w:szCs w:val="18"/>
        </w:rPr>
        <w:t>理财产品风险揭示书》（文件名称以代理销售机构实际编制为准），以及对该文件的有效修改或补充。</w:t>
      </w:r>
    </w:p>
    <w:p w:rsidR="00E039EF" w:rsidRDefault="003F2D2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w:t>
      </w:r>
      <w:permStart w:id="1586916084"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586916084"/>
      <w:r>
        <w:rPr>
          <w:rFonts w:asciiTheme="majorEastAsia" w:eastAsiaTheme="majorEastAsia" w:hAnsiTheme="majorEastAsia" w:hint="eastAsia"/>
          <w:bCs/>
          <w:sz w:val="18"/>
          <w:szCs w:val="18"/>
        </w:rPr>
        <w:t>理财产品投资者权益须知</w:t>
      </w:r>
      <w:proofErr w:type="gramStart"/>
      <w:r>
        <w:rPr>
          <w:rFonts w:asciiTheme="majorEastAsia" w:eastAsiaTheme="majorEastAsia" w:hAnsiTheme="majorEastAsia" w:hint="eastAsia"/>
          <w:bCs/>
          <w:sz w:val="18"/>
          <w:szCs w:val="18"/>
        </w:rPr>
        <w:t>》</w:t>
      </w:r>
      <w:proofErr w:type="gramEnd"/>
      <w:r>
        <w:rPr>
          <w:rFonts w:asciiTheme="majorEastAsia" w:eastAsiaTheme="majorEastAsia" w:hAnsiTheme="majorEastAsia" w:hint="eastAsia"/>
          <w:bCs/>
          <w:sz w:val="18"/>
          <w:szCs w:val="18"/>
        </w:rPr>
        <w:t>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w:t>
      </w:r>
      <w:permStart w:id="1393392042" w:edGrp="everyone"/>
      <w:r>
        <w:rPr>
          <w:rFonts w:asciiTheme="majorEastAsia" w:eastAsiaTheme="majorEastAsia" w:hAnsiTheme="majorEastAsia" w:hint="eastAsia"/>
          <w:bCs/>
          <w:sz w:val="18"/>
          <w:szCs w:val="18"/>
        </w:rPr>
        <w:t>【</w:t>
      </w:r>
      <w:r w:rsidR="004227D0" w:rsidRPr="004227D0">
        <w:rPr>
          <w:rFonts w:asciiTheme="majorEastAsia" w:eastAsiaTheme="majorEastAsia" w:hAnsiTheme="majorEastAsia" w:hint="eastAsia"/>
          <w:bCs/>
          <w:sz w:val="18"/>
          <w:szCs w:val="18"/>
        </w:rPr>
        <w:t>稳利丰收封闭式固收类</w:t>
      </w:r>
      <w:r>
        <w:rPr>
          <w:rFonts w:asciiTheme="majorEastAsia" w:eastAsiaTheme="majorEastAsia" w:hAnsiTheme="majorEastAsia" w:hint="eastAsia"/>
          <w:bCs/>
          <w:sz w:val="18"/>
          <w:szCs w:val="18"/>
        </w:rPr>
        <w:t>】</w:t>
      </w:r>
      <w:permEnd w:id="1393392042"/>
      <w:r>
        <w:rPr>
          <w:rFonts w:asciiTheme="majorEastAsia" w:eastAsiaTheme="majorEastAsia" w:hAnsiTheme="majorEastAsia" w:hint="eastAsia"/>
          <w:bCs/>
          <w:sz w:val="18"/>
          <w:szCs w:val="18"/>
        </w:rPr>
        <w:t>理财产品投资者权益须知》（文件名称以代理销售机构实际编制为准），以及对该文件的有效修改或补充。</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（3）理财产品销售代码/销售代码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为每类份额类别设置的唯一性</w:t>
      </w:r>
      <w:r>
        <w:rPr>
          <w:rFonts w:asciiTheme="majorEastAsia" w:eastAsiaTheme="majorEastAsia" w:hAnsiTheme="majorEastAsia" w:hint="eastAsia"/>
          <w:bCs/>
          <w:color w:val="auto"/>
          <w:sz w:val="18"/>
          <w:szCs w:val="18"/>
        </w:rPr>
        <w:t>内部识别码。若本款理财产品不设置差异化产品份额类别，理财产品代码即为理财产品销售代码。</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（4）理财产品风险等级：理财产品风险等级为产品管理人和销售机构经过审慎评估后确定的产品风险等级。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w:t>
      </w:r>
      <w:r>
        <w:rPr>
          <w:rFonts w:asciiTheme="majorEastAsia" w:eastAsiaTheme="majorEastAsia" w:hAnsiTheme="majorEastAsia"/>
          <w:bCs/>
          <w:sz w:val="18"/>
          <w:szCs w:val="18"/>
        </w:rPr>
        <w:t>理财</w:t>
      </w:r>
      <w:r>
        <w:rPr>
          <w:rFonts w:asciiTheme="majorEastAsia" w:eastAsiaTheme="majorEastAsia" w:hAnsiTheme="majorEastAsia" w:hint="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（5）投资者风险承受能力评估：指销售机构对理财投资者的风险承受能力进行评价的过程。</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产品的投资者类型。</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产品份额四舍五入保留2位小数</w:t>
      </w:r>
      <w:r>
        <w:rPr>
          <w:rFonts w:asciiTheme="majorEastAsia" w:eastAsiaTheme="majorEastAsia" w:hAnsiTheme="majorEastAsia"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理财产品资产净值/理财资产净值/产品资产净值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）理财产品份额净值/理财份额净值/产品份额净值：指理财产品份额的单位净值，即每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产品份额净值四舍五入保留5位小数。</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w:t>
      </w:r>
      <w:r>
        <w:rPr>
          <w:rFonts w:asciiTheme="majorEastAsia" w:eastAsiaTheme="majorEastAsia" w:hAnsiTheme="majorEastAsia" w:hint="eastAsia"/>
          <w:bCs/>
          <w:color w:val="auto"/>
          <w:sz w:val="18"/>
          <w:szCs w:val="18"/>
        </w:rPr>
        <w:t>可以展示为</w:t>
      </w:r>
      <w:r>
        <w:rPr>
          <w:rFonts w:asciiTheme="majorEastAsia" w:eastAsiaTheme="majorEastAsia" w:hAnsiTheme="majorEastAsia"/>
          <w:bCs/>
          <w:color w:val="auto"/>
          <w:sz w:val="18"/>
          <w:szCs w:val="18"/>
        </w:rPr>
        <w:t>当前理财产品份额净值</w:t>
      </w:r>
      <w:r>
        <w:rPr>
          <w:rFonts w:asciiTheme="majorEastAsia" w:eastAsiaTheme="majorEastAsia" w:hAnsiTheme="majorEastAsia" w:hint="eastAsia"/>
          <w:bCs/>
          <w:color w:val="auto"/>
          <w:sz w:val="18"/>
          <w:szCs w:val="18"/>
        </w:rPr>
        <w:t>和累计理财产品份额净值。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当前理财产品份额净值，指</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当前</w:t>
      </w:r>
      <w:r>
        <w:rPr>
          <w:rFonts w:asciiTheme="majorEastAsia" w:eastAsiaTheme="majorEastAsia" w:hAnsiTheme="majorEastAsia"/>
          <w:bCs/>
          <w:color w:val="auto"/>
          <w:sz w:val="18"/>
          <w:szCs w:val="18"/>
        </w:rPr>
        <w:t>的</w:t>
      </w:r>
      <w:r>
        <w:rPr>
          <w:rFonts w:asciiTheme="majorEastAsia" w:eastAsiaTheme="majorEastAsia" w:hAnsiTheme="majorEastAsia" w:hint="eastAsia"/>
          <w:bCs/>
          <w:color w:val="auto"/>
          <w:sz w:val="18"/>
          <w:szCs w:val="18"/>
        </w:rPr>
        <w:t>份额净值。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w:t>
      </w:r>
      <w:r>
        <w:rPr>
          <w:rFonts w:asciiTheme="majorEastAsia" w:eastAsiaTheme="majorEastAsia" w:hAnsiTheme="majorEastAsia" w:hint="eastAsia"/>
          <w:bCs/>
          <w:color w:val="auto"/>
          <w:sz w:val="18"/>
          <w:szCs w:val="18"/>
        </w:rPr>
        <w:t>单位</w:t>
      </w:r>
      <w:r>
        <w:rPr>
          <w:rFonts w:asciiTheme="majorEastAsia" w:eastAsiaTheme="majorEastAsia" w:hAnsiTheme="majorEastAsia"/>
          <w:bCs/>
          <w:color w:val="auto"/>
          <w:sz w:val="18"/>
          <w:szCs w:val="18"/>
        </w:rPr>
        <w:t>理财产品</w:t>
      </w:r>
      <w:r>
        <w:rPr>
          <w:rFonts w:asciiTheme="majorEastAsia" w:eastAsiaTheme="majorEastAsia" w:hAnsiTheme="majorEastAsia" w:hint="eastAsia"/>
          <w:bCs/>
          <w:color w:val="auto"/>
          <w:sz w:val="18"/>
          <w:szCs w:val="18"/>
        </w:rPr>
        <w:t>份额</w:t>
      </w:r>
      <w:r>
        <w:rPr>
          <w:rFonts w:asciiTheme="majorEastAsia" w:eastAsiaTheme="majorEastAsia" w:hAnsiTheme="majorEastAsia"/>
          <w:bCs/>
          <w:color w:val="auto"/>
          <w:sz w:val="18"/>
          <w:szCs w:val="18"/>
        </w:rPr>
        <w:t>分红之和</w:t>
      </w:r>
      <w:r>
        <w:rPr>
          <w:rFonts w:asciiTheme="majorEastAsia" w:eastAsiaTheme="majorEastAsia" w:hAnsiTheme="majorEastAsia"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（注：若无特别说明，理财产品份额净值通常指当前理财产品份额净值）</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0）理财产品估值：指计算评估理财产品资产和理财产品负债的价值，以确定理财产品份额净值的过程。</w:t>
      </w:r>
    </w:p>
    <w:p w:rsidR="00E039EF" w:rsidRDefault="003F2D22">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1）</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指管理人综合考虑市场环境、产品性质、投资策略、过往表现等因素，对理财产品设置的投资目标和相关解释说明。</w:t>
      </w:r>
      <w:r>
        <w:rPr>
          <w:rFonts w:ascii="黑体" w:eastAsia="黑体" w:hAnsi="黑体" w:hint="eastAsia"/>
          <w:bCs/>
          <w:color w:val="auto"/>
          <w:sz w:val="18"/>
          <w:szCs w:val="18"/>
        </w:rPr>
        <w:t>业绩比较基准不是预期收益率，不代表产品的未来表现和实际收益，</w:t>
      </w:r>
      <w:r>
        <w:rPr>
          <w:rFonts w:ascii="黑体" w:hAnsi="黑体" w:hint="eastAsia"/>
          <w:sz w:val="18"/>
        </w:rPr>
        <w:t>不</w:t>
      </w:r>
      <w:r>
        <w:rPr>
          <w:rFonts w:ascii="黑体" w:eastAsia="黑体" w:hAnsi="黑体" w:hint="eastAsia"/>
          <w:bCs/>
          <w:sz w:val="18"/>
          <w:szCs w:val="18"/>
        </w:rPr>
        <w:t>构成对</w:t>
      </w:r>
      <w:r>
        <w:rPr>
          <w:rFonts w:ascii="黑体" w:hAnsi="黑体" w:hint="eastAsia"/>
          <w:sz w:val="18"/>
        </w:rPr>
        <w:t>产品收益的</w:t>
      </w:r>
      <w:r>
        <w:rPr>
          <w:rFonts w:ascii="黑体" w:eastAsia="黑体" w:hAnsi="黑体" w:hint="eastAsia"/>
          <w:bCs/>
          <w:sz w:val="18"/>
          <w:szCs w:val="18"/>
        </w:rPr>
        <w:t>承诺</w:t>
      </w:r>
      <w:r>
        <w:rPr>
          <w:rFonts w:ascii="黑体" w:hAnsi="黑体" w:hint="eastAsia"/>
          <w:sz w:val="18"/>
        </w:rPr>
        <w:t>，</w:t>
      </w:r>
      <w:r>
        <w:rPr>
          <w:rFonts w:ascii="黑体" w:eastAsia="黑体" w:hAnsi="黑体" w:hint="eastAsia"/>
          <w:bCs/>
          <w:color w:val="auto"/>
          <w:sz w:val="18"/>
          <w:szCs w:val="18"/>
        </w:rPr>
        <w:t>投资须谨慎。</w:t>
      </w:r>
    </w:p>
    <w:p w:rsidR="00E039EF" w:rsidRDefault="003F2D22">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w:t>
      </w:r>
      <w:r>
        <w:rPr>
          <w:rFonts w:ascii="黑体" w:eastAsia="黑体" w:hAnsi="黑体" w:hint="eastAsia"/>
          <w:bCs/>
          <w:color w:val="auto"/>
          <w:sz w:val="18"/>
          <w:szCs w:val="18"/>
        </w:rPr>
        <w:t>★业绩报酬计提基准：</w:t>
      </w:r>
      <w:r>
        <w:rPr>
          <w:rFonts w:asciiTheme="majorEastAsia" w:eastAsiaTheme="majorEastAsia" w:hAnsiTheme="majorEastAsia" w:hint="eastAsia"/>
          <w:bCs/>
          <w:color w:val="auto"/>
          <w:sz w:val="18"/>
          <w:szCs w:val="18"/>
        </w:rPr>
        <w:t>指管理人计算超额业绩报酬的参照</w:t>
      </w:r>
      <w:r>
        <w:rPr>
          <w:rFonts w:asciiTheme="majorEastAsia" w:eastAsiaTheme="majorEastAsia" w:hAnsiTheme="majorEastAsia"/>
          <w:bCs/>
          <w:color w:val="auto"/>
          <w:sz w:val="18"/>
          <w:szCs w:val="18"/>
        </w:rPr>
        <w:t>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业绩报酬计提基准不是预期收益率，不代表产品的未来表现和实际收益，不构成对产品收益的承诺，投资须谨慎。</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3）理财产品利益/理财利益：指投资者因持有理财产品份额，按照销售文件约定取得或有权取得的理财产品管理人分配的理财产品资产。</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4</w:t>
      </w:r>
      <w:r>
        <w:rPr>
          <w:rFonts w:asciiTheme="majorEastAsia" w:eastAsiaTheme="majorEastAsia" w:hAnsiTheme="majorEastAsia"/>
          <w:bCs/>
          <w:color w:val="auto"/>
          <w:sz w:val="18"/>
          <w:szCs w:val="18"/>
        </w:rPr>
        <w:t xml:space="preserve">）利益分配：指产品管理人向投资者进行理财产品利益分配。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5</w:t>
      </w:r>
      <w:r>
        <w:rPr>
          <w:rFonts w:asciiTheme="majorEastAsia" w:eastAsiaTheme="majorEastAsia" w:hAnsiTheme="majorEastAsia"/>
          <w:bCs/>
          <w:color w:val="auto"/>
          <w:sz w:val="18"/>
          <w:szCs w:val="18"/>
        </w:rPr>
        <w:t xml:space="preserve">）期间分配：指在理财产品终止日（不含当日）前的理财产品利益分配。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6</w:t>
      </w:r>
      <w:r>
        <w:rPr>
          <w:rFonts w:asciiTheme="majorEastAsia" w:eastAsiaTheme="majorEastAsia" w:hAnsiTheme="majorEastAsia"/>
          <w:bCs/>
          <w:color w:val="auto"/>
          <w:sz w:val="18"/>
          <w:szCs w:val="18"/>
        </w:rPr>
        <w:t>）终止分配：指在理财产品终止日当日及之后的理财产品利益分配。</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7）认购：指投资者根据本销售文件约定在认购期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募集期内申请购买理财产品份额的行为。</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）申购：</w:t>
      </w:r>
      <w:r>
        <w:rPr>
          <w:rFonts w:asciiTheme="minorEastAsia" w:eastAsiaTheme="minorEastAsia" w:hAnsiTheme="minorEastAsia" w:hint="eastAsia"/>
          <w:color w:val="auto"/>
          <w:sz w:val="18"/>
          <w:szCs w:val="18"/>
        </w:rPr>
        <w:t>指开放式理财产品成立后，投资者申请购买理财产品份额的行为。</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首次申购，指未进行认购的投资者，在理财产品成立后申请购买理财产品份额的行为。</w:t>
      </w:r>
      <w:r>
        <w:rPr>
          <w:rFonts w:asciiTheme="minorEastAsia" w:eastAsiaTheme="minorEastAsia" w:hAnsiTheme="minorEastAsia"/>
          <w:color w:val="auto"/>
          <w:sz w:val="18"/>
          <w:szCs w:val="18"/>
        </w:rPr>
        <w:t>投资者全额赎回不再持有理财产品份额后再次申购</w:t>
      </w:r>
      <w:r>
        <w:rPr>
          <w:rFonts w:asciiTheme="minorEastAsia" w:eastAsiaTheme="minorEastAsia" w:hAnsiTheme="minorEastAsia" w:hint="eastAsia"/>
          <w:color w:val="auto"/>
          <w:sz w:val="18"/>
          <w:szCs w:val="18"/>
        </w:rPr>
        <w:t>的</w:t>
      </w:r>
      <w:r>
        <w:rPr>
          <w:rFonts w:asciiTheme="minorEastAsia" w:eastAsiaTheme="minorEastAsia" w:hAnsiTheme="minorEastAsia"/>
          <w:color w:val="auto"/>
          <w:sz w:val="18"/>
          <w:szCs w:val="18"/>
        </w:rPr>
        <w:t>，视同首次申购处理。</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追加申购，指已经完成认购或首次申购的投资者，在理财产品成立后申请购买理财产品份额的行为。</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19</w:t>
      </w:r>
      <w:r>
        <w:rPr>
          <w:rFonts w:asciiTheme="majorEastAsia" w:eastAsiaTheme="majorEastAsia" w:hAnsiTheme="majorEastAsia" w:hint="eastAsia"/>
          <w:bCs/>
          <w:color w:val="auto"/>
          <w:sz w:val="18"/>
          <w:szCs w:val="18"/>
        </w:rPr>
        <w:t>）赎回：</w:t>
      </w:r>
      <w:r>
        <w:rPr>
          <w:rFonts w:asciiTheme="minorEastAsia" w:eastAsiaTheme="minorEastAsia" w:hAnsiTheme="minorEastAsia" w:hint="eastAsia"/>
          <w:color w:val="auto"/>
          <w:sz w:val="18"/>
          <w:szCs w:val="18"/>
        </w:rPr>
        <w:t>指开放式理财产品成立后，投资者申请赎回理财产品份额的行为，即投资者申请将理财产品份额兑换为现金。</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（2）交易日：指银行间市场、证券交易所市场的共同正常开盘交易日。</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E039EF" w:rsidRDefault="003F2D2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r>
        <w:rPr>
          <w:rFonts w:hAnsi="宋体"/>
          <w:color w:val="auto"/>
          <w:sz w:val="18"/>
          <w:szCs w:val="18"/>
        </w:rPr>
        <w:t>终</w:t>
      </w:r>
      <w:r>
        <w:rPr>
          <w:rFonts w:hAnsi="宋体" w:hint="eastAsia"/>
          <w:color w:val="auto"/>
          <w:sz w:val="18"/>
          <w:szCs w:val="18"/>
        </w:rPr>
        <w:t>产品份额净值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E039EF" w:rsidRDefault="003F2D22">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（10）持有期：指自产品成立日/申购确认日起，投资者持有该产品份额的期间。</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（11）产品存续期：指自理财产品成立日起，至理财产品终止日的期间。</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2）清算期：指自本理财产品终止日至投资者理财利益到账日之间的期间。</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（1）</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（2）</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（3）</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E039EF" w:rsidRDefault="003F2D22">
      <w:pPr>
        <w:pStyle w:val="Default"/>
        <w:spacing w:line="360" w:lineRule="auto"/>
        <w:ind w:firstLineChars="200" w:firstLine="360"/>
        <w:rPr>
          <w:rFonts w:hAnsi="宋体"/>
          <w:sz w:val="18"/>
          <w:szCs w:val="18"/>
        </w:rPr>
      </w:pPr>
      <w:r>
        <w:rPr>
          <w:rFonts w:hAnsi="宋体" w:hint="eastAsia"/>
          <w:sz w:val="18"/>
          <w:szCs w:val="18"/>
        </w:rPr>
        <w:t>（4）</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（5）</w:t>
      </w:r>
      <w:r>
        <w:rPr>
          <w:rFonts w:ascii="黑体" w:eastAsia="黑体" w:hAnsi="黑体" w:cs="仿宋_GB2312" w:hint="eastAsia"/>
          <w:bCs/>
          <w:color w:val="auto"/>
          <w:sz w:val="18"/>
          <w:szCs w:val="18"/>
        </w:rPr>
        <w:t>★</w:t>
      </w:r>
      <w:r>
        <w:rPr>
          <w:rFonts w:hAnsi="宋体" w:hint="eastAsia"/>
          <w:sz w:val="18"/>
          <w:szCs w:val="18"/>
        </w:rPr>
        <w:t>超额业绩报酬/业绩报酬：指产品管理人依照理财产品销售</w:t>
      </w:r>
      <w:r>
        <w:rPr>
          <w:rFonts w:hAnsi="宋体"/>
          <w:sz w:val="18"/>
          <w:szCs w:val="18"/>
        </w:rPr>
        <w:t>文件</w:t>
      </w:r>
      <w:r>
        <w:rPr>
          <w:rFonts w:hAnsi="宋体" w:hint="eastAsia"/>
          <w:sz w:val="18"/>
          <w:szCs w:val="18"/>
        </w:rPr>
        <w:t>约定规则收取的浮动性质的管理费用。</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）国家金融监督管理总局：为免歧义，原中国银行业监督管理委员会、原中国银行保险监督管理委员会与国家金融监督管理总局均统称为“国家金融监督管理总局”。</w:t>
      </w:r>
    </w:p>
    <w:p w:rsidR="00E039EF" w:rsidRDefault="003F2D22">
      <w:pPr>
        <w:spacing w:line="360" w:lineRule="auto"/>
        <w:ind w:firstLineChars="200" w:firstLine="360"/>
        <w:rPr>
          <w:rFonts w:ascii="宋体" w:hAnsi="宋体"/>
          <w:color w:val="000000"/>
          <w:kern w:val="0"/>
          <w:sz w:val="28"/>
          <w:szCs w:val="2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rsidR="00E039EF" w:rsidRDefault="003F2D22">
      <w:pPr>
        <w:pStyle w:val="1"/>
        <w:spacing w:before="0" w:after="0" w:line="360" w:lineRule="auto"/>
        <w:jc w:val="center"/>
        <w:rPr>
          <w:rFonts w:hAnsi="宋体"/>
          <w:sz w:val="28"/>
          <w:szCs w:val="28"/>
        </w:rPr>
      </w:pPr>
      <w:bookmarkStart w:id="2" w:name="_Toc79154665"/>
      <w:bookmarkStart w:id="3" w:name="_Toc116649650"/>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2"/>
      <w:r>
        <w:rPr>
          <w:rFonts w:hAnsi="宋体" w:hint="eastAsia"/>
          <w:sz w:val="28"/>
          <w:szCs w:val="28"/>
        </w:rPr>
        <w:t xml:space="preserve"> </w:t>
      </w:r>
      <w:bookmarkEnd w:id="3"/>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970"/>
        <w:gridCol w:w="7674"/>
      </w:tblGrid>
      <w:tr w:rsidR="00E039EF">
        <w:trPr>
          <w:trHeight w:val="401"/>
          <w:jc w:val="center"/>
        </w:trPr>
        <w:tc>
          <w:tcPr>
            <w:tcW w:w="1970" w:type="dxa"/>
            <w:shd w:val="solid" w:color="FFFFFF" w:fill="FFFFFF"/>
          </w:tcPr>
          <w:p w:rsidR="00E039EF" w:rsidRDefault="003F2D22">
            <w:pPr>
              <w:spacing w:line="360" w:lineRule="auto"/>
              <w:jc w:val="left"/>
              <w:rPr>
                <w:rFonts w:ascii="宋体" w:hAnsi="宋体"/>
                <w:b/>
                <w:bCs/>
                <w:sz w:val="18"/>
                <w:szCs w:val="18"/>
              </w:rPr>
            </w:pPr>
            <w:permStart w:id="1828742957" w:edGrp="everyone"/>
            <w:r>
              <w:rPr>
                <w:rFonts w:hAnsi="宋体" w:hint="eastAsia"/>
                <w:sz w:val="18"/>
                <w:szCs w:val="18"/>
              </w:rPr>
              <w:t>★</w:t>
            </w:r>
            <w:r>
              <w:rPr>
                <w:rFonts w:ascii="宋体" w:hAnsi="宋体" w:hint="eastAsia"/>
                <w:b/>
                <w:bCs/>
                <w:sz w:val="18"/>
                <w:szCs w:val="18"/>
              </w:rPr>
              <w:t>理财产品名称</w:t>
            </w:r>
          </w:p>
        </w:tc>
        <w:tc>
          <w:tcPr>
            <w:tcW w:w="7674" w:type="dxa"/>
            <w:shd w:val="solid" w:color="FFFFFF" w:fill="FFFFFF"/>
          </w:tcPr>
          <w:p w:rsidR="00E039EF" w:rsidRDefault="00215FE7" w:rsidP="002C6DE3">
            <w:pPr>
              <w:spacing w:line="360" w:lineRule="auto"/>
              <w:rPr>
                <w:rFonts w:ascii="宋体" w:hAnsi="宋体"/>
                <w:bCs/>
                <w:sz w:val="18"/>
                <w:szCs w:val="18"/>
              </w:rPr>
            </w:pPr>
            <w:r w:rsidRPr="00215FE7">
              <w:rPr>
                <w:rFonts w:ascii="宋体" w:hAnsi="宋体" w:hint="eastAsia"/>
                <w:bCs/>
                <w:sz w:val="18"/>
                <w:szCs w:val="18"/>
              </w:rPr>
              <w:t>兴银</w:t>
            </w:r>
            <w:proofErr w:type="gramStart"/>
            <w:r w:rsidRPr="00215FE7">
              <w:rPr>
                <w:rFonts w:ascii="宋体" w:hAnsi="宋体" w:hint="eastAsia"/>
                <w:bCs/>
                <w:sz w:val="18"/>
                <w:szCs w:val="18"/>
              </w:rPr>
              <w:t>理财稳利丰收</w:t>
            </w:r>
            <w:proofErr w:type="gramEnd"/>
            <w:r w:rsidRPr="00215FE7">
              <w:rPr>
                <w:rFonts w:ascii="宋体" w:hAnsi="宋体" w:hint="eastAsia"/>
                <w:bCs/>
                <w:sz w:val="18"/>
                <w:szCs w:val="18"/>
              </w:rPr>
              <w:t>封闭式</w:t>
            </w:r>
            <w:r w:rsidR="002C6DE3">
              <w:rPr>
                <w:rFonts w:ascii="宋体" w:hAnsi="宋体"/>
                <w:bCs/>
                <w:sz w:val="18"/>
                <w:szCs w:val="18"/>
              </w:rPr>
              <w:t>55</w:t>
            </w:r>
            <w:r w:rsidRPr="00215FE7">
              <w:rPr>
                <w:rFonts w:ascii="宋体" w:hAnsi="宋体" w:hint="eastAsia"/>
                <w:bCs/>
                <w:sz w:val="18"/>
                <w:szCs w:val="18"/>
              </w:rPr>
              <w:t>号</w:t>
            </w:r>
            <w:proofErr w:type="gramStart"/>
            <w:r w:rsidRPr="00215FE7">
              <w:rPr>
                <w:rFonts w:ascii="宋体" w:hAnsi="宋体" w:hint="eastAsia"/>
                <w:bCs/>
                <w:sz w:val="18"/>
                <w:szCs w:val="18"/>
              </w:rPr>
              <w:t>固收类理财</w:t>
            </w:r>
            <w:proofErr w:type="gramEnd"/>
            <w:r w:rsidRPr="00215FE7">
              <w:rPr>
                <w:rFonts w:ascii="宋体" w:hAnsi="宋体" w:hint="eastAsia"/>
                <w:bCs/>
                <w:sz w:val="18"/>
                <w:szCs w:val="18"/>
              </w:rPr>
              <w:t>产品</w:t>
            </w:r>
          </w:p>
        </w:tc>
      </w:tr>
      <w:tr w:rsidR="00E039EF">
        <w:trPr>
          <w:trHeight w:val="383"/>
          <w:jc w:val="center"/>
        </w:trPr>
        <w:tc>
          <w:tcPr>
            <w:tcW w:w="1970" w:type="dxa"/>
            <w:shd w:val="solid" w:color="FFFFFF" w:fill="FFFFFF"/>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674" w:type="dxa"/>
            <w:shd w:val="solid" w:color="FFFFFF" w:fill="FFFFFF"/>
          </w:tcPr>
          <w:p w:rsidR="00E039EF" w:rsidRDefault="003F2D22">
            <w:pPr>
              <w:spacing w:line="360" w:lineRule="auto"/>
              <w:rPr>
                <w:rFonts w:ascii="宋体" w:hAnsi="宋体"/>
                <w:bCs/>
                <w:color w:val="000000" w:themeColor="text1"/>
                <w:sz w:val="18"/>
                <w:szCs w:val="18"/>
              </w:rPr>
            </w:pPr>
            <w:r>
              <w:rPr>
                <w:rFonts w:ascii="宋体" w:hAnsi="宋体"/>
                <w:bCs/>
                <w:sz w:val="18"/>
                <w:szCs w:val="18"/>
              </w:rPr>
              <w:t>【</w:t>
            </w:r>
            <w:r w:rsidR="00215FE7" w:rsidRPr="00215FE7">
              <w:rPr>
                <w:rFonts w:ascii="宋体" w:hAnsi="宋体" w:hint="eastAsia"/>
                <w:bCs/>
                <w:sz w:val="18"/>
                <w:szCs w:val="18"/>
              </w:rPr>
              <w:t>稳利丰收封闭式</w:t>
            </w:r>
            <w:r w:rsidR="002C6DE3">
              <w:rPr>
                <w:rFonts w:ascii="宋体" w:hAnsi="宋体"/>
                <w:bCs/>
                <w:sz w:val="18"/>
                <w:szCs w:val="18"/>
              </w:rPr>
              <w:t>55</w:t>
            </w:r>
            <w:r w:rsidR="00215FE7" w:rsidRPr="00215FE7">
              <w:rPr>
                <w:rFonts w:ascii="宋体" w:hAnsi="宋体" w:hint="eastAsia"/>
                <w:bCs/>
                <w:sz w:val="18"/>
                <w:szCs w:val="18"/>
              </w:rPr>
              <w:t>号A</w:t>
            </w:r>
            <w:r>
              <w:rPr>
                <w:rFonts w:ascii="宋体" w:hAnsi="宋体" w:hint="eastAsia"/>
                <w:bCs/>
                <w:sz w:val="18"/>
                <w:szCs w:val="18"/>
              </w:rPr>
              <w:t>】</w:t>
            </w:r>
            <w:r>
              <w:rPr>
                <w:rFonts w:ascii="宋体" w:hAnsi="宋体" w:hint="eastAsia"/>
                <w:bCs/>
                <w:color w:val="000000" w:themeColor="text1"/>
                <w:sz w:val="18"/>
                <w:szCs w:val="18"/>
              </w:rPr>
              <w:t>（适用【A】类份额）</w:t>
            </w:r>
          </w:p>
          <w:p w:rsidR="00215FE7" w:rsidRDefault="00215FE7" w:rsidP="002C6DE3">
            <w:pPr>
              <w:spacing w:line="360" w:lineRule="auto"/>
              <w:rPr>
                <w:rFonts w:ascii="宋体" w:hAnsi="宋体"/>
                <w:bCs/>
                <w:color w:val="000000" w:themeColor="text1"/>
                <w:sz w:val="18"/>
                <w:szCs w:val="18"/>
              </w:rPr>
            </w:pPr>
            <w:r>
              <w:rPr>
                <w:rFonts w:ascii="宋体" w:hAnsi="宋体"/>
                <w:bCs/>
                <w:sz w:val="18"/>
                <w:szCs w:val="18"/>
              </w:rPr>
              <w:t>【</w:t>
            </w:r>
            <w:r w:rsidRPr="00215FE7">
              <w:rPr>
                <w:rFonts w:ascii="宋体" w:hAnsi="宋体" w:hint="eastAsia"/>
                <w:bCs/>
                <w:sz w:val="18"/>
                <w:szCs w:val="18"/>
              </w:rPr>
              <w:t>稳利丰收封闭式</w:t>
            </w:r>
            <w:r w:rsidR="002C6DE3">
              <w:rPr>
                <w:rFonts w:ascii="宋体" w:hAnsi="宋体"/>
                <w:bCs/>
                <w:sz w:val="18"/>
                <w:szCs w:val="18"/>
              </w:rPr>
              <w:t>55</w:t>
            </w:r>
            <w:r w:rsidRPr="00215FE7">
              <w:rPr>
                <w:rFonts w:ascii="宋体" w:hAnsi="宋体" w:hint="eastAsia"/>
                <w:bCs/>
                <w:sz w:val="18"/>
                <w:szCs w:val="18"/>
              </w:rPr>
              <w:t>号B</w:t>
            </w:r>
            <w:r>
              <w:rPr>
                <w:rFonts w:ascii="宋体" w:hAnsi="宋体" w:hint="eastAsia"/>
                <w:bCs/>
                <w:sz w:val="18"/>
                <w:szCs w:val="18"/>
              </w:rPr>
              <w:t>】</w:t>
            </w:r>
            <w:r>
              <w:rPr>
                <w:rFonts w:ascii="宋体" w:hAnsi="宋体" w:hint="eastAsia"/>
                <w:bCs/>
                <w:color w:val="000000" w:themeColor="text1"/>
                <w:sz w:val="18"/>
                <w:szCs w:val="18"/>
              </w:rPr>
              <w:t>（适用【</w:t>
            </w:r>
            <w:r>
              <w:rPr>
                <w:rFonts w:ascii="宋体" w:hAnsi="宋体"/>
                <w:bCs/>
                <w:color w:val="000000" w:themeColor="text1"/>
                <w:sz w:val="18"/>
                <w:szCs w:val="18"/>
              </w:rPr>
              <w:t>B</w:t>
            </w:r>
            <w:r>
              <w:rPr>
                <w:rFonts w:ascii="宋体" w:hAnsi="宋体" w:hint="eastAsia"/>
                <w:bCs/>
                <w:color w:val="000000" w:themeColor="text1"/>
                <w:sz w:val="18"/>
                <w:szCs w:val="18"/>
              </w:rPr>
              <w:t>】类份额）</w:t>
            </w:r>
          </w:p>
        </w:tc>
      </w:tr>
      <w:tr w:rsidR="00E039EF">
        <w:trPr>
          <w:trHeight w:val="251"/>
          <w:jc w:val="center"/>
        </w:trPr>
        <w:tc>
          <w:tcPr>
            <w:tcW w:w="1970" w:type="dxa"/>
            <w:shd w:val="solid" w:color="FFFFFF" w:fill="FFFFFF"/>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674" w:type="dxa"/>
            <w:shd w:val="solid" w:color="FFFFFF" w:fill="FFFFFF"/>
          </w:tcPr>
          <w:p w:rsidR="00E039EF" w:rsidRDefault="003F2D22" w:rsidP="00FB5BB3">
            <w:pPr>
              <w:spacing w:line="360" w:lineRule="auto"/>
              <w:rPr>
                <w:rFonts w:ascii="宋体" w:hAnsi="宋体"/>
                <w:b/>
                <w:sz w:val="18"/>
                <w:szCs w:val="18"/>
              </w:rPr>
            </w:pPr>
            <w:r w:rsidRPr="00FB5BB3">
              <w:rPr>
                <w:rFonts w:ascii="宋体" w:hAnsi="宋体" w:hint="eastAsia"/>
                <w:bCs/>
                <w:sz w:val="18"/>
                <w:szCs w:val="18"/>
              </w:rPr>
              <w:t>【</w:t>
            </w:r>
            <w:r w:rsidR="002C6DE3" w:rsidRPr="002C6DE3">
              <w:rPr>
                <w:rFonts w:ascii="宋体" w:hAnsi="宋体"/>
                <w:bCs/>
                <w:sz w:val="18"/>
                <w:szCs w:val="18"/>
              </w:rPr>
              <w:t>Z7002023001084</w:t>
            </w:r>
            <w:r w:rsidRPr="00FB5BB3">
              <w:rPr>
                <w:rFonts w:ascii="宋体" w:hAnsi="宋体" w:hint="eastAsia"/>
                <w:bCs/>
                <w:sz w:val="18"/>
                <w:szCs w:val="18"/>
              </w:rPr>
              <w:t>】投资者可依据理财产品登记编码在中国</w:t>
            </w:r>
            <w:proofErr w:type="gramStart"/>
            <w:r w:rsidRPr="00FB5BB3">
              <w:rPr>
                <w:rFonts w:ascii="宋体" w:hAnsi="宋体" w:hint="eastAsia"/>
                <w:bCs/>
                <w:sz w:val="18"/>
                <w:szCs w:val="18"/>
              </w:rPr>
              <w:t>理财网</w:t>
            </w:r>
            <w:proofErr w:type="gramEnd"/>
            <w:r w:rsidRPr="00FB5BB3">
              <w:rPr>
                <w:rFonts w:ascii="宋体" w:hAnsi="宋体"/>
                <w:bCs/>
                <w:sz w:val="18"/>
                <w:szCs w:val="18"/>
              </w:rPr>
              <w:t>(</w:t>
            </w:r>
            <w:hyperlink r:id="rId26" w:history="1">
              <w:r w:rsidRPr="00FB5BB3">
                <w:rPr>
                  <w:rFonts w:ascii="宋体" w:hAnsi="宋体"/>
                  <w:bCs/>
                  <w:sz w:val="18"/>
                  <w:szCs w:val="18"/>
                </w:rPr>
                <w:t>www.chinawealth.com.cn</w:t>
              </w:r>
            </w:hyperlink>
            <w:r w:rsidRPr="00FB5BB3">
              <w:rPr>
                <w:rFonts w:ascii="宋体" w:hAnsi="宋体"/>
                <w:bCs/>
                <w:sz w:val="18"/>
                <w:szCs w:val="18"/>
              </w:rPr>
              <w:t>）</w:t>
            </w:r>
            <w:r w:rsidRPr="00FB5BB3">
              <w:rPr>
                <w:rFonts w:ascii="宋体" w:hAnsi="宋体" w:hint="eastAsia"/>
                <w:bCs/>
                <w:sz w:val="18"/>
                <w:szCs w:val="18"/>
              </w:rPr>
              <w:t>查询产品信息</w:t>
            </w:r>
            <w:r>
              <w:rPr>
                <w:rFonts w:asciiTheme="majorEastAsia" w:eastAsiaTheme="majorEastAsia" w:hAnsiTheme="majorEastAsia" w:hint="eastAsia"/>
                <w:sz w:val="18"/>
                <w:szCs w:val="18"/>
              </w:rPr>
              <w:t>。</w:t>
            </w:r>
          </w:p>
        </w:tc>
      </w:tr>
      <w:tr w:rsidR="00E039EF">
        <w:trPr>
          <w:trHeight w:val="251"/>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674" w:type="dxa"/>
            <w:shd w:val="solid" w:color="FFFFFF" w:fill="FFFFFF"/>
            <w:vAlign w:val="center"/>
          </w:tcPr>
          <w:p w:rsidR="00E039EF" w:rsidRDefault="003F2D22" w:rsidP="002C6DE3">
            <w:pPr>
              <w:spacing w:line="360" w:lineRule="auto"/>
              <w:rPr>
                <w:rFonts w:ascii="宋体" w:hAnsi="宋体"/>
                <w:bCs/>
                <w:sz w:val="18"/>
                <w:szCs w:val="18"/>
              </w:rPr>
            </w:pPr>
            <w:r>
              <w:rPr>
                <w:rFonts w:ascii="宋体" w:hAnsi="宋体"/>
                <w:bCs/>
                <w:sz w:val="18"/>
                <w:szCs w:val="18"/>
              </w:rPr>
              <w:t>【</w:t>
            </w:r>
            <w:r w:rsidR="00215FE7" w:rsidRPr="00215FE7">
              <w:rPr>
                <w:rFonts w:ascii="宋体" w:hAnsi="宋体"/>
                <w:bCs/>
                <w:color w:val="000000" w:themeColor="text1"/>
                <w:sz w:val="18"/>
                <w:szCs w:val="18"/>
              </w:rPr>
              <w:t>9C3105</w:t>
            </w:r>
            <w:r w:rsidR="002C6DE3">
              <w:rPr>
                <w:rFonts w:ascii="宋体" w:hAnsi="宋体"/>
                <w:bCs/>
                <w:color w:val="000000" w:themeColor="text1"/>
                <w:sz w:val="18"/>
                <w:szCs w:val="18"/>
              </w:rPr>
              <w:t>5</w:t>
            </w:r>
            <w:r w:rsidR="00215FE7" w:rsidRPr="00215FE7">
              <w:rPr>
                <w:rFonts w:ascii="宋体" w:hAnsi="宋体"/>
                <w:bCs/>
                <w:color w:val="000000" w:themeColor="text1"/>
                <w:sz w:val="18"/>
                <w:szCs w:val="18"/>
              </w:rPr>
              <w:t>0</w:t>
            </w:r>
            <w:r>
              <w:rPr>
                <w:rFonts w:ascii="宋体" w:hAnsi="宋体" w:hint="eastAsia"/>
                <w:bCs/>
                <w:sz w:val="18"/>
                <w:szCs w:val="18"/>
              </w:rPr>
              <w:t>】</w:t>
            </w:r>
          </w:p>
        </w:tc>
      </w:tr>
      <w:tr w:rsidR="00E039EF">
        <w:trPr>
          <w:trHeight w:val="251"/>
          <w:jc w:val="center"/>
        </w:trPr>
        <w:tc>
          <w:tcPr>
            <w:tcW w:w="1970" w:type="dxa"/>
            <w:shd w:val="solid" w:color="FFFFFF" w:fill="FFFFFF"/>
          </w:tcPr>
          <w:p w:rsidR="00E039EF" w:rsidRDefault="003F2D22">
            <w:pPr>
              <w:spacing w:line="360" w:lineRule="auto"/>
              <w:jc w:val="left"/>
              <w:rPr>
                <w:rFonts w:hAnsi="宋体"/>
                <w:b/>
                <w:sz w:val="18"/>
                <w:szCs w:val="18"/>
              </w:rPr>
            </w:pPr>
            <w:r>
              <w:rPr>
                <w:rFonts w:hAnsi="宋体" w:hint="eastAsia"/>
                <w:b/>
                <w:sz w:val="18"/>
                <w:szCs w:val="18"/>
              </w:rPr>
              <w:t>★销售代码</w:t>
            </w:r>
          </w:p>
        </w:tc>
        <w:tc>
          <w:tcPr>
            <w:tcW w:w="7674" w:type="dxa"/>
            <w:shd w:val="solid" w:color="FFFFFF" w:fill="FFFFFF"/>
          </w:tcPr>
          <w:p w:rsidR="00E039EF" w:rsidRDefault="003F2D22">
            <w:pPr>
              <w:spacing w:line="360" w:lineRule="auto"/>
              <w:rPr>
                <w:rFonts w:ascii="宋体" w:hAnsi="宋体"/>
                <w:sz w:val="18"/>
                <w:szCs w:val="18"/>
              </w:rPr>
            </w:pPr>
            <w:r>
              <w:rPr>
                <w:rFonts w:ascii="宋体" w:hAnsi="宋体" w:hint="eastAsia"/>
                <w:sz w:val="18"/>
                <w:szCs w:val="18"/>
              </w:rPr>
              <w:t>【</w:t>
            </w:r>
            <w:r w:rsidR="00215FE7" w:rsidRPr="00215FE7">
              <w:rPr>
                <w:rFonts w:ascii="宋体" w:hAnsi="宋体"/>
                <w:sz w:val="18"/>
                <w:szCs w:val="18"/>
              </w:rPr>
              <w:t>9C3105</w:t>
            </w:r>
            <w:r w:rsidR="002C6DE3">
              <w:rPr>
                <w:rFonts w:ascii="宋体" w:hAnsi="宋体"/>
                <w:sz w:val="18"/>
                <w:szCs w:val="18"/>
              </w:rPr>
              <w:t>5</w:t>
            </w:r>
            <w:r w:rsidR="00215FE7" w:rsidRPr="00215FE7">
              <w:rPr>
                <w:rFonts w:ascii="宋体" w:hAnsi="宋体"/>
                <w:sz w:val="18"/>
                <w:szCs w:val="18"/>
              </w:rPr>
              <w:t>A</w:t>
            </w:r>
            <w:r>
              <w:rPr>
                <w:rFonts w:ascii="宋体" w:hAnsi="宋体" w:hint="eastAsia"/>
                <w:sz w:val="18"/>
                <w:szCs w:val="18"/>
              </w:rPr>
              <w:t>】（适用【</w:t>
            </w:r>
            <w:r>
              <w:rPr>
                <w:rFonts w:ascii="宋体" w:hAnsi="宋体"/>
                <w:sz w:val="18"/>
                <w:szCs w:val="18"/>
              </w:rPr>
              <w:t>A</w:t>
            </w:r>
            <w:r>
              <w:rPr>
                <w:rFonts w:ascii="宋体" w:hAnsi="宋体" w:hint="eastAsia"/>
                <w:sz w:val="18"/>
                <w:szCs w:val="18"/>
              </w:rPr>
              <w:t>】类份额）</w:t>
            </w:r>
          </w:p>
          <w:p w:rsidR="00215FE7" w:rsidRDefault="00215FE7" w:rsidP="002C6DE3">
            <w:pPr>
              <w:spacing w:line="360" w:lineRule="auto"/>
              <w:rPr>
                <w:rFonts w:ascii="宋体" w:hAnsi="宋体"/>
                <w:sz w:val="18"/>
                <w:szCs w:val="18"/>
              </w:rPr>
            </w:pPr>
            <w:r>
              <w:rPr>
                <w:rFonts w:ascii="宋体" w:hAnsi="宋体" w:hint="eastAsia"/>
                <w:sz w:val="18"/>
                <w:szCs w:val="18"/>
              </w:rPr>
              <w:t>【</w:t>
            </w:r>
            <w:r w:rsidRPr="00215FE7">
              <w:rPr>
                <w:rFonts w:ascii="宋体" w:hAnsi="宋体"/>
                <w:sz w:val="18"/>
                <w:szCs w:val="18"/>
              </w:rPr>
              <w:t>9C3105</w:t>
            </w:r>
            <w:r w:rsidR="002C6DE3">
              <w:rPr>
                <w:rFonts w:ascii="宋体" w:hAnsi="宋体"/>
                <w:sz w:val="18"/>
                <w:szCs w:val="18"/>
              </w:rPr>
              <w:t>5</w:t>
            </w:r>
            <w:r>
              <w:rPr>
                <w:rFonts w:ascii="宋体" w:hAnsi="宋体"/>
                <w:sz w:val="18"/>
                <w:szCs w:val="18"/>
              </w:rPr>
              <w:t>B</w:t>
            </w:r>
            <w:r>
              <w:rPr>
                <w:rFonts w:ascii="宋体" w:hAnsi="宋体" w:hint="eastAsia"/>
                <w:sz w:val="18"/>
                <w:szCs w:val="18"/>
              </w:rPr>
              <w:t>】（适用【</w:t>
            </w:r>
            <w:r>
              <w:rPr>
                <w:rFonts w:ascii="宋体" w:hAnsi="宋体"/>
                <w:sz w:val="18"/>
                <w:szCs w:val="18"/>
              </w:rPr>
              <w:t>B</w:t>
            </w:r>
            <w:r>
              <w:rPr>
                <w:rFonts w:ascii="宋体" w:hAnsi="宋体" w:hint="eastAsia"/>
                <w:sz w:val="18"/>
                <w:szCs w:val="18"/>
              </w:rPr>
              <w:t>】类份额）</w:t>
            </w:r>
          </w:p>
        </w:tc>
      </w:tr>
      <w:tr w:rsidR="00E039EF">
        <w:trPr>
          <w:trHeight w:val="251"/>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E039EF" w:rsidRDefault="003F2D22">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.本产品设置不同的理财产品份额，每类理财产品份额以下内容</w:t>
            </w:r>
            <w:r>
              <w:rPr>
                <w:rFonts w:ascii="宋体" w:hAnsi="宋体"/>
                <w:bCs/>
                <w:sz w:val="18"/>
                <w:szCs w:val="18"/>
              </w:rPr>
              <w:t>可能</w:t>
            </w:r>
            <w:r>
              <w:rPr>
                <w:rFonts w:ascii="宋体" w:hAnsi="宋体" w:hint="eastAsia"/>
                <w:bCs/>
                <w:sz w:val="18"/>
                <w:szCs w:val="18"/>
              </w:rPr>
              <w:t>单独设置：</w:t>
            </w:r>
          </w:p>
          <w:p w:rsidR="00E039EF" w:rsidRDefault="003F2D22">
            <w:pPr>
              <w:spacing w:line="360" w:lineRule="auto"/>
              <w:rPr>
                <w:rFonts w:ascii="宋体" w:hAnsi="宋体"/>
                <w:bCs/>
                <w:sz w:val="18"/>
                <w:szCs w:val="18"/>
              </w:rPr>
            </w:pPr>
            <w:r>
              <w:rPr>
                <w:rFonts w:ascii="宋体" w:hAnsi="宋体" w:hint="eastAsia"/>
                <w:bCs/>
                <w:sz w:val="18"/>
                <w:szCs w:val="18"/>
              </w:rPr>
              <w:t>（1）销售名称</w:t>
            </w:r>
          </w:p>
          <w:p w:rsidR="00E039EF" w:rsidRDefault="003F2D22">
            <w:pPr>
              <w:spacing w:line="360" w:lineRule="auto"/>
              <w:rPr>
                <w:rFonts w:ascii="宋体" w:hAnsi="宋体"/>
                <w:bCs/>
                <w:sz w:val="18"/>
                <w:szCs w:val="18"/>
              </w:rPr>
            </w:pPr>
            <w:r>
              <w:rPr>
                <w:rFonts w:ascii="宋体" w:hAnsi="宋体" w:hint="eastAsia"/>
                <w:bCs/>
                <w:sz w:val="18"/>
                <w:szCs w:val="18"/>
              </w:rPr>
              <w:t>（2）收费方式</w:t>
            </w:r>
          </w:p>
          <w:p w:rsidR="00E039EF" w:rsidRDefault="003F2D22">
            <w:pPr>
              <w:spacing w:line="360" w:lineRule="auto"/>
              <w:rPr>
                <w:rFonts w:ascii="宋体" w:hAnsi="宋体"/>
                <w:bCs/>
                <w:sz w:val="18"/>
                <w:szCs w:val="18"/>
              </w:rPr>
            </w:pPr>
            <w:r>
              <w:rPr>
                <w:rFonts w:ascii="宋体" w:hAnsi="宋体" w:hint="eastAsia"/>
                <w:bCs/>
                <w:sz w:val="18"/>
                <w:szCs w:val="18"/>
              </w:rPr>
              <w:t>（3）销售服务费</w:t>
            </w:r>
          </w:p>
          <w:p w:rsidR="00E039EF" w:rsidRDefault="003F2D22">
            <w:pPr>
              <w:spacing w:line="360" w:lineRule="auto"/>
              <w:rPr>
                <w:rFonts w:ascii="宋体" w:hAnsi="宋体"/>
                <w:bCs/>
                <w:sz w:val="18"/>
                <w:szCs w:val="18"/>
              </w:rPr>
            </w:pPr>
            <w:r>
              <w:rPr>
                <w:rFonts w:ascii="宋体" w:hAnsi="宋体" w:hint="eastAsia"/>
                <w:bCs/>
                <w:sz w:val="18"/>
                <w:szCs w:val="18"/>
              </w:rPr>
              <w:t>（4）销售代码</w:t>
            </w:r>
          </w:p>
          <w:p w:rsidR="00E039EF" w:rsidRDefault="003F2D22">
            <w:pPr>
              <w:spacing w:line="360" w:lineRule="auto"/>
              <w:rPr>
                <w:rFonts w:ascii="宋体" w:hAnsi="宋体"/>
                <w:bCs/>
                <w:sz w:val="18"/>
                <w:szCs w:val="18"/>
              </w:rPr>
            </w:pPr>
            <w:r>
              <w:rPr>
                <w:rFonts w:ascii="宋体" w:hAnsi="宋体" w:hint="eastAsia"/>
                <w:bCs/>
                <w:sz w:val="18"/>
                <w:szCs w:val="18"/>
              </w:rPr>
              <w:t>（5）销售对象</w:t>
            </w:r>
          </w:p>
          <w:p w:rsidR="00E039EF" w:rsidRDefault="003F2D22">
            <w:pPr>
              <w:spacing w:line="360" w:lineRule="auto"/>
              <w:rPr>
                <w:rFonts w:ascii="宋体" w:hAnsi="宋体"/>
                <w:bCs/>
                <w:sz w:val="18"/>
                <w:szCs w:val="18"/>
              </w:rPr>
            </w:pPr>
            <w:r>
              <w:rPr>
                <w:rFonts w:ascii="宋体" w:hAnsi="宋体" w:hint="eastAsia"/>
                <w:bCs/>
                <w:sz w:val="18"/>
                <w:szCs w:val="18"/>
              </w:rPr>
              <w:t>（6）销售起点金额（认购、申购的起点金额）</w:t>
            </w:r>
          </w:p>
          <w:p w:rsidR="00E039EF" w:rsidRDefault="003F2D22">
            <w:pPr>
              <w:spacing w:line="360" w:lineRule="auto"/>
              <w:rPr>
                <w:rFonts w:ascii="宋体" w:hAnsi="宋体"/>
                <w:bCs/>
                <w:sz w:val="18"/>
                <w:szCs w:val="18"/>
              </w:rPr>
            </w:pPr>
            <w:r>
              <w:rPr>
                <w:rFonts w:ascii="宋体" w:hAnsi="宋体" w:hint="eastAsia"/>
                <w:bCs/>
                <w:sz w:val="18"/>
                <w:szCs w:val="18"/>
              </w:rPr>
              <w:t>（7）投资者认购、申购和赎回的数量限制</w:t>
            </w:r>
          </w:p>
          <w:p w:rsidR="00E039EF" w:rsidRDefault="003F2D22">
            <w:pPr>
              <w:spacing w:line="360" w:lineRule="auto"/>
              <w:rPr>
                <w:rFonts w:ascii="宋体" w:hAnsi="宋体"/>
                <w:bCs/>
                <w:sz w:val="18"/>
                <w:szCs w:val="18"/>
              </w:rPr>
            </w:pPr>
            <w:r>
              <w:rPr>
                <w:rFonts w:ascii="宋体" w:hAnsi="宋体" w:hint="eastAsia"/>
                <w:bCs/>
                <w:sz w:val="18"/>
                <w:szCs w:val="18"/>
              </w:rPr>
              <w:t>（8）投资者</w:t>
            </w:r>
            <w:r>
              <w:rPr>
                <w:rFonts w:asciiTheme="minorEastAsia" w:hAnsiTheme="minorEastAsia" w:hint="eastAsia"/>
                <w:bCs/>
                <w:sz w:val="18"/>
                <w:szCs w:val="18"/>
              </w:rPr>
              <w:t>持有本产品的最高限额、最低限额</w:t>
            </w:r>
          </w:p>
          <w:p w:rsidR="00E039EF" w:rsidRDefault="003F2D22">
            <w:pPr>
              <w:spacing w:line="360" w:lineRule="auto"/>
              <w:rPr>
                <w:rFonts w:ascii="宋体" w:hAnsi="宋体"/>
                <w:bCs/>
                <w:sz w:val="18"/>
                <w:szCs w:val="18"/>
              </w:rPr>
            </w:pPr>
            <w:r>
              <w:rPr>
                <w:rFonts w:ascii="宋体" w:hAnsi="宋体" w:hint="eastAsia"/>
                <w:bCs/>
                <w:sz w:val="18"/>
                <w:szCs w:val="18"/>
              </w:rPr>
              <w:t>（9）分别计算和公告产品份额净值</w:t>
            </w:r>
          </w:p>
          <w:p w:rsidR="00E039EF" w:rsidRDefault="003F2D22">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.投资者可根据实际情况自行选择认购的产品份额类别。</w:t>
            </w:r>
          </w:p>
          <w:p w:rsidR="00E039EF" w:rsidRDefault="003F2D22">
            <w:pPr>
              <w:spacing w:line="360" w:lineRule="auto"/>
              <w:rPr>
                <w:rFonts w:ascii="宋体" w:hAnsi="宋体"/>
                <w:b/>
                <w:bCs/>
                <w:sz w:val="18"/>
                <w:szCs w:val="18"/>
              </w:rPr>
            </w:pPr>
            <w:r>
              <w:rPr>
                <w:rFonts w:ascii="黑体" w:eastAsia="黑体" w:hAnsi="黑体" w:hint="eastAsia"/>
                <w:sz w:val="18"/>
                <w:szCs w:val="18"/>
              </w:rPr>
              <w:t>注：本产品说明书所列示产品份额类别仅为本产品项下某一类产品份额。其他类别的产品份额情况以产品管理人披露为准。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、封闭式、固定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宋体" w:hAnsi="宋体" w:hint="eastAsia"/>
                <w:bCs/>
                <w:sz w:val="18"/>
                <w:szCs w:val="18"/>
              </w:rPr>
              <w:t>封闭式</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产品投资性质</w:t>
            </w:r>
          </w:p>
        </w:tc>
        <w:tc>
          <w:tcPr>
            <w:tcW w:w="7674" w:type="dxa"/>
            <w:shd w:val="solid" w:color="FFFFFF" w:fill="FFFFFF"/>
            <w:vAlign w:val="center"/>
          </w:tcPr>
          <w:p w:rsidR="00E039EF" w:rsidRDefault="003F2D22">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E039EF" w:rsidRDefault="003F2D22">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不低于80%的产</w:t>
            </w:r>
            <w:r>
              <w:rPr>
                <w:rFonts w:asciiTheme="majorEastAsia" w:eastAsiaTheme="majorEastAsia" w:hAnsiTheme="majorEastAsia"/>
                <w:sz w:val="18"/>
                <w:szCs w:val="18"/>
              </w:rPr>
              <w:lastRenderedPageBreak/>
              <w:t>品</w:t>
            </w:r>
            <w:r>
              <w:rPr>
                <w:rFonts w:ascii="宋体" w:hAnsi="宋体" w:hint="eastAsia"/>
                <w:bCs/>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lastRenderedPageBreak/>
              <w:t>产品</w:t>
            </w:r>
            <w:r>
              <w:rPr>
                <w:rFonts w:asciiTheme="majorEastAsia" w:eastAsiaTheme="majorEastAsia" w:hAnsiTheme="majorEastAsia"/>
                <w:b/>
                <w:sz w:val="18"/>
                <w:szCs w:val="18"/>
              </w:rPr>
              <w:t>收益特征</w:t>
            </w:r>
          </w:p>
        </w:tc>
        <w:tc>
          <w:tcPr>
            <w:tcW w:w="7674" w:type="dxa"/>
            <w:shd w:val="solid" w:color="FFFFFF" w:fill="FFFFFF"/>
            <w:vAlign w:val="center"/>
          </w:tcPr>
          <w:p w:rsidR="00E039EF" w:rsidRDefault="003F2D22">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E039EF" w:rsidRDefault="003F2D22">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本产品不保证本金且不保证收益。本产品的收益随投资收益浮动，投资者可能会因市场变动而蒙受损失。</w:t>
            </w:r>
          </w:p>
          <w:p w:rsidR="00E039EF" w:rsidRDefault="003F2D22">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
                <w:sz w:val="18"/>
                <w:szCs w:val="18"/>
              </w:rPr>
              <w:t>产品管理人对本产品的本金并不提供保证，也不承诺任何固定收益。</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ajorEastAsia" w:eastAsiaTheme="majorEastAsia" w:hAnsiTheme="majorEastAsia" w:hint="eastAsia"/>
                <w:b/>
                <w:sz w:val="18"/>
                <w:szCs w:val="18"/>
              </w:rPr>
              <w:t>理财币种</w:t>
            </w:r>
          </w:p>
        </w:tc>
        <w:tc>
          <w:tcPr>
            <w:tcW w:w="7674" w:type="dxa"/>
            <w:shd w:val="solid" w:color="FFFFFF" w:fill="FFFFFF"/>
            <w:vAlign w:val="center"/>
          </w:tcPr>
          <w:p w:rsidR="00E039EF" w:rsidRDefault="003F2D22">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674" w:type="dxa"/>
            <w:shd w:val="solid" w:color="FFFFFF" w:fill="FFFFFF"/>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本产品属于【□</w:t>
            </w:r>
            <w:r>
              <w:rPr>
                <w:rFonts w:asciiTheme="majorEastAsia" w:eastAsiaTheme="majorEastAsia" w:hAnsiTheme="majorEastAsia"/>
                <w:bCs/>
                <w:sz w:val="18"/>
                <w:szCs w:val="18"/>
              </w:rPr>
              <w:t>R1、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R5】理财产品</w:t>
            </w:r>
            <w:r>
              <w:rPr>
                <w:rFonts w:asciiTheme="majorEastAsia" w:eastAsiaTheme="majorEastAsia" w:hAnsiTheme="majorEastAsia" w:hint="eastAsia"/>
                <w:bCs/>
                <w:sz w:val="18"/>
                <w:szCs w:val="18"/>
              </w:rPr>
              <w:t>。</w:t>
            </w:r>
          </w:p>
          <w:p w:rsidR="00E039EF" w:rsidRDefault="003F2D22">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E039EF" w:rsidRDefault="003F2D22">
            <w:pPr>
              <w:spacing w:line="360" w:lineRule="auto"/>
              <w:rPr>
                <w:rFonts w:ascii="宋体" w:hAnsi="宋体"/>
                <w:b/>
                <w:bCs/>
                <w:sz w:val="18"/>
                <w:szCs w:val="18"/>
              </w:rPr>
            </w:pPr>
            <w:r>
              <w:rPr>
                <w:rFonts w:ascii="黑体" w:eastAsia="黑体" w:hAnsi="黑体" w:hint="eastAsia"/>
                <w:bCs/>
                <w:sz w:val="18"/>
                <w:szCs w:val="18"/>
              </w:rPr>
              <w:t>注</w:t>
            </w:r>
            <w:r>
              <w:rPr>
                <w:rFonts w:ascii="黑体" w:eastAsia="黑体" w:hAnsi="黑体"/>
                <w:bCs/>
                <w:sz w:val="18"/>
                <w:szCs w:val="18"/>
              </w:rPr>
              <w:t>：</w:t>
            </w:r>
            <w:r>
              <w:rPr>
                <w:rFonts w:ascii="黑体" w:eastAsia="黑体" w:hAnsi="黑体" w:hint="eastAsia"/>
                <w:bCs/>
                <w:sz w:val="18"/>
                <w:szCs w:val="18"/>
              </w:rPr>
              <w:t>若本</w:t>
            </w:r>
            <w:r>
              <w:rPr>
                <w:rFonts w:ascii="黑体" w:eastAsia="黑体" w:hAnsi="黑体"/>
                <w:bCs/>
                <w:sz w:val="18"/>
                <w:szCs w:val="18"/>
              </w:rPr>
              <w:t>产品通过代理销售机构销售的，</w:t>
            </w:r>
            <w:r>
              <w:rPr>
                <w:rFonts w:ascii="黑体" w:eastAsia="黑体" w:hAnsi="黑体" w:hint="eastAsia"/>
                <w:bCs/>
                <w:sz w:val="18"/>
                <w:szCs w:val="18"/>
              </w:rPr>
              <w:t>理财产品</w:t>
            </w:r>
            <w:r>
              <w:rPr>
                <w:rFonts w:ascii="黑体" w:eastAsia="黑体" w:hAnsi="黑体"/>
                <w:bCs/>
                <w:sz w:val="18"/>
                <w:szCs w:val="18"/>
              </w:rPr>
              <w:t>评级</w:t>
            </w:r>
            <w:r>
              <w:rPr>
                <w:rFonts w:ascii="黑体" w:eastAsia="黑体" w:hAnsi="黑体" w:hint="eastAsia"/>
                <w:bCs/>
                <w:sz w:val="18"/>
                <w:szCs w:val="18"/>
              </w:rPr>
              <w:t>以</w:t>
            </w:r>
            <w:r>
              <w:rPr>
                <w:rFonts w:ascii="黑体" w:eastAsia="黑体" w:hAnsi="黑体"/>
                <w:bCs/>
                <w:sz w:val="18"/>
                <w:szCs w:val="18"/>
              </w:rPr>
              <w:t>代理销售机构最终披露的评级结果为准。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674" w:type="dxa"/>
            <w:shd w:val="solid" w:color="FFFFFF" w:fill="FFFFFF"/>
            <w:vAlign w:val="bottom"/>
          </w:tcPr>
          <w:p w:rsidR="00E039EF" w:rsidRDefault="003F2D22">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E039EF" w:rsidRDefault="003F2D22">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 xml:space="preserve">客户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w:t>
            </w:r>
            <w:proofErr w:type="gramStart"/>
            <w:r>
              <w:rPr>
                <w:rFonts w:asciiTheme="majorEastAsia" w:eastAsiaTheme="majorEastAsia" w:hAnsiTheme="majorEastAsia" w:hint="eastAsia"/>
                <w:bCs/>
                <w:sz w:val="18"/>
                <w:szCs w:val="18"/>
              </w:rPr>
              <w:t>上渠道</w:t>
            </w:r>
            <w:proofErr w:type="gramEnd"/>
            <w:r>
              <w:rPr>
                <w:rFonts w:asciiTheme="majorEastAsia" w:eastAsiaTheme="majorEastAsia" w:hAnsiTheme="majorEastAsia" w:hint="eastAsia"/>
                <w:bCs/>
                <w:sz w:val="18"/>
                <w:szCs w:val="18"/>
              </w:rPr>
              <w:t>和线下渠道等场景进行销售。</w:t>
            </w:r>
          </w:p>
          <w:p w:rsidR="00E039EF" w:rsidRDefault="003F2D22">
            <w:pPr>
              <w:spacing w:line="360" w:lineRule="auto"/>
              <w:rPr>
                <w:rFonts w:asciiTheme="majorEastAsia" w:eastAsiaTheme="majorEastAsia" w:hAnsiTheme="majorEastAsia"/>
                <w:b/>
                <w:bCs/>
                <w:color w:val="000000" w:themeColor="text1"/>
                <w:sz w:val="18"/>
                <w:szCs w:val="18"/>
              </w:rPr>
            </w:pPr>
            <w:r>
              <w:rPr>
                <w:rFonts w:ascii="黑体" w:eastAsia="黑体" w:hAnsi="黑体" w:cs="黑体" w:hint="eastAsia"/>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674" w:type="dxa"/>
            <w:shd w:val="solid" w:color="FFFFFF" w:fill="FFFFFF"/>
            <w:vAlign w:val="center"/>
          </w:tcPr>
          <w:p w:rsidR="00E039EF" w:rsidRDefault="003F2D22">
            <w:pPr>
              <w:spacing w:line="360" w:lineRule="auto"/>
              <w:jc w:val="left"/>
              <w:rPr>
                <w:rFonts w:ascii="宋体" w:hAnsi="宋体"/>
                <w:sz w:val="18"/>
                <w:szCs w:val="18"/>
              </w:rPr>
            </w:pPr>
            <w:r>
              <w:rPr>
                <w:rFonts w:ascii="宋体" w:hAnsi="宋体" w:hint="eastAsia"/>
                <w:sz w:val="18"/>
                <w:szCs w:val="18"/>
              </w:rPr>
              <w:t>□ 直销适用</w:t>
            </w:r>
          </w:p>
          <w:p w:rsidR="00E039EF" w:rsidRDefault="003F2D22">
            <w:pPr>
              <w:spacing w:line="360" w:lineRule="auto"/>
              <w:jc w:val="left"/>
              <w:rPr>
                <w:rFonts w:ascii="宋体" w:hAnsi="宋体"/>
                <w:sz w:val="18"/>
                <w:szCs w:val="18"/>
              </w:rPr>
            </w:pPr>
            <w:r>
              <w:rPr>
                <w:rFonts w:ascii="宋体" w:hAnsi="宋体" w:hint="eastAsia"/>
                <w:sz w:val="18"/>
                <w:szCs w:val="18"/>
              </w:rPr>
              <w:t>本产品由产品管理人销售。</w:t>
            </w:r>
          </w:p>
          <w:p w:rsidR="00E039EF" w:rsidRDefault="003F2D22">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代销适用</w:t>
            </w:r>
          </w:p>
          <w:p w:rsidR="00E039EF" w:rsidRDefault="003F2D22">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E039EF" w:rsidRDefault="003F2D22">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规模为【10】亿元，最小成立规模为【/】亿元。</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■有固定期限：【</w:t>
            </w:r>
            <w:r w:rsidR="002C6DE3">
              <w:rPr>
                <w:rFonts w:asciiTheme="majorEastAsia" w:eastAsiaTheme="majorEastAsia" w:hAnsiTheme="majorEastAsia"/>
                <w:bCs/>
                <w:sz w:val="18"/>
                <w:szCs w:val="18"/>
              </w:rPr>
              <w:t>364</w:t>
            </w:r>
            <w:r w:rsidR="00215FE7">
              <w:rPr>
                <w:rFonts w:asciiTheme="majorEastAsia" w:eastAsiaTheme="majorEastAsia" w:hAnsiTheme="majorEastAsia"/>
                <w:bCs/>
                <w:sz w:val="18"/>
                <w:szCs w:val="18"/>
              </w:rPr>
              <w:t>天</w:t>
            </w:r>
            <w:r w:rsidR="004227D0">
              <w:rPr>
                <w:rFonts w:asciiTheme="majorEastAsia" w:eastAsiaTheme="majorEastAsia" w:hAnsiTheme="majorEastAsia" w:hint="eastAsia"/>
                <w:bCs/>
                <w:sz w:val="18"/>
                <w:szCs w:val="18"/>
              </w:rPr>
              <w:t>】</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□无固定期限</w:t>
            </w:r>
          </w:p>
          <w:p w:rsidR="00E039EF" w:rsidRDefault="003F2D22">
            <w:pPr>
              <w:spacing w:line="360" w:lineRule="auto"/>
              <w:rPr>
                <w:rFonts w:asciiTheme="majorEastAsia" w:eastAsiaTheme="majorEastAsia" w:hAnsiTheme="majorEastAsia"/>
                <w:bCs/>
                <w:sz w:val="18"/>
                <w:szCs w:val="18"/>
              </w:rPr>
            </w:pPr>
            <w:r>
              <w:rPr>
                <w:rFonts w:ascii="黑体" w:eastAsia="黑体" w:hAnsi="黑体" w:hint="eastAsia"/>
                <w:bCs/>
                <w:sz w:val="18"/>
                <w:szCs w:val="18"/>
              </w:rPr>
              <w:lastRenderedPageBreak/>
              <w:t>注：本产品的实际期限受制于本理财产品销售文件“提前终止”及“延期终止”情形。</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lastRenderedPageBreak/>
              <w:t>认购期/募集期</w:t>
            </w:r>
          </w:p>
        </w:tc>
        <w:tc>
          <w:tcPr>
            <w:tcW w:w="7674" w:type="dxa"/>
            <w:shd w:val="solid" w:color="FFFFFF" w:fill="FFFFFF"/>
            <w:vAlign w:val="center"/>
          </w:tcPr>
          <w:p w:rsidR="00E039EF" w:rsidRDefault="003F2D2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本产品认购期/募集期为</w:t>
            </w:r>
            <w:r>
              <w:rPr>
                <w:rFonts w:asciiTheme="minorEastAsia" w:hAnsiTheme="minorEastAsia" w:hint="eastAsia"/>
                <w:bCs/>
                <w:sz w:val="18"/>
                <w:szCs w:val="18"/>
              </w:rPr>
              <w:t>：</w:t>
            </w:r>
            <w:r>
              <w:rPr>
                <w:rFonts w:asciiTheme="minorEastAsia" w:hAnsiTheme="minorEastAsia" w:cs="Times New Roman" w:hint="eastAsia"/>
                <w:sz w:val="18"/>
                <w:szCs w:val="18"/>
              </w:rPr>
              <w:t>【2023</w:t>
            </w:r>
            <w:r>
              <w:rPr>
                <w:rFonts w:asciiTheme="minorEastAsia" w:hAnsiTheme="minorEastAsia" w:cs="Times New Roman"/>
                <w:sz w:val="18"/>
                <w:szCs w:val="18"/>
              </w:rPr>
              <w:t>】年【</w:t>
            </w:r>
            <w:r w:rsidR="00FB5BB3">
              <w:rPr>
                <w:rFonts w:asciiTheme="minorEastAsia" w:hAnsiTheme="minorEastAsia" w:cs="Times New Roman"/>
                <w:sz w:val="18"/>
                <w:szCs w:val="18"/>
              </w:rPr>
              <w:t>12</w:t>
            </w:r>
            <w:r>
              <w:rPr>
                <w:rFonts w:asciiTheme="minorEastAsia" w:hAnsiTheme="minorEastAsia" w:cs="Times New Roman" w:hint="eastAsia"/>
                <w:sz w:val="18"/>
                <w:szCs w:val="18"/>
              </w:rPr>
              <w:t>】月【</w:t>
            </w:r>
            <w:r w:rsidR="002C6DE3">
              <w:rPr>
                <w:rFonts w:asciiTheme="minorEastAsia" w:hAnsiTheme="minorEastAsia" w:cs="Times New Roman"/>
                <w:sz w:val="18"/>
                <w:szCs w:val="18"/>
              </w:rPr>
              <w:t>19</w:t>
            </w:r>
            <w:r>
              <w:rPr>
                <w:rFonts w:asciiTheme="minorEastAsia" w:hAnsiTheme="minorEastAsia" w:cs="Times New Roman" w:hint="eastAsia"/>
                <w:sz w:val="18"/>
                <w:szCs w:val="18"/>
              </w:rPr>
              <w:t>】日【09:00】</w:t>
            </w:r>
            <w:r>
              <w:rPr>
                <w:rFonts w:asciiTheme="minorEastAsia" w:hAnsiTheme="minorEastAsia" w:cs="仿宋_GB2312" w:hint="eastAsia"/>
                <w:sz w:val="18"/>
                <w:szCs w:val="18"/>
              </w:rPr>
              <w:t>至</w:t>
            </w:r>
            <w:r>
              <w:rPr>
                <w:rFonts w:asciiTheme="minorEastAsia" w:hAnsiTheme="minorEastAsia" w:cs="Times New Roman" w:hint="eastAsia"/>
                <w:sz w:val="18"/>
                <w:szCs w:val="18"/>
              </w:rPr>
              <w:t>【2023</w:t>
            </w:r>
            <w:r>
              <w:rPr>
                <w:rFonts w:asciiTheme="minorEastAsia" w:hAnsiTheme="minorEastAsia" w:cs="Times New Roman"/>
                <w:sz w:val="18"/>
                <w:szCs w:val="18"/>
              </w:rPr>
              <w:t>】年【</w:t>
            </w:r>
            <w:r w:rsidR="00215FE7">
              <w:rPr>
                <w:rFonts w:asciiTheme="minorEastAsia" w:hAnsiTheme="minorEastAsia" w:cs="Times New Roman" w:hint="eastAsia"/>
                <w:sz w:val="18"/>
                <w:szCs w:val="18"/>
              </w:rPr>
              <w:t>1</w:t>
            </w:r>
            <w:r w:rsidR="00215FE7">
              <w:rPr>
                <w:rFonts w:asciiTheme="minorEastAsia" w:hAnsiTheme="minorEastAsia" w:cs="Times New Roman"/>
                <w:sz w:val="18"/>
                <w:szCs w:val="18"/>
              </w:rPr>
              <w:t>2</w:t>
            </w:r>
            <w:r>
              <w:rPr>
                <w:rFonts w:asciiTheme="minorEastAsia" w:hAnsiTheme="minorEastAsia" w:cs="Times New Roman" w:hint="eastAsia"/>
                <w:sz w:val="18"/>
                <w:szCs w:val="18"/>
              </w:rPr>
              <w:t>】月【</w:t>
            </w:r>
            <w:r w:rsidR="002C6DE3">
              <w:rPr>
                <w:rFonts w:asciiTheme="minorEastAsia" w:hAnsiTheme="minorEastAsia" w:cs="Times New Roman"/>
                <w:sz w:val="18"/>
                <w:szCs w:val="18"/>
              </w:rPr>
              <w:t>25</w:t>
            </w:r>
            <w:r>
              <w:rPr>
                <w:rFonts w:asciiTheme="minorEastAsia" w:hAnsiTheme="minorEastAsia" w:cs="Times New Roman" w:hint="eastAsia"/>
                <w:sz w:val="18"/>
                <w:szCs w:val="18"/>
              </w:rPr>
              <w:t>】日</w:t>
            </w:r>
            <w:r>
              <w:rPr>
                <w:rFonts w:asciiTheme="majorEastAsia" w:eastAsiaTheme="majorEastAsia" w:hAnsiTheme="majorEastAsia" w:hint="eastAsia"/>
                <w:sz w:val="18"/>
                <w:szCs w:val="18"/>
              </w:rPr>
              <w:t>【17：00】</w:t>
            </w:r>
            <w:r>
              <w:rPr>
                <w:rFonts w:asciiTheme="majorEastAsia" w:eastAsiaTheme="majorEastAsia" w:hAnsiTheme="majorEastAsia"/>
                <w:sz w:val="18"/>
                <w:szCs w:val="18"/>
              </w:rPr>
              <w:t>。</w:t>
            </w:r>
          </w:p>
          <w:p w:rsidR="00E039EF" w:rsidRDefault="003F2D22">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E039EF" w:rsidRDefault="003F2D22">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w:t>
            </w:r>
            <w:r>
              <w:rPr>
                <w:rFonts w:ascii="宋体" w:hAnsi="宋体" w:hint="eastAsia"/>
                <w:bCs/>
                <w:sz w:val="18"/>
                <w:szCs w:val="18"/>
              </w:rPr>
              <w:t>认购期/募集期内资金产生的利息不计入认购资金</w:t>
            </w:r>
            <w:r>
              <w:rPr>
                <w:rFonts w:ascii="宋体" w:hAnsi="宋体" w:hint="eastAsia"/>
                <w:sz w:val="18"/>
              </w:rPr>
              <w:t>。</w:t>
            </w:r>
          </w:p>
          <w:p w:rsidR="00E039EF" w:rsidRDefault="003F2D22">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注：关于代理销售机构的实际工作服务时段的提示</w:t>
            </w:r>
          </w:p>
          <w:p w:rsidR="00E039EF" w:rsidRDefault="003F2D22">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①为本产品办理相关交易的实际工作服务时段，因代理销售机构的不同可能存在差异（可能晚于销售文件约定的起始时点开始或早于销售文件约定的终止时点结束），投资者应当以代理销售机构的展示为准。</w:t>
            </w:r>
          </w:p>
          <w:p w:rsidR="00E039EF" w:rsidRDefault="003F2D22">
            <w:pPr>
              <w:spacing w:line="360" w:lineRule="auto"/>
              <w:rPr>
                <w:rFonts w:asciiTheme="majorEastAsia" w:eastAsiaTheme="majorEastAsia" w:hAnsiTheme="majorEastAsia"/>
                <w:bCs/>
                <w:sz w:val="18"/>
                <w:szCs w:val="18"/>
              </w:rPr>
            </w:pPr>
            <w:r>
              <w:rPr>
                <w:rFonts w:ascii="黑体" w:eastAsia="黑体" w:hAnsi="黑体" w:cs="黑体" w:hint="eastAsia"/>
                <w:bCs/>
                <w:color w:val="000000" w:themeColor="text1"/>
                <w:sz w:val="18"/>
                <w:szCs w:val="18"/>
              </w:rPr>
              <w:t>②代理销售机构的实际工作服务时段，最早不得早于销售文件约定的起始时点、最晚不得晚于销售文件约定的终止时点。</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hAnsi="宋体" w:hint="eastAsia"/>
                <w:sz w:val="18"/>
                <w:szCs w:val="18"/>
              </w:rPr>
              <w:t>★</w:t>
            </w:r>
            <w:r>
              <w:rPr>
                <w:rFonts w:asciiTheme="majorEastAsia" w:eastAsiaTheme="majorEastAsia" w:hAnsiTheme="majorEastAsia" w:hint="eastAsia"/>
                <w:b/>
                <w:bCs/>
                <w:sz w:val="18"/>
                <w:szCs w:val="18"/>
              </w:rPr>
              <w:t>投资冷静期</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w:t>
            </w:r>
            <w:proofErr w:type="gramStart"/>
            <w:r>
              <w:rPr>
                <w:rFonts w:asciiTheme="majorEastAsia" w:eastAsiaTheme="majorEastAsia" w:hAnsiTheme="majorEastAsia" w:hint="eastAsia"/>
                <w:bCs/>
                <w:sz w:val="18"/>
                <w:szCs w:val="18"/>
              </w:rPr>
              <w:t>募</w:t>
            </w:r>
            <w:proofErr w:type="gramEnd"/>
            <w:r>
              <w:rPr>
                <w:rFonts w:asciiTheme="majorEastAsia" w:eastAsiaTheme="majorEastAsia" w:hAnsiTheme="majorEastAsia" w:hint="eastAsia"/>
                <w:bCs/>
                <w:sz w:val="18"/>
                <w:szCs w:val="18"/>
              </w:rPr>
              <w:t>理财产品，无投资冷静期设置。</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674" w:type="dxa"/>
            <w:shd w:val="solid" w:color="FFFFFF" w:fill="FFFFFF"/>
            <w:vAlign w:val="center"/>
          </w:tcPr>
          <w:p w:rsidR="00E039EF" w:rsidRDefault="003F2D2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rPr>
              <w:t>【2023</w:t>
            </w:r>
            <w:r>
              <w:rPr>
                <w:rFonts w:asciiTheme="minorEastAsia" w:hAnsiTheme="minorEastAsia" w:cs="Times New Roman"/>
                <w:sz w:val="18"/>
                <w:szCs w:val="18"/>
              </w:rPr>
              <w:t>】年【</w:t>
            </w:r>
            <w:r w:rsidR="00215FE7">
              <w:rPr>
                <w:rFonts w:asciiTheme="minorEastAsia" w:hAnsiTheme="minorEastAsia" w:cs="Times New Roman" w:hint="eastAsia"/>
                <w:sz w:val="18"/>
                <w:szCs w:val="18"/>
              </w:rPr>
              <w:t>1</w:t>
            </w:r>
            <w:r w:rsidR="00215FE7">
              <w:rPr>
                <w:rFonts w:asciiTheme="minorEastAsia" w:hAnsiTheme="minorEastAsia" w:cs="Times New Roman"/>
                <w:sz w:val="18"/>
                <w:szCs w:val="18"/>
              </w:rPr>
              <w:t>2</w:t>
            </w:r>
            <w:r>
              <w:rPr>
                <w:rFonts w:asciiTheme="minorEastAsia" w:hAnsiTheme="minorEastAsia" w:cs="Times New Roman" w:hint="eastAsia"/>
                <w:sz w:val="18"/>
                <w:szCs w:val="18"/>
              </w:rPr>
              <w:t>】月【</w:t>
            </w:r>
            <w:r w:rsidR="002C6DE3">
              <w:rPr>
                <w:rFonts w:asciiTheme="minorEastAsia" w:hAnsiTheme="minorEastAsia" w:cs="Times New Roman"/>
                <w:sz w:val="18"/>
                <w:szCs w:val="18"/>
              </w:rPr>
              <w:t>26</w:t>
            </w:r>
            <w:bookmarkStart w:id="4" w:name="_GoBack"/>
            <w:bookmarkEnd w:id="4"/>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E039EF" w:rsidRDefault="003F2D22">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proofErr w:type="gramStart"/>
            <w:r>
              <w:rPr>
                <w:rFonts w:asciiTheme="minorEastAsia" w:hAnsiTheme="minorEastAsia" w:hint="eastAsia"/>
                <w:bCs/>
                <w:sz w:val="18"/>
                <w:szCs w:val="18"/>
              </w:rPr>
              <w:t>定进行</w:t>
            </w:r>
            <w:proofErr w:type="gramEnd"/>
            <w:r>
              <w:rPr>
                <w:rFonts w:asciiTheme="minorEastAsia" w:hAnsiTheme="minorEastAsia" w:hint="eastAsia"/>
                <w:bCs/>
                <w:sz w:val="18"/>
                <w:szCs w:val="18"/>
              </w:rPr>
              <w:t>公告。</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宋体" w:hAnsi="宋体"/>
                <w:b/>
                <w:bCs/>
                <w:sz w:val="18"/>
                <w:szCs w:val="18"/>
              </w:rPr>
            </w:pPr>
            <w:r>
              <w:rPr>
                <w:rFonts w:asciiTheme="minorEastAsia" w:hAnsiTheme="minorEastAsia" w:hint="eastAsia"/>
                <w:b/>
                <w:bCs/>
                <w:sz w:val="18"/>
                <w:szCs w:val="18"/>
              </w:rPr>
              <w:t>终止日</w:t>
            </w:r>
          </w:p>
        </w:tc>
        <w:tc>
          <w:tcPr>
            <w:tcW w:w="7674" w:type="dxa"/>
            <w:shd w:val="solid" w:color="FFFFFF" w:fill="FFFFFF"/>
            <w:vAlign w:val="center"/>
          </w:tcPr>
          <w:p w:rsidR="00E039EF" w:rsidRDefault="003F2D2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.本产品的计划终止日为</w:t>
            </w:r>
            <w:r>
              <w:rPr>
                <w:rFonts w:asciiTheme="minorEastAsia" w:hAnsiTheme="minorEastAsia"/>
                <w:bCs/>
                <w:sz w:val="18"/>
                <w:szCs w:val="18"/>
              </w:rPr>
              <w:t>：</w:t>
            </w:r>
            <w:r>
              <w:rPr>
                <w:rFonts w:asciiTheme="minorEastAsia" w:hAnsiTheme="minorEastAsia" w:cs="Times New Roman" w:hint="eastAsia"/>
                <w:sz w:val="18"/>
                <w:szCs w:val="18"/>
              </w:rPr>
              <w:t>【2024</w:t>
            </w:r>
            <w:r>
              <w:rPr>
                <w:rFonts w:asciiTheme="minorEastAsia" w:hAnsiTheme="minorEastAsia" w:cs="Times New Roman"/>
                <w:sz w:val="18"/>
                <w:szCs w:val="18"/>
              </w:rPr>
              <w:t>】年【</w:t>
            </w:r>
            <w:r w:rsidR="00215FE7">
              <w:rPr>
                <w:rFonts w:asciiTheme="minorEastAsia" w:hAnsiTheme="minorEastAsia" w:cs="Times New Roman"/>
                <w:sz w:val="18"/>
                <w:szCs w:val="18"/>
              </w:rPr>
              <w:t>12</w:t>
            </w:r>
            <w:r>
              <w:rPr>
                <w:rFonts w:asciiTheme="minorEastAsia" w:hAnsiTheme="minorEastAsia" w:cs="Times New Roman" w:hint="eastAsia"/>
                <w:sz w:val="18"/>
                <w:szCs w:val="18"/>
              </w:rPr>
              <w:t>】月【</w:t>
            </w:r>
            <w:r w:rsidR="00285C53">
              <w:rPr>
                <w:rFonts w:asciiTheme="minorEastAsia" w:hAnsiTheme="minorEastAsia" w:cs="Times New Roman"/>
                <w:sz w:val="18"/>
                <w:szCs w:val="18"/>
              </w:rPr>
              <w:t>24</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E039EF" w:rsidRDefault="003F2D22">
            <w:pPr>
              <w:spacing w:line="360" w:lineRule="auto"/>
              <w:rPr>
                <w:rFonts w:asciiTheme="minorEastAsia" w:hAnsiTheme="minorEastAsia" w:cs="Times New Roman"/>
                <w:sz w:val="18"/>
                <w:szCs w:val="18"/>
              </w:rPr>
            </w:pPr>
            <w:r>
              <w:rPr>
                <w:rFonts w:ascii="宋体" w:hAnsi="宋体" w:hint="eastAsia"/>
                <w:bCs/>
                <w:sz w:val="18"/>
                <w:szCs w:val="18"/>
              </w:rPr>
              <w:t>2.本产品的实际终止日受制于本理财产品销售文件“提前终止”及“延期终止”情形。</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674" w:type="dxa"/>
            <w:shd w:val="solid" w:color="FFFFFF" w:fill="FFFFFF"/>
            <w:vAlign w:val="center"/>
          </w:tcPr>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每笔购买起点金额为【1</w:t>
            </w:r>
            <w:r w:rsidR="004227D0">
              <w:rPr>
                <w:rFonts w:asciiTheme="majorEastAsia" w:eastAsiaTheme="majorEastAsia" w:hAnsiTheme="majorEastAsia"/>
                <w:sz w:val="18"/>
                <w:szCs w:val="18"/>
              </w:rPr>
              <w:t>.00</w:t>
            </w:r>
            <w:r>
              <w:rPr>
                <w:rFonts w:asciiTheme="majorEastAsia" w:eastAsiaTheme="majorEastAsia" w:hAnsiTheme="majorEastAsia" w:hint="eastAsia"/>
                <w:sz w:val="18"/>
                <w:szCs w:val="18"/>
              </w:rPr>
              <w:t>】元；超出起点金额的部分以【</w:t>
            </w:r>
            <w:r w:rsidR="004227D0">
              <w:rPr>
                <w:rFonts w:asciiTheme="majorEastAsia" w:eastAsiaTheme="majorEastAsia" w:hAnsiTheme="majorEastAsia"/>
                <w:sz w:val="18"/>
                <w:szCs w:val="18"/>
              </w:rPr>
              <w:t>0.01</w:t>
            </w:r>
            <w:r>
              <w:rPr>
                <w:rFonts w:asciiTheme="majorEastAsia" w:eastAsiaTheme="majorEastAsia" w:hAnsiTheme="majorEastAsia" w:hint="eastAsia"/>
                <w:sz w:val="18"/>
                <w:szCs w:val="18"/>
              </w:rPr>
              <w:t>】元的整数</w:t>
            </w:r>
            <w:proofErr w:type="gramStart"/>
            <w:r>
              <w:rPr>
                <w:rFonts w:asciiTheme="majorEastAsia" w:eastAsiaTheme="majorEastAsia" w:hAnsiTheme="majorEastAsia" w:hint="eastAsia"/>
                <w:sz w:val="18"/>
                <w:szCs w:val="18"/>
              </w:rPr>
              <w:t>倍</w:t>
            </w:r>
            <w:proofErr w:type="gramEnd"/>
            <w:r>
              <w:rPr>
                <w:rFonts w:asciiTheme="majorEastAsia" w:eastAsiaTheme="majorEastAsia" w:hAnsiTheme="majorEastAsia" w:hint="eastAsia"/>
                <w:sz w:val="18"/>
                <w:szCs w:val="18"/>
              </w:rPr>
              <w:t>递增。（适用【</w:t>
            </w:r>
            <w:r w:rsidR="004227D0">
              <w:rPr>
                <w:rFonts w:asciiTheme="majorEastAsia" w:eastAsiaTheme="majorEastAsia" w:hAnsiTheme="majorEastAsia"/>
                <w:sz w:val="18"/>
                <w:szCs w:val="18"/>
              </w:rPr>
              <w:t>/</w:t>
            </w:r>
            <w:r>
              <w:rPr>
                <w:rFonts w:asciiTheme="majorEastAsia" w:eastAsiaTheme="majorEastAsia" w:hAnsiTheme="majorEastAsia" w:hint="eastAsia"/>
                <w:sz w:val="18"/>
                <w:szCs w:val="18"/>
              </w:rPr>
              <w:t>】类份额）</w:t>
            </w:r>
          </w:p>
          <w:p w:rsidR="00E039EF" w:rsidRDefault="003F2D22">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关于代理销售机构的实际销售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的提示</w:t>
            </w:r>
          </w:p>
          <w:p w:rsidR="00E039EF" w:rsidRDefault="003F2D22">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color w:val="000000" w:themeColor="text1"/>
                <w:sz w:val="18"/>
                <w:szCs w:val="18"/>
              </w:rPr>
              <w:t>以</w:t>
            </w:r>
            <w:r>
              <w:rPr>
                <w:rFonts w:ascii="黑体" w:eastAsia="黑体" w:hAnsi="黑体" w:hint="eastAsia"/>
                <w:color w:val="000000" w:themeColor="text1"/>
                <w:sz w:val="18"/>
                <w:szCs w:val="18"/>
              </w:rPr>
              <w:t>代理销售机构展示</w:t>
            </w:r>
            <w:r>
              <w:rPr>
                <w:rFonts w:ascii="黑体" w:eastAsia="黑体" w:hAnsi="黑体"/>
                <w:color w:val="000000" w:themeColor="text1"/>
                <w:sz w:val="18"/>
                <w:szCs w:val="18"/>
              </w:rPr>
              <w:t>为准</w:t>
            </w:r>
            <w:r>
              <w:rPr>
                <w:rFonts w:ascii="黑体" w:eastAsia="黑体" w:hAnsi="黑体" w:hint="eastAsia"/>
                <w:color w:val="000000" w:themeColor="text1"/>
                <w:sz w:val="18"/>
                <w:szCs w:val="18"/>
              </w:rPr>
              <w:t>。</w:t>
            </w:r>
          </w:p>
          <w:p w:rsidR="00E039EF" w:rsidRDefault="003F2D22">
            <w:pPr>
              <w:spacing w:line="360" w:lineRule="auto"/>
              <w:jc w:val="left"/>
              <w:rPr>
                <w:rFonts w:asciiTheme="minorEastAsia" w:hAnsiTheme="minorEastAsia" w:cs="Times New Roman"/>
                <w:sz w:val="18"/>
                <w:szCs w:val="18"/>
              </w:rPr>
            </w:pPr>
            <w:r>
              <w:rPr>
                <w:rFonts w:ascii="黑体" w:eastAsia="黑体" w:hAnsi="黑体" w:hint="eastAsia"/>
                <w:color w:val="000000" w:themeColor="text1"/>
                <w:sz w:val="18"/>
                <w:szCs w:val="18"/>
              </w:rPr>
              <w:t>②代理销售机构的实际销售起点金额，</w:t>
            </w:r>
            <w:r>
              <w:rPr>
                <w:rFonts w:ascii="黑体" w:eastAsia="黑体" w:hAnsi="黑体"/>
                <w:color w:val="000000" w:themeColor="text1"/>
                <w:sz w:val="18"/>
                <w:szCs w:val="18"/>
              </w:rPr>
              <w:t>不得低于</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文件约定的</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hAnsi="宋体" w:hint="eastAsia"/>
                <w:b/>
                <w:sz w:val="18"/>
                <w:szCs w:val="18"/>
              </w:rPr>
              <w:t>★认购的数量限制</w:t>
            </w:r>
          </w:p>
        </w:tc>
        <w:tc>
          <w:tcPr>
            <w:tcW w:w="7674" w:type="dxa"/>
            <w:shd w:val="solid" w:color="FFFFFF" w:fill="FFFFFF"/>
            <w:vAlign w:val="center"/>
          </w:tcPr>
          <w:p w:rsidR="00E039EF" w:rsidRDefault="003F2D22">
            <w:pPr>
              <w:pStyle w:val="Default"/>
              <w:spacing w:line="360" w:lineRule="auto"/>
              <w:rPr>
                <w:rFonts w:hAnsi="宋体"/>
                <w:bCs/>
                <w:sz w:val="18"/>
                <w:szCs w:val="18"/>
              </w:rPr>
            </w:pPr>
            <w:r>
              <w:rPr>
                <w:rFonts w:hAnsi="宋体" w:hint="eastAsia"/>
                <w:bCs/>
                <w:sz w:val="18"/>
                <w:szCs w:val="18"/>
              </w:rPr>
              <w:t>（适用【</w:t>
            </w:r>
            <w:r>
              <w:rPr>
                <w:rFonts w:asciiTheme="majorEastAsia" w:eastAsiaTheme="majorEastAsia" w:hAnsiTheme="majorEastAsia" w:hint="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认购的数量限制</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（1）单一投资者认购上限为【/】。</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（2）产品</w:t>
            </w:r>
            <w:r>
              <w:rPr>
                <w:rFonts w:asciiTheme="minorEastAsia" w:eastAsiaTheme="minorEastAsia" w:hAnsiTheme="minorEastAsia"/>
                <w:color w:val="auto"/>
                <w:sz w:val="18"/>
                <w:szCs w:val="18"/>
              </w:rPr>
              <w:t>存续期间，</w:t>
            </w:r>
            <w:r>
              <w:rPr>
                <w:rFonts w:asciiTheme="minorEastAsia" w:eastAsiaTheme="minorEastAsia" w:hAnsiTheme="minorEastAsia" w:hint="eastAsia"/>
                <w:color w:val="auto"/>
                <w:sz w:val="18"/>
                <w:szCs w:val="18"/>
              </w:rPr>
              <w:t>单一投资者</w:t>
            </w:r>
            <w:r>
              <w:rPr>
                <w:rFonts w:asciiTheme="minorEastAsia" w:eastAsiaTheme="minorEastAsia" w:hAnsiTheme="minorEastAsia"/>
                <w:color w:val="auto"/>
                <w:sz w:val="18"/>
                <w:szCs w:val="18"/>
              </w:rPr>
              <w:t>最高</w:t>
            </w:r>
            <w:r>
              <w:rPr>
                <w:rFonts w:asciiTheme="minorEastAsia" w:eastAsiaTheme="minorEastAsia" w:hAnsiTheme="minorEastAsia" w:hint="eastAsia"/>
                <w:color w:val="auto"/>
                <w:sz w:val="18"/>
                <w:szCs w:val="18"/>
              </w:rPr>
              <w:t>持有</w:t>
            </w:r>
            <w:r>
              <w:rPr>
                <w:rFonts w:asciiTheme="minorEastAsia" w:eastAsiaTheme="minorEastAsia" w:hAnsiTheme="minorEastAsia"/>
                <w:color w:val="auto"/>
                <w:sz w:val="18"/>
                <w:szCs w:val="18"/>
              </w:rPr>
              <w:t>份额上限为</w:t>
            </w:r>
            <w:r>
              <w:rPr>
                <w:rFonts w:asciiTheme="minorEastAsia" w:eastAsiaTheme="minorEastAsia" w:hAnsiTheme="minorEastAsia" w:hint="eastAsia"/>
                <w:color w:val="auto"/>
                <w:sz w:val="18"/>
                <w:szCs w:val="18"/>
              </w:rPr>
              <w:t>【/】份，符合产品管理人流动性管理的稳定资金除外。</w:t>
            </w:r>
          </w:p>
          <w:p w:rsidR="00E039EF" w:rsidRDefault="003F2D2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 xml:space="preserve">如需突破上限，请与产品管理人或销售机构客户经理联系。 </w:t>
            </w:r>
          </w:p>
          <w:p w:rsidR="00E039EF" w:rsidRDefault="003F2D22">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lastRenderedPageBreak/>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本产品单一投资者持有份额不得超过产品总份额</w:t>
            </w:r>
            <w:r>
              <w:rPr>
                <w:rFonts w:ascii="黑体" w:eastAsia="黑体" w:hAnsi="黑体"/>
                <w:color w:val="000000" w:themeColor="text1"/>
                <w:sz w:val="18"/>
                <w:szCs w:val="18"/>
              </w:rPr>
              <w:t>50%。</w:t>
            </w:r>
          </w:p>
          <w:p w:rsidR="00E039EF" w:rsidRDefault="003F2D22">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1）投资者认购或申购确认后可能导致其持有份额超过产品总份额50%的，管理人有权拒绝或暂停认购、申购。</w:t>
            </w:r>
          </w:p>
          <w:p w:rsidR="00E039EF" w:rsidRDefault="003F2D22">
            <w:pPr>
              <w:spacing w:line="360" w:lineRule="auto"/>
              <w:rPr>
                <w:rFonts w:asciiTheme="majorEastAsia" w:eastAsiaTheme="majorEastAsia" w:hAnsiTheme="majorEastAsia"/>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2）非因管理人主观因素导致突破该比例限制的，在单一投资者持有比例降至50%以下之前，管理人不再接受该投资者对本产品的认购、申购申请。</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Theme="majorEastAsia" w:eastAsiaTheme="majorEastAsia" w:hAnsiTheme="majorEastAsia" w:hint="eastAsia"/>
                <w:b/>
                <w:bCs/>
                <w:sz w:val="18"/>
                <w:szCs w:val="18"/>
              </w:rPr>
              <w:lastRenderedPageBreak/>
              <w:t>理财产品</w:t>
            </w:r>
            <w:r>
              <w:rPr>
                <w:rFonts w:asciiTheme="majorEastAsia" w:eastAsiaTheme="majorEastAsia" w:hAnsiTheme="majorEastAsia"/>
                <w:b/>
                <w:bCs/>
                <w:sz w:val="18"/>
                <w:szCs w:val="18"/>
              </w:rPr>
              <w:t>份额发售面值</w:t>
            </w:r>
          </w:p>
        </w:tc>
        <w:tc>
          <w:tcPr>
            <w:tcW w:w="7674" w:type="dxa"/>
            <w:shd w:val="solid" w:color="FFFFFF" w:fill="FFFFFF"/>
            <w:vAlign w:val="center"/>
          </w:tcPr>
          <w:p w:rsidR="00E039EF" w:rsidRDefault="003F2D22">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t>理财产品份额净值</w:t>
            </w:r>
          </w:p>
        </w:tc>
        <w:tc>
          <w:tcPr>
            <w:tcW w:w="7674" w:type="dxa"/>
            <w:shd w:val="solid" w:color="FFFFFF" w:fill="FFFFFF"/>
            <w:vAlign w:val="center"/>
          </w:tcPr>
          <w:p w:rsidR="00E039EF" w:rsidRDefault="003F2D22">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日之前的估值日公布的产品份额净值已扣除</w:t>
            </w:r>
            <w:r>
              <w:rPr>
                <w:rFonts w:asciiTheme="majorEastAsia" w:eastAsiaTheme="majorEastAsia" w:hAnsiTheme="majorEastAsia" w:hint="eastAsia"/>
                <w:bCs/>
                <w:sz w:val="18"/>
                <w:szCs w:val="18"/>
              </w:rPr>
              <w:t>理财产品</w:t>
            </w:r>
            <w:r>
              <w:rPr>
                <w:rFonts w:asciiTheme="majorEastAsia" w:eastAsiaTheme="majorEastAsia" w:hAnsiTheme="majorEastAsia"/>
                <w:bCs/>
                <w:sz w:val="18"/>
                <w:szCs w:val="18"/>
              </w:rPr>
              <w:t>的费用和税收。</w:t>
            </w:r>
          </w:p>
          <w:p w:rsidR="00E039EF" w:rsidRDefault="003F2D22">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产品终止日</w:t>
            </w:r>
            <w:r>
              <w:rPr>
                <w:rFonts w:asciiTheme="majorEastAsia" w:eastAsiaTheme="majorEastAsia" w:hAnsiTheme="majorEastAsia"/>
                <w:bCs/>
                <w:sz w:val="18"/>
                <w:szCs w:val="18"/>
              </w:rPr>
              <w:t>产品份额净值为基础进行利益分配。</w:t>
            </w:r>
          </w:p>
        </w:tc>
      </w:tr>
      <w:tr w:rsidR="00E039EF">
        <w:trPr>
          <w:trHeight w:val="1078"/>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hint="eastAsia"/>
                <w:sz w:val="18"/>
                <w:szCs w:val="18"/>
              </w:rPr>
              <w:t>★</w:t>
            </w:r>
            <w:r>
              <w:rPr>
                <w:rFonts w:asciiTheme="majorEastAsia" w:eastAsiaTheme="majorEastAsia" w:hAnsiTheme="majorEastAsia" w:hint="eastAsia"/>
                <w:b/>
                <w:bCs/>
                <w:sz w:val="18"/>
                <w:szCs w:val="18"/>
              </w:rPr>
              <w:t>业绩比较基准</w:t>
            </w:r>
          </w:p>
        </w:tc>
        <w:tc>
          <w:tcPr>
            <w:tcW w:w="7674" w:type="dxa"/>
            <w:shd w:val="solid" w:color="FFFFFF" w:fill="FFFFFF"/>
            <w:vAlign w:val="center"/>
          </w:tcPr>
          <w:p w:rsidR="00E039EF" w:rsidRDefault="003F2D22">
            <w:pPr>
              <w:autoSpaceDE w:val="0"/>
              <w:autoSpaceDN w:val="0"/>
              <w:adjustRightInd w:val="0"/>
              <w:spacing w:line="360" w:lineRule="auto"/>
              <w:jc w:val="left"/>
              <w:rPr>
                <w:rFonts w:hAnsi="宋体"/>
                <w:b/>
                <w:sz w:val="18"/>
                <w:szCs w:val="18"/>
              </w:rPr>
            </w:pPr>
            <w:r>
              <w:rPr>
                <w:rFonts w:hAnsi="宋体"/>
                <w:b/>
                <w:sz w:val="18"/>
                <w:szCs w:val="18"/>
              </w:rPr>
              <w:t>1.</w:t>
            </w:r>
            <w:r>
              <w:rPr>
                <w:rFonts w:hAnsi="宋体"/>
                <w:b/>
                <w:sz w:val="18"/>
                <w:szCs w:val="18"/>
              </w:rPr>
              <w:t>业绩比较基准的设置</w:t>
            </w:r>
          </w:p>
          <w:p w:rsidR="00E039EF" w:rsidRDefault="003F2D22">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产品管理人设置业绩比较基准。</w:t>
            </w:r>
          </w:p>
          <w:p w:rsidR="00E039EF" w:rsidRDefault="003F2D22">
            <w:pPr>
              <w:spacing w:line="360" w:lineRule="auto"/>
              <w:jc w:val="left"/>
              <w:rPr>
                <w:rFonts w:ascii="宋体" w:hAnsi="宋体"/>
                <w:bCs/>
                <w:sz w:val="18"/>
                <w:szCs w:val="18"/>
              </w:rPr>
            </w:pPr>
            <w:r>
              <w:rPr>
                <w:rFonts w:ascii="宋体" w:hAnsi="宋体" w:hint="eastAsia"/>
                <w:bCs/>
                <w:sz w:val="18"/>
                <w:szCs w:val="18"/>
              </w:rPr>
              <w:t>（1）业绩比较基准的说明：【</w:t>
            </w:r>
            <w:r w:rsidR="004227D0">
              <w:rPr>
                <w:rFonts w:ascii="宋体" w:hAnsi="宋体" w:hint="eastAsia"/>
                <w:bCs/>
                <w:sz w:val="18"/>
                <w:szCs w:val="18"/>
              </w:rPr>
              <w:t>以一年期定期存款利率为无风险利率，基于当前对未来市场的判断，根据拟投资债权类资产的信用利差、久期敞口以及流动性溢价，预判组合的波动幅度</w:t>
            </w:r>
            <w:r>
              <w:rPr>
                <w:rFonts w:ascii="宋体" w:hAnsi="宋体" w:hint="eastAsia"/>
                <w:bCs/>
                <w:sz w:val="18"/>
                <w:szCs w:val="18"/>
              </w:rPr>
              <w:t>】。</w:t>
            </w:r>
          </w:p>
          <w:p w:rsidR="00E039EF" w:rsidRDefault="003F2D22">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2）业绩比较基准的设定：</w:t>
            </w:r>
            <w:r>
              <w:rPr>
                <w:rFonts w:asciiTheme="majorEastAsia" w:hAnsiTheme="majorEastAsia" w:hint="eastAsia"/>
                <w:sz w:val="18"/>
              </w:rPr>
              <w:t>管理人对</w:t>
            </w:r>
            <w:r>
              <w:rPr>
                <w:rFonts w:asciiTheme="majorEastAsia" w:hAnsiTheme="majorEastAsia"/>
                <w:sz w:val="18"/>
              </w:rPr>
              <w:t>本产品设定</w:t>
            </w:r>
            <w:r>
              <w:rPr>
                <w:rFonts w:asciiTheme="majorEastAsia" w:hAnsiTheme="majorEastAsia" w:hint="eastAsia"/>
                <w:sz w:val="18"/>
              </w:rPr>
              <w:t>业绩比较基准：</w:t>
            </w:r>
          </w:p>
          <w:p w:rsidR="00E039EF" w:rsidRDefault="003F2D22">
            <w:pPr>
              <w:spacing w:line="360" w:lineRule="auto"/>
              <w:rPr>
                <w:rFonts w:ascii="宋体" w:hAnsi="宋体"/>
                <w:bCs/>
                <w:sz w:val="18"/>
                <w:szCs w:val="18"/>
              </w:rPr>
            </w:pPr>
            <w:r>
              <w:rPr>
                <w:rFonts w:asciiTheme="majorEastAsia" w:hAnsiTheme="majorEastAsia" w:hint="eastAsia"/>
                <w:sz w:val="18"/>
              </w:rPr>
              <w:t>A类份额：</w:t>
            </w:r>
            <w:proofErr w:type="gramStart"/>
            <w:r>
              <w:rPr>
                <w:rFonts w:asciiTheme="majorEastAsia" w:hAnsiTheme="majorEastAsia" w:hint="eastAsia"/>
                <w:sz w:val="18"/>
              </w:rPr>
              <w:t>年化</w:t>
            </w:r>
            <w:r>
              <w:rPr>
                <w:rFonts w:ascii="宋体" w:hAnsi="宋体" w:hint="eastAsia"/>
                <w:bCs/>
                <w:sz w:val="18"/>
                <w:szCs w:val="18"/>
              </w:rPr>
              <w:t>【</w:t>
            </w:r>
            <w:r w:rsidR="004227D0">
              <w:rPr>
                <w:rFonts w:ascii="宋体" w:hAnsi="宋体"/>
                <w:bCs/>
                <w:sz w:val="18"/>
                <w:szCs w:val="18"/>
              </w:rPr>
              <w:t>3.</w:t>
            </w:r>
            <w:r w:rsidR="00215FE7">
              <w:rPr>
                <w:rFonts w:ascii="宋体" w:hAnsi="宋体"/>
                <w:bCs/>
                <w:sz w:val="18"/>
                <w:szCs w:val="18"/>
              </w:rPr>
              <w:t>4</w:t>
            </w:r>
            <w:r>
              <w:rPr>
                <w:rFonts w:ascii="宋体" w:hAnsi="宋体" w:hint="eastAsia"/>
                <w:bCs/>
                <w:sz w:val="18"/>
                <w:szCs w:val="18"/>
              </w:rPr>
              <w:t>%</w:t>
            </w:r>
            <w:r w:rsidR="004227D0">
              <w:rPr>
                <w:rFonts w:ascii="宋体" w:hAnsi="宋体"/>
                <w:bCs/>
                <w:sz w:val="18"/>
                <w:szCs w:val="18"/>
              </w:rPr>
              <w:t>-</w:t>
            </w:r>
            <w:r w:rsidR="00215FE7">
              <w:rPr>
                <w:rFonts w:ascii="宋体" w:hAnsi="宋体"/>
                <w:bCs/>
                <w:sz w:val="18"/>
                <w:szCs w:val="18"/>
              </w:rPr>
              <w:t>4.2</w:t>
            </w:r>
            <w:r w:rsidR="004227D0">
              <w:rPr>
                <w:rFonts w:ascii="宋体" w:hAnsi="宋体" w:hint="eastAsia"/>
                <w:bCs/>
                <w:sz w:val="18"/>
                <w:szCs w:val="18"/>
              </w:rPr>
              <w:t>%</w:t>
            </w:r>
            <w:r>
              <w:rPr>
                <w:rFonts w:ascii="宋体" w:hAnsi="宋体"/>
                <w:bCs/>
                <w:sz w:val="18"/>
                <w:szCs w:val="18"/>
              </w:rPr>
              <w:t>】</w:t>
            </w:r>
            <w:proofErr w:type="gramEnd"/>
            <w:r>
              <w:rPr>
                <w:rFonts w:ascii="宋体" w:hAnsi="宋体" w:hint="eastAsia"/>
                <w:bCs/>
                <w:sz w:val="18"/>
                <w:szCs w:val="18"/>
              </w:rPr>
              <w:t>。</w:t>
            </w:r>
          </w:p>
          <w:p w:rsidR="00215FE7" w:rsidRPr="00215FE7" w:rsidRDefault="00215FE7">
            <w:pPr>
              <w:spacing w:line="360" w:lineRule="auto"/>
              <w:rPr>
                <w:rFonts w:ascii="宋体" w:hAnsi="宋体"/>
                <w:bCs/>
                <w:sz w:val="18"/>
                <w:szCs w:val="18"/>
              </w:rPr>
            </w:pPr>
            <w:r>
              <w:rPr>
                <w:rFonts w:asciiTheme="majorEastAsia" w:hAnsiTheme="majorEastAsia"/>
                <w:sz w:val="18"/>
              </w:rPr>
              <w:t>B</w:t>
            </w:r>
            <w:r>
              <w:rPr>
                <w:rFonts w:asciiTheme="majorEastAsia" w:hAnsiTheme="majorEastAsia" w:hint="eastAsia"/>
                <w:sz w:val="18"/>
              </w:rPr>
              <w:t>类份额：</w:t>
            </w:r>
            <w:proofErr w:type="gramStart"/>
            <w:r>
              <w:rPr>
                <w:rFonts w:asciiTheme="majorEastAsia" w:hAnsiTheme="majorEastAsia" w:hint="eastAsia"/>
                <w:sz w:val="18"/>
              </w:rPr>
              <w:t>年化</w:t>
            </w:r>
            <w:r>
              <w:rPr>
                <w:rFonts w:ascii="宋体" w:hAnsi="宋体" w:hint="eastAsia"/>
                <w:bCs/>
                <w:sz w:val="18"/>
                <w:szCs w:val="18"/>
              </w:rPr>
              <w:t>【</w:t>
            </w:r>
            <w:r>
              <w:rPr>
                <w:rFonts w:ascii="宋体" w:hAnsi="宋体"/>
                <w:bCs/>
                <w:sz w:val="18"/>
                <w:szCs w:val="18"/>
              </w:rPr>
              <w:t>3.65</w:t>
            </w:r>
            <w:r>
              <w:rPr>
                <w:rFonts w:ascii="宋体" w:hAnsi="宋体" w:hint="eastAsia"/>
                <w:bCs/>
                <w:sz w:val="18"/>
                <w:szCs w:val="18"/>
              </w:rPr>
              <w:t>%</w:t>
            </w:r>
            <w:r>
              <w:rPr>
                <w:rFonts w:ascii="宋体" w:hAnsi="宋体"/>
                <w:bCs/>
                <w:sz w:val="18"/>
                <w:szCs w:val="18"/>
              </w:rPr>
              <w:t>-4.45</w:t>
            </w:r>
            <w:r>
              <w:rPr>
                <w:rFonts w:ascii="宋体" w:hAnsi="宋体" w:hint="eastAsia"/>
                <w:bCs/>
                <w:sz w:val="18"/>
                <w:szCs w:val="18"/>
              </w:rPr>
              <w:t>%</w:t>
            </w:r>
            <w:r>
              <w:rPr>
                <w:rFonts w:ascii="宋体" w:hAnsi="宋体"/>
                <w:bCs/>
                <w:sz w:val="18"/>
                <w:szCs w:val="18"/>
              </w:rPr>
              <w:t>】</w:t>
            </w:r>
            <w:proofErr w:type="gramEnd"/>
            <w:r>
              <w:rPr>
                <w:rFonts w:ascii="宋体" w:hAnsi="宋体" w:hint="eastAsia"/>
                <w:bCs/>
                <w:sz w:val="18"/>
                <w:szCs w:val="18"/>
              </w:rPr>
              <w:t>。</w:t>
            </w:r>
          </w:p>
          <w:p w:rsidR="00E039EF" w:rsidRDefault="003F2D22">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产品管理人不设置业绩比较基准。</w:t>
            </w:r>
          </w:p>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2.业绩比较基准的提示：</w:t>
            </w:r>
          </w:p>
          <w:p w:rsidR="00E039EF" w:rsidRDefault="003F2D22">
            <w:pPr>
              <w:spacing w:line="360" w:lineRule="auto"/>
              <w:jc w:val="left"/>
              <w:rPr>
                <w:rFonts w:asciiTheme="majorEastAsia" w:hAnsiTheme="majorEastAsia"/>
                <w:b/>
                <w:sz w:val="18"/>
              </w:rPr>
            </w:pPr>
            <w:r>
              <w:rPr>
                <w:rFonts w:asciiTheme="majorEastAsia" w:hAnsiTheme="majorEastAsia" w:hint="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rsidR="00E039EF" w:rsidRDefault="003F2D2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E039EF">
        <w:trPr>
          <w:trHeight w:val="1078"/>
          <w:jc w:val="center"/>
        </w:trPr>
        <w:tc>
          <w:tcPr>
            <w:tcW w:w="1970" w:type="dxa"/>
            <w:shd w:val="solid" w:color="FFFFFF" w:fill="FFFFFF"/>
            <w:vAlign w:val="center"/>
          </w:tcPr>
          <w:p w:rsidR="00E039EF" w:rsidRDefault="003F2D22">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rsidR="00E039EF" w:rsidRDefault="003F2D22">
            <w:pPr>
              <w:spacing w:line="360" w:lineRule="auto"/>
              <w:jc w:val="left"/>
              <w:rPr>
                <w:rFonts w:hAnsi="宋体"/>
                <w:bCs/>
                <w:sz w:val="18"/>
                <w:szCs w:val="18"/>
              </w:rPr>
            </w:pPr>
            <w:r>
              <w:rPr>
                <w:rFonts w:hAnsi="宋体" w:hint="eastAsia"/>
                <w:bCs/>
                <w:sz w:val="18"/>
                <w:szCs w:val="18"/>
              </w:rPr>
              <w:t>（适用【</w:t>
            </w:r>
            <w:r w:rsidR="00215FE7">
              <w:rPr>
                <w:rFonts w:asciiTheme="majorEastAsia" w:eastAsiaTheme="majorEastAsia" w:hAnsiTheme="major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E039EF" w:rsidRDefault="003F2D22">
            <w:pPr>
              <w:spacing w:line="360" w:lineRule="auto"/>
              <w:jc w:val="left"/>
              <w:rPr>
                <w:rFonts w:hAnsi="宋体"/>
                <w:b/>
                <w:bCs/>
                <w:sz w:val="18"/>
                <w:szCs w:val="18"/>
              </w:rPr>
            </w:pPr>
            <w:r>
              <w:rPr>
                <w:rFonts w:hAnsi="宋体"/>
                <w:b/>
                <w:bCs/>
                <w:sz w:val="18"/>
                <w:szCs w:val="18"/>
              </w:rPr>
              <w:t>1.</w:t>
            </w:r>
            <w:r>
              <w:rPr>
                <w:rFonts w:hAnsi="宋体"/>
                <w:b/>
                <w:bCs/>
                <w:sz w:val="18"/>
                <w:szCs w:val="18"/>
              </w:rPr>
              <w:t>业绩报酬计提基准的设置</w:t>
            </w:r>
          </w:p>
          <w:p w:rsidR="00E039EF" w:rsidRDefault="004227D0">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lastRenderedPageBreak/>
              <w:t>□</w:t>
            </w:r>
            <w:r w:rsidR="003F2D22">
              <w:rPr>
                <w:rFonts w:asciiTheme="majorEastAsia" w:eastAsiaTheme="majorEastAsia" w:hAnsiTheme="majorEastAsia"/>
                <w:b/>
                <w:kern w:val="0"/>
                <w:sz w:val="18"/>
                <w:szCs w:val="18"/>
              </w:rPr>
              <w:t xml:space="preserve"> </w:t>
            </w:r>
            <w:r w:rsidR="003F2D22">
              <w:rPr>
                <w:rFonts w:asciiTheme="majorEastAsia" w:eastAsiaTheme="majorEastAsia" w:hAnsiTheme="majorEastAsia" w:hint="eastAsia"/>
                <w:b/>
                <w:kern w:val="0"/>
                <w:sz w:val="18"/>
                <w:szCs w:val="18"/>
              </w:rPr>
              <w:t>产品管理人设置业绩报酬计提基准。</w:t>
            </w:r>
          </w:p>
          <w:p w:rsidR="00E039EF" w:rsidRDefault="003F2D22">
            <w:pPr>
              <w:spacing w:line="360" w:lineRule="auto"/>
              <w:jc w:val="left"/>
              <w:rPr>
                <w:rFonts w:ascii="宋体" w:hAnsi="宋体"/>
                <w:bCs/>
                <w:sz w:val="18"/>
                <w:szCs w:val="18"/>
              </w:rPr>
            </w:pPr>
            <w:r>
              <w:rPr>
                <w:rFonts w:ascii="宋体" w:hAnsi="宋体"/>
                <w:bCs/>
                <w:sz w:val="18"/>
                <w:szCs w:val="18"/>
              </w:rPr>
              <w:t>业绩报酬计提基准的设定</w:t>
            </w:r>
            <w:r>
              <w:rPr>
                <w:rFonts w:ascii="宋体" w:hAnsi="宋体" w:hint="eastAsia"/>
                <w:bCs/>
                <w:sz w:val="18"/>
                <w:szCs w:val="18"/>
              </w:rPr>
              <w:t>：</w:t>
            </w:r>
            <w:r w:rsidR="004227D0">
              <w:rPr>
                <w:rFonts w:ascii="宋体" w:hAnsi="宋体" w:hint="eastAsia"/>
                <w:bCs/>
                <w:sz w:val="18"/>
                <w:szCs w:val="18"/>
              </w:rPr>
              <w:t>【】</w:t>
            </w:r>
          </w:p>
          <w:p w:rsidR="00E039EF" w:rsidRDefault="004227D0">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sidR="003F2D22">
              <w:rPr>
                <w:rFonts w:asciiTheme="majorEastAsia" w:eastAsiaTheme="majorEastAsia" w:hAnsiTheme="majorEastAsia" w:hint="eastAsia"/>
                <w:b/>
                <w:kern w:val="0"/>
                <w:sz w:val="18"/>
                <w:szCs w:val="18"/>
              </w:rPr>
              <w:t xml:space="preserve"> 产品管理人不设置业绩报酬计提基准。</w:t>
            </w:r>
          </w:p>
          <w:p w:rsidR="00E039EF" w:rsidRDefault="003F2D22">
            <w:pPr>
              <w:spacing w:line="360" w:lineRule="auto"/>
              <w:jc w:val="left"/>
              <w:rPr>
                <w:rFonts w:ascii="宋体" w:hAnsi="宋体"/>
                <w:b/>
                <w:bCs/>
                <w:sz w:val="18"/>
                <w:szCs w:val="18"/>
              </w:rPr>
            </w:pPr>
            <w:r>
              <w:rPr>
                <w:rFonts w:ascii="宋体" w:hAnsi="宋体" w:hint="eastAsia"/>
                <w:b/>
                <w:bCs/>
                <w:sz w:val="18"/>
                <w:szCs w:val="18"/>
              </w:rPr>
              <w:t>2</w:t>
            </w:r>
            <w:r>
              <w:rPr>
                <w:rFonts w:ascii="宋体" w:hAnsi="宋体"/>
                <w:b/>
                <w:bCs/>
                <w:sz w:val="18"/>
                <w:szCs w:val="18"/>
              </w:rPr>
              <w:t>.业绩报酬计提基准的提示</w:t>
            </w:r>
            <w:r>
              <w:rPr>
                <w:rFonts w:ascii="宋体" w:hAnsi="宋体" w:hint="eastAsia"/>
                <w:b/>
                <w:bCs/>
                <w:sz w:val="18"/>
                <w:szCs w:val="18"/>
              </w:rPr>
              <w:t>：</w:t>
            </w:r>
          </w:p>
          <w:p w:rsidR="00E039EF" w:rsidRDefault="003F2D22">
            <w:pPr>
              <w:autoSpaceDE w:val="0"/>
              <w:autoSpaceDN w:val="0"/>
              <w:adjustRightInd w:val="0"/>
              <w:spacing w:line="360" w:lineRule="auto"/>
              <w:jc w:val="left"/>
              <w:rPr>
                <w:rFonts w:ascii="宋体" w:hAnsi="宋体"/>
                <w:b/>
                <w:sz w:val="18"/>
              </w:rPr>
            </w:pPr>
            <w:r>
              <w:rPr>
                <w:rFonts w:ascii="宋体" w:hAnsi="宋体" w:hint="eastAsia"/>
                <w:b/>
                <w:sz w:val="18"/>
              </w:rPr>
              <w:t>（1）</w:t>
            </w:r>
            <w:r>
              <w:rPr>
                <w:rFonts w:hint="eastAsia"/>
                <w:sz w:val="18"/>
                <w:szCs w:val="18"/>
              </w:rPr>
              <w:t>★</w:t>
            </w:r>
            <w:r>
              <w:rPr>
                <w:rFonts w:ascii="宋体" w:hAnsi="宋体" w:hint="eastAsia"/>
                <w:b/>
                <w:sz w:val="18"/>
              </w:rPr>
              <w:t>业绩报酬计提基准仅作为管理人计算超额业绩报酬的参照标准</w:t>
            </w:r>
            <w:r>
              <w:rPr>
                <w:rFonts w:ascii="宋体" w:hAnsi="宋体" w:hint="eastAsia"/>
                <w:b/>
                <w:bCs/>
                <w:sz w:val="18"/>
                <w:szCs w:val="18"/>
              </w:rPr>
              <w:t>。业绩报酬计提基准不是预期收益率</w:t>
            </w:r>
            <w:r>
              <w:rPr>
                <w:rFonts w:ascii="宋体" w:hAnsi="宋体" w:hint="eastAsia"/>
                <w:b/>
                <w:sz w:val="18"/>
              </w:rPr>
              <w:t>，不代表产品</w:t>
            </w:r>
            <w:r>
              <w:rPr>
                <w:rFonts w:ascii="宋体" w:hAnsi="宋体" w:hint="eastAsia"/>
                <w:b/>
                <w:bCs/>
                <w:sz w:val="18"/>
                <w:szCs w:val="18"/>
              </w:rPr>
              <w:t>的</w:t>
            </w:r>
            <w:r>
              <w:rPr>
                <w:rFonts w:ascii="宋体" w:hAnsi="宋体" w:hint="eastAsia"/>
                <w:b/>
                <w:sz w:val="18"/>
              </w:rPr>
              <w:t>未来表现</w:t>
            </w:r>
            <w:r>
              <w:rPr>
                <w:rFonts w:ascii="宋体" w:hAnsi="宋体" w:hint="eastAsia"/>
                <w:b/>
                <w:bCs/>
                <w:sz w:val="18"/>
                <w:szCs w:val="18"/>
              </w:rPr>
              <w:t>和</w:t>
            </w:r>
            <w:r>
              <w:rPr>
                <w:rFonts w:ascii="宋体" w:hAnsi="宋体" w:hint="eastAsia"/>
                <w:b/>
                <w:sz w:val="18"/>
              </w:rPr>
              <w:t>实际收益，不</w:t>
            </w:r>
            <w:r>
              <w:rPr>
                <w:rFonts w:ascii="宋体" w:hAnsi="宋体" w:hint="eastAsia"/>
                <w:b/>
                <w:bCs/>
                <w:sz w:val="18"/>
                <w:szCs w:val="18"/>
              </w:rPr>
              <w:t>构成对</w:t>
            </w:r>
            <w:r>
              <w:rPr>
                <w:rFonts w:ascii="宋体" w:hAnsi="宋体" w:hint="eastAsia"/>
                <w:b/>
                <w:sz w:val="18"/>
              </w:rPr>
              <w:t>产品收益的</w:t>
            </w:r>
            <w:r>
              <w:rPr>
                <w:rFonts w:ascii="宋体" w:hAnsi="宋体" w:hint="eastAsia"/>
                <w:b/>
                <w:bCs/>
                <w:sz w:val="18"/>
                <w:szCs w:val="18"/>
              </w:rPr>
              <w:t>承诺</w:t>
            </w:r>
            <w:r>
              <w:rPr>
                <w:rFonts w:ascii="宋体" w:hAnsi="宋体" w:hint="eastAsia"/>
                <w:b/>
                <w:sz w:val="18"/>
              </w:rPr>
              <w:t>，投资须谨慎。</w:t>
            </w:r>
          </w:p>
          <w:p w:rsidR="00E039EF" w:rsidRDefault="003F2D22">
            <w:pPr>
              <w:spacing w:line="360" w:lineRule="auto"/>
              <w:jc w:val="left"/>
              <w:rPr>
                <w:rFonts w:ascii="宋体" w:hAnsi="宋体"/>
                <w:b/>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rsidR="00E039EF">
        <w:trPr>
          <w:trHeight w:val="1078"/>
          <w:jc w:val="center"/>
        </w:trPr>
        <w:tc>
          <w:tcPr>
            <w:tcW w:w="1970" w:type="dxa"/>
            <w:shd w:val="solid" w:color="FFFFFF" w:fill="FFFFFF"/>
            <w:vAlign w:val="center"/>
          </w:tcPr>
          <w:p w:rsidR="00E039EF" w:rsidRDefault="003F2D22">
            <w:pPr>
              <w:spacing w:line="360" w:lineRule="auto"/>
              <w:jc w:val="left"/>
              <w:rPr>
                <w:sz w:val="18"/>
                <w:szCs w:val="18"/>
              </w:rPr>
            </w:pPr>
            <w:r>
              <w:rPr>
                <w:rFonts w:hAnsi="宋体" w:hint="eastAsia"/>
                <w:b/>
                <w:sz w:val="18"/>
                <w:szCs w:val="18"/>
              </w:rPr>
              <w:lastRenderedPageBreak/>
              <w:t>★</w:t>
            </w:r>
            <w:r>
              <w:rPr>
                <w:rFonts w:hint="eastAsia"/>
                <w:b/>
                <w:sz w:val="18"/>
                <w:szCs w:val="18"/>
              </w:rPr>
              <w:t>理财产品利益分配</w:t>
            </w:r>
          </w:p>
        </w:tc>
        <w:tc>
          <w:tcPr>
            <w:tcW w:w="7674" w:type="dxa"/>
            <w:shd w:val="solid" w:color="FFFFFF" w:fill="FFFFFF"/>
            <w:vAlign w:val="center"/>
          </w:tcPr>
          <w:p w:rsidR="00E039EF" w:rsidRDefault="003F2D22">
            <w:pPr>
              <w:spacing w:line="360" w:lineRule="auto"/>
              <w:jc w:val="left"/>
              <w:rPr>
                <w:rFonts w:hAnsi="宋体"/>
                <w:bCs/>
                <w:sz w:val="18"/>
                <w:szCs w:val="18"/>
              </w:rPr>
            </w:pPr>
            <w:r>
              <w:rPr>
                <w:rFonts w:hAnsi="宋体" w:hint="eastAsia"/>
                <w:bCs/>
                <w:sz w:val="18"/>
                <w:szCs w:val="18"/>
              </w:rPr>
              <w:t>1</w:t>
            </w:r>
            <w:r>
              <w:rPr>
                <w:rFonts w:hAnsi="宋体"/>
                <w:bCs/>
                <w:sz w:val="18"/>
                <w:szCs w:val="18"/>
              </w:rPr>
              <w:t>.</w:t>
            </w:r>
            <w:r>
              <w:rPr>
                <w:rFonts w:hAnsi="宋体" w:hint="eastAsia"/>
                <w:bCs/>
                <w:sz w:val="18"/>
                <w:szCs w:val="18"/>
              </w:rPr>
              <w:t>理财产品存续期间，产品管理人有权视理财产品收益情况进行主动分配，相应分配基准日、分配方案由管理人及时披露。</w:t>
            </w:r>
          </w:p>
          <w:p w:rsidR="00E039EF" w:rsidRDefault="003F2D22">
            <w:pPr>
              <w:spacing w:line="360" w:lineRule="auto"/>
              <w:jc w:val="left"/>
              <w:rPr>
                <w:rFonts w:hAnsi="宋体"/>
                <w:bCs/>
                <w:sz w:val="18"/>
                <w:szCs w:val="18"/>
              </w:rPr>
            </w:pPr>
            <w:r>
              <w:rPr>
                <w:rFonts w:hAnsi="宋体" w:hint="eastAsia"/>
                <w:bCs/>
                <w:sz w:val="18"/>
                <w:szCs w:val="18"/>
              </w:rPr>
              <w:t>2</w:t>
            </w:r>
            <w:r>
              <w:rPr>
                <w:rFonts w:hAnsi="宋体"/>
                <w:bCs/>
                <w:sz w:val="18"/>
                <w:szCs w:val="18"/>
              </w:rPr>
              <w:t>.</w:t>
            </w:r>
            <w:r>
              <w:rPr>
                <w:rFonts w:hAnsi="宋体"/>
                <w:bCs/>
                <w:sz w:val="18"/>
                <w:szCs w:val="18"/>
              </w:rPr>
              <w:t>具体理财产品利益分配</w:t>
            </w:r>
            <w:r>
              <w:rPr>
                <w:rFonts w:hAnsi="宋体" w:hint="eastAsia"/>
                <w:bCs/>
                <w:sz w:val="18"/>
                <w:szCs w:val="18"/>
              </w:rPr>
              <w:t>详见《产品说明书》“第八条</w:t>
            </w:r>
            <w:r>
              <w:rPr>
                <w:rFonts w:hAnsi="宋体" w:hint="eastAsia"/>
                <w:bCs/>
                <w:sz w:val="18"/>
                <w:szCs w:val="18"/>
              </w:rPr>
              <w:t xml:space="preserve"> </w:t>
            </w:r>
            <w:r>
              <w:rPr>
                <w:rFonts w:hAnsi="宋体" w:hint="eastAsia"/>
                <w:bCs/>
                <w:sz w:val="18"/>
                <w:szCs w:val="18"/>
              </w:rPr>
              <w:t>理财产品的利益分配”。</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674" w:type="dxa"/>
            <w:shd w:val="solid" w:color="FFFFFF" w:fill="FFFFFF"/>
            <w:vAlign w:val="center"/>
          </w:tcPr>
          <w:p w:rsidR="00E039EF" w:rsidRDefault="003F2D22">
            <w:pPr>
              <w:spacing w:line="360" w:lineRule="auto"/>
              <w:rPr>
                <w:rFonts w:ascii="宋体" w:hAnsi="宋体"/>
                <w:b/>
                <w:bCs/>
                <w:color w:val="000000" w:themeColor="text1"/>
                <w:sz w:val="18"/>
                <w:szCs w:val="18"/>
              </w:rPr>
            </w:pPr>
            <w:r>
              <w:rPr>
                <w:rFonts w:ascii="宋体" w:hAnsi="宋体"/>
                <w:b/>
                <w:bCs/>
                <w:color w:val="000000" w:themeColor="text1"/>
                <w:sz w:val="18"/>
                <w:szCs w:val="18"/>
              </w:rPr>
              <w:t>1.理财产品的费率标准</w:t>
            </w:r>
          </w:p>
          <w:p w:rsidR="00E039EF" w:rsidRDefault="003F2D22">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（1）认购费：</w:t>
            </w:r>
            <w:r>
              <w:rPr>
                <w:rFonts w:ascii="宋体" w:hAnsi="宋体" w:hint="eastAsia"/>
                <w:bCs/>
                <w:color w:val="000000" w:themeColor="text1"/>
                <w:sz w:val="18"/>
                <w:szCs w:val="18"/>
              </w:rPr>
              <w:t>【/】。</w:t>
            </w:r>
          </w:p>
          <w:p w:rsidR="00E039EF" w:rsidRDefault="003F2D22">
            <w:pPr>
              <w:spacing w:line="360" w:lineRule="auto"/>
              <w:rPr>
                <w:rFonts w:ascii="宋体" w:hAnsi="宋体"/>
                <w:b/>
                <w:bCs/>
                <w:color w:val="000000" w:themeColor="text1"/>
                <w:sz w:val="18"/>
                <w:szCs w:val="18"/>
              </w:rPr>
            </w:pPr>
            <w:r>
              <w:rPr>
                <w:rFonts w:asciiTheme="majorEastAsia" w:eastAsiaTheme="majorEastAsia" w:hAnsiTheme="majorEastAsia" w:hint="eastAsia"/>
                <w:b/>
                <w:bCs/>
                <w:color w:val="000000" w:themeColor="text1"/>
                <w:sz w:val="18"/>
                <w:szCs w:val="18"/>
              </w:rPr>
              <w:t>（2）</w:t>
            </w:r>
            <w:r>
              <w:rPr>
                <w:rFonts w:asciiTheme="majorEastAsia" w:eastAsiaTheme="majorEastAsia" w:hAnsiTheme="majorEastAsia"/>
                <w:b/>
                <w:bCs/>
                <w:color w:val="000000" w:themeColor="text1"/>
                <w:sz w:val="18"/>
                <w:szCs w:val="18"/>
              </w:rPr>
              <w:t>销售服</w:t>
            </w:r>
            <w:r>
              <w:rPr>
                <w:rFonts w:ascii="宋体" w:hAnsi="宋体" w:hint="eastAsia"/>
                <w:b/>
                <w:bCs/>
                <w:color w:val="000000" w:themeColor="text1"/>
                <w:sz w:val="18"/>
                <w:szCs w:val="18"/>
              </w:rPr>
              <w:t>务费：</w:t>
            </w:r>
          </w:p>
          <w:p w:rsidR="00E039EF" w:rsidRDefault="003F2D2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A类份额：年化费率【</w:t>
            </w:r>
            <w:r w:rsidR="004227D0">
              <w:rPr>
                <w:rFonts w:asciiTheme="majorEastAsia" w:eastAsiaTheme="majorEastAsia" w:hAnsiTheme="majorEastAsia" w:hint="eastAsia"/>
                <w:bCs/>
                <w:sz w:val="18"/>
                <w:szCs w:val="18"/>
              </w:rPr>
              <w:t>0.</w:t>
            </w:r>
            <w:r w:rsidR="00215FE7">
              <w:rPr>
                <w:rFonts w:asciiTheme="majorEastAsia" w:eastAsiaTheme="majorEastAsia" w:hAnsiTheme="majorEastAsia"/>
                <w:bCs/>
                <w:sz w:val="18"/>
                <w:szCs w:val="18"/>
              </w:rPr>
              <w:t>25</w:t>
            </w:r>
            <w:r>
              <w:rPr>
                <w:rFonts w:asciiTheme="majorEastAsia" w:eastAsiaTheme="majorEastAsia" w:hAnsiTheme="majorEastAsia" w:hint="eastAsia"/>
                <w:bCs/>
                <w:sz w:val="18"/>
                <w:szCs w:val="18"/>
              </w:rPr>
              <w:t>%】。</w:t>
            </w:r>
          </w:p>
          <w:p w:rsidR="00215FE7" w:rsidRPr="00215FE7" w:rsidRDefault="00215FE7">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B类份额：年化费率【0%】。</w:t>
            </w:r>
          </w:p>
          <w:p w:rsidR="00E039EF" w:rsidRDefault="003F2D22">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（3）投资管理费：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w:t>
            </w:r>
            <w:r w:rsidR="004227D0">
              <w:rPr>
                <w:rFonts w:asciiTheme="majorEastAsia" w:eastAsiaTheme="majorEastAsia" w:hAnsiTheme="majorEastAsia" w:hint="eastAsia"/>
                <w:sz w:val="18"/>
                <w:szCs w:val="18"/>
              </w:rPr>
              <w:t>0.</w:t>
            </w:r>
            <w:r w:rsidR="004227D0">
              <w:rPr>
                <w:rFonts w:asciiTheme="majorEastAsia" w:eastAsiaTheme="majorEastAsia" w:hAnsiTheme="majorEastAsia"/>
                <w:sz w:val="18"/>
                <w:szCs w:val="18"/>
              </w:rPr>
              <w:t>1</w:t>
            </w:r>
            <w:r w:rsidR="00215FE7">
              <w:rPr>
                <w:rFonts w:asciiTheme="majorEastAsia" w:eastAsiaTheme="majorEastAsia" w:hAnsiTheme="majorEastAsia"/>
                <w:sz w:val="18"/>
                <w:szCs w:val="18"/>
              </w:rPr>
              <w:t>4</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E039EF" w:rsidRDefault="003F2D22">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（4）产品托管费：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【0.0</w:t>
            </w:r>
            <w:r w:rsidR="004227D0">
              <w:rPr>
                <w:rFonts w:asciiTheme="majorEastAsia" w:eastAsiaTheme="majorEastAsia" w:hAnsiTheme="majorEastAsia"/>
                <w:sz w:val="18"/>
                <w:szCs w:val="18"/>
              </w:rPr>
              <w:t>3</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E039EF" w:rsidRPr="004227D0" w:rsidRDefault="003F2D22">
            <w:pPr>
              <w:widowControl/>
              <w:spacing w:line="360" w:lineRule="auto"/>
              <w:jc w:val="left"/>
              <w:rPr>
                <w:rFonts w:ascii="宋体" w:hAnsi="宋体"/>
                <w:b/>
                <w:bCs/>
                <w:color w:val="000000" w:themeColor="text1"/>
                <w:sz w:val="18"/>
                <w:szCs w:val="18"/>
              </w:rPr>
            </w:pPr>
            <w:r>
              <w:rPr>
                <w:rFonts w:ascii="宋体" w:hAnsi="宋体" w:hint="eastAsia"/>
                <w:b/>
                <w:bCs/>
                <w:color w:val="000000" w:themeColor="text1"/>
                <w:sz w:val="18"/>
                <w:szCs w:val="18"/>
              </w:rPr>
              <w:t>（5）超额业绩报酬：</w:t>
            </w:r>
            <w:r w:rsidR="004227D0">
              <w:rPr>
                <w:rFonts w:ascii="宋体" w:hAnsi="宋体"/>
                <w:b/>
                <w:bCs/>
                <w:color w:val="000000" w:themeColor="text1"/>
                <w:sz w:val="18"/>
                <w:szCs w:val="18"/>
              </w:rPr>
              <w:t>无</w:t>
            </w:r>
          </w:p>
          <w:p w:rsidR="00E039EF" w:rsidRDefault="003F2D22">
            <w:pPr>
              <w:spacing w:line="360" w:lineRule="auto"/>
              <w:rPr>
                <w:rFonts w:ascii="黑体" w:eastAsia="黑体" w:hAnsi="黑体"/>
                <w:bCs/>
                <w:sz w:val="18"/>
                <w:szCs w:val="18"/>
              </w:rPr>
            </w:pPr>
            <w:r>
              <w:rPr>
                <w:rFonts w:ascii="宋体" w:hAnsi="宋体"/>
                <w:bCs/>
                <w:sz w:val="18"/>
                <w:szCs w:val="18"/>
              </w:rPr>
              <w:t>2</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hAnsi="宋体"/>
                <w:sz w:val="18"/>
                <w:szCs w:val="18"/>
              </w:rPr>
            </w:pPr>
            <w:r>
              <w:rPr>
                <w:rFonts w:ascii="宋体" w:hAnsi="宋体" w:hint="eastAsia"/>
                <w:b/>
                <w:bCs/>
                <w:kern w:val="0"/>
                <w:sz w:val="18"/>
                <w:szCs w:val="18"/>
              </w:rPr>
              <w:t>税收</w:t>
            </w:r>
          </w:p>
        </w:tc>
        <w:tc>
          <w:tcPr>
            <w:tcW w:w="7674" w:type="dxa"/>
            <w:shd w:val="solid" w:color="FFFFFF" w:fill="FFFFFF"/>
            <w:vAlign w:val="center"/>
          </w:tcPr>
          <w:p w:rsidR="00E039EF" w:rsidRDefault="003F2D22">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674" w:type="dxa"/>
            <w:shd w:val="solid" w:color="FFFFFF" w:fill="FFFFFF"/>
            <w:vAlign w:val="center"/>
          </w:tcPr>
          <w:p w:rsidR="00E039EF" w:rsidRDefault="003F2D22">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E039EF">
        <w:trPr>
          <w:trHeight w:val="275"/>
          <w:jc w:val="center"/>
        </w:trPr>
        <w:tc>
          <w:tcPr>
            <w:tcW w:w="1970" w:type="dxa"/>
            <w:shd w:val="solid" w:color="FFFFFF" w:fill="FFFFFF"/>
            <w:vAlign w:val="center"/>
          </w:tcPr>
          <w:p w:rsidR="00E039EF" w:rsidRDefault="003F2D2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674" w:type="dxa"/>
            <w:shd w:val="solid" w:color="FFFFFF" w:fill="FFFFFF"/>
            <w:vAlign w:val="center"/>
          </w:tcPr>
          <w:p w:rsidR="00E039EF" w:rsidRDefault="003F2D22">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permEnd w:id="1828742957"/>
    </w:tbl>
    <w:p w:rsidR="00E039EF" w:rsidRDefault="00E039EF">
      <w:pPr>
        <w:pStyle w:val="Default"/>
        <w:spacing w:line="360" w:lineRule="auto"/>
        <w:rPr>
          <w:rFonts w:hAnsi="宋体"/>
          <w:sz w:val="18"/>
          <w:szCs w:val="18"/>
        </w:rPr>
      </w:pPr>
    </w:p>
    <w:p w:rsidR="00E039EF" w:rsidRDefault="003F2D22">
      <w:pPr>
        <w:widowControl/>
        <w:spacing w:line="360" w:lineRule="auto"/>
        <w:jc w:val="left"/>
        <w:rPr>
          <w:rFonts w:ascii="宋体" w:hAnsi="宋体"/>
          <w:color w:val="000000"/>
          <w:kern w:val="0"/>
          <w:sz w:val="18"/>
          <w:szCs w:val="18"/>
        </w:rPr>
      </w:pPr>
      <w:r>
        <w:rPr>
          <w:rFonts w:hAnsi="宋体"/>
          <w:sz w:val="18"/>
          <w:szCs w:val="18"/>
        </w:rPr>
        <w:br w:type="page"/>
      </w:r>
    </w:p>
    <w:p w:rsidR="00E039EF" w:rsidRDefault="003F2D22">
      <w:pPr>
        <w:pStyle w:val="1"/>
        <w:spacing w:before="0" w:after="0" w:line="360" w:lineRule="auto"/>
        <w:jc w:val="center"/>
        <w:rPr>
          <w:rFonts w:ascii="Times New Roman"/>
          <w:sz w:val="30"/>
        </w:rPr>
      </w:pPr>
      <w:bookmarkStart w:id="5" w:name="_Toc79154666"/>
      <w:bookmarkStart w:id="6" w:name="_Toc116649651"/>
      <w:r>
        <w:rPr>
          <w:rFonts w:ascii="Times New Roman"/>
          <w:sz w:val="30"/>
        </w:rPr>
        <w:lastRenderedPageBreak/>
        <w:t>第</w:t>
      </w:r>
      <w:r>
        <w:rPr>
          <w:rFonts w:ascii="Times New Roman" w:hint="eastAsia"/>
          <w:sz w:val="30"/>
        </w:rPr>
        <w:t>三条</w:t>
      </w:r>
      <w:r>
        <w:rPr>
          <w:rFonts w:ascii="Times New Roman"/>
          <w:sz w:val="30"/>
        </w:rPr>
        <w:t xml:space="preserve">  </w:t>
      </w:r>
      <w:bookmarkStart w:id="7" w:name="_Toc79392573"/>
      <w:r>
        <w:rPr>
          <w:rFonts w:ascii="Times New Roman" w:hint="eastAsia"/>
          <w:sz w:val="30"/>
        </w:rPr>
        <w:t>理财产品的认购</w:t>
      </w:r>
      <w:bookmarkEnd w:id="5"/>
      <w:bookmarkEnd w:id="6"/>
    </w:p>
    <w:p w:rsidR="00E039EF" w:rsidRDefault="003F2D22">
      <w:pPr>
        <w:spacing w:line="360" w:lineRule="auto"/>
        <w:ind w:firstLineChars="200" w:firstLine="361"/>
        <w:rPr>
          <w:rFonts w:asciiTheme="minorEastAsia" w:hAnsiTheme="minorEastAsia"/>
          <w:b/>
          <w:bCs/>
          <w:sz w:val="18"/>
          <w:szCs w:val="18"/>
        </w:rPr>
      </w:pPr>
      <w:bookmarkStart w:id="8" w:name="_Hlt88031774"/>
      <w:bookmarkStart w:id="9" w:name="_Hlt88031741"/>
      <w:bookmarkEnd w:id="8"/>
      <w:r>
        <w:rPr>
          <w:rFonts w:asciiTheme="minorEastAsia" w:hAnsiTheme="minorEastAsia" w:hint="eastAsia"/>
          <w:b/>
          <w:bCs/>
          <w:sz w:val="18"/>
          <w:szCs w:val="18"/>
        </w:rPr>
        <w:t>（一）理财产品的认购</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1.</w:t>
      </w:r>
      <w:r>
        <w:rPr>
          <w:rFonts w:asciiTheme="minorEastAsia" w:hAnsiTheme="minorEastAsia" w:hint="eastAsia"/>
          <w:b/>
          <w:bCs/>
          <w:sz w:val="18"/>
          <w:szCs w:val="18"/>
        </w:rPr>
        <w:t>认购的时间</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本产品认购期/募集期详见《产品说明书》“第二条 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r>
        <w:rPr>
          <w:rFonts w:asciiTheme="minorEastAsia" w:eastAsiaTheme="minorEastAsia" w:hAnsiTheme="minorEastAsia" w:hint="eastAsia"/>
          <w:color w:val="auto"/>
          <w:sz w:val="18"/>
          <w:szCs w:val="18"/>
        </w:rPr>
        <w:t>定进行公告。</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2.认购</w:t>
      </w:r>
      <w:r>
        <w:rPr>
          <w:rFonts w:asciiTheme="minorEastAsia" w:hAnsiTheme="minorEastAsia" w:hint="eastAsia"/>
          <w:b/>
          <w:bCs/>
          <w:sz w:val="18"/>
          <w:szCs w:val="18"/>
        </w:rPr>
        <w:t>的方式</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销售机构线上渠道认购的，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线上渠道的具体要求执行。</w:t>
      </w:r>
    </w:p>
    <w:p w:rsidR="00E039EF" w:rsidRDefault="003F2D22">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4"/>
        <w:gridCol w:w="4267"/>
        <w:gridCol w:w="1610"/>
      </w:tblGrid>
      <w:tr w:rsidR="00E039EF">
        <w:trPr>
          <w:jc w:val="center"/>
        </w:trPr>
        <w:tc>
          <w:tcPr>
            <w:tcW w:w="1984" w:type="dxa"/>
            <w:vAlign w:val="center"/>
          </w:tcPr>
          <w:p w:rsidR="00E039EF" w:rsidRDefault="003F2D22">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认购期/募集期</w:t>
            </w:r>
          </w:p>
        </w:tc>
        <w:tc>
          <w:tcPr>
            <w:tcW w:w="4267" w:type="dxa"/>
            <w:vAlign w:val="center"/>
          </w:tcPr>
          <w:p w:rsidR="00E039EF" w:rsidRDefault="003F2D22">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E039EF" w:rsidRDefault="003F2D22">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E039EF">
        <w:trPr>
          <w:jc w:val="center"/>
        </w:trPr>
        <w:tc>
          <w:tcPr>
            <w:tcW w:w="1984" w:type="dxa"/>
            <w:vAlign w:val="center"/>
          </w:tcPr>
          <w:p w:rsidR="00E039EF" w:rsidRDefault="003F2D22">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E039EF" w:rsidRDefault="003F2D22">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E039EF" w:rsidRDefault="003F2D22">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认购期/募集期内投资者可提交认购申请。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投资者可以在认购确认日系统完成处理后，查询产品份额。</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E039EF" w:rsidRDefault="003F2D22">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.认购的费用</w:t>
      </w:r>
    </w:p>
    <w:p w:rsidR="00E039EF" w:rsidRDefault="003F2D22">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6.认购份额的计算</w:t>
      </w:r>
      <w:r>
        <w:rPr>
          <w:rFonts w:asciiTheme="minorEastAsia" w:hAnsiTheme="minorEastAsia" w:hint="eastAsia"/>
          <w:b/>
          <w:bCs/>
          <w:sz w:val="18"/>
          <w:szCs w:val="18"/>
        </w:rPr>
        <w:t xml:space="preserve"> </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=认购金额/（1+认购费率）</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=认购金额－净认购金额</w:t>
      </w:r>
    </w:p>
    <w:p w:rsidR="00E039EF" w:rsidRDefault="003F2D2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=净认购金额/产品份额面值</w:t>
      </w:r>
    </w:p>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.认购的起点和递增金额</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E039EF" w:rsidRDefault="003F2D22">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8.认购的数量限制</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详见《产品说明书》“第二条 理财产品基本情况”。</w:t>
      </w:r>
    </w:p>
    <w:p w:rsidR="00E039EF" w:rsidRDefault="003F2D2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9.募集期认购资金利息的处理</w:t>
      </w:r>
    </w:p>
    <w:p w:rsidR="00E039EF" w:rsidRDefault="003F2D2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投资者认购资金在产品认购期内产生的利息不作为理财资金进入运作，不计算理财利益。</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或线上渠道确认的结果为准。</w:t>
      </w:r>
    </w:p>
    <w:p w:rsidR="00E039EF" w:rsidRDefault="003F2D22">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.因不可抗力导致理财产品无法正常运作。</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.法律法规规定或监管机构认定的其他情形。</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E039EF" w:rsidRDefault="003F2D22">
      <w:pPr>
        <w:pStyle w:val="Default"/>
        <w:spacing w:line="360" w:lineRule="auto"/>
        <w:ind w:leftChars="100" w:left="210" w:firstLineChars="100" w:firstLine="18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（四）日期遇非工作日的调整</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等）如遇非工作日则产品管理人可做相应调整。产品管理人对上述日期保留变更的权利，调整后的日期以产品管理人发布的公告中所载明的日期为准。</w:t>
      </w:r>
    </w:p>
    <w:p w:rsidR="00E039EF" w:rsidRDefault="003F2D22">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E039EF" w:rsidRDefault="003F2D2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E039EF" w:rsidRDefault="003F2D22">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E039EF" w:rsidRDefault="003F2D22">
      <w:pPr>
        <w:pStyle w:val="1"/>
        <w:spacing w:before="0" w:after="0" w:line="360" w:lineRule="auto"/>
        <w:jc w:val="center"/>
        <w:rPr>
          <w:rFonts w:ascii="Times New Roman"/>
          <w:sz w:val="30"/>
        </w:rPr>
      </w:pPr>
      <w:bookmarkStart w:id="10" w:name="_Toc4771"/>
      <w:bookmarkStart w:id="11" w:name="_Toc116649652"/>
      <w:bookmarkStart w:id="12" w:name="_Toc29948"/>
      <w:bookmarkStart w:id="13" w:name="_Toc3266"/>
      <w:bookmarkStart w:id="14" w:name="_Toc90742321"/>
      <w:bookmarkStart w:id="15" w:name="_Toc90742390"/>
      <w:bookmarkStart w:id="16" w:name="_Toc90742688"/>
      <w:bookmarkStart w:id="17" w:name="_Toc74065741"/>
      <w:bookmarkStart w:id="18" w:name="_Toc16265"/>
      <w:bookmarkStart w:id="19" w:name="_Toc27226"/>
      <w:bookmarkStart w:id="20" w:name="_Toc7151"/>
      <w:bookmarkStart w:id="21" w:name="_Toc15203"/>
      <w:bookmarkStart w:id="22" w:name="_Toc79154668"/>
      <w:bookmarkStart w:id="23" w:name="_Toc29784"/>
      <w:bookmarkStart w:id="24" w:name="_Toc6714"/>
      <w:bookmarkStart w:id="25" w:name="_Toc22074"/>
      <w:bookmarkStart w:id="26" w:name="_Toc27189"/>
      <w:bookmarkEnd w:id="7"/>
      <w:bookmarkEnd w:id="9"/>
      <w:r>
        <w:rPr>
          <w:rFonts w:ascii="Times New Roman"/>
          <w:sz w:val="30"/>
        </w:rPr>
        <w:lastRenderedPageBreak/>
        <w:t>第</w:t>
      </w:r>
      <w:r>
        <w:rPr>
          <w:rFonts w:ascii="Times New Roman" w:hint="eastAsia"/>
          <w:sz w:val="30"/>
        </w:rPr>
        <w:t>四条</w:t>
      </w:r>
      <w:r>
        <w:rPr>
          <w:rFonts w:ascii="Times New Roman"/>
          <w:sz w:val="30"/>
        </w:rPr>
        <w:t xml:space="preserve">  </w:t>
      </w:r>
      <w:r>
        <w:rPr>
          <w:rFonts w:ascii="Times New Roman" w:hint="eastAsia"/>
          <w:sz w:val="30"/>
        </w:rPr>
        <w:t>理财产品的申购与赎回</w:t>
      </w:r>
      <w:bookmarkEnd w:id="10"/>
      <w:bookmarkEnd w:id="11"/>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本产品为封闭式产品，不设置申购与赎回。</w:t>
      </w:r>
    </w:p>
    <w:p w:rsidR="00E039EF" w:rsidRDefault="003F2D22">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E039EF" w:rsidRDefault="003F2D22">
      <w:pPr>
        <w:pStyle w:val="1"/>
        <w:spacing w:before="0" w:after="0" w:line="360" w:lineRule="auto"/>
        <w:jc w:val="center"/>
        <w:rPr>
          <w:rFonts w:ascii="Times New Roman"/>
          <w:sz w:val="30"/>
        </w:rPr>
      </w:pPr>
      <w:bookmarkStart w:id="27" w:name="_Toc116649653"/>
      <w:r>
        <w:rPr>
          <w:rFonts w:ascii="Times New Roman"/>
          <w:sz w:val="30"/>
        </w:rPr>
        <w:lastRenderedPageBreak/>
        <w:t>第五</w:t>
      </w:r>
      <w:r>
        <w:rPr>
          <w:rFonts w:ascii="Times New Roman" w:hint="eastAsia"/>
          <w:sz w:val="30"/>
        </w:rPr>
        <w:t>条</w:t>
      </w:r>
      <w:r>
        <w:rPr>
          <w:rFonts w:ascii="Times New Roman"/>
          <w:sz w:val="30"/>
        </w:rPr>
        <w:t xml:space="preserve">  </w:t>
      </w:r>
      <w:r>
        <w:rPr>
          <w:rFonts w:ascii="Times New Roman" w:hint="eastAsia"/>
          <w:sz w:val="30"/>
        </w:rPr>
        <w:t>理财产品的投资</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E039EF" w:rsidRPr="004227D0" w:rsidRDefault="004227D0" w:rsidP="004227D0">
      <w:pPr>
        <w:pStyle w:val="Default"/>
        <w:spacing w:line="360" w:lineRule="auto"/>
        <w:ind w:firstLineChars="200" w:firstLine="360"/>
        <w:rPr>
          <w:rFonts w:asciiTheme="majorEastAsia" w:eastAsiaTheme="majorEastAsia" w:hAnsiTheme="majorEastAsia"/>
          <w:color w:val="auto"/>
          <w:sz w:val="18"/>
          <w:szCs w:val="18"/>
        </w:rPr>
      </w:pPr>
      <w:permStart w:id="926311605" w:edGrp="everyone"/>
      <w:r>
        <w:rPr>
          <w:rFonts w:asciiTheme="majorEastAsia" w:eastAsiaTheme="majorEastAsia" w:hAnsiTheme="majorEastAsia" w:hint="eastAsia"/>
          <w:color w:val="auto"/>
          <w:sz w:val="18"/>
          <w:szCs w:val="18"/>
        </w:rPr>
        <w:t>在严格控制组合风险的前提下，通过不断优化组合，力争实现超越业绩比较基准的收益。</w:t>
      </w:r>
    </w:p>
    <w:permEnd w:id="926311605"/>
    <w:p w:rsidR="00E039EF" w:rsidRDefault="003F2D22">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1.投资</w:t>
      </w:r>
      <w:r>
        <w:rPr>
          <w:rFonts w:asciiTheme="majorEastAsia" w:eastAsiaTheme="majorEastAsia" w:hAnsiTheme="majorEastAsia"/>
          <w:bCs/>
          <w:sz w:val="18"/>
          <w:szCs w:val="18"/>
        </w:rPr>
        <w:t>范围</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本产品主要投资范围包括但不限于（实际投资范围可根据法律法规及监管规定进行调整）：</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1678721707" w:edGrp="everyone"/>
      <w:r>
        <w:rPr>
          <w:rFonts w:asciiTheme="majorEastAsia" w:eastAsiaTheme="majorEastAsia" w:hAnsiTheme="majorEastAsia" w:hint="eastAsia"/>
          <w:bCs/>
          <w:sz w:val="18"/>
          <w:szCs w:val="18"/>
        </w:rPr>
        <w:t>（1）银行存款、债券逆回购、货币基金等货币市场工具及其它银行间和交易所资金融通工具；</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（2）国债、金融债、地方政府债、央行票据、同业存单、短期融资</w:t>
      </w:r>
      <w:proofErr w:type="gramStart"/>
      <w:r>
        <w:rPr>
          <w:rFonts w:asciiTheme="majorEastAsia" w:eastAsiaTheme="majorEastAsia" w:hAnsiTheme="majorEastAsia" w:hint="eastAsia"/>
          <w:bCs/>
          <w:sz w:val="18"/>
          <w:szCs w:val="18"/>
        </w:rPr>
        <w:t>券</w:t>
      </w:r>
      <w:proofErr w:type="gramEnd"/>
      <w:r>
        <w:rPr>
          <w:rFonts w:asciiTheme="majorEastAsia" w:eastAsiaTheme="majorEastAsia" w:hAnsiTheme="majorEastAsia" w:hint="eastAsia"/>
          <w:bCs/>
          <w:sz w:val="18"/>
          <w:szCs w:val="18"/>
        </w:rPr>
        <w:t>、超短期融资</w:t>
      </w:r>
      <w:proofErr w:type="gramStart"/>
      <w:r>
        <w:rPr>
          <w:rFonts w:asciiTheme="majorEastAsia" w:eastAsiaTheme="majorEastAsia" w:hAnsiTheme="majorEastAsia" w:hint="eastAsia"/>
          <w:bCs/>
          <w:sz w:val="18"/>
          <w:szCs w:val="18"/>
        </w:rPr>
        <w:t>券</w:t>
      </w:r>
      <w:proofErr w:type="gramEnd"/>
      <w:r>
        <w:rPr>
          <w:rFonts w:asciiTheme="majorEastAsia" w:eastAsiaTheme="majorEastAsia" w:hAnsiTheme="majorEastAsia" w:hint="eastAsia"/>
          <w:bCs/>
          <w:sz w:val="18"/>
          <w:szCs w:val="18"/>
        </w:rPr>
        <w:t>、中期票据、企业债、公司债、非公开定向债务融资工具、项目收益债、项目收益票据、资产支持证券、次级债、可转债、可交换债等银行间和交易所市场债券及债务融资工具，以及其他固定收益类投资工具等。</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（3）债券借贷等。</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（4）投资于上述资产的符合监管要求的公募基金、基金公司或子公司资产管理计划、证券公司资产管理计划、保险资产管理计划及信托计划等。</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（5）其他风险不高于前述资产的资产。</w:t>
      </w:r>
    </w:p>
    <w:permEnd w:id="1678721707"/>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2.投资组合比例</w:t>
      </w:r>
    </w:p>
    <w:p w:rsidR="004227D0" w:rsidRDefault="004227D0" w:rsidP="004227D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823420225" w:edGrp="everyone"/>
      <w:r>
        <w:rPr>
          <w:rFonts w:asciiTheme="majorEastAsia" w:eastAsiaTheme="majorEastAsia" w:hAnsiTheme="majorEastAsia" w:hint="eastAsia"/>
          <w:bCs/>
          <w:sz w:val="18"/>
          <w:szCs w:val="18"/>
        </w:rPr>
        <w:t>（1）本产品投资于</w:t>
      </w:r>
      <w:r>
        <w:rPr>
          <w:rFonts w:ascii="宋体" w:hAnsi="宋体" w:hint="eastAsia"/>
          <w:bCs/>
          <w:sz w:val="18"/>
          <w:szCs w:val="18"/>
        </w:rPr>
        <w:t>债权类</w:t>
      </w:r>
      <w:r>
        <w:rPr>
          <w:rFonts w:asciiTheme="majorEastAsia" w:eastAsiaTheme="majorEastAsia" w:hAnsiTheme="majorEastAsia" w:hint="eastAsia"/>
          <w:bCs/>
          <w:sz w:val="18"/>
          <w:szCs w:val="18"/>
        </w:rPr>
        <w:t xml:space="preserve">资产的比例不低于产品总资产的80%。 </w:t>
      </w:r>
    </w:p>
    <w:p w:rsidR="004227D0" w:rsidRDefault="004227D0" w:rsidP="004227D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（2）债券借贷等衍生品占产品总资产比例不高于20%。</w:t>
      </w:r>
    </w:p>
    <w:p w:rsidR="009A58CA" w:rsidRDefault="009A58CA">
      <w:pPr>
        <w:autoSpaceDE w:val="0"/>
        <w:autoSpaceDN w:val="0"/>
        <w:adjustRightInd w:val="0"/>
        <w:spacing w:line="360" w:lineRule="auto"/>
        <w:ind w:firstLineChars="200" w:firstLine="361"/>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注：本产品可能投资不存在活跃交易市场，并且需要采用估值技术确定公允价值的资产，且投资上述资产的比例达到理财产品净资产50%以上。</w:t>
      </w:r>
    </w:p>
    <w:permEnd w:id="823420225"/>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.如果法律法规对本</w:t>
      </w:r>
      <w:r>
        <w:rPr>
          <w:rFonts w:asciiTheme="majorEastAsia" w:eastAsiaTheme="majorEastAsia" w:hAnsiTheme="majorEastAsia"/>
          <w:bCs/>
          <w:sz w:val="18"/>
          <w:szCs w:val="18"/>
        </w:rPr>
        <w:t>销售文件</w:t>
      </w:r>
      <w:r>
        <w:rPr>
          <w:rFonts w:asciiTheme="majorEastAsia" w:eastAsiaTheme="majorEastAsia" w:hAnsiTheme="majorEastAsia" w:hint="eastAsia"/>
          <w:bCs/>
          <w:sz w:val="18"/>
          <w:szCs w:val="18"/>
        </w:rPr>
        <w:t>约定投资组合比例限制进行变更的，以变更后的规定为准。</w:t>
      </w:r>
    </w:p>
    <w:p w:rsidR="00E039EF" w:rsidRDefault="003F2D2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产品管理人应当自产品成立日起</w:t>
      </w:r>
      <w:permStart w:id="821892324" w:edGrp="everyone"/>
      <w:r>
        <w:rPr>
          <w:rFonts w:asciiTheme="majorEastAsia" w:eastAsiaTheme="majorEastAsia" w:hAnsiTheme="majorEastAsia" w:hint="eastAsia"/>
          <w:bCs/>
          <w:sz w:val="18"/>
          <w:szCs w:val="18"/>
        </w:rPr>
        <w:t>【</w:t>
      </w:r>
      <w:r>
        <w:rPr>
          <w:rFonts w:ascii="黑体" w:eastAsia="黑体" w:hAnsi="黑体"/>
          <w:bCs/>
          <w:sz w:val="18"/>
          <w:szCs w:val="18"/>
        </w:rPr>
        <w:t>3】</w:t>
      </w:r>
      <w:proofErr w:type="gramStart"/>
      <w:r>
        <w:rPr>
          <w:rFonts w:ascii="黑体" w:eastAsia="黑体" w:hAnsi="黑体" w:hint="eastAsia"/>
          <w:bCs/>
          <w:sz w:val="18"/>
          <w:szCs w:val="18"/>
        </w:rPr>
        <w:t>个</w:t>
      </w:r>
      <w:proofErr w:type="gramEnd"/>
      <w:r>
        <w:rPr>
          <w:rFonts w:ascii="黑体" w:eastAsia="黑体" w:hAnsi="黑体" w:hint="eastAsia"/>
          <w:bCs/>
          <w:sz w:val="18"/>
          <w:szCs w:val="18"/>
        </w:rPr>
        <w:t>月</w:t>
      </w:r>
      <w:permEnd w:id="821892324"/>
      <w:r>
        <w:rPr>
          <w:rFonts w:ascii="黑体" w:eastAsia="黑体" w:hAnsi="黑体" w:hint="eastAsia"/>
          <w:bCs/>
          <w:sz w:val="18"/>
          <w:szCs w:val="18"/>
        </w:rPr>
        <w:t>内</w:t>
      </w:r>
      <w:r>
        <w:rPr>
          <w:rFonts w:asciiTheme="majorEastAsia" w:eastAsiaTheme="majorEastAsia" w:hAnsiTheme="majorEastAsia" w:hint="eastAsia"/>
          <w:bCs/>
          <w:sz w:val="18"/>
          <w:szCs w:val="18"/>
        </w:rPr>
        <w:t>使产品的投资组合比例符合本销售文件的有关约定，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w:t>
      </w:r>
      <w:r>
        <w:rPr>
          <w:rFonts w:asciiTheme="majorEastAsia" w:eastAsiaTheme="majorEastAsia" w:hAnsiTheme="majorEastAsia"/>
          <w:bCs/>
          <w:sz w:val="18"/>
          <w:szCs w:val="18"/>
        </w:rPr>
        <w:t>销售文件的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金融市场发生重大变化导致理财产品投资比例暂时超出浮动区间且可能对理财产品收益产生重</w:t>
      </w:r>
      <w:r>
        <w:rPr>
          <w:rFonts w:asciiTheme="majorEastAsia" w:eastAsiaTheme="majorEastAsia" w:hAnsiTheme="majorEastAsia" w:hint="eastAsia"/>
          <w:bCs/>
          <w:sz w:val="18"/>
          <w:szCs w:val="18"/>
        </w:rPr>
        <w:lastRenderedPageBreak/>
        <w:t>大影响的，产品管理人依约定及时向投资者进行信息披露。</w:t>
      </w:r>
    </w:p>
    <w:p w:rsidR="00E039EF" w:rsidRDefault="003F2D2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产品管理人应当根据市场情况调整投资范围、投资资产种类或投资比例，并进行相应公告。高风险类型的理财产品超出比例范围投资较低风险资产的，</w:t>
      </w:r>
      <w:r>
        <w:rPr>
          <w:rFonts w:ascii="黑体" w:eastAsia="黑体" w:hAnsi="黑体"/>
          <w:bCs/>
          <w:sz w:val="18"/>
          <w:szCs w:val="18"/>
        </w:rPr>
        <w:t>无需投资者</w:t>
      </w:r>
      <w:r>
        <w:rPr>
          <w:rFonts w:ascii="黑体" w:eastAsia="黑体" w:hAnsi="黑体" w:hint="eastAsia"/>
          <w:bCs/>
          <w:sz w:val="18"/>
          <w:szCs w:val="18"/>
        </w:rPr>
        <w:t>书面</w:t>
      </w:r>
      <w:r>
        <w:rPr>
          <w:rFonts w:ascii="黑体" w:eastAsia="黑体" w:hAnsi="黑体"/>
          <w:bCs/>
          <w:sz w:val="18"/>
          <w:szCs w:val="18"/>
        </w:rPr>
        <w:t>同意</w:t>
      </w:r>
      <w:r>
        <w:rPr>
          <w:rFonts w:ascii="黑体" w:eastAsia="黑体" w:hAnsi="黑体" w:hint="eastAsia"/>
          <w:bCs/>
          <w:sz w:val="18"/>
          <w:szCs w:val="18"/>
        </w:rPr>
        <w:t>。</w:t>
      </w:r>
    </w:p>
    <w:p w:rsidR="00E039EF" w:rsidRDefault="003F2D22">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不对本产品的收益情况作出承诺或保证，亦不会承诺或保证最低收益或本金安全。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按照本销售文件及其他相关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E039EF" w:rsidRDefault="003F2D22">
      <w:pPr>
        <w:pStyle w:val="Default"/>
        <w:spacing w:line="360" w:lineRule="auto"/>
        <w:ind w:firstLineChars="150" w:firstLine="271"/>
      </w:pPr>
      <w:r>
        <w:rPr>
          <w:rFonts w:asciiTheme="majorEastAsia" w:eastAsiaTheme="majorEastAsia" w:hAnsiTheme="majorEastAsia" w:hint="eastAsia"/>
          <w:b/>
          <w:color w:val="auto"/>
          <w:sz w:val="18"/>
          <w:szCs w:val="18"/>
        </w:rPr>
        <w:t>（三）投资限制</w:t>
      </w:r>
    </w:p>
    <w:p w:rsidR="00E039EF" w:rsidRDefault="003F2D2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1.组合限制</w:t>
      </w:r>
    </w:p>
    <w:p w:rsidR="004227D0" w:rsidRDefault="004227D0" w:rsidP="004227D0">
      <w:pPr>
        <w:spacing w:line="360" w:lineRule="auto"/>
        <w:ind w:firstLineChars="200" w:firstLine="360"/>
        <w:rPr>
          <w:rFonts w:asciiTheme="majorEastAsia" w:eastAsiaTheme="majorEastAsia" w:hAnsiTheme="majorEastAsia"/>
          <w:bCs/>
          <w:kern w:val="0"/>
          <w:sz w:val="18"/>
          <w:szCs w:val="18"/>
        </w:rPr>
      </w:pPr>
      <w:permStart w:id="1686117603" w:edGrp="everyone"/>
      <w:r>
        <w:rPr>
          <w:rFonts w:asciiTheme="majorEastAsia" w:eastAsiaTheme="majorEastAsia" w:hAnsiTheme="majorEastAsia" w:hint="eastAsia"/>
          <w:bCs/>
          <w:kern w:val="0"/>
          <w:sz w:val="18"/>
          <w:szCs w:val="18"/>
        </w:rPr>
        <w:t>（1）</w:t>
      </w:r>
      <w:r>
        <w:rPr>
          <w:rFonts w:asciiTheme="majorEastAsia" w:eastAsiaTheme="majorEastAsia" w:hAnsiTheme="majorEastAsia" w:hint="eastAsia"/>
          <w:bCs/>
          <w:sz w:val="18"/>
          <w:szCs w:val="18"/>
        </w:rPr>
        <w:t>每只公募理财</w:t>
      </w:r>
      <w:r>
        <w:rPr>
          <w:rFonts w:asciiTheme="majorEastAsia" w:eastAsiaTheme="majorEastAsia" w:hAnsiTheme="majorEastAsia" w:hint="eastAsia"/>
          <w:bCs/>
          <w:kern w:val="0"/>
          <w:sz w:val="18"/>
          <w:szCs w:val="18"/>
        </w:rPr>
        <w:t>产品投资单只证券或者单只公募证券投资基金的市值不得超过该理财产品净资产的10%。</w:t>
      </w:r>
    </w:p>
    <w:p w:rsidR="004227D0" w:rsidRDefault="004227D0" w:rsidP="004227D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（2）全部公募理财产品持有单只证券或单只公募证券投资基金的市值，不得超过该证券市值或该公募证券投资基金市值的30%。</w:t>
      </w:r>
    </w:p>
    <w:p w:rsidR="004227D0" w:rsidRDefault="004227D0" w:rsidP="004227D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（3）本产品因为流动性需要可开展存单质押、债券正回购等融资业务，本产品总资产不超过净资产的200%。</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686117603"/>
    <w:p w:rsidR="00E039EF" w:rsidRDefault="003F2D22">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）面向非机构投资者发行的理财产品不得直接或间接投资于不良资产、不良资产支持证券，国务院银行业监督管理机构另有规定的除外。</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ascii="宋体" w:hAnsi="宋体" w:hint="eastAsia"/>
          <w:bCs/>
          <w:sz w:val="18"/>
          <w:szCs w:val="18"/>
        </w:rPr>
        <w:t>不持有金融牌照的机构发行的产品或管理的资产，金融资产投资公司的附属机构依法依规设立的私募股权投资基金以及国务院银行业监督管理机构另有规定的除外。</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4</w:t>
      </w:r>
      <w:r>
        <w:rPr>
          <w:rFonts w:ascii="宋体" w:hAnsi="宋体" w:hint="eastAsia"/>
          <w:bCs/>
          <w:sz w:val="18"/>
          <w:szCs w:val="18"/>
        </w:rPr>
        <w:t>）不得直接或间接投资于兴业银行信贷资产受（收）益权，面向非机构投资者发行的理财产品不得直接或间接投资于不良资产受（收）益权。</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如果法律法规对本销售文件约定的投资限制进行变更的，以变更后的规定为准。</w:t>
      </w:r>
    </w:p>
    <w:p w:rsidR="00E039EF" w:rsidRDefault="003F2D2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E039EF" w:rsidRDefault="003F2D22">
      <w:pPr>
        <w:pStyle w:val="Default"/>
        <w:spacing w:line="360" w:lineRule="auto"/>
        <w:ind w:firstLineChars="200" w:firstLine="360"/>
        <w:rPr>
          <w:rFonts w:asciiTheme="majorEastAsia" w:eastAsiaTheme="majorEastAsia" w:hAnsiTheme="majorEastAsia"/>
          <w:sz w:val="18"/>
          <w:szCs w:val="18"/>
        </w:rPr>
      </w:pPr>
      <w:permStart w:id="658132013" w:edGrp="everyone"/>
      <w:r>
        <w:rPr>
          <w:rFonts w:asciiTheme="majorEastAsia" w:eastAsiaTheme="majorEastAsia" w:hAnsiTheme="majorEastAsia" w:hint="eastAsia"/>
          <w:sz w:val="18"/>
          <w:szCs w:val="18"/>
        </w:rPr>
        <w:t>【</w:t>
      </w:r>
      <w:r w:rsidR="004227D0">
        <w:rPr>
          <w:rFonts w:hAnsi="宋体" w:hint="eastAsia"/>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asciiTheme="majorEastAsia" w:eastAsiaTheme="majorEastAsia" w:hAnsiTheme="majorEastAsia" w:hint="eastAsia"/>
          <w:sz w:val="18"/>
          <w:szCs w:val="18"/>
        </w:rPr>
        <w:t>】</w:t>
      </w:r>
    </w:p>
    <w:permEnd w:id="658132013"/>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sz w:val="18"/>
          <w:szCs w:val="18"/>
        </w:rPr>
        <w:br w:type="page"/>
      </w:r>
    </w:p>
    <w:p w:rsidR="00E039EF" w:rsidRDefault="003F2D22">
      <w:pPr>
        <w:pStyle w:val="1"/>
        <w:spacing w:before="0" w:after="0" w:line="360" w:lineRule="auto"/>
        <w:jc w:val="center"/>
        <w:rPr>
          <w:rFonts w:ascii="Times New Roman"/>
          <w:sz w:val="30"/>
        </w:rPr>
      </w:pPr>
      <w:bookmarkStart w:id="28" w:name="_Toc7848"/>
      <w:bookmarkStart w:id="29" w:name="_Toc18797"/>
      <w:bookmarkStart w:id="30" w:name="_Toc17912"/>
      <w:bookmarkStart w:id="31" w:name="_Toc14893"/>
      <w:bookmarkStart w:id="32" w:name="_Toc79154669"/>
      <w:bookmarkStart w:id="33" w:name="_Toc18329"/>
      <w:bookmarkStart w:id="34" w:name="_Toc141703885"/>
      <w:bookmarkStart w:id="35" w:name="_Toc21988"/>
      <w:bookmarkStart w:id="36" w:name="_Toc26986"/>
      <w:bookmarkStart w:id="37" w:name="_Toc18526"/>
      <w:bookmarkStart w:id="38" w:name="_Toc74065742"/>
      <w:bookmarkStart w:id="39" w:name="_Toc1823"/>
      <w:bookmarkStart w:id="40" w:name="_Toc116649654"/>
      <w:bookmarkStart w:id="41" w:name="_Toc139991735"/>
      <w:bookmarkStart w:id="42" w:name="_Toc4741"/>
      <w:r>
        <w:rPr>
          <w:rFonts w:ascii="Times New Roman"/>
          <w:sz w:val="30"/>
        </w:rPr>
        <w:lastRenderedPageBreak/>
        <w:t>第六</w:t>
      </w:r>
      <w:r>
        <w:rPr>
          <w:rFonts w:ascii="Times New Roman" w:hint="eastAsia"/>
          <w:sz w:val="30"/>
        </w:rPr>
        <w:t>条</w:t>
      </w:r>
      <w:r>
        <w:rPr>
          <w:rFonts w:ascii="Times New Roman"/>
          <w:sz w:val="30"/>
        </w:rPr>
        <w:t xml:space="preserve">  </w:t>
      </w:r>
      <w:r>
        <w:rPr>
          <w:rFonts w:ascii="Times New Roman" w:hint="eastAsia"/>
          <w:sz w:val="30"/>
        </w:rPr>
        <w:t>理财产品的资产</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bookmarkStart w:id="43" w:name="_Hlk490214295"/>
      <w:r>
        <w:rPr>
          <w:rFonts w:asciiTheme="majorEastAsia" w:eastAsiaTheme="majorEastAsia" w:hAnsiTheme="majorEastAsia" w:hint="eastAsia"/>
          <w:b/>
          <w:color w:val="auto"/>
          <w:sz w:val="18"/>
          <w:szCs w:val="18"/>
        </w:rPr>
        <w:t>（一）理财产品的资产的保管和处分</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产品管理人和产品托管人根据相关法律法规、规范性文件为本产品开立资金账户、证券账户以及投资所需的其他专用账户。</w:t>
      </w:r>
    </w:p>
    <w:p w:rsidR="00E039EF" w:rsidRDefault="003F2D2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E039EF" w:rsidRDefault="003F2D22">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E039EF" w:rsidRDefault="003F2D22">
      <w:pPr>
        <w:pStyle w:val="1"/>
        <w:spacing w:before="0" w:after="0" w:line="360" w:lineRule="auto"/>
        <w:jc w:val="center"/>
        <w:rPr>
          <w:rFonts w:ascii="Times New Roman"/>
          <w:sz w:val="30"/>
        </w:rPr>
      </w:pPr>
      <w:bookmarkStart w:id="44" w:name="_Toc7920"/>
      <w:bookmarkStart w:id="45" w:name="_Toc610"/>
      <w:bookmarkStart w:id="46" w:name="_Toc10463"/>
      <w:bookmarkStart w:id="47" w:name="_Toc116649655"/>
      <w:bookmarkStart w:id="48" w:name="_Toc139991736"/>
      <w:bookmarkStart w:id="49" w:name="_Toc123112234"/>
      <w:bookmarkStart w:id="50" w:name="_Toc20733"/>
      <w:bookmarkStart w:id="51" w:name="_Toc123102453"/>
      <w:bookmarkStart w:id="52" w:name="_Toc23261"/>
      <w:bookmarkStart w:id="53" w:name="_Toc1427"/>
      <w:bookmarkStart w:id="54" w:name="_Toc123051452"/>
      <w:bookmarkStart w:id="55" w:name="_Toc141703886"/>
      <w:bookmarkStart w:id="56" w:name="_Toc98560352"/>
      <w:bookmarkStart w:id="57" w:name="_Toc79154670"/>
      <w:bookmarkStart w:id="58" w:name="_Toc74065743"/>
      <w:bookmarkStart w:id="59" w:name="_Toc48649707"/>
      <w:bookmarkStart w:id="60" w:name="_Toc1270"/>
      <w:bookmarkStart w:id="61" w:name="_Toc17244"/>
      <w:bookmarkStart w:id="62" w:name="_Toc4003"/>
      <w:bookmarkStart w:id="63" w:name="_Toc23822"/>
      <w:bookmarkStart w:id="64" w:name="_Toc79392606"/>
      <w:bookmarkEnd w:id="43"/>
      <w:r>
        <w:rPr>
          <w:rFonts w:ascii="Times New Roman"/>
          <w:sz w:val="30"/>
        </w:rPr>
        <w:lastRenderedPageBreak/>
        <w:t>第七</w:t>
      </w:r>
      <w:r>
        <w:rPr>
          <w:rFonts w:ascii="Times New Roman" w:hint="eastAsia"/>
          <w:sz w:val="30"/>
        </w:rPr>
        <w:t>条</w:t>
      </w:r>
      <w:r>
        <w:rPr>
          <w:rFonts w:ascii="Times New Roman"/>
          <w:sz w:val="30"/>
        </w:rPr>
        <w:t xml:space="preserve">  </w:t>
      </w:r>
      <w:r>
        <w:rPr>
          <w:rFonts w:ascii="Times New Roman" w:hint="eastAsia"/>
          <w:sz w:val="30"/>
        </w:rPr>
        <w:t>理财产品项下资产的估值</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039EF" w:rsidRDefault="003F2D22">
      <w:pPr>
        <w:pStyle w:val="Default"/>
        <w:spacing w:line="360" w:lineRule="auto"/>
        <w:ind w:firstLineChars="200" w:firstLine="360"/>
        <w:rPr>
          <w:rFonts w:ascii="黑体" w:eastAsia="黑体" w:hAnsi="黑体"/>
          <w:color w:val="auto"/>
          <w:sz w:val="18"/>
          <w:szCs w:val="18"/>
        </w:rPr>
      </w:pPr>
      <w:r>
        <w:rPr>
          <w:rFonts w:ascii="黑体" w:eastAsia="黑体" w:hAnsi="黑体" w:hint="eastAsia"/>
          <w:color w:val="auto"/>
          <w:sz w:val="18"/>
          <w:szCs w:val="18"/>
        </w:rPr>
        <w:t>★注：本说明书估值条款所涉及的资产相关描述，仅为估值条款完备性而设计，并不代表本产品投资范围涉及该资产。本产品的投资范围仍应以“第五条 理财产品的投资”约定为准。</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（一）估值目的</w:t>
      </w:r>
    </w:p>
    <w:p w:rsidR="00E039EF" w:rsidRDefault="003F2D22">
      <w:pPr>
        <w:pStyle w:val="Default"/>
        <w:spacing w:line="360" w:lineRule="auto"/>
        <w:ind w:firstLineChars="200" w:firstLine="360"/>
        <w:rPr>
          <w:rFonts w:hAnsi="宋体"/>
          <w:sz w:val="18"/>
          <w:szCs w:val="18"/>
        </w:rPr>
      </w:pPr>
      <w:r>
        <w:rPr>
          <w:rFonts w:hAnsi="宋体" w:hint="eastAsia"/>
          <w:sz w:val="18"/>
          <w:szCs w:val="18"/>
        </w:rPr>
        <w:t>理财资产估值的目的是客观、准确地反映理财资产是否保值、增值。</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（二）估值频率</w:t>
      </w:r>
    </w:p>
    <w:p w:rsidR="00E039EF" w:rsidRDefault="003F2D22">
      <w:pPr>
        <w:pStyle w:val="Default"/>
        <w:spacing w:line="360" w:lineRule="auto"/>
        <w:ind w:firstLineChars="250" w:firstLine="450"/>
        <w:rPr>
          <w:sz w:val="18"/>
          <w:szCs w:val="18"/>
        </w:rPr>
      </w:pPr>
      <w:permStart w:id="545723520" w:edGrp="everyone"/>
      <w:r>
        <w:rPr>
          <w:rFonts w:hAnsi="宋体" w:hint="eastAsia"/>
          <w:sz w:val="18"/>
          <w:szCs w:val="18"/>
        </w:rPr>
        <w:t>本产品存续期间，每【周】进行一次估值。如</w:t>
      </w:r>
      <w:proofErr w:type="gramStart"/>
      <w:r>
        <w:rPr>
          <w:rFonts w:hAnsi="宋体" w:hint="eastAsia"/>
          <w:sz w:val="18"/>
          <w:szCs w:val="18"/>
        </w:rPr>
        <w:t>遇产品</w:t>
      </w:r>
      <w:proofErr w:type="gramEnd"/>
      <w:r>
        <w:rPr>
          <w:rFonts w:hAnsi="宋体" w:hint="eastAsia"/>
          <w:sz w:val="18"/>
          <w:szCs w:val="18"/>
        </w:rPr>
        <w:t>到期日、季度末、半年度末、年度末等时间节点管理人将增加估值日。</w:t>
      </w:r>
    </w:p>
    <w:permEnd w:id="545723520"/>
    <w:p w:rsidR="00E039EF" w:rsidRDefault="003F2D22">
      <w:pPr>
        <w:pStyle w:val="Default"/>
        <w:spacing w:line="360" w:lineRule="auto"/>
        <w:ind w:firstLineChars="250" w:firstLine="452"/>
        <w:rPr>
          <w:rFonts w:hAnsi="宋体"/>
          <w:b/>
          <w:bCs/>
          <w:sz w:val="18"/>
          <w:szCs w:val="18"/>
        </w:rPr>
      </w:pPr>
      <w:r>
        <w:rPr>
          <w:rFonts w:hAnsi="宋体" w:hint="eastAsia"/>
          <w:b/>
          <w:bCs/>
          <w:sz w:val="18"/>
          <w:szCs w:val="18"/>
        </w:rPr>
        <w:t>（三）估值对象</w:t>
      </w:r>
    </w:p>
    <w:p w:rsidR="00E039EF" w:rsidRDefault="003F2D22">
      <w:pPr>
        <w:pStyle w:val="Default"/>
        <w:spacing w:line="360" w:lineRule="auto"/>
        <w:ind w:firstLineChars="200" w:firstLine="360"/>
        <w:rPr>
          <w:rFonts w:hAnsi="宋体"/>
          <w:sz w:val="18"/>
          <w:szCs w:val="18"/>
        </w:rPr>
      </w:pPr>
      <w:r>
        <w:rPr>
          <w:rFonts w:hAnsi="宋体" w:hint="eastAsia"/>
          <w:sz w:val="18"/>
          <w:szCs w:val="18"/>
        </w:rPr>
        <w:t>本产品所拥有的各类证券、资产管理产品、银行存款、应收款项、其它投资等资产及负债。</w:t>
      </w:r>
    </w:p>
    <w:p w:rsidR="00E039EF" w:rsidRDefault="003F2D22">
      <w:pPr>
        <w:pStyle w:val="Default"/>
        <w:spacing w:line="360" w:lineRule="auto"/>
        <w:ind w:firstLineChars="250" w:firstLine="452"/>
        <w:rPr>
          <w:rFonts w:hAnsi="宋体"/>
          <w:b/>
          <w:bCs/>
          <w:sz w:val="18"/>
          <w:szCs w:val="18"/>
        </w:rPr>
      </w:pPr>
      <w:r>
        <w:rPr>
          <w:rFonts w:hAnsi="宋体" w:hint="eastAsia"/>
          <w:b/>
          <w:bCs/>
          <w:sz w:val="18"/>
          <w:szCs w:val="18"/>
        </w:rPr>
        <w:t>（四）估值方法</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1.标准化债权类资产估值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E039EF" w:rsidRDefault="003F2D22">
      <w:pPr>
        <w:pStyle w:val="Default"/>
        <w:spacing w:line="360" w:lineRule="auto"/>
        <w:ind w:firstLineChars="200" w:firstLine="360"/>
        <w:rPr>
          <w:rFonts w:hAnsi="宋体"/>
          <w:sz w:val="18"/>
          <w:szCs w:val="18"/>
        </w:rPr>
      </w:pPr>
      <w:r>
        <w:rPr>
          <w:rFonts w:hAnsi="宋体" w:hint="eastAsia"/>
          <w:sz w:val="18"/>
          <w:szCs w:val="18"/>
        </w:rPr>
        <w:t>（1）投资以收取合同现金流量为目的并持有到期的债券，可使用摊余成本计量。</w:t>
      </w:r>
    </w:p>
    <w:p w:rsidR="00E039EF" w:rsidRDefault="003F2D22">
      <w:pPr>
        <w:pStyle w:val="Default"/>
        <w:spacing w:line="360" w:lineRule="auto"/>
        <w:ind w:firstLineChars="200" w:firstLine="360"/>
        <w:rPr>
          <w:rFonts w:hAnsi="宋体"/>
          <w:sz w:val="18"/>
          <w:szCs w:val="18"/>
        </w:rPr>
      </w:pPr>
      <w:r>
        <w:rPr>
          <w:rFonts w:hAnsi="宋体" w:hint="eastAsia"/>
          <w:sz w:val="18"/>
          <w:szCs w:val="18"/>
        </w:rPr>
        <w:t>（2）除（1）以外的标准化债权类资产以公允价值计量，主要依据为第三方估值机构提供的价格数据。第三方估值机构包括：中央国债登记结算公司和中证指数有限公司。</w:t>
      </w:r>
    </w:p>
    <w:p w:rsidR="00E039EF" w:rsidRDefault="003F2D22">
      <w:pPr>
        <w:pStyle w:val="Default"/>
        <w:spacing w:line="360" w:lineRule="auto"/>
        <w:ind w:firstLineChars="200" w:firstLine="360"/>
        <w:rPr>
          <w:rFonts w:hAnsi="宋体"/>
          <w:sz w:val="18"/>
          <w:szCs w:val="18"/>
        </w:rPr>
      </w:pPr>
      <w:r>
        <w:rPr>
          <w:rFonts w:hAnsi="宋体" w:hint="eastAsia"/>
          <w:sz w:val="18"/>
          <w:szCs w:val="18"/>
        </w:rPr>
        <w:t>（3）在证券交易所上市的债券，如第三方估值机构提供的估值价格与市场收盘价存在差异，且管理人认为收盘价更能体现其公允价值，可与托管人协商一致后采用收盘价进行估值。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rsidR="00E039EF" w:rsidRDefault="003F2D22">
      <w:pPr>
        <w:pStyle w:val="Default"/>
        <w:spacing w:line="360" w:lineRule="auto"/>
        <w:ind w:firstLineChars="200" w:firstLine="360"/>
        <w:rPr>
          <w:rFonts w:hAnsi="宋体"/>
          <w:sz w:val="18"/>
          <w:szCs w:val="18"/>
        </w:rPr>
      </w:pPr>
      <w:r>
        <w:rPr>
          <w:rFonts w:hAnsi="宋体" w:hint="eastAsia"/>
          <w:sz w:val="18"/>
          <w:szCs w:val="18"/>
        </w:rPr>
        <w:t>（5）对在银行间市场或交易所市场已发行未上市的债券，且第三方估值机构未提供估值数据，采用估值技术确定其公允价值。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（6）同一债券同时在两个或两个以上市场交易的，按债券所处的市场及相应的估值标准，分别进行估值。</w:t>
      </w:r>
    </w:p>
    <w:p w:rsidR="00E039EF" w:rsidRDefault="003F2D2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b/>
          <w:color w:val="auto"/>
          <w:sz w:val="18"/>
        </w:rPr>
        <w:t>2.</w:t>
      </w:r>
      <w:r>
        <w:rPr>
          <w:rFonts w:asciiTheme="majorEastAsia" w:eastAsiaTheme="majorEastAsia" w:hAnsiTheme="majorEastAsia" w:hint="eastAsia"/>
          <w:b/>
          <w:bCs/>
          <w:color w:val="auto"/>
          <w:sz w:val="18"/>
          <w:szCs w:val="18"/>
        </w:rPr>
        <w:t>境外债券</w:t>
      </w:r>
    </w:p>
    <w:p w:rsidR="00E039EF" w:rsidRDefault="003F2D2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rsidR="00E039EF" w:rsidRDefault="003F2D22">
      <w:pPr>
        <w:pStyle w:val="Default"/>
        <w:spacing w:line="360" w:lineRule="auto"/>
        <w:ind w:firstLineChars="200" w:firstLine="361"/>
        <w:rPr>
          <w:rFonts w:hAnsi="宋体"/>
          <w:sz w:val="18"/>
          <w:szCs w:val="18"/>
        </w:rPr>
      </w:pPr>
      <w:r>
        <w:rPr>
          <w:rFonts w:hAnsi="宋体"/>
          <w:b/>
          <w:bCs/>
          <w:sz w:val="18"/>
          <w:szCs w:val="18"/>
        </w:rPr>
        <w:lastRenderedPageBreak/>
        <w:t>3</w:t>
      </w:r>
      <w:r>
        <w:rPr>
          <w:rFonts w:hAnsi="宋体" w:hint="eastAsia"/>
          <w:b/>
          <w:bCs/>
          <w:sz w:val="18"/>
          <w:szCs w:val="18"/>
        </w:rPr>
        <w:t>.非标准化债权类资产</w:t>
      </w:r>
    </w:p>
    <w:p w:rsidR="00E039EF" w:rsidRDefault="003F2D22">
      <w:pPr>
        <w:pStyle w:val="Default"/>
        <w:spacing w:line="360" w:lineRule="auto"/>
        <w:ind w:firstLineChars="200" w:firstLine="360"/>
        <w:rPr>
          <w:rFonts w:hAnsi="宋体"/>
          <w:sz w:val="18"/>
          <w:szCs w:val="18"/>
        </w:rPr>
      </w:pPr>
      <w:r>
        <w:rPr>
          <w:rFonts w:hAnsi="宋体" w:hint="eastAsia"/>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4</w:t>
      </w:r>
      <w:r>
        <w:rPr>
          <w:rFonts w:hAnsi="宋体" w:hint="eastAsia"/>
          <w:b/>
          <w:bCs/>
          <w:sz w:val="18"/>
          <w:szCs w:val="18"/>
        </w:rPr>
        <w:t>.上市公司股票估值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上市公司股票包括正常流通普通股、流通受限股票、长期停牌股票和新发行未上市股票。具体估值方法如下：</w:t>
      </w:r>
    </w:p>
    <w:p w:rsidR="00E039EF" w:rsidRDefault="003F2D22">
      <w:pPr>
        <w:pStyle w:val="Default"/>
        <w:spacing w:line="360" w:lineRule="auto"/>
        <w:ind w:firstLineChars="200" w:firstLine="360"/>
        <w:rPr>
          <w:rFonts w:hAnsi="宋体"/>
          <w:sz w:val="18"/>
          <w:szCs w:val="18"/>
        </w:rPr>
      </w:pPr>
      <w:r>
        <w:rPr>
          <w:rFonts w:hAnsi="宋体" w:hint="eastAsia"/>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（2）送股、转增股、配股和公开增发新股等发行未上市的股票，按估值日在证券交易所上市的同一股票的收盘价或最近交易日的收盘价确定公允价值。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rsidR="00E039EF" w:rsidRDefault="003F2D22">
      <w:pPr>
        <w:pStyle w:val="Default"/>
        <w:spacing w:line="360" w:lineRule="auto"/>
        <w:ind w:firstLineChars="200" w:firstLine="360"/>
        <w:rPr>
          <w:rFonts w:hAnsi="宋体"/>
          <w:sz w:val="18"/>
          <w:szCs w:val="18"/>
        </w:rPr>
      </w:pPr>
      <w:r>
        <w:rPr>
          <w:rFonts w:hAnsi="宋体" w:hint="eastAsia"/>
          <w:sz w:val="18"/>
          <w:szCs w:val="18"/>
        </w:rPr>
        <w:t>（4）长期停牌股票，根据停牌原因、停牌时间及停牌公司公告等信息，采用估值技术确定公允价值。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（5）新发行未上市股票，如果发行日后未发生影响公允价值计量的重大事件的，应采用发行价作为公允价值的最佳估计，已发生影响公允价值计量重大事件的应采用估值技术确定公允价值。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5</w:t>
      </w:r>
      <w:r>
        <w:rPr>
          <w:rFonts w:hAnsi="宋体" w:hint="eastAsia"/>
          <w:b/>
          <w:bCs/>
          <w:sz w:val="18"/>
          <w:szCs w:val="18"/>
        </w:rPr>
        <w:t>.未上市公司股权</w:t>
      </w:r>
    </w:p>
    <w:p w:rsidR="00E039EF" w:rsidRDefault="003F2D22">
      <w:pPr>
        <w:pStyle w:val="Default"/>
        <w:spacing w:line="360" w:lineRule="auto"/>
        <w:ind w:firstLineChars="200" w:firstLine="360"/>
        <w:rPr>
          <w:rFonts w:hAnsi="宋体"/>
          <w:sz w:val="18"/>
          <w:szCs w:val="18"/>
        </w:rPr>
      </w:pPr>
      <w:r>
        <w:rPr>
          <w:rFonts w:hAnsi="宋体" w:hint="eastAsia"/>
          <w:sz w:val="18"/>
          <w:szCs w:val="18"/>
        </w:rPr>
        <w:t>以公允价值计量，应综合考虑被评估企业实际情况、市场交易情况及其他可获得的信息，采用市场法、收益法、重置成本法等估值技术，结合流动性折扣等因素评估公允价值。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6</w:t>
      </w:r>
      <w:r>
        <w:rPr>
          <w:rFonts w:hAnsi="宋体" w:hint="eastAsia"/>
          <w:b/>
          <w:bCs/>
          <w:sz w:val="18"/>
          <w:szCs w:val="18"/>
        </w:rPr>
        <w:t>.优先股</w:t>
      </w:r>
    </w:p>
    <w:p w:rsidR="00E039EF" w:rsidRDefault="003F2D22">
      <w:pPr>
        <w:pStyle w:val="Default"/>
        <w:spacing w:line="360" w:lineRule="auto"/>
        <w:ind w:firstLineChars="200" w:firstLine="360"/>
        <w:rPr>
          <w:rFonts w:hAnsi="宋体"/>
          <w:sz w:val="18"/>
          <w:szCs w:val="18"/>
        </w:rPr>
      </w:pPr>
      <w:r>
        <w:rPr>
          <w:rFonts w:hAnsi="宋体" w:hint="eastAsia"/>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7</w:t>
      </w:r>
      <w:r>
        <w:rPr>
          <w:rFonts w:hAnsi="宋体" w:hint="eastAsia"/>
          <w:b/>
          <w:bCs/>
          <w:sz w:val="18"/>
          <w:szCs w:val="18"/>
        </w:rPr>
        <w:t>.证券投资基金估值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（1）非上市基金估值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1)本产品投资的境内非货币市场基金，按所投资基金估值日的基金份额净值估值；估值日基金净值未公布的，以基金管理人公布的最近一个工作日基金份额净值计算。</w:t>
      </w:r>
    </w:p>
    <w:p w:rsidR="00E039EF" w:rsidRDefault="003F2D22">
      <w:pPr>
        <w:pStyle w:val="Default"/>
        <w:spacing w:line="360" w:lineRule="auto"/>
        <w:ind w:firstLineChars="200" w:firstLine="360"/>
        <w:rPr>
          <w:rFonts w:hAnsi="宋体"/>
          <w:sz w:val="18"/>
          <w:szCs w:val="18"/>
        </w:rPr>
      </w:pPr>
      <w:r>
        <w:rPr>
          <w:rFonts w:hAnsi="宋体" w:hint="eastAsia"/>
          <w:sz w:val="18"/>
          <w:szCs w:val="18"/>
        </w:rPr>
        <w:lastRenderedPageBreak/>
        <w:t>2)本产品投资的境内货币市场基金，按所投资基金前一估值日后至估值日期间（含节假日）的万份收益计提估值日基金收益。</w:t>
      </w:r>
    </w:p>
    <w:p w:rsidR="00E039EF" w:rsidRDefault="003F2D22">
      <w:pPr>
        <w:pStyle w:val="Default"/>
        <w:spacing w:line="360" w:lineRule="auto"/>
        <w:ind w:firstLineChars="200" w:firstLine="360"/>
        <w:rPr>
          <w:rFonts w:hAnsi="宋体"/>
          <w:sz w:val="18"/>
          <w:szCs w:val="18"/>
        </w:rPr>
      </w:pPr>
      <w:r>
        <w:rPr>
          <w:rFonts w:hAnsi="宋体" w:hint="eastAsia"/>
          <w:sz w:val="18"/>
          <w:szCs w:val="18"/>
        </w:rPr>
        <w:t>（2）上市基金估值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1)本产品投资的ETF基金、境内上市定期开放式基金、封闭式基金，按照所投资基金估值日的收盘价估值；估值日无交易的，以最近交易日的收盘价估值。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2)本产品投资的境内上市开放式基金（LOF），按所投资基金估值日的基金份额净值估值；估值日基金净值未公布的，以基金管理人公布的最近一个工作日基金份额净值计算。</w:t>
      </w:r>
    </w:p>
    <w:p w:rsidR="00E039EF" w:rsidRDefault="003F2D22">
      <w:pPr>
        <w:pStyle w:val="Default"/>
        <w:spacing w:line="360" w:lineRule="auto"/>
        <w:ind w:firstLineChars="200" w:firstLine="360"/>
        <w:rPr>
          <w:rFonts w:hAnsi="宋体"/>
          <w:sz w:val="18"/>
          <w:szCs w:val="18"/>
        </w:rPr>
      </w:pPr>
      <w:r>
        <w:rPr>
          <w:rFonts w:hAnsi="宋体" w:hint="eastAsia"/>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8</w:t>
      </w:r>
      <w:r>
        <w:rPr>
          <w:rFonts w:hAnsi="宋体" w:hint="eastAsia"/>
          <w:b/>
          <w:bCs/>
          <w:sz w:val="18"/>
          <w:szCs w:val="18"/>
        </w:rPr>
        <w:t>.其他资产管理产品的估值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asciiTheme="minorEastAsia" w:eastAsiaTheme="minorEastAsia" w:hAnsiTheme="minorEastAsia" w:hint="eastAsia"/>
          <w:bCs/>
          <w:sz w:val="18"/>
          <w:szCs w:val="18"/>
        </w:rPr>
        <w:t>若无法获取净值，产品管理人可与托管人商定后，采用在当前情况下适用的估值技术确定公允价值。</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9</w:t>
      </w:r>
      <w:r>
        <w:rPr>
          <w:rFonts w:hAnsi="宋体" w:hint="eastAsia"/>
          <w:b/>
          <w:bCs/>
          <w:sz w:val="18"/>
          <w:szCs w:val="18"/>
        </w:rPr>
        <w:t>.衍生金融工具估值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rsidR="00E039EF" w:rsidRDefault="003F2D22">
      <w:pPr>
        <w:pStyle w:val="Default"/>
        <w:spacing w:line="360" w:lineRule="auto"/>
        <w:ind w:firstLineChars="200" w:firstLine="361"/>
        <w:rPr>
          <w:rFonts w:hAnsi="宋体"/>
          <w:b/>
          <w:bCs/>
          <w:sz w:val="18"/>
          <w:szCs w:val="18"/>
        </w:rPr>
      </w:pPr>
      <w:r>
        <w:rPr>
          <w:rFonts w:hAnsi="宋体"/>
          <w:b/>
          <w:bCs/>
          <w:sz w:val="18"/>
          <w:szCs w:val="18"/>
        </w:rPr>
        <w:t>10</w:t>
      </w:r>
      <w:r>
        <w:rPr>
          <w:rFonts w:hAnsi="宋体" w:hint="eastAsia"/>
          <w:b/>
          <w:bCs/>
          <w:sz w:val="18"/>
          <w:szCs w:val="18"/>
        </w:rPr>
        <w:t>.存款、拆借、回购等货币市场工具的估值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以本金列示，按商定利率在实际持有期间内逐日计提利息。如有估值技术能更准确反映其公允价值的，采用估值技术进行估值。</w:t>
      </w:r>
    </w:p>
    <w:p w:rsidR="00E039EF" w:rsidRDefault="003F2D22">
      <w:pPr>
        <w:pStyle w:val="Default"/>
        <w:spacing w:line="360" w:lineRule="auto"/>
        <w:ind w:firstLineChars="200" w:firstLine="360"/>
        <w:rPr>
          <w:rFonts w:hAnsi="宋体"/>
          <w:sz w:val="18"/>
          <w:szCs w:val="18"/>
        </w:rPr>
      </w:pPr>
      <w:r>
        <w:rPr>
          <w:rFonts w:hAnsi="宋体" w:hint="eastAsia"/>
          <w:sz w:val="18"/>
          <w:szCs w:val="18"/>
        </w:rPr>
        <w:t>1</w:t>
      </w:r>
      <w:r>
        <w:rPr>
          <w:rFonts w:hAnsi="宋体"/>
          <w:sz w:val="18"/>
          <w:szCs w:val="18"/>
        </w:rPr>
        <w:t>1</w:t>
      </w:r>
      <w:r>
        <w:rPr>
          <w:rFonts w:hAnsi="宋体" w:hint="eastAsia"/>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sz w:val="18"/>
          <w:szCs w:val="18"/>
        </w:rPr>
        <w:t>2</w:t>
      </w:r>
      <w:r>
        <w:rPr>
          <w:rFonts w:ascii="黑体" w:eastAsia="黑体" w:hAnsi="黑体" w:hint="eastAsia"/>
          <w:sz w:val="18"/>
          <w:szCs w:val="18"/>
        </w:rPr>
        <w:t>.★估值方法的调整</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若因相关法律法规以及监管部门有规定，需要调整估值方法的，管理人应按相关规定要求使用调整后的估值方法进行估值。</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lastRenderedPageBreak/>
        <w:t>（五）估值程序</w:t>
      </w:r>
    </w:p>
    <w:p w:rsidR="00E039EF" w:rsidRDefault="003F2D22">
      <w:pPr>
        <w:pStyle w:val="Default"/>
        <w:spacing w:line="360" w:lineRule="auto"/>
        <w:ind w:firstLineChars="200" w:firstLine="360"/>
        <w:rPr>
          <w:rFonts w:hAnsi="宋体"/>
          <w:sz w:val="18"/>
          <w:szCs w:val="18"/>
        </w:rPr>
      </w:pPr>
      <w:r>
        <w:rPr>
          <w:rFonts w:hAnsi="宋体" w:hint="eastAsia"/>
          <w:sz w:val="18"/>
          <w:szCs w:val="18"/>
        </w:rPr>
        <w:t>1.产品份额净值是按照估值日产品资产净值除以当日产品总份额计算，四舍五入保留5位小数。国家另有规定的，从其规定。</w:t>
      </w:r>
    </w:p>
    <w:p w:rsidR="00E039EF" w:rsidRDefault="003F2D22">
      <w:pPr>
        <w:pStyle w:val="Default"/>
        <w:spacing w:line="360" w:lineRule="auto"/>
        <w:ind w:firstLineChars="200" w:firstLine="360"/>
        <w:rPr>
          <w:rFonts w:hAnsi="宋体"/>
          <w:sz w:val="18"/>
          <w:szCs w:val="18"/>
        </w:rPr>
      </w:pPr>
      <w:r>
        <w:rPr>
          <w:rFonts w:hAnsi="宋体" w:hint="eastAsia"/>
          <w:sz w:val="18"/>
          <w:szCs w:val="18"/>
        </w:rPr>
        <w:t xml:space="preserve">2.产品管理人对理财资产估值后，将产品份额净值发送产品托管人，经产品托管人复核无误后，由产品管理人按规定对外公布。 </w:t>
      </w:r>
    </w:p>
    <w:p w:rsidR="00E039EF" w:rsidRDefault="003F2D22">
      <w:pPr>
        <w:pStyle w:val="Default"/>
        <w:spacing w:line="360" w:lineRule="auto"/>
        <w:ind w:firstLineChars="200" w:firstLine="360"/>
        <w:rPr>
          <w:rFonts w:hAnsi="宋体"/>
          <w:sz w:val="18"/>
          <w:szCs w:val="18"/>
        </w:rPr>
      </w:pPr>
      <w:r>
        <w:rPr>
          <w:rFonts w:hAnsi="宋体" w:hint="eastAsia"/>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rsidR="00E039EF" w:rsidRDefault="003F2D22">
      <w:pPr>
        <w:pStyle w:val="Default"/>
        <w:spacing w:line="360" w:lineRule="auto"/>
        <w:ind w:firstLineChars="200" w:firstLine="361"/>
        <w:rPr>
          <w:rFonts w:hAnsi="宋体"/>
          <w:b/>
          <w:bCs/>
          <w:sz w:val="18"/>
          <w:szCs w:val="18"/>
        </w:rPr>
      </w:pPr>
      <w:r>
        <w:rPr>
          <w:rFonts w:hAnsi="宋体" w:hint="eastAsia"/>
          <w:b/>
          <w:bCs/>
          <w:sz w:val="18"/>
          <w:szCs w:val="18"/>
        </w:rPr>
        <w:t>（六）估值主体</w:t>
      </w:r>
    </w:p>
    <w:p w:rsidR="00E039EF" w:rsidRDefault="003F2D22">
      <w:pPr>
        <w:pStyle w:val="Default"/>
        <w:spacing w:line="360" w:lineRule="auto"/>
        <w:ind w:firstLineChars="200" w:firstLine="360"/>
        <w:rPr>
          <w:rFonts w:hAnsi="宋体"/>
          <w:sz w:val="18"/>
          <w:szCs w:val="18"/>
        </w:rPr>
      </w:pPr>
      <w:r>
        <w:rPr>
          <w:rFonts w:hAnsi="宋体" w:hint="eastAsia"/>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1.理财产品投资涉及的交易市场遇法定节假日或其他原因暂停营业时；</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2.因任何不可抗力致使理财产品管理人、托管人无法准确评估资产价值时；</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3.开放式理财产品在前一估值日内理财产品资产净值50%以上的资产不具备活跃交易市场或者在活跃市场中无报价，且不能采用估值技术可靠计量公允价值的；</w:t>
      </w:r>
    </w:p>
    <w:p w:rsidR="00E039EF" w:rsidRDefault="003F2D2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4.监管机构规定的其他情形。</w:t>
      </w:r>
    </w:p>
    <w:p w:rsidR="00E039EF" w:rsidRDefault="003F2D22">
      <w:pPr>
        <w:widowControl/>
        <w:spacing w:line="360" w:lineRule="auto"/>
        <w:jc w:val="left"/>
        <w:rPr>
          <w:rFonts w:ascii="宋体" w:hAnsi="宋体"/>
          <w:kern w:val="0"/>
          <w:sz w:val="18"/>
          <w:szCs w:val="18"/>
        </w:rPr>
      </w:pPr>
      <w:r>
        <w:rPr>
          <w:rFonts w:hAnsi="宋体"/>
          <w:sz w:val="18"/>
          <w:szCs w:val="18"/>
        </w:rPr>
        <w:br w:type="page"/>
      </w:r>
    </w:p>
    <w:p w:rsidR="00E039EF" w:rsidRDefault="003F2D22">
      <w:pPr>
        <w:pStyle w:val="1"/>
        <w:spacing w:before="0" w:after="0" w:line="360" w:lineRule="auto"/>
        <w:ind w:left="60" w:firstLine="10"/>
        <w:jc w:val="center"/>
        <w:rPr>
          <w:rFonts w:ascii="Times New Roman"/>
          <w:sz w:val="30"/>
        </w:rPr>
      </w:pPr>
      <w:bookmarkStart w:id="65" w:name="_Hlt70481650"/>
      <w:bookmarkStart w:id="66" w:name="_Toc74065744"/>
      <w:bookmarkStart w:id="67" w:name="_Toc12245"/>
      <w:bookmarkStart w:id="68" w:name="_Toc123051453"/>
      <w:bookmarkStart w:id="69" w:name="_Toc29251"/>
      <w:bookmarkStart w:id="70" w:name="_Toc79154671"/>
      <w:bookmarkStart w:id="71" w:name="_Toc6405"/>
      <w:bookmarkStart w:id="72" w:name="_Toc98560353"/>
      <w:bookmarkStart w:id="73" w:name="_Toc139991737"/>
      <w:bookmarkStart w:id="74" w:name="_Toc141703887"/>
      <w:bookmarkStart w:id="75" w:name="_Toc15143"/>
      <w:bookmarkStart w:id="76" w:name="_Toc31235"/>
      <w:bookmarkStart w:id="77" w:name="_Toc31644"/>
      <w:bookmarkStart w:id="78" w:name="_Toc31653"/>
      <w:bookmarkStart w:id="79" w:name="_Toc26207"/>
      <w:bookmarkStart w:id="80" w:name="_Toc3601"/>
      <w:bookmarkStart w:id="81" w:name="_Toc123112235"/>
      <w:bookmarkStart w:id="82" w:name="_Toc14835"/>
      <w:bookmarkStart w:id="83" w:name="_Toc116649656"/>
      <w:bookmarkStart w:id="84" w:name="_Toc123102454"/>
      <w:bookmarkEnd w:id="65"/>
      <w:r>
        <w:rPr>
          <w:rFonts w:ascii="Times New Roman"/>
          <w:sz w:val="30"/>
        </w:rPr>
        <w:lastRenderedPageBreak/>
        <w:t>第八</w:t>
      </w:r>
      <w:r>
        <w:rPr>
          <w:rFonts w:ascii="Times New Roman" w:hint="eastAsia"/>
          <w:sz w:val="30"/>
        </w:rPr>
        <w:t>条</w:t>
      </w:r>
      <w:r>
        <w:rPr>
          <w:rFonts w:ascii="Times New Roman"/>
          <w:sz w:val="30"/>
        </w:rPr>
        <w:t xml:space="preserve">  </w:t>
      </w:r>
      <w:r>
        <w:rPr>
          <w:rFonts w:ascii="Times New Roman" w:hint="eastAsia"/>
          <w:sz w:val="30"/>
        </w:rPr>
        <w:t>理财产品的利益分配</w:t>
      </w:r>
      <w:bookmarkStart w:id="85" w:name="_Hlt55355235"/>
      <w:bookmarkStart w:id="86" w:name="_Toc15118234"/>
      <w:bookmarkStart w:id="87" w:name="_Toc79392580"/>
      <w:bookmarkStart w:id="88" w:name="_Toc57530239"/>
      <w:bookmarkStart w:id="89" w:name="_Toc52371166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039EF" w:rsidRDefault="003F2D22">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1. 依据分配时点，理财利益的分配可分为“期间分配”与“终止分配”。</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 依据分配方式，理财利益的分配可分为“现金分配”与“非现金分配”。</w:t>
      </w:r>
    </w:p>
    <w:p w:rsidR="00E039EF" w:rsidRDefault="003F2D22">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1.本产品利益分配应遵循下列原则： </w:t>
      </w:r>
    </w:p>
    <w:p w:rsidR="00E039EF" w:rsidRDefault="003F2D22">
      <w:pPr>
        <w:pStyle w:val="Default"/>
        <w:spacing w:line="360" w:lineRule="auto"/>
        <w:ind w:firstLineChars="200" w:firstLine="360"/>
        <w:rPr>
          <w:rFonts w:hAnsi="宋体"/>
          <w:color w:val="auto"/>
          <w:sz w:val="18"/>
          <w:szCs w:val="18"/>
        </w:rPr>
      </w:pPr>
      <w:r>
        <w:rPr>
          <w:rFonts w:hAnsi="宋体"/>
          <w:color w:val="auto"/>
          <w:sz w:val="18"/>
          <w:szCs w:val="18"/>
        </w:rPr>
        <w:t>每一</w:t>
      </w:r>
      <w:r>
        <w:rPr>
          <w:rFonts w:hAnsi="宋体" w:hint="eastAsia"/>
          <w:color w:val="auto"/>
          <w:sz w:val="18"/>
          <w:szCs w:val="18"/>
        </w:rPr>
        <w:t>产品</w:t>
      </w:r>
      <w:r>
        <w:rPr>
          <w:rFonts w:hAnsi="宋体"/>
          <w:color w:val="auto"/>
          <w:sz w:val="18"/>
          <w:szCs w:val="18"/>
        </w:rPr>
        <w:t>份额享有同等分配权</w:t>
      </w:r>
      <w:r>
        <w:rPr>
          <w:rFonts w:hAnsi="宋体" w:hint="eastAsia"/>
          <w:color w:val="auto"/>
          <w:sz w:val="18"/>
          <w:szCs w:val="18"/>
        </w:rPr>
        <w:t>。</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color w:val="auto"/>
          <w:sz w:val="18"/>
          <w:szCs w:val="18"/>
        </w:rPr>
        <w:t>在不违反法律法规、</w:t>
      </w:r>
      <w:r>
        <w:rPr>
          <w:rFonts w:hAnsi="宋体" w:hint="eastAsia"/>
          <w:color w:val="auto"/>
          <w:sz w:val="18"/>
          <w:szCs w:val="18"/>
        </w:rPr>
        <w:t>理财产品销售文件</w:t>
      </w:r>
      <w:r>
        <w:rPr>
          <w:rFonts w:hAnsi="宋体"/>
          <w:color w:val="auto"/>
          <w:sz w:val="18"/>
          <w:szCs w:val="18"/>
        </w:rPr>
        <w:t>约定以及对份额持有人</w:t>
      </w:r>
      <w:r>
        <w:rPr>
          <w:rFonts w:hAnsi="宋体" w:hint="eastAsia"/>
          <w:color w:val="auto"/>
          <w:sz w:val="18"/>
          <w:szCs w:val="18"/>
        </w:rPr>
        <w:t>权益</w:t>
      </w:r>
      <w:r>
        <w:rPr>
          <w:rFonts w:hAnsi="宋体"/>
          <w:color w:val="auto"/>
          <w:sz w:val="18"/>
          <w:szCs w:val="18"/>
        </w:rPr>
        <w:t>无实质性不利影响的情况下，</w:t>
      </w:r>
      <w:r>
        <w:rPr>
          <w:rFonts w:asciiTheme="majorEastAsia" w:eastAsiaTheme="majorEastAsia" w:hAnsiTheme="majorEastAsia" w:hint="eastAsia"/>
          <w:bCs/>
          <w:color w:val="auto"/>
          <w:sz w:val="18"/>
          <w:szCs w:val="18"/>
        </w:rPr>
        <w:t>产品管理人</w:t>
      </w:r>
      <w:r>
        <w:rPr>
          <w:rFonts w:hAnsi="宋体"/>
          <w:color w:val="auto"/>
          <w:sz w:val="18"/>
          <w:szCs w:val="18"/>
        </w:rPr>
        <w:t>可调整</w:t>
      </w:r>
      <w:r>
        <w:rPr>
          <w:rFonts w:hAnsi="宋体" w:hint="eastAsia"/>
          <w:color w:val="auto"/>
          <w:sz w:val="18"/>
          <w:szCs w:val="18"/>
        </w:rPr>
        <w:t>本产品</w:t>
      </w:r>
      <w:r>
        <w:rPr>
          <w:rFonts w:hAnsi="宋体"/>
          <w:color w:val="auto"/>
          <w:sz w:val="18"/>
          <w:szCs w:val="18"/>
        </w:rPr>
        <w:t>利益的分配原则和支付方式</w:t>
      </w:r>
      <w:r>
        <w:rPr>
          <w:rFonts w:hAnsi="宋体" w:hint="eastAsia"/>
          <w:color w:val="auto"/>
          <w:sz w:val="18"/>
          <w:szCs w:val="18"/>
        </w:rPr>
        <w:t>。法律法规或监管机构另有规定的从其规定。</w:t>
      </w:r>
    </w:p>
    <w:p w:rsidR="00E039EF" w:rsidRDefault="003F2D22">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E039EF" w:rsidRDefault="003F2D22">
      <w:pPr>
        <w:pStyle w:val="Default"/>
        <w:spacing w:line="360" w:lineRule="auto"/>
        <w:ind w:firstLineChars="200" w:firstLine="361"/>
        <w:rPr>
          <w:rFonts w:hAnsi="宋体"/>
          <w:b/>
          <w:bCs/>
          <w:color w:val="auto"/>
          <w:sz w:val="18"/>
          <w:szCs w:val="18"/>
        </w:rPr>
      </w:pPr>
      <w:permStart w:id="578822937" w:edGrp="everyone"/>
      <w:r>
        <w:rPr>
          <w:rFonts w:hAnsi="宋体" w:hint="eastAsia"/>
          <w:b/>
          <w:bCs/>
          <w:color w:val="auto"/>
          <w:sz w:val="18"/>
          <w:szCs w:val="18"/>
        </w:rPr>
        <w:t>1.分配方案要点：</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（1）本产品的分配时点包括“期间分配”和“终止分配”。</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（2）本产品的分配方式仅采取“现金分配”。</w:t>
      </w:r>
    </w:p>
    <w:p w:rsidR="00E039EF" w:rsidRDefault="003F2D22">
      <w:pPr>
        <w:pStyle w:val="Default"/>
        <w:spacing w:line="360" w:lineRule="auto"/>
        <w:ind w:firstLineChars="200" w:firstLine="360"/>
        <w:rPr>
          <w:rFonts w:hAnsi="宋体"/>
          <w:color w:val="auto"/>
          <w:sz w:val="18"/>
          <w:szCs w:val="18"/>
        </w:rPr>
      </w:pPr>
      <w:r>
        <w:rPr>
          <w:rFonts w:hAnsi="宋体"/>
          <w:color w:val="auto"/>
          <w:sz w:val="18"/>
          <w:szCs w:val="18"/>
        </w:rPr>
        <w:t>2.具体理财利益分配方案由产品管理人拟定，并由产品托管人复核后确定。</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3.理财产品存续期间，产品管理人</w:t>
      </w:r>
      <w:r>
        <w:rPr>
          <w:rFonts w:hAnsi="宋体"/>
          <w:color w:val="auto"/>
          <w:sz w:val="18"/>
          <w:szCs w:val="18"/>
        </w:rPr>
        <w:t>有权视理财产品</w:t>
      </w:r>
      <w:r>
        <w:rPr>
          <w:rFonts w:hAnsi="宋体" w:hint="eastAsia"/>
          <w:color w:val="auto"/>
          <w:sz w:val="18"/>
          <w:szCs w:val="18"/>
        </w:rPr>
        <w:t>收益情况</w:t>
      </w:r>
      <w:r>
        <w:rPr>
          <w:rFonts w:hAnsi="宋体"/>
          <w:color w:val="auto"/>
          <w:sz w:val="18"/>
          <w:szCs w:val="18"/>
        </w:rPr>
        <w:t>进行主动分配，相应分配基准日、分配方案由管理人</w:t>
      </w:r>
      <w:r>
        <w:rPr>
          <w:rFonts w:hAnsi="宋体" w:hint="eastAsia"/>
          <w:color w:val="auto"/>
          <w:sz w:val="18"/>
          <w:szCs w:val="18"/>
        </w:rPr>
        <w:t>及时</w:t>
      </w:r>
      <w:r>
        <w:rPr>
          <w:rFonts w:hAnsi="宋体"/>
          <w:color w:val="auto"/>
          <w:sz w:val="18"/>
          <w:szCs w:val="18"/>
        </w:rPr>
        <w:t>披露。</w:t>
      </w:r>
    </w:p>
    <w:permEnd w:id="578822937"/>
    <w:p w:rsidR="00E039EF" w:rsidRDefault="003F2D22">
      <w:pPr>
        <w:spacing w:line="360" w:lineRule="auto"/>
        <w:ind w:firstLine="360"/>
        <w:rPr>
          <w:rFonts w:ascii="宋体" w:hAnsi="宋体"/>
          <w:b/>
          <w:sz w:val="18"/>
          <w:szCs w:val="18"/>
        </w:rPr>
      </w:pPr>
      <w:r>
        <w:rPr>
          <w:rFonts w:ascii="宋体" w:hAnsi="宋体" w:hint="eastAsia"/>
          <w:b/>
          <w:kern w:val="0"/>
          <w:sz w:val="18"/>
          <w:szCs w:val="18"/>
        </w:rPr>
        <w:t>（四）理财利益的分配</w:t>
      </w:r>
    </w:p>
    <w:p w:rsidR="00E039EF" w:rsidRDefault="003F2D22">
      <w:pPr>
        <w:pStyle w:val="Default"/>
        <w:spacing w:line="360" w:lineRule="auto"/>
        <w:ind w:firstLineChars="200" w:firstLine="360"/>
        <w:rPr>
          <w:rFonts w:hAnsi="宋体"/>
          <w:color w:val="auto"/>
          <w:sz w:val="18"/>
          <w:szCs w:val="18"/>
        </w:rPr>
      </w:pPr>
      <w:permStart w:id="1114589814" w:edGrp="everyone"/>
      <w:r>
        <w:rPr>
          <w:rFonts w:hAnsi="宋体" w:hint="eastAsia"/>
          <w:color w:val="auto"/>
          <w:sz w:val="18"/>
          <w:szCs w:val="18"/>
        </w:rPr>
        <w:t>1.理财利益的分配日</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（1）若为期间分配的，原则上产品管理人应于分配基准日后【5】</w:t>
      </w:r>
      <w:proofErr w:type="gramStart"/>
      <w:r>
        <w:rPr>
          <w:rFonts w:hAnsi="宋体" w:hint="eastAsia"/>
          <w:color w:val="auto"/>
          <w:sz w:val="18"/>
          <w:szCs w:val="18"/>
        </w:rPr>
        <w:t>个</w:t>
      </w:r>
      <w:proofErr w:type="gramEnd"/>
      <w:r>
        <w:rPr>
          <w:rFonts w:hAnsi="宋体" w:hint="eastAsia"/>
          <w:color w:val="auto"/>
          <w:sz w:val="18"/>
          <w:szCs w:val="18"/>
        </w:rPr>
        <w:t>工作日内分配理财利益（如有）。</w:t>
      </w:r>
    </w:p>
    <w:p w:rsidR="00E039EF" w:rsidRDefault="003F2D22">
      <w:pPr>
        <w:pStyle w:val="Default"/>
        <w:spacing w:line="360" w:lineRule="auto"/>
        <w:ind w:firstLineChars="200" w:firstLine="360"/>
        <w:rPr>
          <w:rFonts w:hAnsi="宋体"/>
          <w:color w:val="auto"/>
          <w:sz w:val="18"/>
          <w:szCs w:val="18"/>
        </w:rPr>
      </w:pPr>
      <w:r>
        <w:rPr>
          <w:rFonts w:hAnsi="宋体" w:hint="eastAsia"/>
          <w:color w:val="auto"/>
          <w:sz w:val="18"/>
          <w:szCs w:val="18"/>
        </w:rPr>
        <w:t>（2）若为终止分配的，产品管理人应按“第十条 理财产品的终止与清算”中产品清算期的相关约定向投资者分配理财利益（如有）。</w:t>
      </w:r>
    </w:p>
    <w:p w:rsidR="00E039EF" w:rsidRDefault="003F2D22">
      <w:pPr>
        <w:pStyle w:val="Default"/>
        <w:spacing w:line="360" w:lineRule="auto"/>
        <w:ind w:firstLineChars="200" w:firstLine="360"/>
        <w:rPr>
          <w:rFonts w:hAnsi="宋体"/>
          <w:color w:val="auto"/>
          <w:sz w:val="18"/>
          <w:szCs w:val="18"/>
        </w:rPr>
      </w:pPr>
      <w:r>
        <w:rPr>
          <w:rFonts w:hAnsi="宋体"/>
          <w:color w:val="auto"/>
          <w:sz w:val="18"/>
          <w:szCs w:val="18"/>
        </w:rPr>
        <w:t>2.</w:t>
      </w:r>
      <w:r>
        <w:rPr>
          <w:rFonts w:hAnsi="宋体" w:hint="eastAsia"/>
          <w:color w:val="auto"/>
          <w:sz w:val="18"/>
          <w:szCs w:val="18"/>
        </w:rPr>
        <w:t>具体的理财利益分配以管理人实际分配的为准。</w:t>
      </w:r>
    </w:p>
    <w:permEnd w:id="1114589814"/>
    <w:p w:rsidR="00E039EF" w:rsidRDefault="003F2D22">
      <w:pPr>
        <w:widowControl/>
        <w:spacing w:line="360" w:lineRule="auto"/>
        <w:jc w:val="left"/>
        <w:rPr>
          <w:rFonts w:ascii="宋体" w:hAnsi="宋体"/>
          <w:kern w:val="0"/>
          <w:sz w:val="18"/>
          <w:szCs w:val="18"/>
        </w:rPr>
      </w:pPr>
      <w:r>
        <w:rPr>
          <w:rFonts w:hAnsi="宋体"/>
          <w:sz w:val="18"/>
          <w:szCs w:val="18"/>
        </w:rPr>
        <w:br w:type="page"/>
      </w:r>
    </w:p>
    <w:p w:rsidR="00E039EF" w:rsidRDefault="003F2D22">
      <w:pPr>
        <w:pStyle w:val="1"/>
        <w:spacing w:before="0" w:after="0" w:line="360" w:lineRule="auto"/>
        <w:jc w:val="center"/>
        <w:rPr>
          <w:rFonts w:ascii="Times New Roman"/>
          <w:sz w:val="30"/>
        </w:rPr>
      </w:pPr>
      <w:bookmarkStart w:id="90" w:name="_Hlt88897298"/>
      <w:bookmarkStart w:id="91" w:name="_Hlt88825574"/>
      <w:bookmarkStart w:id="92" w:name="_Toc98560354"/>
      <w:bookmarkStart w:id="93" w:name="_Toc4559"/>
      <w:bookmarkStart w:id="94" w:name="_Toc3771"/>
      <w:bookmarkStart w:id="95" w:name="_Toc79154672"/>
      <w:bookmarkStart w:id="96" w:name="_Toc25783"/>
      <w:bookmarkStart w:id="97" w:name="_Toc7058"/>
      <w:bookmarkStart w:id="98" w:name="_Toc74065745"/>
      <w:bookmarkStart w:id="99" w:name="_Toc116649657"/>
      <w:bookmarkStart w:id="100" w:name="_Toc9706"/>
      <w:bookmarkStart w:id="101" w:name="_Toc18567"/>
      <w:bookmarkStart w:id="102" w:name="_Toc139991738"/>
      <w:bookmarkStart w:id="103" w:name="_Toc10650"/>
      <w:bookmarkStart w:id="104" w:name="_Toc79392583"/>
      <w:bookmarkStart w:id="105" w:name="_Toc123051454"/>
      <w:bookmarkStart w:id="106" w:name="_Toc141703888"/>
      <w:bookmarkStart w:id="107" w:name="_Toc6447"/>
      <w:bookmarkStart w:id="108" w:name="_Toc123102455"/>
      <w:bookmarkStart w:id="109" w:name="_Toc11030"/>
      <w:bookmarkStart w:id="110" w:name="_Toc3321"/>
      <w:bookmarkStart w:id="111" w:name="_Toc123112236"/>
      <w:bookmarkEnd w:id="86"/>
      <w:bookmarkEnd w:id="87"/>
      <w:bookmarkEnd w:id="88"/>
      <w:bookmarkEnd w:id="89"/>
      <w:bookmarkEnd w:id="90"/>
      <w:bookmarkEnd w:id="91"/>
      <w:r>
        <w:rPr>
          <w:rFonts w:ascii="Times New Roman"/>
          <w:sz w:val="30"/>
        </w:rPr>
        <w:lastRenderedPageBreak/>
        <w:t>第九</w:t>
      </w:r>
      <w:r>
        <w:rPr>
          <w:rFonts w:ascii="Times New Roman" w:hint="eastAsia"/>
          <w:sz w:val="30"/>
        </w:rPr>
        <w:t>条</w:t>
      </w:r>
      <w:r>
        <w:rPr>
          <w:rFonts w:ascii="Times New Roman"/>
          <w:sz w:val="30"/>
        </w:rPr>
        <w:t xml:space="preserve">  </w:t>
      </w:r>
      <w:r>
        <w:rPr>
          <w:rFonts w:ascii="Times New Roman" w:hint="eastAsia"/>
          <w:sz w:val="30"/>
        </w:rPr>
        <w:t>理财产品的费用与税收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（一）理财产品的费用</w:t>
      </w:r>
    </w:p>
    <w:p w:rsidR="00E039EF" w:rsidRDefault="003F2D22">
      <w:pPr>
        <w:widowControl/>
        <w:spacing w:line="360" w:lineRule="auto"/>
        <w:ind w:firstLineChars="200" w:firstLine="360"/>
        <w:jc w:val="left"/>
        <w:rPr>
          <w:rFonts w:hAnsi="宋体"/>
          <w:sz w:val="18"/>
          <w:szCs w:val="18"/>
        </w:rPr>
      </w:pPr>
      <w:r>
        <w:rPr>
          <w:rFonts w:ascii="宋体" w:hAnsi="宋体"/>
          <w:kern w:val="0"/>
          <w:sz w:val="18"/>
          <w:szCs w:val="18"/>
        </w:rPr>
        <w:t>1</w:t>
      </w:r>
      <w:r>
        <w:rPr>
          <w:rFonts w:ascii="宋体" w:hAnsi="宋体" w:hint="eastAsia"/>
          <w:kern w:val="0"/>
          <w:sz w:val="18"/>
          <w:szCs w:val="18"/>
        </w:rPr>
        <w:t>.</w:t>
      </w:r>
      <w:r>
        <w:rPr>
          <w:rFonts w:ascii="宋体" w:hAnsi="宋体"/>
          <w:kern w:val="0"/>
          <w:sz w:val="18"/>
          <w:szCs w:val="18"/>
        </w:rPr>
        <w:t>理财产品费用的种类</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1）理财产品的认购费</w:t>
      </w:r>
      <w:r>
        <w:rPr>
          <w:rFonts w:ascii="宋体" w:hAnsi="宋体" w:hint="eastAsia"/>
          <w:kern w:val="0"/>
          <w:sz w:val="18"/>
          <w:szCs w:val="18"/>
        </w:rPr>
        <w:t>；</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2）理财产品的销售服务费</w:t>
      </w:r>
      <w:r>
        <w:rPr>
          <w:rFonts w:ascii="宋体" w:hAnsi="宋体" w:hint="eastAsia"/>
          <w:kern w:val="0"/>
          <w:sz w:val="18"/>
          <w:szCs w:val="18"/>
        </w:rPr>
        <w:t>；</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3）理财产品的投资管理费及超额业绩报酬；</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4</w:t>
      </w:r>
      <w:r>
        <w:rPr>
          <w:rFonts w:ascii="宋体" w:hAnsi="宋体" w:hint="eastAsia"/>
          <w:kern w:val="0"/>
          <w:sz w:val="18"/>
          <w:szCs w:val="18"/>
        </w:rPr>
        <w:t>）理财产品的产品托管费；</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）理财产品的交易费用（包括但不限于证券交易费用、经纪费用等）；</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）理财产品验资费、审计费、律师费、信息披露费、清算费、执行费用等相关费用；</w:t>
      </w:r>
    </w:p>
    <w:p w:rsidR="00E039EF" w:rsidRDefault="003F2D2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hint="eastAsia"/>
          <w:kern w:val="0"/>
          <w:sz w:val="18"/>
          <w:szCs w:val="18"/>
        </w:rPr>
        <w:t>）按照国家法律法规规定可以列入的其他费用。</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2.</w:t>
      </w:r>
      <w:r>
        <w:rPr>
          <w:rFonts w:ascii="宋体" w:hAnsi="宋体" w:hint="eastAsia"/>
          <w:kern w:val="0"/>
          <w:sz w:val="18"/>
          <w:szCs w:val="18"/>
        </w:rPr>
        <w:t>理财产品费用计提方法、计提标准和支付方式</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hint="eastAsia"/>
          <w:kern w:val="0"/>
          <w:sz w:val="18"/>
          <w:szCs w:val="18"/>
        </w:rPr>
        <w:t>）理财产品的认购费</w:t>
      </w:r>
    </w:p>
    <w:p w:rsidR="00E039EF" w:rsidRDefault="003F2D22">
      <w:pPr>
        <w:widowControl/>
        <w:spacing w:line="360" w:lineRule="auto"/>
        <w:ind w:firstLineChars="200" w:firstLine="360"/>
        <w:jc w:val="left"/>
        <w:rPr>
          <w:rFonts w:ascii="宋体" w:hAnsi="宋体"/>
          <w:sz w:val="18"/>
          <w:szCs w:val="18"/>
        </w:rPr>
      </w:pP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kern w:val="0"/>
          <w:sz w:val="18"/>
          <w:szCs w:val="18"/>
        </w:rPr>
        <w:t>。</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hint="eastAsia"/>
          <w:kern w:val="0"/>
          <w:sz w:val="18"/>
          <w:szCs w:val="18"/>
        </w:rPr>
        <w:t>理财产品的销售服务费</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H＝E×销售服务费年费率÷</w:t>
      </w:r>
      <w:r>
        <w:rPr>
          <w:rFonts w:ascii="宋体" w:hAnsi="宋体" w:hint="eastAsia"/>
          <w:kern w:val="0"/>
          <w:sz w:val="18"/>
          <w:szCs w:val="18"/>
        </w:rPr>
        <w:t>3</w:t>
      </w:r>
      <w:r>
        <w:rPr>
          <w:rFonts w:ascii="宋体" w:hAnsi="宋体"/>
          <w:kern w:val="0"/>
          <w:sz w:val="18"/>
          <w:szCs w:val="18"/>
        </w:rPr>
        <w:t>65</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H为每日应计提的销售服务费</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E039EF" w:rsidRDefault="003F2D22">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color w:val="auto"/>
          <w:kern w:val="2"/>
          <w:sz w:val="18"/>
          <w:szCs w:val="18"/>
        </w:rPr>
        <w:t>为准。</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hint="eastAsia"/>
          <w:kern w:val="0"/>
          <w:sz w:val="18"/>
          <w:szCs w:val="18"/>
        </w:rPr>
        <w:t>理财产品</w:t>
      </w:r>
      <w:r>
        <w:rPr>
          <w:rFonts w:ascii="宋体" w:hAnsi="宋体"/>
          <w:kern w:val="0"/>
          <w:sz w:val="18"/>
          <w:szCs w:val="18"/>
        </w:rPr>
        <w:t>的投资管理费</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投资管理费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投资管理费</w:t>
      </w:r>
    </w:p>
    <w:p w:rsidR="00E039EF" w:rsidRDefault="003F2D22">
      <w:pPr>
        <w:widowControl/>
        <w:spacing w:line="360" w:lineRule="auto"/>
        <w:ind w:firstLineChars="200" w:firstLine="360"/>
        <w:jc w:val="left"/>
        <w:rPr>
          <w:rFonts w:ascii="宋体" w:hAnsi="宋体"/>
          <w:kern w:val="0"/>
          <w:sz w:val="18"/>
          <w:szCs w:val="18"/>
        </w:rPr>
      </w:pPr>
      <w:r>
        <w:rPr>
          <w:rFonts w:ascii="宋体" w:hAnsi="宋体"/>
          <w:kern w:val="0"/>
          <w:sz w:val="18"/>
          <w:szCs w:val="18"/>
        </w:rPr>
        <w:t>E为前一日的理财资产净值</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E039EF" w:rsidRDefault="003F2D22">
      <w:pPr>
        <w:widowControl/>
        <w:spacing w:line="360" w:lineRule="auto"/>
        <w:ind w:firstLineChars="200" w:firstLine="360"/>
        <w:jc w:val="left"/>
        <w:rPr>
          <w:rFonts w:ascii="宋体" w:hAnsi="宋体"/>
          <w:kern w:val="0"/>
          <w:sz w:val="18"/>
          <w:szCs w:val="18"/>
        </w:rPr>
      </w:pPr>
      <w:permStart w:id="1487495426" w:edGrp="everyone"/>
      <w:r>
        <w:rPr>
          <w:rFonts w:ascii="宋体" w:hAnsi="宋体"/>
          <w:kern w:val="0"/>
          <w:sz w:val="18"/>
          <w:szCs w:val="18"/>
        </w:rPr>
        <w:t>（4）超额业绩报酬</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在超额业绩报酬计提日时，若理财资产扣除销售服务费、产品托管费和投资管理费等相关费用和税收后，超额业绩报酬计提日产品份额净值折算的</w:t>
      </w:r>
      <w:proofErr w:type="gramStart"/>
      <w:r>
        <w:rPr>
          <w:rFonts w:asciiTheme="majorEastAsia" w:eastAsiaTheme="majorEastAsia" w:hAnsiTheme="majorEastAsia" w:hint="eastAsia"/>
          <w:sz w:val="18"/>
          <w:szCs w:val="18"/>
        </w:rPr>
        <w:t>当前年化收益率</w:t>
      </w:r>
      <w:proofErr w:type="gramEnd"/>
      <w:r>
        <w:rPr>
          <w:rFonts w:asciiTheme="majorEastAsia" w:eastAsiaTheme="majorEastAsia" w:hAnsiTheme="majorEastAsia" w:hint="eastAsia"/>
          <w:sz w:val="18"/>
          <w:szCs w:val="18"/>
        </w:rPr>
        <w:t>超过</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报酬计提基准，则产品管理人收取超出部分的一定比例作为超额业绩报酬。</w:t>
      </w:r>
      <w:r>
        <w:rPr>
          <w:rFonts w:ascii="黑体" w:eastAsia="黑体" w:hAnsi="黑体" w:hint="eastAsia"/>
          <w:sz w:val="18"/>
          <w:szCs w:val="18"/>
        </w:rPr>
        <w:t>★</w:t>
      </w:r>
      <w:r>
        <w:rPr>
          <w:rFonts w:asciiTheme="majorEastAsia" w:eastAsiaTheme="majorEastAsia" w:hAnsiTheme="majorEastAsia" w:hint="eastAsia"/>
          <w:sz w:val="18"/>
          <w:szCs w:val="18"/>
        </w:rPr>
        <w:t>由此造成超额业绩报酬计提日产品份额净值调整的，以调整后的数值为准进行利益分配。</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业绩报酬计提基准的设置、超额业绩报酬的具体比例数值以《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1）收取超额业绩报酬的原则：</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产品份额分别</w:t>
      </w:r>
      <w:proofErr w:type="gramStart"/>
      <w:r>
        <w:rPr>
          <w:rFonts w:asciiTheme="majorEastAsia" w:eastAsiaTheme="majorEastAsia" w:hAnsiTheme="majorEastAsia" w:hint="eastAsia"/>
          <w:sz w:val="18"/>
          <w:szCs w:val="18"/>
        </w:rPr>
        <w:t>计算年化收益率</w:t>
      </w:r>
      <w:proofErr w:type="gramEnd"/>
      <w:r>
        <w:rPr>
          <w:rFonts w:asciiTheme="majorEastAsia" w:eastAsiaTheme="majorEastAsia" w:hAnsiTheme="majorEastAsia" w:hint="eastAsia"/>
          <w:sz w:val="18"/>
          <w:szCs w:val="18"/>
        </w:rPr>
        <w:t>并计提超额业绩报酬；</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②在超额业绩报酬计提日，本产品对符合超额业绩报酬提取条件的产品份额计提超额业绩报酬；</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③在产品终止日提取超额业绩报酬的，超额业绩报酬从清算资金中扣除；</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2）超额业绩报酬计提方法</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①超额业绩报酬计提起始日</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产品份额超额业绩报酬计提起始日为：募集期内认购的产品份额，以产品成立日为该</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②超额业绩报酬计提日</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每份产品份额超额业绩报酬每日计提，产品终止日结算。</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份额</w:t>
      </w:r>
      <w:proofErr w:type="gramStart"/>
      <w:r>
        <w:rPr>
          <w:rFonts w:asciiTheme="majorEastAsia" w:eastAsiaTheme="majorEastAsia" w:hAnsiTheme="majorEastAsia" w:hint="eastAsia"/>
          <w:sz w:val="18"/>
          <w:szCs w:val="18"/>
        </w:rPr>
        <w:t>当前年化收益率</w:t>
      </w:r>
      <w:proofErr w:type="gramEnd"/>
      <w:r>
        <w:rPr>
          <w:rFonts w:asciiTheme="majorEastAsia" w:eastAsiaTheme="majorEastAsia" w:hAnsiTheme="majorEastAsia" w:hint="eastAsia"/>
          <w:sz w:val="18"/>
          <w:szCs w:val="18"/>
        </w:rPr>
        <w:t>（R）超过</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报酬计提基准的部分，按比例（N）以及产品份额持有天数（D）提取超额业绩报酬，计算方法如下：</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报酬计提基准，超额业绩报酬=0；</w:t>
      </w:r>
    </w:p>
    <w:p w:rsidR="00E039EF" w:rsidRDefault="003F2D2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报酬计提基准，超额业绩报酬=产品终止时投资者持有的产品份额×产品成立日产品份额净值×（R-</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报酬计提基准）×N×D/365。</w:t>
      </w:r>
    </w:p>
    <w:permEnd w:id="1487495426"/>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w:t>
      </w:r>
      <w:r>
        <w:rPr>
          <w:rFonts w:ascii="宋体" w:hAnsi="宋体"/>
          <w:kern w:val="0"/>
          <w:sz w:val="18"/>
          <w:szCs w:val="18"/>
        </w:rPr>
        <w:t>的</w:t>
      </w:r>
      <w:r>
        <w:rPr>
          <w:rFonts w:ascii="宋体" w:hAnsi="宋体" w:hint="eastAsia"/>
          <w:kern w:val="0"/>
          <w:sz w:val="18"/>
          <w:szCs w:val="18"/>
        </w:rPr>
        <w:t>产品</w:t>
      </w:r>
      <w:r>
        <w:rPr>
          <w:rFonts w:ascii="宋体" w:hAnsi="宋体"/>
          <w:kern w:val="0"/>
          <w:sz w:val="18"/>
          <w:szCs w:val="18"/>
        </w:rPr>
        <w:t>托管费</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w:t>
      </w:r>
      <w:r>
        <w:rPr>
          <w:rFonts w:ascii="宋体" w:hAnsi="宋体"/>
          <w:sz w:val="18"/>
          <w:szCs w:val="18"/>
        </w:rPr>
        <w:t>托管</w:t>
      </w:r>
      <w:r>
        <w:rPr>
          <w:rFonts w:ascii="宋体" w:hAnsi="宋体" w:hint="eastAsia"/>
          <w:sz w:val="18"/>
          <w:szCs w:val="18"/>
        </w:rPr>
        <w:t>费按前一日理财资产净值与产品</w:t>
      </w:r>
      <w:r>
        <w:rPr>
          <w:rFonts w:ascii="宋体" w:hAnsi="宋体"/>
          <w:sz w:val="18"/>
          <w:szCs w:val="18"/>
        </w:rPr>
        <w:t>托管</w:t>
      </w:r>
      <w:r>
        <w:rPr>
          <w:rFonts w:ascii="宋体" w:hAnsi="宋体" w:hint="eastAsia"/>
          <w:sz w:val="18"/>
          <w:szCs w:val="18"/>
        </w:rPr>
        <w:t>费每日费率每日计提。</w:t>
      </w:r>
      <w:r>
        <w:rPr>
          <w:rFonts w:ascii="宋体" w:hAnsi="宋体" w:hint="eastAsia"/>
          <w:kern w:val="0"/>
          <w:sz w:val="18"/>
          <w:szCs w:val="18"/>
        </w:rPr>
        <w:t>产品</w:t>
      </w:r>
      <w:r>
        <w:rPr>
          <w:rFonts w:ascii="宋体" w:hAnsi="宋体"/>
          <w:kern w:val="0"/>
          <w:sz w:val="18"/>
          <w:szCs w:val="18"/>
        </w:rPr>
        <w:t>托管费的计算方法如下：</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产品托管费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托管费</w:t>
      </w:r>
    </w:p>
    <w:p w:rsidR="00E039EF" w:rsidRDefault="003F2D22">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lastRenderedPageBreak/>
        <w:t>（</w:t>
      </w:r>
      <w:r>
        <w:rPr>
          <w:rFonts w:ascii="宋体" w:hAnsi="宋体"/>
          <w:kern w:val="0"/>
          <w:sz w:val="18"/>
          <w:szCs w:val="18"/>
        </w:rPr>
        <w:t>6</w:t>
      </w:r>
      <w:r>
        <w:rPr>
          <w:rFonts w:ascii="宋体" w:hAnsi="宋体" w:hint="eastAsia"/>
          <w:kern w:val="0"/>
          <w:sz w:val="18"/>
          <w:szCs w:val="18"/>
        </w:rPr>
        <w:t>）</w:t>
      </w:r>
      <w:r>
        <w:rPr>
          <w:rFonts w:ascii="宋体" w:hAnsi="宋体"/>
          <w:kern w:val="0"/>
          <w:sz w:val="18"/>
          <w:szCs w:val="18"/>
        </w:rPr>
        <w:t>上述</w:t>
      </w:r>
      <w:r>
        <w:rPr>
          <w:rFonts w:ascii="宋体" w:hAnsi="宋体" w:hint="eastAsia"/>
          <w:kern w:val="0"/>
          <w:sz w:val="18"/>
          <w:szCs w:val="18"/>
        </w:rPr>
        <w:t>理财产品的证券交易费用</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E039EF" w:rsidRDefault="003F2D2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7）上述</w:t>
      </w:r>
      <w:r>
        <w:rPr>
          <w:rFonts w:ascii="宋体" w:hAnsi="宋体" w:hint="eastAsia"/>
          <w:kern w:val="0"/>
          <w:sz w:val="18"/>
          <w:szCs w:val="18"/>
        </w:rPr>
        <w:t>理财产品</w:t>
      </w:r>
      <w:r>
        <w:rPr>
          <w:rFonts w:ascii="宋体" w:hAnsi="宋体"/>
          <w:kern w:val="0"/>
          <w:sz w:val="18"/>
          <w:szCs w:val="18"/>
        </w:rPr>
        <w:t>验资费、审计费、律师费、信息披露费、</w:t>
      </w:r>
      <w:r>
        <w:rPr>
          <w:rFonts w:ascii="宋体" w:hAnsi="宋体" w:hint="eastAsia"/>
          <w:kern w:val="0"/>
          <w:sz w:val="18"/>
          <w:szCs w:val="18"/>
        </w:rPr>
        <w:t>清算费、</w:t>
      </w:r>
      <w:r>
        <w:rPr>
          <w:rFonts w:ascii="宋体" w:hAnsi="宋体"/>
          <w:kern w:val="0"/>
          <w:sz w:val="18"/>
          <w:szCs w:val="18"/>
        </w:rPr>
        <w:t>执行费用等相关费用</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ascii="宋体" w:hAnsi="宋体" w:hint="eastAsia"/>
          <w:kern w:val="0"/>
          <w:sz w:val="18"/>
          <w:szCs w:val="18"/>
        </w:rPr>
        <w:t>的，管理人有权从理财产品资产中优先受偿。</w:t>
      </w:r>
    </w:p>
    <w:p w:rsidR="00E039EF" w:rsidRDefault="003F2D22">
      <w:pPr>
        <w:pStyle w:val="Default"/>
        <w:spacing w:line="360" w:lineRule="auto"/>
        <w:ind w:firstLineChars="200" w:firstLine="360"/>
        <w:rPr>
          <w:rFonts w:ascii="黑体" w:eastAsia="黑体" w:hAnsi="黑体"/>
          <w:color w:val="auto"/>
          <w:sz w:val="18"/>
        </w:rPr>
      </w:pPr>
      <w:r>
        <w:rPr>
          <w:rFonts w:ascii="黑体" w:eastAsia="黑体" w:hAnsi="黑体"/>
          <w:color w:val="auto"/>
          <w:sz w:val="18"/>
        </w:rPr>
        <w:t>3.</w:t>
      </w:r>
      <w:r>
        <w:rPr>
          <w:rFonts w:hAnsi="宋体"/>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E039EF" w:rsidRDefault="003F2D22">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将依约定进行公告。</w:t>
      </w:r>
    </w:p>
    <w:p w:rsidR="00E039EF" w:rsidRDefault="003F2D2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E039EF" w:rsidRDefault="003F2D2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E039EF" w:rsidRDefault="003F2D22">
      <w:pPr>
        <w:pStyle w:val="1"/>
        <w:spacing w:line="360" w:lineRule="auto"/>
        <w:jc w:val="center"/>
      </w:pPr>
      <w:bookmarkStart w:id="112" w:name="_Toc1745"/>
      <w:bookmarkStart w:id="113" w:name="_Toc3963"/>
      <w:r>
        <w:br w:type="page"/>
      </w:r>
      <w:bookmarkStart w:id="114" w:name="_Toc10398"/>
      <w:bookmarkStart w:id="115" w:name="_Toc123112237"/>
      <w:bookmarkStart w:id="116" w:name="_Toc139991739"/>
      <w:bookmarkStart w:id="117" w:name="_Toc18206"/>
      <w:bookmarkStart w:id="118" w:name="_Toc3572"/>
      <w:bookmarkStart w:id="119" w:name="_Toc725"/>
      <w:bookmarkStart w:id="120" w:name="_Toc123051455"/>
      <w:bookmarkStart w:id="121" w:name="_Toc98560355"/>
      <w:bookmarkStart w:id="122" w:name="_Toc79154673"/>
      <w:bookmarkStart w:id="123" w:name="_Toc31821"/>
      <w:bookmarkStart w:id="124" w:name="_Toc141703889"/>
      <w:bookmarkStart w:id="125" w:name="_Toc21735"/>
      <w:bookmarkStart w:id="126" w:name="_Toc16164"/>
      <w:bookmarkStart w:id="127" w:name="_Toc116649658"/>
      <w:bookmarkStart w:id="128" w:name="_Toc3080"/>
      <w:bookmarkStart w:id="129" w:name="_Toc123102456"/>
      <w:bookmarkStart w:id="130" w:name="_Toc74065746"/>
      <w:r>
        <w:rPr>
          <w:rFonts w:hint="eastAsia"/>
          <w:sz w:val="30"/>
        </w:rPr>
        <w:lastRenderedPageBreak/>
        <w:t>第</w:t>
      </w:r>
      <w:r>
        <w:rPr>
          <w:sz w:val="30"/>
        </w:rPr>
        <w:t>十</w:t>
      </w:r>
      <w:r>
        <w:rPr>
          <w:rFonts w:hint="eastAsia"/>
          <w:sz w:val="30"/>
        </w:rPr>
        <w:t>条</w:t>
      </w:r>
      <w:r>
        <w:rPr>
          <w:sz w:val="30"/>
        </w:rPr>
        <w:t xml:space="preserve">  </w:t>
      </w:r>
      <w:r>
        <w:rPr>
          <w:rFonts w:hint="eastAsia"/>
          <w:sz w:val="30"/>
        </w:rPr>
        <w:t>理财产品的终止与清算</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E039EF" w:rsidRDefault="003F2D22">
      <w:pPr>
        <w:spacing w:line="360" w:lineRule="auto"/>
        <w:ind w:firstLineChars="200" w:firstLine="361"/>
        <w:rPr>
          <w:rFonts w:asciiTheme="majorEastAsia" w:eastAsiaTheme="majorEastAsia" w:hAnsiTheme="majorEastAsia"/>
          <w:b/>
          <w:bCs/>
          <w:sz w:val="18"/>
          <w:szCs w:val="18"/>
        </w:rPr>
      </w:pPr>
      <w:bookmarkStart w:id="131" w:name="_Toc57530252"/>
      <w:bookmarkStart w:id="132" w:name="_Toc15118245"/>
      <w:bookmarkStart w:id="133" w:name="_Toc79392593"/>
      <w:r>
        <w:rPr>
          <w:rFonts w:asciiTheme="majorEastAsia" w:eastAsiaTheme="majorEastAsia" w:hAnsiTheme="majorEastAsia" w:hint="eastAsia"/>
          <w:b/>
          <w:bCs/>
          <w:sz w:val="18"/>
          <w:szCs w:val="18"/>
        </w:rPr>
        <w:t>（一）理财产品的终止</w:t>
      </w:r>
    </w:p>
    <w:p w:rsidR="00E039EF" w:rsidRDefault="003F2D22">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因不可抗力原因导致理财产品无法继续运作。</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相关投资管理机构或运用理财资金的第三方主体实施符合法律法规规定或协议等相关文件约定的行为导致理财产品被动提前终止。</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因法律法规、国家金融政策或监管规定变化，或紧急措施出台影响产品继续正常运作。</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宋体" w:hAnsi="宋体" w:hint="eastAsia"/>
          <w:bCs/>
          <w:sz w:val="18"/>
          <w:szCs w:val="18"/>
        </w:rPr>
        <w:t>所投资资产部分或全部提前偿付。</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8）提前终止产品比维持产品运作更有利于保护产品持有人的</w:t>
      </w:r>
      <w:r>
        <w:rPr>
          <w:rFonts w:asciiTheme="majorEastAsia" w:eastAsiaTheme="majorEastAsia" w:hAnsiTheme="majorEastAsia" w:hint="eastAsia"/>
          <w:bCs/>
          <w:sz w:val="18"/>
          <w:szCs w:val="18"/>
        </w:rPr>
        <w:t>权益。</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hint="eastAsia"/>
          <w:bCs/>
          <w:sz w:val="18"/>
          <w:szCs w:val="18"/>
        </w:rPr>
        <w:t>法律法规规定、监管部门要求或本销售文件约定的其他情形。</w:t>
      </w:r>
    </w:p>
    <w:p w:rsidR="00E039EF" w:rsidRDefault="003F2D22">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hint="eastAsia"/>
          <w:bCs/>
          <w:sz w:val="18"/>
          <w:szCs w:val="18"/>
        </w:rPr>
        <w:t>因市场成交量不足、资产限制赎回、暂停交易、缺乏意愿交易对手、交易对手违约等原因，导致产品项下对应的投资标的无法及时变现；</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hint="eastAsia"/>
          <w:bCs/>
          <w:sz w:val="18"/>
          <w:szCs w:val="18"/>
        </w:rPr>
        <w:t>因不可抗力等原因，导致产品管理人无法分配；</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E039EF" w:rsidRDefault="003F2D22">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E039EF" w:rsidRDefault="003F2D2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w:t>
      </w:r>
      <w:r>
        <w:rPr>
          <w:rFonts w:asciiTheme="majorEastAsia" w:eastAsiaTheme="majorEastAsia" w:hAnsiTheme="majorEastAsia" w:hint="eastAsia"/>
          <w:bCs/>
          <w:sz w:val="18"/>
          <w:szCs w:val="18"/>
        </w:rPr>
        <w:lastRenderedPageBreak/>
        <w:t>负债后，理财利益按投资者持有的理财产品份额比例进行分配。清算期原则上不得超过【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】个工作日的，</w:t>
      </w:r>
      <w:r>
        <w:rPr>
          <w:rFonts w:asciiTheme="majorEastAsia" w:eastAsiaTheme="majorEastAsia" w:hAnsiTheme="majorEastAsia"/>
          <w:bCs/>
          <w:sz w:val="18"/>
          <w:szCs w:val="18"/>
        </w:rPr>
        <w:t>将依约</w:t>
      </w:r>
      <w:r>
        <w:rPr>
          <w:rFonts w:asciiTheme="majorEastAsia" w:eastAsiaTheme="majorEastAsia" w:hAnsiTheme="majorEastAsia" w:hint="eastAsia"/>
          <w:bCs/>
          <w:sz w:val="18"/>
          <w:szCs w:val="18"/>
        </w:rPr>
        <w:t>定进行公告。</w:t>
      </w:r>
      <w:r>
        <w:rPr>
          <w:rFonts w:asciiTheme="majorEastAsia" w:eastAsiaTheme="majorEastAsia" w:hAnsiTheme="majorEastAsia"/>
          <w:bCs/>
          <w:sz w:val="18"/>
          <w:szCs w:val="18"/>
        </w:rPr>
        <w:t xml:space="preserve"> </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部分提前终止，同时根据产品最新的理财产品份额净值和份额计算并支付投资者相应的理财利益，投资者所持有的理财份额则按比例注销。</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部分提前终止的利益分配：产品管理人将依照销售文件公布部分提前终止日并指定利益分配日（一般为部分提前终止日之后的【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E039EF" w:rsidRDefault="003F2D2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3.理财</w:t>
      </w:r>
      <w:r>
        <w:rPr>
          <w:rFonts w:asciiTheme="majorEastAsia" w:eastAsiaTheme="majorEastAsia" w:hAnsiTheme="majorEastAsia" w:hint="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1"/>
    <w:bookmarkEnd w:id="132"/>
    <w:bookmarkEnd w:id="133"/>
    <w:p w:rsidR="00E039EF" w:rsidRDefault="003F2D22">
      <w:pPr>
        <w:pStyle w:val="1"/>
        <w:spacing w:before="0" w:after="0" w:line="360" w:lineRule="auto"/>
        <w:jc w:val="center"/>
        <w:rPr>
          <w:rFonts w:ascii="Times New Roman"/>
          <w:sz w:val="30"/>
        </w:rPr>
      </w:pPr>
      <w:r>
        <w:rPr>
          <w:rFonts w:ascii="Times New Roman"/>
          <w:b w:val="0"/>
          <w:bCs w:val="0"/>
          <w:kern w:val="2"/>
        </w:rPr>
        <w:br w:type="page"/>
      </w:r>
      <w:bookmarkStart w:id="134" w:name="_Toc123112238"/>
      <w:bookmarkStart w:id="135" w:name="_Toc17198"/>
      <w:bookmarkStart w:id="136" w:name="_Toc74065747"/>
      <w:bookmarkStart w:id="137" w:name="_Toc116649659"/>
      <w:bookmarkStart w:id="138" w:name="_Toc29408"/>
      <w:bookmarkStart w:id="139" w:name="_Toc141703890"/>
      <w:bookmarkStart w:id="140" w:name="_Toc98560356"/>
      <w:bookmarkStart w:id="141" w:name="_Toc8791"/>
      <w:bookmarkStart w:id="142" w:name="_Toc139991740"/>
      <w:bookmarkStart w:id="143" w:name="_Toc739"/>
      <w:bookmarkStart w:id="144" w:name="_Toc21237"/>
      <w:bookmarkStart w:id="145" w:name="_Toc123102457"/>
      <w:bookmarkStart w:id="146" w:name="_Toc17920"/>
      <w:bookmarkStart w:id="147" w:name="_Toc32584"/>
      <w:bookmarkStart w:id="148" w:name="_Toc32092"/>
      <w:bookmarkStart w:id="149" w:name="_Toc5170"/>
      <w:bookmarkStart w:id="150" w:name="_Toc79392622"/>
      <w:bookmarkStart w:id="151" w:name="_Toc3329"/>
      <w:bookmarkStart w:id="152" w:name="_Toc123051456"/>
      <w:bookmarkStart w:id="153" w:name="_Toc79154674"/>
      <w:bookmarkStart w:id="154" w:name="_Toc48649708"/>
      <w:r>
        <w:rPr>
          <w:rFonts w:ascii="Times New Roman"/>
          <w:sz w:val="30"/>
        </w:rPr>
        <w:lastRenderedPageBreak/>
        <w:t>第十一</w:t>
      </w:r>
      <w:r>
        <w:rPr>
          <w:rFonts w:ascii="Times New Roman" w:hint="eastAsia"/>
          <w:sz w:val="30"/>
        </w:rPr>
        <w:t>条</w:t>
      </w:r>
      <w:r>
        <w:rPr>
          <w:rFonts w:ascii="Times New Roman"/>
          <w:sz w:val="30"/>
        </w:rPr>
        <w:t xml:space="preserve">  </w:t>
      </w:r>
      <w:r>
        <w:rPr>
          <w:rFonts w:ascii="Times New Roman" w:hint="eastAsia"/>
          <w:sz w:val="30"/>
        </w:rPr>
        <w:t>理财产品的信息披露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E039EF" w:rsidRDefault="003F2D22">
      <w:pPr>
        <w:spacing w:line="360" w:lineRule="auto"/>
        <w:ind w:firstLine="361"/>
        <w:rPr>
          <w:rFonts w:ascii="宋体" w:hAnsi="宋体"/>
          <w:b/>
          <w:bCs/>
          <w:sz w:val="18"/>
          <w:szCs w:val="18"/>
        </w:rPr>
      </w:pPr>
      <w:r>
        <w:rPr>
          <w:rFonts w:ascii="宋体" w:hAnsi="宋体" w:hint="eastAsia"/>
          <w:b/>
          <w:bCs/>
          <w:sz w:val="18"/>
          <w:szCs w:val="18"/>
        </w:rPr>
        <w:t>（一）信息</w:t>
      </w:r>
      <w:r>
        <w:rPr>
          <w:rFonts w:ascii="宋体" w:hAnsi="宋体"/>
          <w:b/>
          <w:bCs/>
          <w:sz w:val="18"/>
          <w:szCs w:val="18"/>
        </w:rPr>
        <w:t>披露的原则</w:t>
      </w:r>
    </w:p>
    <w:p w:rsidR="00E039EF" w:rsidRDefault="003F2D22">
      <w:pPr>
        <w:spacing w:line="360" w:lineRule="auto"/>
        <w:ind w:firstLine="360"/>
        <w:rPr>
          <w:rFonts w:ascii="宋体" w:hAnsi="宋体"/>
          <w:b/>
          <w:bCs/>
          <w:sz w:val="18"/>
          <w:szCs w:val="18"/>
        </w:rPr>
      </w:pPr>
      <w:r>
        <w:rPr>
          <w:rFonts w:ascii="宋体" w:hAnsi="宋体" w:hint="eastAsia"/>
          <w:bCs/>
          <w:sz w:val="18"/>
          <w:szCs w:val="18"/>
        </w:rPr>
        <w:t>产品管理人</w:t>
      </w:r>
      <w:r>
        <w:rPr>
          <w:rFonts w:ascii="宋体" w:hAnsi="宋体"/>
          <w:bCs/>
          <w:sz w:val="18"/>
          <w:szCs w:val="18"/>
        </w:rPr>
        <w:t>遵循真实性、准确性、完整性和及时性原则</w:t>
      </w:r>
      <w:r>
        <w:rPr>
          <w:rFonts w:ascii="宋体" w:hAnsi="宋体" w:hint="eastAsia"/>
          <w:bCs/>
          <w:sz w:val="18"/>
          <w:szCs w:val="18"/>
        </w:rPr>
        <w:t>进行</w:t>
      </w:r>
      <w:r>
        <w:rPr>
          <w:rFonts w:ascii="宋体" w:hAnsi="宋体"/>
          <w:bCs/>
          <w:sz w:val="18"/>
          <w:szCs w:val="18"/>
        </w:rPr>
        <w:t>信息披露</w:t>
      </w:r>
      <w:r>
        <w:rPr>
          <w:rFonts w:ascii="宋体" w:hAnsi="宋体" w:hint="eastAsia"/>
          <w:bCs/>
          <w:sz w:val="18"/>
          <w:szCs w:val="18"/>
        </w:rPr>
        <w:t>。</w:t>
      </w:r>
    </w:p>
    <w:p w:rsidR="00E039EF" w:rsidRDefault="003F2D22">
      <w:pPr>
        <w:spacing w:line="360" w:lineRule="auto"/>
        <w:ind w:firstLine="361"/>
        <w:rPr>
          <w:rFonts w:ascii="宋体" w:hAnsi="宋体"/>
          <w:b/>
          <w:bCs/>
          <w:sz w:val="18"/>
          <w:szCs w:val="18"/>
        </w:rPr>
      </w:pPr>
      <w:r>
        <w:rPr>
          <w:rFonts w:ascii="宋体" w:hAnsi="宋体" w:hint="eastAsia"/>
          <w:b/>
          <w:bCs/>
          <w:sz w:val="18"/>
          <w:szCs w:val="18"/>
        </w:rPr>
        <w:t>（二）信息披露的渠道</w:t>
      </w:r>
    </w:p>
    <w:p w:rsidR="00E039EF" w:rsidRDefault="003F2D22">
      <w:pPr>
        <w:spacing w:line="360" w:lineRule="auto"/>
        <w:ind w:firstLine="360"/>
        <w:rPr>
          <w:rFonts w:ascii="宋体" w:hAnsi="宋体"/>
          <w:bCs/>
          <w:sz w:val="18"/>
          <w:szCs w:val="18"/>
        </w:rPr>
      </w:pPr>
      <w:r>
        <w:rPr>
          <w:rFonts w:ascii="宋体" w:hAnsi="宋体"/>
          <w:bCs/>
          <w:sz w:val="18"/>
          <w:szCs w:val="18"/>
        </w:rPr>
        <w:t>1.</w:t>
      </w:r>
      <w:r>
        <w:rPr>
          <w:rFonts w:ascii="宋体" w:hAnsi="宋体" w:hint="eastAsia"/>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rsidR="00E039EF" w:rsidRDefault="003F2D22">
      <w:pPr>
        <w:spacing w:line="360" w:lineRule="auto"/>
        <w:ind w:firstLine="360"/>
        <w:rPr>
          <w:rFonts w:ascii="黑体" w:eastAsia="黑体" w:hAnsi="黑体"/>
          <w:bCs/>
          <w:sz w:val="18"/>
          <w:szCs w:val="18"/>
        </w:rPr>
      </w:pPr>
      <w:r>
        <w:rPr>
          <w:rFonts w:ascii="黑体" w:eastAsia="黑体" w:hAnsi="黑体"/>
          <w:bCs/>
          <w:sz w:val="18"/>
          <w:szCs w:val="18"/>
        </w:rPr>
        <w:t>2.★产品管理人</w:t>
      </w:r>
      <w:r>
        <w:rPr>
          <w:rFonts w:ascii="黑体" w:eastAsia="黑体" w:hAnsi="黑体" w:hint="eastAsia"/>
          <w:bCs/>
          <w:sz w:val="18"/>
          <w:szCs w:val="18"/>
        </w:rPr>
        <w:t>通过产品管理人或销售机构的信息披露渠道</w:t>
      </w:r>
      <w:r>
        <w:rPr>
          <w:rFonts w:ascii="黑体" w:eastAsia="黑体" w:hAnsi="黑体"/>
          <w:bCs/>
          <w:sz w:val="18"/>
          <w:szCs w:val="18"/>
        </w:rPr>
        <w:t>发布</w:t>
      </w:r>
      <w:r>
        <w:rPr>
          <w:rFonts w:ascii="黑体" w:eastAsia="黑体" w:hAnsi="黑体" w:hint="eastAsia"/>
          <w:bCs/>
          <w:sz w:val="18"/>
          <w:szCs w:val="18"/>
        </w:rPr>
        <w:t>理财产品有关</w:t>
      </w:r>
      <w:r>
        <w:rPr>
          <w:rFonts w:ascii="黑体" w:eastAsia="黑体" w:hAnsi="黑体"/>
          <w:bCs/>
          <w:sz w:val="18"/>
          <w:szCs w:val="18"/>
        </w:rPr>
        <w:t>信息，即视为已适当履行其信息披露义务。如</w:t>
      </w:r>
      <w:r>
        <w:rPr>
          <w:rFonts w:ascii="黑体" w:eastAsia="黑体" w:hAnsi="黑体" w:hint="eastAsia"/>
          <w:bCs/>
          <w:sz w:val="18"/>
          <w:szCs w:val="18"/>
        </w:rPr>
        <w:t>产品管理人</w:t>
      </w:r>
      <w:r>
        <w:rPr>
          <w:rFonts w:ascii="黑体" w:eastAsia="黑体" w:hAnsi="黑体"/>
          <w:bCs/>
          <w:sz w:val="18"/>
          <w:szCs w:val="18"/>
        </w:rPr>
        <w:t>认为需要直接联系</w:t>
      </w:r>
      <w:r>
        <w:rPr>
          <w:rFonts w:ascii="黑体" w:eastAsia="黑体" w:hAnsi="黑体" w:hint="eastAsia"/>
          <w:bCs/>
          <w:sz w:val="18"/>
          <w:szCs w:val="18"/>
        </w:rPr>
        <w:t>投资者</w:t>
      </w:r>
      <w:r>
        <w:rPr>
          <w:rFonts w:ascii="黑体" w:eastAsia="黑体" w:hAnsi="黑体"/>
          <w:bCs/>
          <w:sz w:val="18"/>
          <w:szCs w:val="18"/>
        </w:rPr>
        <w:t>的，将依据本说明书投资者信息中</w:t>
      </w:r>
      <w:r>
        <w:rPr>
          <w:rFonts w:ascii="黑体" w:eastAsia="黑体" w:hAnsi="黑体" w:hint="eastAsia"/>
          <w:bCs/>
          <w:sz w:val="18"/>
          <w:szCs w:val="18"/>
        </w:rPr>
        <w:t>投资者</w:t>
      </w:r>
      <w:r>
        <w:rPr>
          <w:rFonts w:ascii="黑体" w:eastAsia="黑体" w:hAnsi="黑体"/>
          <w:bCs/>
          <w:sz w:val="18"/>
          <w:szCs w:val="18"/>
        </w:rPr>
        <w:t>预留的</w:t>
      </w:r>
      <w:r>
        <w:rPr>
          <w:rFonts w:ascii="黑体" w:eastAsia="黑体" w:hAnsi="黑体" w:hint="eastAsia"/>
          <w:bCs/>
          <w:sz w:val="18"/>
          <w:szCs w:val="18"/>
        </w:rPr>
        <w:t>信息</w:t>
      </w:r>
      <w:r>
        <w:rPr>
          <w:rFonts w:ascii="黑体" w:eastAsia="黑体" w:hAnsi="黑体"/>
          <w:bCs/>
          <w:sz w:val="18"/>
          <w:szCs w:val="18"/>
        </w:rPr>
        <w:t>进行通知。因</w:t>
      </w:r>
      <w:r>
        <w:rPr>
          <w:rFonts w:ascii="黑体" w:eastAsia="黑体" w:hAnsi="黑体" w:hint="eastAsia"/>
          <w:bCs/>
          <w:sz w:val="18"/>
          <w:szCs w:val="18"/>
        </w:rPr>
        <w:t>投资者</w:t>
      </w:r>
      <w:r>
        <w:rPr>
          <w:rFonts w:ascii="黑体" w:eastAsia="黑体" w:hAnsi="黑体"/>
          <w:bCs/>
          <w:sz w:val="18"/>
          <w:szCs w:val="18"/>
        </w:rPr>
        <w:t>原因而导致该等通知失败的，</w:t>
      </w:r>
      <w:r>
        <w:rPr>
          <w:rFonts w:ascii="黑体" w:eastAsia="黑体" w:hAnsi="黑体" w:hint="eastAsia"/>
          <w:bCs/>
          <w:sz w:val="18"/>
          <w:szCs w:val="18"/>
        </w:rPr>
        <w:t>产品管理人</w:t>
      </w:r>
      <w:r>
        <w:rPr>
          <w:rFonts w:ascii="黑体" w:eastAsia="黑体" w:hAnsi="黑体"/>
          <w:bCs/>
          <w:sz w:val="18"/>
          <w:szCs w:val="18"/>
        </w:rPr>
        <w:t>不承担相应责任。</w:t>
      </w:r>
    </w:p>
    <w:p w:rsidR="00E039EF" w:rsidRDefault="003F2D22">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ascii="宋体" w:hAnsi="宋体" w:hint="eastAsia"/>
          <w:bCs/>
          <w:sz w:val="18"/>
          <w:szCs w:val="18"/>
        </w:rPr>
        <w:t>已适当披露理财产品相关信息。投资者承诺将及时接收、浏览和阅读该等信息。如投资者对本产品的运作状况有任何疑问，可向产品管理人或销售机构进行咨询。</w:t>
      </w:r>
    </w:p>
    <w:p w:rsidR="00E039EF" w:rsidRDefault="003F2D22">
      <w:pPr>
        <w:spacing w:line="360" w:lineRule="auto"/>
        <w:ind w:firstLine="360"/>
        <w:rPr>
          <w:rFonts w:ascii="宋体" w:hAnsi="宋体"/>
          <w:bCs/>
          <w:sz w:val="18"/>
          <w:szCs w:val="18"/>
        </w:rPr>
      </w:pPr>
      <w:r>
        <w:rPr>
          <w:rFonts w:ascii="宋体" w:hAnsi="宋体"/>
          <w:bCs/>
          <w:sz w:val="18"/>
          <w:szCs w:val="18"/>
        </w:rPr>
        <w:t>4.在保障投资者知情权的前提下</w:t>
      </w:r>
      <w:r>
        <w:rPr>
          <w:rFonts w:ascii="宋体" w:hAnsi="宋体" w:hint="eastAsia"/>
          <w:bCs/>
          <w:sz w:val="18"/>
          <w:szCs w:val="18"/>
        </w:rPr>
        <w:t>，</w:t>
      </w:r>
      <w:r>
        <w:rPr>
          <w:rFonts w:ascii="宋体" w:hAnsi="宋体"/>
          <w:bCs/>
          <w:sz w:val="18"/>
          <w:szCs w:val="18"/>
        </w:rPr>
        <w:t>产品管理人保留变更信息披露渠道的权利。</w:t>
      </w:r>
    </w:p>
    <w:p w:rsidR="00E039EF" w:rsidRDefault="003F2D22">
      <w:pPr>
        <w:spacing w:line="360" w:lineRule="auto"/>
        <w:ind w:firstLine="361"/>
        <w:rPr>
          <w:rFonts w:ascii="宋体" w:hAnsi="宋体"/>
          <w:b/>
          <w:bCs/>
          <w:sz w:val="18"/>
          <w:szCs w:val="18"/>
        </w:rPr>
      </w:pPr>
      <w:r>
        <w:rPr>
          <w:rFonts w:ascii="宋体" w:hAnsi="宋体" w:hint="eastAsia"/>
          <w:b/>
          <w:bCs/>
          <w:sz w:val="18"/>
          <w:szCs w:val="18"/>
        </w:rPr>
        <w:t>（三）信息披露的内容</w:t>
      </w:r>
    </w:p>
    <w:p w:rsidR="00E039EF" w:rsidRDefault="003F2D22">
      <w:pPr>
        <w:spacing w:line="360" w:lineRule="auto"/>
        <w:ind w:firstLine="360"/>
        <w:rPr>
          <w:rFonts w:ascii="宋体" w:hAnsi="宋体"/>
          <w:bCs/>
          <w:sz w:val="18"/>
          <w:szCs w:val="18"/>
        </w:rPr>
      </w:pPr>
      <w:r>
        <w:rPr>
          <w:rFonts w:ascii="宋体" w:hAnsi="宋体" w:hint="eastAsia"/>
          <w:bCs/>
          <w:sz w:val="18"/>
          <w:szCs w:val="18"/>
        </w:rPr>
        <w:t>理财产品信息披露</w:t>
      </w:r>
      <w:r>
        <w:rPr>
          <w:rFonts w:ascii="宋体" w:hAnsi="宋体"/>
          <w:bCs/>
          <w:sz w:val="18"/>
          <w:szCs w:val="18"/>
        </w:rPr>
        <w:t>包括但不限于产品成立、产品终止、</w:t>
      </w:r>
      <w:r>
        <w:rPr>
          <w:rFonts w:ascii="宋体" w:hAnsi="宋体" w:hint="eastAsia"/>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rsidR="00E039EF" w:rsidRDefault="003F2D22">
      <w:pPr>
        <w:spacing w:line="360" w:lineRule="auto"/>
        <w:ind w:firstLine="361"/>
        <w:rPr>
          <w:rFonts w:ascii="宋体" w:hAnsi="宋体"/>
          <w:b/>
          <w:bCs/>
          <w:sz w:val="18"/>
          <w:szCs w:val="18"/>
        </w:rPr>
      </w:pPr>
      <w:r>
        <w:rPr>
          <w:rFonts w:ascii="宋体" w:hAnsi="宋体" w:hint="eastAsia"/>
          <w:b/>
          <w:bCs/>
          <w:sz w:val="18"/>
          <w:szCs w:val="18"/>
        </w:rPr>
        <w:t>（四）信息披露的频率和时间</w:t>
      </w:r>
    </w:p>
    <w:p w:rsidR="00E039EF" w:rsidRDefault="003F2D22">
      <w:pPr>
        <w:spacing w:line="360" w:lineRule="auto"/>
        <w:ind w:firstLine="360"/>
        <w:rPr>
          <w:rFonts w:ascii="宋体" w:hAnsi="宋体"/>
          <w:bCs/>
          <w:sz w:val="18"/>
          <w:szCs w:val="18"/>
        </w:rPr>
      </w:pPr>
      <w:r>
        <w:rPr>
          <w:rFonts w:ascii="宋体" w:hAnsi="宋体"/>
          <w:bCs/>
          <w:sz w:val="18"/>
          <w:szCs w:val="18"/>
        </w:rPr>
        <w:t>1.产品成立公告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本产品成立后</w:t>
      </w:r>
      <w:r>
        <w:rPr>
          <w:rFonts w:ascii="宋体" w:hAnsi="宋体"/>
          <w:bCs/>
          <w:sz w:val="18"/>
          <w:szCs w:val="18"/>
        </w:rPr>
        <w:t>5个工作日内，产品管理人将发布产品成立公告。</w:t>
      </w:r>
    </w:p>
    <w:p w:rsidR="00E039EF" w:rsidRDefault="003F2D22">
      <w:pPr>
        <w:spacing w:line="360" w:lineRule="auto"/>
        <w:ind w:firstLine="360"/>
        <w:rPr>
          <w:rFonts w:ascii="宋体" w:hAnsi="宋体"/>
          <w:bCs/>
          <w:sz w:val="18"/>
          <w:szCs w:val="18"/>
        </w:rPr>
      </w:pPr>
      <w:r>
        <w:rPr>
          <w:rFonts w:ascii="宋体" w:hAnsi="宋体"/>
          <w:bCs/>
          <w:sz w:val="18"/>
          <w:szCs w:val="18"/>
        </w:rPr>
        <w:t>2.重大事项</w:t>
      </w:r>
      <w:r>
        <w:rPr>
          <w:rFonts w:ascii="宋体" w:hAnsi="宋体" w:hint="eastAsia"/>
          <w:bCs/>
          <w:sz w:val="18"/>
          <w:szCs w:val="18"/>
        </w:rPr>
        <w:t>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在发生可能对理财产品投资者或者理财产品收益产生重大影响的事件后</w:t>
      </w:r>
      <w:r>
        <w:rPr>
          <w:rFonts w:ascii="宋体" w:hAnsi="宋体"/>
          <w:bCs/>
          <w:sz w:val="18"/>
          <w:szCs w:val="18"/>
        </w:rPr>
        <w:t>2个工作日内发布重大事项公告。</w:t>
      </w:r>
    </w:p>
    <w:p w:rsidR="00E039EF" w:rsidRDefault="003F2D22">
      <w:pPr>
        <w:spacing w:line="360" w:lineRule="auto"/>
        <w:ind w:firstLine="360"/>
        <w:rPr>
          <w:rFonts w:ascii="宋体" w:hAnsi="宋体"/>
          <w:bCs/>
          <w:sz w:val="18"/>
          <w:szCs w:val="18"/>
        </w:rPr>
      </w:pPr>
      <w:r>
        <w:rPr>
          <w:rFonts w:ascii="宋体" w:hAnsi="宋体"/>
          <w:bCs/>
          <w:sz w:val="18"/>
          <w:szCs w:val="18"/>
        </w:rPr>
        <w:t>3.定期报告</w:t>
      </w:r>
    </w:p>
    <w:p w:rsidR="00E039EF" w:rsidRDefault="003F2D22">
      <w:pPr>
        <w:spacing w:line="360" w:lineRule="auto"/>
        <w:ind w:firstLine="360"/>
        <w:rPr>
          <w:rFonts w:ascii="宋体" w:hAnsi="宋体"/>
          <w:bCs/>
          <w:sz w:val="18"/>
          <w:szCs w:val="18"/>
        </w:rPr>
      </w:pPr>
      <w:r>
        <w:rPr>
          <w:rFonts w:ascii="宋体" w:hAnsi="宋体" w:hint="eastAsia"/>
          <w:bCs/>
          <w:sz w:val="18"/>
          <w:szCs w:val="18"/>
        </w:rPr>
        <w:t>定期报告分为</w:t>
      </w:r>
      <w:r>
        <w:rPr>
          <w:rFonts w:ascii="宋体" w:hAnsi="宋体"/>
          <w:bCs/>
          <w:sz w:val="18"/>
          <w:szCs w:val="18"/>
        </w:rPr>
        <w:t>季度、半年度和年度定期报告。</w:t>
      </w:r>
      <w:r>
        <w:rPr>
          <w:rFonts w:ascii="宋体" w:hAnsi="宋体" w:hint="eastAsia"/>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rsidR="00E039EF" w:rsidRDefault="003F2D22">
      <w:pPr>
        <w:spacing w:line="360" w:lineRule="auto"/>
        <w:ind w:firstLine="360"/>
        <w:rPr>
          <w:rFonts w:ascii="宋体" w:hAnsi="宋体"/>
          <w:bCs/>
          <w:sz w:val="18"/>
          <w:szCs w:val="18"/>
        </w:rPr>
      </w:pPr>
      <w:r>
        <w:rPr>
          <w:rFonts w:ascii="宋体" w:hAnsi="宋体"/>
          <w:bCs/>
          <w:sz w:val="18"/>
          <w:szCs w:val="18"/>
        </w:rPr>
        <w:t>4.到期公告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lastRenderedPageBreak/>
        <w:t>如果产品管理人主动提前终止本产品，产品管理人将提前</w:t>
      </w:r>
      <w:r>
        <w:rPr>
          <w:rFonts w:ascii="宋体" w:hAnsi="宋体"/>
          <w:bCs/>
          <w:sz w:val="18"/>
          <w:szCs w:val="18"/>
        </w:rPr>
        <w:t>2个工作日进行公告。本产品终止后5个工作日内，产品管理人发布产品到期公告。</w:t>
      </w:r>
    </w:p>
    <w:p w:rsidR="00E039EF" w:rsidRDefault="003F2D22">
      <w:pPr>
        <w:spacing w:line="360" w:lineRule="auto"/>
        <w:ind w:firstLine="360"/>
        <w:rPr>
          <w:rFonts w:ascii="宋体" w:hAnsi="宋体"/>
          <w:bCs/>
          <w:sz w:val="18"/>
          <w:szCs w:val="18"/>
        </w:rPr>
      </w:pPr>
      <w:r>
        <w:rPr>
          <w:rFonts w:ascii="宋体" w:hAnsi="宋体"/>
          <w:bCs/>
          <w:sz w:val="18"/>
          <w:szCs w:val="18"/>
        </w:rPr>
        <w:t>5.估值日公告</w:t>
      </w:r>
    </w:p>
    <w:p w:rsidR="00E039EF" w:rsidRDefault="003F2D22">
      <w:pPr>
        <w:spacing w:line="360" w:lineRule="auto"/>
        <w:ind w:firstLine="360"/>
        <w:rPr>
          <w:rFonts w:ascii="宋体" w:hAnsi="宋体"/>
          <w:bCs/>
          <w:sz w:val="18"/>
          <w:szCs w:val="18"/>
        </w:rPr>
      </w:pPr>
      <w:permStart w:id="1898192847" w:edGrp="everyone"/>
      <w:r>
        <w:rPr>
          <w:rFonts w:ascii="宋体" w:hAnsi="宋体" w:hint="eastAsia"/>
          <w:bCs/>
          <w:sz w:val="18"/>
          <w:szCs w:val="18"/>
        </w:rPr>
        <w:t>产品</w:t>
      </w:r>
      <w:r>
        <w:rPr>
          <w:rFonts w:ascii="宋体" w:hAnsi="宋体"/>
          <w:bCs/>
          <w:sz w:val="18"/>
          <w:szCs w:val="18"/>
        </w:rPr>
        <w:t>存续</w:t>
      </w:r>
      <w:r>
        <w:rPr>
          <w:rFonts w:ascii="宋体" w:hAnsi="宋体" w:hint="eastAsia"/>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1898192847"/>
    <w:p w:rsidR="00E039EF" w:rsidRDefault="003F2D22">
      <w:pPr>
        <w:spacing w:line="360" w:lineRule="auto"/>
        <w:ind w:firstLine="360"/>
        <w:rPr>
          <w:rFonts w:ascii="宋体" w:hAnsi="宋体"/>
          <w:bCs/>
          <w:sz w:val="18"/>
          <w:szCs w:val="18"/>
        </w:rPr>
      </w:pPr>
      <w:r>
        <w:rPr>
          <w:rFonts w:ascii="宋体" w:hAnsi="宋体"/>
          <w:bCs/>
          <w:sz w:val="18"/>
          <w:szCs w:val="18"/>
        </w:rPr>
        <w:t>6.临时公告</w:t>
      </w:r>
    </w:p>
    <w:p w:rsidR="00E039EF" w:rsidRDefault="003F2D22">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1）</w:t>
      </w:r>
      <w:r>
        <w:rPr>
          <w:rFonts w:ascii="黑体" w:eastAsia="黑体" w:hAnsi="黑体" w:hint="eastAsia"/>
          <w:b/>
          <w:bCs/>
          <w:sz w:val="18"/>
          <w:szCs w:val="18"/>
        </w:rPr>
        <w:t>★产品管理人</w:t>
      </w:r>
      <w:r>
        <w:rPr>
          <w:rFonts w:ascii="黑体" w:eastAsia="黑体" w:hAnsi="黑体"/>
          <w:b/>
          <w:bCs/>
          <w:sz w:val="18"/>
          <w:szCs w:val="18"/>
        </w:rPr>
        <w:t>对</w:t>
      </w:r>
      <w:r>
        <w:rPr>
          <w:rFonts w:ascii="黑体" w:eastAsia="黑体" w:hAnsi="黑体" w:hint="eastAsia"/>
          <w:b/>
          <w:bCs/>
          <w:sz w:val="18"/>
          <w:szCs w:val="18"/>
        </w:rPr>
        <w:t>投资范围、投资资产种类、</w:t>
      </w:r>
      <w:r>
        <w:rPr>
          <w:rFonts w:ascii="黑体" w:eastAsia="黑体" w:hAnsi="黑体"/>
          <w:b/>
          <w:bCs/>
          <w:sz w:val="18"/>
          <w:szCs w:val="18"/>
        </w:rPr>
        <w:t>投资</w:t>
      </w:r>
      <w:r>
        <w:rPr>
          <w:rFonts w:ascii="黑体" w:eastAsia="黑体" w:hAnsi="黑体" w:hint="eastAsia"/>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eastAsia="黑体" w:hAnsi="黑体"/>
          <w:b/>
          <w:bCs/>
          <w:sz w:val="18"/>
          <w:szCs w:val="18"/>
        </w:rPr>
        <w:t>2个工作日发布变更公告</w:t>
      </w:r>
      <w:r>
        <w:rPr>
          <w:rFonts w:ascii="黑体" w:eastAsia="黑体" w:hAnsi="黑体" w:hint="eastAsia"/>
          <w:b/>
          <w:bCs/>
          <w:sz w:val="18"/>
          <w:szCs w:val="18"/>
        </w:rPr>
        <w:t>。</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2）在发生</w:t>
      </w:r>
      <w:r>
        <w:rPr>
          <w:rFonts w:ascii="宋体" w:hAnsi="宋体" w:hint="eastAsia"/>
          <w:sz w:val="18"/>
          <w:szCs w:val="18"/>
        </w:rPr>
        <w:t>产品管理人</w:t>
      </w:r>
      <w:r>
        <w:rPr>
          <w:rFonts w:ascii="宋体" w:hAnsi="宋体" w:hint="eastAsia"/>
          <w:bCs/>
          <w:sz w:val="18"/>
          <w:szCs w:val="18"/>
        </w:rPr>
        <w:t>拒绝或暂停接受</w:t>
      </w:r>
      <w:r>
        <w:rPr>
          <w:rFonts w:ascii="宋体" w:hAnsi="宋体"/>
          <w:bCs/>
          <w:sz w:val="18"/>
          <w:szCs w:val="18"/>
        </w:rPr>
        <w:t>投资者</w:t>
      </w:r>
      <w:r>
        <w:rPr>
          <w:rFonts w:ascii="宋体" w:hAnsi="宋体" w:hint="eastAsia"/>
          <w:bCs/>
          <w:sz w:val="18"/>
          <w:szCs w:val="18"/>
        </w:rPr>
        <w:t>认购申请、暂停理财产品估值</w:t>
      </w:r>
      <w:r>
        <w:rPr>
          <w:rFonts w:ascii="宋体" w:hAnsi="宋体"/>
          <w:bCs/>
          <w:sz w:val="18"/>
          <w:szCs w:val="18"/>
        </w:rPr>
        <w:t>等</w:t>
      </w:r>
      <w:r>
        <w:rPr>
          <w:rFonts w:ascii="宋体" w:hAnsi="宋体" w:hint="eastAsia"/>
          <w:bCs/>
          <w:sz w:val="18"/>
          <w:szCs w:val="18"/>
        </w:rPr>
        <w:t>情形</w:t>
      </w:r>
      <w:r>
        <w:rPr>
          <w:rFonts w:ascii="宋体" w:hAnsi="宋体"/>
          <w:bCs/>
          <w:sz w:val="18"/>
          <w:szCs w:val="18"/>
        </w:rPr>
        <w:t>时，</w:t>
      </w:r>
      <w:r>
        <w:rPr>
          <w:rFonts w:ascii="宋体" w:hAnsi="宋体" w:hint="eastAsia"/>
          <w:sz w:val="18"/>
          <w:szCs w:val="18"/>
        </w:rPr>
        <w:t>产品管理人</w:t>
      </w:r>
      <w:r>
        <w:rPr>
          <w:rFonts w:ascii="宋体" w:hAnsi="宋体" w:hint="eastAsia"/>
          <w:bCs/>
          <w:sz w:val="18"/>
          <w:szCs w:val="18"/>
        </w:rPr>
        <w:t>将</w:t>
      </w:r>
      <w:r>
        <w:rPr>
          <w:rFonts w:ascii="宋体" w:hAnsi="宋体"/>
          <w:bCs/>
          <w:sz w:val="18"/>
          <w:szCs w:val="18"/>
        </w:rPr>
        <w:t>于3个</w:t>
      </w:r>
      <w:r>
        <w:rPr>
          <w:rFonts w:ascii="宋体" w:hAnsi="宋体" w:hint="eastAsia"/>
          <w:bCs/>
          <w:sz w:val="18"/>
          <w:szCs w:val="18"/>
        </w:rPr>
        <w:t>交易</w:t>
      </w:r>
      <w:r>
        <w:rPr>
          <w:rFonts w:ascii="宋体" w:hAnsi="宋体"/>
          <w:bCs/>
          <w:sz w:val="18"/>
          <w:szCs w:val="18"/>
        </w:rPr>
        <w:t>日</w:t>
      </w:r>
      <w:r>
        <w:rPr>
          <w:rFonts w:ascii="宋体" w:hAnsi="宋体" w:hint="eastAsia"/>
          <w:bCs/>
          <w:sz w:val="18"/>
          <w:szCs w:val="18"/>
        </w:rPr>
        <w:t>内告知投资者，并说明运用相关措施的原因和拟采取的应对安排等</w:t>
      </w:r>
      <w:r>
        <w:rPr>
          <w:rFonts w:ascii="宋体" w:hAnsi="宋体"/>
          <w:bCs/>
          <w:sz w:val="18"/>
          <w:szCs w:val="18"/>
        </w:rPr>
        <w:t>。</w:t>
      </w:r>
      <w:r>
        <w:rPr>
          <w:rFonts w:ascii="宋体" w:hAnsi="宋体" w:hint="eastAsia"/>
          <w:bCs/>
          <w:sz w:val="18"/>
          <w:szCs w:val="18"/>
        </w:rPr>
        <w:t>在发生涉及产品认购事项调整时，管理人将发布临时公告。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rsidR="00E039EF" w:rsidRDefault="003F2D22">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4）★在本产品存续期内，如因国家法律法规、监管规定发生变化，或是出于维护本产品正常运营的需要，在不损害投资者</w:t>
      </w:r>
      <w:r>
        <w:rPr>
          <w:rFonts w:ascii="黑体" w:eastAsia="黑体" w:hAnsi="黑体" w:hint="eastAsia"/>
          <w:b/>
          <w:bCs/>
          <w:sz w:val="18"/>
          <w:szCs w:val="18"/>
        </w:rPr>
        <w:t>权益</w:t>
      </w:r>
      <w:r>
        <w:rPr>
          <w:rFonts w:ascii="黑体" w:eastAsia="黑体" w:hAnsi="黑体"/>
          <w:b/>
          <w:bCs/>
          <w:sz w:val="18"/>
          <w:szCs w:val="18"/>
        </w:rPr>
        <w:t>的前提下，</w:t>
      </w:r>
      <w:r>
        <w:rPr>
          <w:rFonts w:ascii="黑体" w:eastAsia="黑体" w:hAnsi="黑体" w:hint="eastAsia"/>
          <w:b/>
          <w:bCs/>
          <w:sz w:val="18"/>
          <w:szCs w:val="18"/>
        </w:rPr>
        <w:t>产品管理人</w:t>
      </w:r>
      <w:r>
        <w:rPr>
          <w:rFonts w:ascii="黑体" w:eastAsia="黑体" w:hAnsi="黑体"/>
          <w:b/>
          <w:bCs/>
          <w:sz w:val="18"/>
          <w:szCs w:val="18"/>
        </w:rPr>
        <w:t>有权对</w:t>
      </w:r>
      <w:r>
        <w:rPr>
          <w:rFonts w:ascii="黑体" w:eastAsia="黑体" w:hAnsi="黑体" w:hint="eastAsia"/>
          <w:b/>
          <w:bCs/>
          <w:sz w:val="18"/>
          <w:szCs w:val="18"/>
        </w:rPr>
        <w:t>理财产品销售文件</w:t>
      </w:r>
      <w:r>
        <w:rPr>
          <w:rFonts w:ascii="黑体" w:eastAsia="黑体" w:hAnsi="黑体"/>
          <w:b/>
          <w:bCs/>
          <w:sz w:val="18"/>
          <w:szCs w:val="18"/>
        </w:rPr>
        <w:t>进行修订，并提前2个工作日进行</w:t>
      </w:r>
      <w:r>
        <w:rPr>
          <w:rFonts w:ascii="黑体" w:eastAsia="黑体" w:hAnsi="黑体" w:hint="eastAsia"/>
          <w:b/>
          <w:bCs/>
          <w:sz w:val="18"/>
          <w:szCs w:val="18"/>
        </w:rPr>
        <w:t>公告</w:t>
      </w:r>
      <w:r>
        <w:rPr>
          <w:rFonts w:ascii="黑体" w:eastAsia="黑体" w:hAnsi="黑体"/>
          <w:b/>
          <w:bCs/>
          <w:sz w:val="18"/>
          <w:szCs w:val="18"/>
        </w:rPr>
        <w:t>。</w:t>
      </w:r>
    </w:p>
    <w:p w:rsidR="00E039EF" w:rsidRDefault="003F2D2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5）其他临时性公告</w:t>
      </w:r>
    </w:p>
    <w:p w:rsidR="00E039EF" w:rsidRDefault="003F2D22">
      <w:pPr>
        <w:spacing w:line="360" w:lineRule="auto"/>
        <w:ind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E039EF" w:rsidRDefault="003F2D22">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eastAsia="黑体" w:hAnsi="黑体"/>
          <w:b/>
          <w:bCs/>
          <w:sz w:val="18"/>
          <w:szCs w:val="18"/>
        </w:rPr>
        <w:t>并提前2个工作日进行</w:t>
      </w:r>
      <w:r>
        <w:rPr>
          <w:rFonts w:ascii="黑体" w:eastAsia="黑体" w:hAnsi="黑体" w:hint="eastAsia"/>
          <w:b/>
          <w:bCs/>
          <w:sz w:val="18"/>
          <w:szCs w:val="18"/>
        </w:rPr>
        <w:t>公告。若投资者未选择退出本产品的，则视为已理解并接受管理人的相应变更。</w:t>
      </w:r>
    </w:p>
    <w:p w:rsidR="00E039EF" w:rsidRDefault="003F2D22">
      <w:pPr>
        <w:widowControl/>
        <w:spacing w:line="360" w:lineRule="auto"/>
        <w:jc w:val="left"/>
        <w:rPr>
          <w:bCs/>
          <w:sz w:val="24"/>
        </w:rPr>
      </w:pPr>
      <w:r>
        <w:rPr>
          <w:bCs/>
          <w:sz w:val="24"/>
        </w:rPr>
        <w:br w:type="page"/>
      </w:r>
    </w:p>
    <w:p w:rsidR="00E039EF" w:rsidRDefault="003F2D22">
      <w:pPr>
        <w:pStyle w:val="1"/>
        <w:spacing w:before="0" w:after="0" w:line="360" w:lineRule="auto"/>
        <w:jc w:val="center"/>
        <w:rPr>
          <w:rFonts w:ascii="Times New Roman"/>
          <w:b w:val="0"/>
          <w:sz w:val="30"/>
        </w:rPr>
      </w:pPr>
      <w:bookmarkStart w:id="155" w:name="_Toc116649660"/>
      <w:bookmarkStart w:id="156" w:name="_Toc79154675"/>
      <w:r>
        <w:rPr>
          <w:rFonts w:ascii="Times New Roman" w:hint="eastAsia"/>
          <w:sz w:val="30"/>
        </w:rPr>
        <w:lastRenderedPageBreak/>
        <w:t>第十</w:t>
      </w:r>
      <w:r>
        <w:rPr>
          <w:rFonts w:ascii="Times New Roman"/>
          <w:sz w:val="30"/>
        </w:rPr>
        <w:t>二</w:t>
      </w:r>
      <w:r>
        <w:rPr>
          <w:rFonts w:ascii="Times New Roman" w:hint="eastAsia"/>
          <w:sz w:val="30"/>
        </w:rPr>
        <w:t>条</w:t>
      </w:r>
      <w:r>
        <w:rPr>
          <w:rFonts w:ascii="Times New Roman"/>
          <w:sz w:val="30"/>
        </w:rPr>
        <w:t xml:space="preserve">  </w:t>
      </w:r>
      <w:r>
        <w:rPr>
          <w:rFonts w:ascii="Times New Roman" w:hint="eastAsia"/>
          <w:sz w:val="30"/>
        </w:rPr>
        <w:t>理财产品</w:t>
      </w:r>
      <w:r>
        <w:rPr>
          <w:rFonts w:ascii="Times New Roman"/>
          <w:sz w:val="30"/>
        </w:rPr>
        <w:t>的风险揭示</w:t>
      </w:r>
      <w:bookmarkEnd w:id="155"/>
      <w:bookmarkEnd w:id="156"/>
    </w:p>
    <w:p w:rsidR="00E039EF" w:rsidRDefault="003F2D22">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E039EF" w:rsidRDefault="003F2D22">
      <w:pPr>
        <w:spacing w:line="360" w:lineRule="auto"/>
        <w:ind w:firstLineChars="200" w:firstLine="360"/>
        <w:rPr>
          <w:rFonts w:ascii="宋体" w:hAnsi="宋体"/>
          <w:sz w:val="18"/>
          <w:szCs w:val="18"/>
        </w:rPr>
      </w:pPr>
      <w:permStart w:id="1052656061" w:edGrp="everyone"/>
      <w:proofErr w:type="gramStart"/>
      <w:r>
        <w:rPr>
          <w:rFonts w:ascii="宋体" w:hAnsi="宋体" w:hint="eastAsia"/>
          <w:sz w:val="18"/>
          <w:szCs w:val="18"/>
        </w:rPr>
        <w:t>【</w:t>
      </w:r>
      <w:proofErr w:type="gramEnd"/>
      <w:r>
        <w:rPr>
          <w:rFonts w:ascii="宋体" w:hAnsi="宋体" w:hint="eastAsia"/>
          <w:sz w:val="18"/>
          <w:szCs w:val="18"/>
        </w:rPr>
        <w:t>1、拟投资市场和资产的风险：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（1）投资债权类资产的风险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1）投资标准化债权类资产的风险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E039EF" w:rsidRDefault="003F2D22">
      <w:pPr>
        <w:spacing w:line="360" w:lineRule="auto"/>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rsidR="00E039EF" w:rsidRDefault="003F2D22">
      <w:pPr>
        <w:spacing w:line="360" w:lineRule="auto"/>
        <w:ind w:firstLineChars="200" w:firstLine="360"/>
        <w:rPr>
          <w:rFonts w:ascii="宋体" w:hAnsi="宋体"/>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ermEnd w:id="1052656061"/>
    </w:p>
    <w:p w:rsidR="00E039EF" w:rsidRDefault="003F2D22">
      <w:pPr>
        <w:pStyle w:val="af6"/>
        <w:spacing w:line="360" w:lineRule="auto"/>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rsidR="00E039EF" w:rsidRDefault="003F2D22">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E039EF" w:rsidRDefault="003F2D22">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3.市场</w:t>
      </w:r>
      <w:r>
        <w:rPr>
          <w:rFonts w:ascii="宋体" w:hAnsi="宋体"/>
          <w:sz w:val="18"/>
          <w:szCs w:val="18"/>
        </w:rPr>
        <w:t>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4.流动性风险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lastRenderedPageBreak/>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终止</w:t>
      </w:r>
      <w:r>
        <w:rPr>
          <w:rFonts w:ascii="宋体" w:hAnsi="宋体"/>
          <w:sz w:val="18"/>
          <w:szCs w:val="18"/>
        </w:rPr>
        <w:t>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7.</w:t>
      </w:r>
      <w:r>
        <w:rPr>
          <w:rFonts w:ascii="宋体" w:hAnsi="宋体"/>
          <w:sz w:val="18"/>
          <w:szCs w:val="18"/>
        </w:rPr>
        <w:t>提前终止风险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rsidR="00E039EF" w:rsidRDefault="003F2D22">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.★信息传递风险</w:t>
      </w:r>
    </w:p>
    <w:p w:rsidR="00E039EF" w:rsidRDefault="003F2D22">
      <w:pPr>
        <w:spacing w:line="360" w:lineRule="auto"/>
        <w:ind w:firstLineChars="200" w:firstLine="360"/>
        <w:rPr>
          <w:rFonts w:ascii="黑体" w:eastAsia="黑体" w:hAnsi="黑体"/>
          <w:sz w:val="18"/>
          <w:szCs w:val="18"/>
        </w:rPr>
      </w:pPr>
      <w:r>
        <w:rPr>
          <w:rFonts w:ascii="黑体" w:eastAsia="黑体" w:hAnsi="黑体" w:hint="eastAsia"/>
          <w:sz w:val="18"/>
          <w:szCs w:val="18"/>
        </w:rPr>
        <w:t>投资者需要通过约定的信息披露渠道了解产品相关信息公告。具体公告方式以理财产品</w:t>
      </w:r>
      <w:r>
        <w:rPr>
          <w:rFonts w:ascii="黑体" w:eastAsia="黑体" w:hAnsi="黑体"/>
          <w:sz w:val="18"/>
          <w:szCs w:val="18"/>
        </w:rPr>
        <w:t>销售文件</w:t>
      </w:r>
      <w:r>
        <w:rPr>
          <w:rFonts w:ascii="黑体" w:eastAsia="黑体" w:hAnsi="黑体" w:hint="eastAsia"/>
          <w:sz w:val="18"/>
          <w:szCs w:val="18"/>
        </w:rPr>
        <w:t>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的，致使在需要联系投资者时无法及时联系并可能会由此影响投资者的投资决策，由此而产生的责任和风险由投资者自行承担。</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因战争、自然灾害、重大政治事件等不可抗力以及其他不可预见的意外事件可能致使理财产品面临损失的风险。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p>
    <w:p w:rsidR="00E039EF" w:rsidRDefault="003F2D22">
      <w:pPr>
        <w:spacing w:line="360" w:lineRule="auto"/>
        <w:ind w:firstLineChars="200" w:firstLine="360"/>
        <w:rPr>
          <w:rFonts w:ascii="宋体" w:hAnsi="宋体"/>
          <w:bCs/>
          <w:sz w:val="18"/>
          <w:szCs w:val="18"/>
        </w:rPr>
      </w:pPr>
      <w:r>
        <w:rPr>
          <w:rFonts w:ascii="宋体" w:hAnsi="宋体" w:hint="eastAsia"/>
          <w:sz w:val="18"/>
          <w:szCs w:val="18"/>
        </w:rPr>
        <w:t>理财产品管理人或理财投资资产相关服务机构受经验、技能等因素的限制，或者上述主体处理事务不当等，可能导致投资者遭受损失。</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1.理财产品不成立风险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如自本产品开始募集至认购期结束认购总金额未达到产品最小成立规模（如有约定），或</w:t>
      </w:r>
      <w:r>
        <w:rPr>
          <w:rFonts w:ascii="宋体" w:hAnsi="宋体"/>
          <w:sz w:val="18"/>
          <w:szCs w:val="18"/>
        </w:rPr>
        <w:t>融资人取消</w:t>
      </w:r>
      <w:r>
        <w:rPr>
          <w:rFonts w:ascii="宋体" w:hAnsi="宋体" w:hint="eastAsia"/>
          <w:sz w:val="18"/>
          <w:szCs w:val="18"/>
        </w:rPr>
        <w:lastRenderedPageBreak/>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.估值</w:t>
      </w:r>
      <w:r>
        <w:rPr>
          <w:rFonts w:ascii="宋体" w:hAnsi="宋体" w:hint="eastAsia"/>
          <w:sz w:val="18"/>
          <w:szCs w:val="18"/>
        </w:rPr>
        <w:t>波动</w:t>
      </w:r>
      <w:r>
        <w:rPr>
          <w:rFonts w:ascii="宋体" w:hAnsi="宋体"/>
          <w:sz w:val="18"/>
          <w:szCs w:val="18"/>
        </w:rPr>
        <w:t>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4.</w:t>
      </w:r>
      <w:r>
        <w:rPr>
          <w:rFonts w:ascii="宋体" w:hAnsi="宋体"/>
          <w:sz w:val="18"/>
          <w:szCs w:val="18"/>
        </w:rPr>
        <w:t>估值差错风险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E039EF" w:rsidRDefault="003F2D22">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15.★代销风险</w:t>
      </w:r>
    </w:p>
    <w:p w:rsidR="00E039EF" w:rsidRDefault="003F2D22">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rsidR="00E039EF" w:rsidRDefault="003F2D22">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w:t>
      </w:r>
    </w:p>
    <w:p w:rsidR="00E039EF" w:rsidRDefault="003F2D22">
      <w:pPr>
        <w:spacing w:line="360" w:lineRule="auto"/>
        <w:ind w:firstLineChars="200" w:firstLine="360"/>
        <w:rPr>
          <w:rFonts w:ascii="黑体" w:eastAsia="黑体" w:hAnsi="黑体"/>
          <w:sz w:val="18"/>
          <w:szCs w:val="18"/>
        </w:rPr>
      </w:pPr>
      <w:r>
        <w:rPr>
          <w:rFonts w:ascii="黑体" w:eastAsia="黑体" w:hAnsi="黑体" w:hint="eastAsia"/>
          <w:sz w:val="18"/>
          <w:szCs w:val="18"/>
        </w:rPr>
        <w:t>理财产品管理人可根据投资者购买理财产品的金额、销售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E039EF" w:rsidRDefault="003F2D2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w:t>
      </w:r>
    </w:p>
    <w:p w:rsidR="00E039EF" w:rsidRDefault="003F2D22">
      <w:pPr>
        <w:spacing w:line="360" w:lineRule="auto"/>
        <w:ind w:firstLineChars="200" w:firstLine="36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w:t>
      </w:r>
      <w:r>
        <w:rPr>
          <w:rFonts w:ascii="宋体" w:hAnsi="宋体"/>
          <w:sz w:val="18"/>
          <w:szCs w:val="18"/>
        </w:rPr>
        <w:lastRenderedPageBreak/>
        <w:t>投资</w:t>
      </w:r>
      <w:r>
        <w:rPr>
          <w:rFonts w:ascii="宋体" w:hAnsi="宋体" w:hint="eastAsia"/>
          <w:sz w:val="18"/>
          <w:szCs w:val="18"/>
        </w:rPr>
        <w:t>风险，进而可能影响投资者的利益。</w:t>
      </w:r>
    </w:p>
    <w:p w:rsidR="00E039EF" w:rsidRDefault="003F2D22">
      <w:pPr>
        <w:spacing w:line="360" w:lineRule="auto"/>
        <w:ind w:firstLineChars="200" w:firstLine="360"/>
        <w:rPr>
          <w:rFonts w:hAnsi="宋体"/>
          <w:sz w:val="18"/>
          <w:szCs w:val="18"/>
        </w:rPr>
      </w:pPr>
      <w:r>
        <w:rPr>
          <w:rFonts w:ascii="黑体" w:eastAsia="黑体" w:hAnsi="黑体" w:hint="eastAsia"/>
          <w:sz w:val="18"/>
          <w:szCs w:val="18"/>
        </w:rPr>
        <w:t>（</w:t>
      </w:r>
      <w:r>
        <w:rPr>
          <w:rFonts w:ascii="黑体" w:eastAsia="黑体" w:hAnsi="黑体"/>
          <w:sz w:val="18"/>
          <w:szCs w:val="18"/>
        </w:rPr>
        <w:t>三</w:t>
      </w:r>
      <w:r>
        <w:rPr>
          <w:rFonts w:ascii="黑体" w:eastAsia="黑体" w:hAnsi="黑体" w:hint="eastAsia"/>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E039EF" w:rsidRDefault="003F2D22">
      <w:pPr>
        <w:widowControl/>
        <w:jc w:val="left"/>
        <w:rPr>
          <w:rFonts w:ascii="宋体" w:hAnsi="宋体"/>
          <w:color w:val="000000"/>
          <w:kern w:val="0"/>
          <w:sz w:val="18"/>
          <w:szCs w:val="18"/>
        </w:rPr>
      </w:pPr>
      <w:r>
        <w:rPr>
          <w:rFonts w:hAnsi="宋体"/>
          <w:sz w:val="18"/>
          <w:szCs w:val="18"/>
        </w:rPr>
        <w:br w:type="page"/>
      </w:r>
    </w:p>
    <w:tbl>
      <w:tblPr>
        <w:tblStyle w:val="af"/>
        <w:tblW w:w="8222"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1"/>
        <w:gridCol w:w="7371"/>
      </w:tblGrid>
      <w:tr w:rsidR="00E039EF">
        <w:trPr>
          <w:trHeight w:hRule="exact" w:val="316"/>
        </w:trPr>
        <w:tc>
          <w:tcPr>
            <w:tcW w:w="8222" w:type="dxa"/>
            <w:gridSpan w:val="2"/>
          </w:tcPr>
          <w:p w:rsidR="00E039EF" w:rsidRDefault="003F2D22">
            <w:pPr>
              <w:spacing w:line="280" w:lineRule="atLeast"/>
              <w:ind w:firstLine="422"/>
              <w:jc w:val="center"/>
              <w:rPr>
                <w:rFonts w:ascii="宋体" w:hAnsi="宋体" w:cs="Arial"/>
                <w:b/>
                <w:szCs w:val="21"/>
              </w:rPr>
            </w:pPr>
            <w:r>
              <w:rPr>
                <w:rFonts w:ascii="宋体" w:hAnsi="宋体" w:cs="Arial" w:hint="eastAsia"/>
                <w:b/>
                <w:szCs w:val="21"/>
              </w:rPr>
              <w:lastRenderedPageBreak/>
              <w:t>投资者确认栏</w:t>
            </w:r>
          </w:p>
          <w:p w:rsidR="00E039EF" w:rsidRDefault="00E039EF">
            <w:pPr>
              <w:spacing w:line="360" w:lineRule="auto"/>
              <w:ind w:firstLine="361"/>
              <w:rPr>
                <w:b/>
                <w:sz w:val="18"/>
                <w:szCs w:val="18"/>
              </w:rPr>
            </w:pPr>
          </w:p>
        </w:tc>
      </w:tr>
      <w:tr w:rsidR="00E039EF">
        <w:trPr>
          <w:trHeight w:hRule="exact" w:val="1862"/>
        </w:trPr>
        <w:tc>
          <w:tcPr>
            <w:tcW w:w="851" w:type="dxa"/>
          </w:tcPr>
          <w:p w:rsidR="00E039EF" w:rsidRDefault="003F2D22">
            <w:pPr>
              <w:spacing w:line="360" w:lineRule="auto"/>
              <w:jc w:val="left"/>
              <w:rPr>
                <w:b/>
                <w:sz w:val="18"/>
                <w:szCs w:val="18"/>
              </w:rPr>
            </w:pPr>
            <w:r>
              <w:rPr>
                <w:rFonts w:hint="eastAsia"/>
                <w:b/>
                <w:sz w:val="18"/>
                <w:szCs w:val="18"/>
              </w:rPr>
              <w:t>个人投资者适用</w:t>
            </w:r>
          </w:p>
        </w:tc>
        <w:tc>
          <w:tcPr>
            <w:tcW w:w="7371" w:type="dxa"/>
          </w:tcPr>
          <w:p w:rsidR="00E039EF" w:rsidRDefault="003F2D22">
            <w:pPr>
              <w:spacing w:line="360" w:lineRule="auto"/>
              <w:ind w:firstLine="360"/>
              <w:jc w:val="left"/>
              <w:rPr>
                <w:sz w:val="18"/>
                <w:szCs w:val="18"/>
              </w:rPr>
            </w:pPr>
            <w:r>
              <w:rPr>
                <w:rFonts w:hint="eastAsia"/>
                <w:sz w:val="18"/>
                <w:szCs w:val="18"/>
              </w:rPr>
              <w:t>投资者（签字）：</w:t>
            </w:r>
          </w:p>
          <w:p w:rsidR="00E039EF" w:rsidRDefault="00E039EF">
            <w:pPr>
              <w:spacing w:line="360" w:lineRule="auto"/>
              <w:ind w:firstLine="361"/>
              <w:jc w:val="left"/>
              <w:rPr>
                <w:b/>
                <w:sz w:val="18"/>
                <w:szCs w:val="18"/>
              </w:rPr>
            </w:pPr>
          </w:p>
          <w:p w:rsidR="00E039EF" w:rsidRDefault="003F2D22">
            <w:pPr>
              <w:spacing w:line="360" w:lineRule="auto"/>
              <w:ind w:firstLine="360"/>
              <w:jc w:val="left"/>
              <w:rPr>
                <w:sz w:val="18"/>
                <w:szCs w:val="18"/>
              </w:rPr>
            </w:pPr>
            <w:r>
              <w:rPr>
                <w:rFonts w:hint="eastAsia"/>
                <w:sz w:val="18"/>
                <w:szCs w:val="18"/>
              </w:rPr>
              <w:t>日期：</w:t>
            </w:r>
          </w:p>
        </w:tc>
      </w:tr>
      <w:tr w:rsidR="00E039EF">
        <w:trPr>
          <w:trHeight w:val="1954"/>
        </w:trPr>
        <w:tc>
          <w:tcPr>
            <w:tcW w:w="851" w:type="dxa"/>
          </w:tcPr>
          <w:p w:rsidR="00E039EF" w:rsidRDefault="003F2D22">
            <w:pPr>
              <w:spacing w:line="360" w:lineRule="auto"/>
              <w:jc w:val="left"/>
              <w:rPr>
                <w:b/>
                <w:sz w:val="18"/>
                <w:szCs w:val="18"/>
              </w:rPr>
            </w:pPr>
            <w:r>
              <w:rPr>
                <w:rFonts w:hint="eastAsia"/>
                <w:b/>
                <w:sz w:val="18"/>
                <w:szCs w:val="18"/>
              </w:rPr>
              <w:t>机构投资者适用</w:t>
            </w:r>
          </w:p>
        </w:tc>
        <w:tc>
          <w:tcPr>
            <w:tcW w:w="7371" w:type="dxa"/>
          </w:tcPr>
          <w:p w:rsidR="00E039EF" w:rsidRDefault="003F2D22">
            <w:pPr>
              <w:spacing w:line="360" w:lineRule="auto"/>
              <w:ind w:firstLine="360"/>
              <w:jc w:val="left"/>
              <w:rPr>
                <w:rFonts w:cs="Arial"/>
                <w:sz w:val="18"/>
                <w:szCs w:val="18"/>
              </w:rPr>
            </w:pPr>
            <w:r>
              <w:rPr>
                <w:rFonts w:hint="eastAsia"/>
                <w:sz w:val="18"/>
                <w:szCs w:val="18"/>
              </w:rPr>
              <w:t>投资者</w:t>
            </w:r>
            <w:r>
              <w:rPr>
                <w:rFonts w:cs="Arial" w:hint="eastAsia"/>
                <w:sz w:val="18"/>
                <w:szCs w:val="18"/>
              </w:rPr>
              <w:t>（盖章）：</w:t>
            </w:r>
          </w:p>
          <w:p w:rsidR="00E039EF" w:rsidRDefault="00E039EF">
            <w:pPr>
              <w:spacing w:line="360" w:lineRule="auto"/>
              <w:ind w:firstLine="360"/>
              <w:jc w:val="left"/>
              <w:rPr>
                <w:rFonts w:cs="Arial"/>
                <w:sz w:val="18"/>
                <w:szCs w:val="18"/>
              </w:rPr>
            </w:pPr>
          </w:p>
          <w:p w:rsidR="00E039EF" w:rsidRDefault="003F2D22">
            <w:pPr>
              <w:spacing w:line="360" w:lineRule="auto"/>
              <w:ind w:firstLine="360"/>
              <w:jc w:val="left"/>
              <w:rPr>
                <w:rFonts w:cs="Arial"/>
                <w:sz w:val="18"/>
                <w:szCs w:val="18"/>
              </w:rPr>
            </w:pPr>
            <w:r>
              <w:rPr>
                <w:rFonts w:cs="Arial" w:hint="eastAsia"/>
                <w:sz w:val="18"/>
                <w:szCs w:val="18"/>
              </w:rPr>
              <w:t>投资者法定代表人或授权代理人（签字或盖章）：</w:t>
            </w:r>
          </w:p>
          <w:p w:rsidR="00E039EF" w:rsidRDefault="003F2D22">
            <w:pPr>
              <w:spacing w:line="360" w:lineRule="auto"/>
              <w:ind w:firstLine="360"/>
              <w:jc w:val="left"/>
              <w:rPr>
                <w:sz w:val="18"/>
                <w:szCs w:val="18"/>
              </w:rPr>
            </w:pPr>
            <w:r>
              <w:rPr>
                <w:rFonts w:hint="eastAsia"/>
                <w:sz w:val="18"/>
                <w:szCs w:val="18"/>
              </w:rPr>
              <w:t>日期：</w:t>
            </w:r>
          </w:p>
        </w:tc>
      </w:tr>
    </w:tbl>
    <w:p w:rsidR="00E039EF" w:rsidRDefault="003F2D22">
      <w:pPr>
        <w:spacing w:line="360" w:lineRule="auto"/>
        <w:jc w:val="left"/>
        <w:rPr>
          <w:bCs/>
        </w:rPr>
      </w:pPr>
      <w:r>
        <w:rPr>
          <w:rFonts w:ascii="宋体" w:hAnsi="宋体" w:hint="eastAsia"/>
          <w:b/>
          <w:sz w:val="18"/>
          <w:szCs w:val="18"/>
        </w:rPr>
        <w:t>（本《产品说明书》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rsidR="00E039EF" w:rsidRDefault="00E039EF">
      <w:pPr>
        <w:pStyle w:val="Default"/>
        <w:spacing w:line="360" w:lineRule="auto"/>
        <w:rPr>
          <w:rFonts w:hAnsi="宋体"/>
          <w:sz w:val="18"/>
          <w:szCs w:val="18"/>
        </w:rPr>
      </w:pPr>
    </w:p>
    <w:sectPr w:rsidR="00E039EF">
      <w:headerReference w:type="default" r:id="rId27"/>
      <w:footerReference w:type="default" r:id="rId28"/>
      <w:pgSz w:w="11906" w:h="16838"/>
      <w:pgMar w:top="1276" w:right="1800" w:bottom="1418" w:left="1800" w:header="567" w:footer="96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646" w:rsidRDefault="00B86646">
      <w:r>
        <w:separator/>
      </w:r>
    </w:p>
  </w:endnote>
  <w:endnote w:type="continuationSeparator" w:id="0">
    <w:p w:rsidR="00B86646" w:rsidRDefault="00B8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369" w:rsidRDefault="00E13369">
    <w:pPr>
      <w:pStyle w:val="a9"/>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sidR="002C6DE3">
      <w:rPr>
        <w:noProof/>
        <w:kern w:val="0"/>
        <w:szCs w:val="21"/>
      </w:rPr>
      <w:t>14</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646" w:rsidRDefault="00B86646">
      <w:r>
        <w:separator/>
      </w:r>
    </w:p>
  </w:footnote>
  <w:footnote w:type="continuationSeparator" w:id="0">
    <w:p w:rsidR="00B86646" w:rsidRDefault="00B86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369" w:rsidRDefault="00E13369">
    <w:pPr>
      <w:pStyle w:val="aa"/>
      <w:jc w:val="right"/>
      <w:rPr>
        <w:rFonts w:ascii="Times New Roman" w:hAnsi="Times New Roman"/>
        <w:b/>
      </w:rPr>
    </w:pPr>
    <w:r>
      <w:rPr>
        <w:rFonts w:ascii="Times New Roman" w:hAnsi="Times New Roman" w:cs="Times New Roman" w:hint="eastAsia"/>
        <w:b/>
        <w:szCs w:val="20"/>
      </w:rPr>
      <w:t xml:space="preserve"> </w:t>
    </w:r>
    <w:r>
      <w:rPr>
        <w:rFonts w:ascii="Times New Roman" w:hAnsi="Times New Roman" w:hint="eastAsia"/>
        <w:b/>
      </w:rPr>
      <w:t>产品说明书</w:t>
    </w:r>
  </w:p>
  <w:p w:rsidR="00E13369" w:rsidRDefault="00E13369">
    <w:pPr>
      <w:pStyle w:val="aa"/>
      <w:jc w:val="right"/>
      <w:rPr>
        <w:rFonts w:ascii="Times New Roman" w:hAnsi="Times New Roman"/>
        <w:b/>
      </w:rPr>
    </w:pPr>
    <w:r>
      <w:rPr>
        <w:rFonts w:ascii="Times New Roman" w:hAnsi="Times New Roman"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3FE9"/>
    <w:rsid w:val="00085DD5"/>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5FE7"/>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85C53"/>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C6DE3"/>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3E92"/>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4562"/>
    <w:rsid w:val="0042456A"/>
    <w:rsid w:val="00425785"/>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3BC"/>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E7801"/>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6646"/>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4C6F"/>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369"/>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5BB3"/>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953EB9"/>
    <w:rsid w:val="0C023D8C"/>
    <w:rsid w:val="0E94232E"/>
    <w:rsid w:val="0F1306D5"/>
    <w:rsid w:val="11295396"/>
    <w:rsid w:val="163E2FB7"/>
    <w:rsid w:val="1A48157B"/>
    <w:rsid w:val="1ABE2ED9"/>
    <w:rsid w:val="1BD70953"/>
    <w:rsid w:val="1BF87698"/>
    <w:rsid w:val="1C78144D"/>
    <w:rsid w:val="1E585AB7"/>
    <w:rsid w:val="1EB160C2"/>
    <w:rsid w:val="1FF145B9"/>
    <w:rsid w:val="2193546F"/>
    <w:rsid w:val="23083986"/>
    <w:rsid w:val="23AF29A3"/>
    <w:rsid w:val="26123FD6"/>
    <w:rsid w:val="26F50BA9"/>
    <w:rsid w:val="29026D00"/>
    <w:rsid w:val="2A642791"/>
    <w:rsid w:val="2EA644DF"/>
    <w:rsid w:val="2ECE6508"/>
    <w:rsid w:val="2FB532A0"/>
    <w:rsid w:val="319C4BEA"/>
    <w:rsid w:val="33DA2E89"/>
    <w:rsid w:val="34C829B2"/>
    <w:rsid w:val="35381804"/>
    <w:rsid w:val="386A3F56"/>
    <w:rsid w:val="3A810EF7"/>
    <w:rsid w:val="3C3802E9"/>
    <w:rsid w:val="3E0C1771"/>
    <w:rsid w:val="3E586AB8"/>
    <w:rsid w:val="3E5C1B1D"/>
    <w:rsid w:val="3EAE14E9"/>
    <w:rsid w:val="3FD261A6"/>
    <w:rsid w:val="42EB2F9C"/>
    <w:rsid w:val="45226963"/>
    <w:rsid w:val="469F5C49"/>
    <w:rsid w:val="4D39606F"/>
    <w:rsid w:val="4F8E3D4D"/>
    <w:rsid w:val="4FA308F4"/>
    <w:rsid w:val="53B3493A"/>
    <w:rsid w:val="5537323C"/>
    <w:rsid w:val="55855837"/>
    <w:rsid w:val="56503211"/>
    <w:rsid w:val="57BD5DAE"/>
    <w:rsid w:val="598B567E"/>
    <w:rsid w:val="5BA577EB"/>
    <w:rsid w:val="5C624734"/>
    <w:rsid w:val="5FE91ABC"/>
    <w:rsid w:val="60D42826"/>
    <w:rsid w:val="628E734C"/>
    <w:rsid w:val="6580603B"/>
    <w:rsid w:val="68B96EA7"/>
    <w:rsid w:val="68C7223A"/>
    <w:rsid w:val="68EF6886"/>
    <w:rsid w:val="694A7300"/>
    <w:rsid w:val="699457CF"/>
    <w:rsid w:val="6E5B6D6D"/>
    <w:rsid w:val="6FDD1093"/>
    <w:rsid w:val="709C0126"/>
    <w:rsid w:val="724A5751"/>
    <w:rsid w:val="76022652"/>
    <w:rsid w:val="768501BE"/>
    <w:rsid w:val="76C8601E"/>
    <w:rsid w:val="7D80556D"/>
    <w:rsid w:val="7ED8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330498-86B5-4E3A-9F4D-5325B968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Char"/>
    <w:qFormat/>
    <w:pPr>
      <w:shd w:val="clear" w:color="auto" w:fill="000080"/>
    </w:pPr>
    <w:rPr>
      <w:rFonts w:ascii="Times New Roman" w:hAnsi="Times New Roman" w:cs="Times New Roman"/>
      <w:szCs w:val="20"/>
    </w:rPr>
  </w:style>
  <w:style w:type="paragraph" w:styleId="a5">
    <w:name w:val="annotation text"/>
    <w:basedOn w:val="a"/>
    <w:link w:val="Char0"/>
    <w:uiPriority w:val="99"/>
    <w:qFormat/>
    <w:pPr>
      <w:widowControl/>
      <w:jc w:val="left"/>
    </w:pPr>
    <w:rPr>
      <w:rFonts w:ascii="宋体" w:hAnsi="宋体"/>
      <w:kern w:val="0"/>
      <w:sz w:val="24"/>
      <w:szCs w:val="24"/>
    </w:rPr>
  </w:style>
  <w:style w:type="paragraph" w:styleId="a6">
    <w:name w:val="Body Text"/>
    <w:basedOn w:val="a"/>
    <w:link w:val="Char1"/>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7">
    <w:name w:val="Plain Text"/>
    <w:basedOn w:val="a"/>
    <w:link w:val="Char2"/>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b">
    <w:name w:val="footnote text"/>
    <w:basedOn w:val="a"/>
    <w:link w:val="Char6"/>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7"/>
    <w:qFormat/>
    <w:pPr>
      <w:spacing w:before="240" w:after="60"/>
      <w:jc w:val="center"/>
      <w:outlineLvl w:val="0"/>
    </w:pPr>
    <w:rPr>
      <w:rFonts w:ascii="Cambria" w:hAnsi="Cambria"/>
      <w:b/>
      <w:sz w:val="32"/>
      <w:szCs w:val="20"/>
    </w:rPr>
  </w:style>
  <w:style w:type="paragraph" w:styleId="ae">
    <w:name w:val="annotation subject"/>
    <w:basedOn w:val="a5"/>
    <w:next w:val="a5"/>
    <w:link w:val="Char8"/>
    <w:qFormat/>
    <w:pPr>
      <w:widowControl w:val="0"/>
    </w:pPr>
    <w:rPr>
      <w:rFonts w:ascii="Calibri" w:hAnsi="Calibri"/>
      <w:b/>
      <w:bCs/>
      <w:kern w:val="2"/>
      <w:sz w:val="21"/>
      <w:szCs w:val="2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basedOn w:val="a0"/>
    <w:uiPriority w:val="99"/>
    <w:unhideWhenUsed/>
    <w:qFormat/>
    <w:rPr>
      <w:color w:val="0000FF" w:themeColor="hyperlink"/>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5"/>
    <w:uiPriority w:val="99"/>
    <w:qFormat/>
    <w:rPr>
      <w:rFonts w:ascii="宋体" w:eastAsia="宋体" w:hAnsi="宋体" w:cs="宋体"/>
      <w:kern w:val="0"/>
      <w:sz w:val="24"/>
      <w:szCs w:val="24"/>
    </w:rPr>
  </w:style>
  <w:style w:type="character" w:customStyle="1" w:styleId="Char3">
    <w:name w:val="批注框文本 Char"/>
    <w:basedOn w:val="a0"/>
    <w:link w:val="a8"/>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8">
    <w:name w:val="批注主题 Char"/>
    <w:basedOn w:val="Char0"/>
    <w:link w:val="ae"/>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7">
    <w:name w:val="标题 Char"/>
    <w:link w:val="ad"/>
    <w:qFormat/>
    <w:rPr>
      <w:rFonts w:ascii="Cambria" w:hAnsi="Cambria"/>
      <w:b/>
      <w:kern w:val="2"/>
      <w:sz w:val="32"/>
    </w:rPr>
  </w:style>
  <w:style w:type="character" w:customStyle="1" w:styleId="Char1">
    <w:name w:val="正文文本 Char"/>
    <w:link w:val="a6"/>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
    <w:name w:val="文档结构图 Char"/>
    <w:basedOn w:val="a0"/>
    <w:link w:val="a4"/>
    <w:qFormat/>
    <w:rPr>
      <w:rFonts w:ascii="Times New Roman" w:hAnsi="Times New Roman" w:cs="Times New Roman"/>
      <w:kern w:val="2"/>
      <w:sz w:val="21"/>
      <w:shd w:val="clear" w:color="auto" w:fill="000080"/>
    </w:rPr>
  </w:style>
  <w:style w:type="character" w:customStyle="1" w:styleId="Char2">
    <w:name w:val="纯文本 Char"/>
    <w:basedOn w:val="a0"/>
    <w:link w:val="a7"/>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6">
    <w:name w:val="脚注文本 Char"/>
    <w:basedOn w:val="a0"/>
    <w:link w:val="ab"/>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976750">
      <w:bodyDiv w:val="1"/>
      <w:marLeft w:val="0"/>
      <w:marRight w:val="0"/>
      <w:marTop w:val="0"/>
      <w:marBottom w:val="0"/>
      <w:divBdr>
        <w:top w:val="none" w:sz="0" w:space="0" w:color="auto"/>
        <w:left w:val="none" w:sz="0" w:space="0" w:color="auto"/>
        <w:bottom w:val="none" w:sz="0" w:space="0" w:color="auto"/>
        <w:right w:val="none" w:sz="0" w:space="0" w:color="auto"/>
      </w:divBdr>
    </w:div>
    <w:div w:id="952132866">
      <w:bodyDiv w:val="1"/>
      <w:marLeft w:val="0"/>
      <w:marRight w:val="0"/>
      <w:marTop w:val="0"/>
      <w:marBottom w:val="0"/>
      <w:divBdr>
        <w:top w:val="none" w:sz="0" w:space="0" w:color="auto"/>
        <w:left w:val="none" w:sz="0" w:space="0" w:color="auto"/>
        <w:bottom w:val="none" w:sz="0" w:space="0" w:color="auto"/>
        <w:right w:val="none" w:sz="0" w:space="0" w:color="auto"/>
      </w:divBdr>
    </w:div>
    <w:div w:id="1089080052">
      <w:bodyDiv w:val="1"/>
      <w:marLeft w:val="0"/>
      <w:marRight w:val="0"/>
      <w:marTop w:val="0"/>
      <w:marBottom w:val="0"/>
      <w:divBdr>
        <w:top w:val="none" w:sz="0" w:space="0" w:color="auto"/>
        <w:left w:val="none" w:sz="0" w:space="0" w:color="auto"/>
        <w:bottom w:val="none" w:sz="0" w:space="0" w:color="auto"/>
        <w:right w:val="none" w:sz="0" w:space="0" w:color="auto"/>
      </w:divBdr>
    </w:div>
    <w:div w:id="1381132718">
      <w:bodyDiv w:val="1"/>
      <w:marLeft w:val="0"/>
      <w:marRight w:val="0"/>
      <w:marTop w:val="0"/>
      <w:marBottom w:val="0"/>
      <w:divBdr>
        <w:top w:val="none" w:sz="0" w:space="0" w:color="auto"/>
        <w:left w:val="none" w:sz="0" w:space="0" w:color="auto"/>
        <w:bottom w:val="none" w:sz="0" w:space="0" w:color="auto"/>
        <w:right w:val="none" w:sz="0" w:space="0" w:color="auto"/>
      </w:divBdr>
    </w:div>
    <w:div w:id="1497577721">
      <w:bodyDiv w:val="1"/>
      <w:marLeft w:val="0"/>
      <w:marRight w:val="0"/>
      <w:marTop w:val="0"/>
      <w:marBottom w:val="0"/>
      <w:divBdr>
        <w:top w:val="none" w:sz="0" w:space="0" w:color="auto"/>
        <w:left w:val="none" w:sz="0" w:space="0" w:color="auto"/>
        <w:bottom w:val="none" w:sz="0" w:space="0" w:color="auto"/>
        <w:right w:val="none" w:sz="0" w:space="0" w:color="auto"/>
      </w:divBdr>
    </w:div>
    <w:div w:id="1866168885">
      <w:bodyDiv w:val="1"/>
      <w:marLeft w:val="0"/>
      <w:marRight w:val="0"/>
      <w:marTop w:val="0"/>
      <w:marBottom w:val="0"/>
      <w:divBdr>
        <w:top w:val="none" w:sz="0" w:space="0" w:color="auto"/>
        <w:left w:val="none" w:sz="0" w:space="0" w:color="auto"/>
        <w:bottom w:val="none" w:sz="0" w:space="0" w:color="auto"/>
        <w:right w:val="none" w:sz="0" w:space="0" w:color="auto"/>
      </w:divBdr>
    </w:div>
    <w:div w:id="1968579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chinawealth.com.cn" TargetMode="Externa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10.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11.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12.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13.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14.xml><?xml version="1.0" encoding="utf-8"?>
<ds:datastoreItem xmlns:ds="http://schemas.openxmlformats.org/officeDocument/2006/customXml" ds:itemID="{509BA638-9D3A-4AA3-A169-FF78BC0E4BE9}">
  <ds:schemaRefs>
    <ds:schemaRef ds:uri="http://www.wps.cn/android/officeDocument/2013/mofficeCustomData"/>
  </ds:schemaRefs>
</ds:datastoreItem>
</file>

<file path=customXml/itemProps15.xml><?xml version="1.0" encoding="utf-8"?>
<ds:datastoreItem xmlns:ds="http://schemas.openxmlformats.org/officeDocument/2006/customXml" ds:itemID="{79B37214-9E52-4241-8DD2-9E9CD9442006}">
  <ds:schemaRefs>
    <ds:schemaRef ds:uri="http://www.wps.cn/android/officeDocument/2013/mofficeCustomData"/>
  </ds:schemaRefs>
</ds:datastoreItem>
</file>

<file path=customXml/itemProps16.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17.xml><?xml version="1.0" encoding="utf-8"?>
<ds:datastoreItem xmlns:ds="http://schemas.openxmlformats.org/officeDocument/2006/customXml" ds:itemID="{E6D3D55C-3DD8-4C31-8069-E5508DD844FB}">
  <ds:schemaRefs>
    <ds:schemaRef ds:uri="http://www.wps.cn/android/officeDocument/2013/mofficeCustomData"/>
  </ds:schemaRefs>
</ds:datastoreItem>
</file>

<file path=customXml/itemProps18.xml><?xml version="1.0" encoding="utf-8"?>
<ds:datastoreItem xmlns:ds="http://schemas.openxmlformats.org/officeDocument/2006/customXml" ds:itemID="{9EC64388-A247-4C15-9A1C-77E389097864}">
  <ds:schemaRefs>
    <ds:schemaRef ds:uri="http://schemas.openxmlformats.org/officeDocument/2006/bibliography"/>
  </ds:schemaRefs>
</ds:datastoreItem>
</file>

<file path=customXml/itemProps2.xml><?xml version="1.0" encoding="utf-8"?>
<ds:datastoreItem xmlns:ds="http://schemas.openxmlformats.org/officeDocument/2006/customXml" ds:itemID="{9114D43D-ED98-4C7B-A3AE-26D78B80CA82}">
  <ds:schemaRefs>
    <ds:schemaRef ds:uri="http://www.wps.cn/android/officeDocument/2013/mofficeCustomData"/>
  </ds:schemaRefs>
</ds:datastoreItem>
</file>

<file path=customXml/itemProps3.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6.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7.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8.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9.xml><?xml version="1.0" encoding="utf-8"?>
<ds:datastoreItem xmlns:ds="http://schemas.openxmlformats.org/officeDocument/2006/customXml" ds:itemID="{EC45DDBE-A426-47CA-BC62-D025DE29F1BC}">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3664</Words>
  <Characters>20888</Characters>
  <Application>Microsoft Office Word</Application>
  <DocSecurity>8</DocSecurity>
  <Lines>174</Lines>
  <Paragraphs>49</Paragraphs>
  <ScaleCrop>false</ScaleCrop>
  <Company>Microsoft</Company>
  <LinksUpToDate>false</LinksUpToDate>
  <CharactersWithSpaces>24503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俞嘉骏</cp:lastModifiedBy>
  <cp:revision>17</cp:revision>
  <cp:lastPrinted>2020-09-21T06:35:00Z</cp:lastPrinted>
  <dcterms:created xsi:type="dcterms:W3CDTF">2023-11-02T08:56:00Z</dcterms:created>
  <dcterms:modified xsi:type="dcterms:W3CDTF">2023-12-15T05:53:00Z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0EC4E53844084BB8BF9E6D0327B3F36C</vt:lpwstr>
  </property>
</Properties>
</file>