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450" w:afterAutospacing="0" w:line="840" w:lineRule="atLeast"/>
        <w:ind w:left="0" w:right="0" w:firstLine="0"/>
        <w:jc w:val="center"/>
        <w:rPr>
          <w:rFonts w:ascii="微软雅黑" w:hAnsi="微软雅黑" w:eastAsia="微软雅黑" w:cs="微软雅黑"/>
          <w:i w:val="0"/>
          <w:caps w:val="0"/>
          <w:color w:val="464545"/>
          <w:spacing w:val="0"/>
          <w:sz w:val="25"/>
          <w:szCs w:val="25"/>
        </w:rPr>
      </w:pPr>
      <w:r>
        <w:rPr>
          <w:rStyle w:val="6"/>
          <w:rFonts w:hint="eastAsia" w:ascii="微软雅黑" w:hAnsi="微软雅黑" w:eastAsia="微软雅黑" w:cs="微软雅黑"/>
          <w:b/>
          <w:i w:val="0"/>
          <w:caps w:val="0"/>
          <w:color w:val="004EA2"/>
          <w:spacing w:val="0"/>
          <w:sz w:val="27"/>
          <w:szCs w:val="27"/>
          <w:shd w:val="clear" w:fill="FFFFFF"/>
          <w:lang w:val="en-US" w:eastAsia="zh-CN"/>
        </w:rPr>
        <w:t>杭银理财幸福99周添益2101期理财合同调整公告</w:t>
      </w:r>
    </w:p>
    <w:p>
      <w:pPr>
        <w:pStyle w:val="2"/>
        <w:keepNext w:val="0"/>
        <w:keepLines w:val="0"/>
        <w:widowControl/>
        <w:suppressLineNumbers w:val="0"/>
        <w:shd w:val="clear" w:fill="FFFFFF"/>
        <w:spacing w:before="0" w:beforeAutospacing="1" w:after="0" w:afterAutospacing="1" w:line="383" w:lineRule="atLeast"/>
        <w:ind w:left="0" w:right="0" w:firstLine="0"/>
        <w:jc w:val="left"/>
        <w:rPr>
          <w:rFonts w:hint="eastAsia" w:ascii="微软雅黑" w:hAnsi="微软雅黑" w:eastAsia="微软雅黑" w:cs="微软雅黑"/>
          <w:i w:val="0"/>
          <w:caps w:val="0"/>
          <w:color w:val="464545"/>
          <w:spacing w:val="0"/>
          <w:sz w:val="28"/>
          <w:szCs w:val="28"/>
        </w:rPr>
      </w:pPr>
      <w:r>
        <w:rPr>
          <w:rFonts w:hint="eastAsia" w:ascii="宋体" w:hAnsi="宋体" w:eastAsia="宋体" w:cs="宋体"/>
          <w:i w:val="0"/>
          <w:caps w:val="0"/>
          <w:color w:val="333333"/>
          <w:spacing w:val="0"/>
          <w:sz w:val="28"/>
          <w:szCs w:val="28"/>
          <w:shd w:val="clear" w:fill="FFFFFF"/>
        </w:rPr>
        <w:t>尊敬的投资者：</w:t>
      </w:r>
    </w:p>
    <w:p>
      <w:pPr>
        <w:pStyle w:val="2"/>
        <w:keepNext w:val="0"/>
        <w:keepLines w:val="0"/>
        <w:widowControl/>
        <w:suppressLineNumbers w:val="0"/>
        <w:shd w:val="clear" w:fill="FFFFFF"/>
        <w:spacing w:before="0" w:beforeAutospacing="1" w:after="0" w:afterAutospacing="1" w:line="383" w:lineRule="atLeast"/>
        <w:ind w:left="0" w:right="0" w:firstLine="480"/>
        <w:jc w:val="left"/>
        <w:rPr>
          <w:rFonts w:hint="default"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rPr>
        <w:t>为满足投资者理财需求，更好地为投资者提供服务，杭银理财幸福99</w:t>
      </w:r>
      <w:r>
        <w:rPr>
          <w:rFonts w:hint="eastAsia" w:ascii="宋体" w:hAnsi="宋体" w:eastAsia="宋体" w:cs="宋体"/>
          <w:i w:val="0"/>
          <w:caps w:val="0"/>
          <w:color w:val="333333"/>
          <w:spacing w:val="0"/>
          <w:sz w:val="28"/>
          <w:szCs w:val="28"/>
          <w:shd w:val="clear" w:fill="FFFFFF"/>
          <w:lang w:val="en-US" w:eastAsia="zh-CN"/>
        </w:rPr>
        <w:t>周</w:t>
      </w:r>
      <w:r>
        <w:rPr>
          <w:rFonts w:hint="eastAsia" w:ascii="宋体" w:hAnsi="宋体" w:eastAsia="宋体" w:cs="宋体"/>
          <w:i w:val="0"/>
          <w:caps w:val="0"/>
          <w:color w:val="333333"/>
          <w:spacing w:val="0"/>
          <w:sz w:val="28"/>
          <w:szCs w:val="28"/>
          <w:shd w:val="clear" w:fill="FFFFFF"/>
        </w:rPr>
        <w:t>添益</w:t>
      </w:r>
      <w:r>
        <w:rPr>
          <w:rFonts w:hint="eastAsia" w:ascii="宋体" w:hAnsi="宋体" w:eastAsia="宋体" w:cs="宋体"/>
          <w:i w:val="0"/>
          <w:caps w:val="0"/>
          <w:color w:val="333333"/>
          <w:spacing w:val="0"/>
          <w:sz w:val="28"/>
          <w:szCs w:val="28"/>
          <w:shd w:val="clear" w:fill="FFFFFF"/>
          <w:lang w:val="en-US" w:eastAsia="zh-CN"/>
        </w:rPr>
        <w:t>210</w:t>
      </w:r>
      <w:r>
        <w:rPr>
          <w:rFonts w:hint="eastAsia" w:ascii="宋体" w:hAnsi="宋体" w:eastAsia="宋体" w:cs="宋体"/>
          <w:i w:val="0"/>
          <w:caps w:val="0"/>
          <w:color w:val="333333"/>
          <w:spacing w:val="0"/>
          <w:sz w:val="28"/>
          <w:szCs w:val="28"/>
          <w:shd w:val="clear" w:fill="FFFFFF"/>
        </w:rPr>
        <w:t>1期理财（产品代码：TYG</w:t>
      </w:r>
      <w:r>
        <w:rPr>
          <w:rFonts w:hint="eastAsia" w:ascii="宋体" w:hAnsi="宋体" w:eastAsia="宋体" w:cs="宋体"/>
          <w:i w:val="0"/>
          <w:caps w:val="0"/>
          <w:color w:val="333333"/>
          <w:spacing w:val="0"/>
          <w:sz w:val="28"/>
          <w:szCs w:val="28"/>
          <w:shd w:val="clear" w:fill="FFFFFF"/>
          <w:lang w:val="en-US" w:eastAsia="zh-CN"/>
        </w:rPr>
        <w:t>7</w:t>
      </w:r>
      <w:r>
        <w:rPr>
          <w:rFonts w:hint="eastAsia" w:ascii="宋体" w:hAnsi="宋体" w:eastAsia="宋体" w:cs="宋体"/>
          <w:i w:val="0"/>
          <w:caps w:val="0"/>
          <w:color w:val="333333"/>
          <w:spacing w:val="0"/>
          <w:sz w:val="28"/>
          <w:szCs w:val="28"/>
          <w:shd w:val="clear" w:fill="FFFFFF"/>
        </w:rPr>
        <w:t>D2</w:t>
      </w:r>
      <w:r>
        <w:rPr>
          <w:rFonts w:hint="eastAsia" w:ascii="宋体" w:hAnsi="宋体" w:eastAsia="宋体" w:cs="宋体"/>
          <w:i w:val="0"/>
          <w:caps w:val="0"/>
          <w:color w:val="333333"/>
          <w:spacing w:val="0"/>
          <w:sz w:val="28"/>
          <w:szCs w:val="28"/>
          <w:shd w:val="clear" w:fill="FFFFFF"/>
          <w:lang w:val="en-US" w:eastAsia="zh-CN"/>
        </w:rPr>
        <w:t>1</w:t>
      </w:r>
      <w:r>
        <w:rPr>
          <w:rFonts w:hint="eastAsia" w:ascii="宋体" w:hAnsi="宋体" w:eastAsia="宋体" w:cs="宋体"/>
          <w:i w:val="0"/>
          <w:caps w:val="0"/>
          <w:color w:val="333333"/>
          <w:spacing w:val="0"/>
          <w:sz w:val="28"/>
          <w:szCs w:val="28"/>
          <w:shd w:val="clear" w:fill="FFFFFF"/>
        </w:rPr>
        <w:t>01）将于202</w:t>
      </w:r>
      <w:r>
        <w:rPr>
          <w:rFonts w:hint="eastAsia" w:ascii="宋体" w:hAnsi="宋体" w:eastAsia="宋体" w:cs="宋体"/>
          <w:i w:val="0"/>
          <w:caps w:val="0"/>
          <w:color w:val="333333"/>
          <w:spacing w:val="0"/>
          <w:sz w:val="28"/>
          <w:szCs w:val="28"/>
          <w:shd w:val="clear" w:fill="FFFFFF"/>
          <w:lang w:val="en-US" w:eastAsia="zh-CN"/>
        </w:rPr>
        <w:t>3</w:t>
      </w:r>
      <w:r>
        <w:rPr>
          <w:rFonts w:hint="eastAsia" w:ascii="宋体" w:hAnsi="宋体" w:eastAsia="宋体" w:cs="宋体"/>
          <w:i w:val="0"/>
          <w:caps w:val="0"/>
          <w:color w:val="333333"/>
          <w:spacing w:val="0"/>
          <w:sz w:val="28"/>
          <w:szCs w:val="28"/>
          <w:shd w:val="clear" w:fill="FFFFFF"/>
        </w:rPr>
        <w:t>年</w:t>
      </w:r>
      <w:r>
        <w:rPr>
          <w:rFonts w:hint="eastAsia" w:ascii="宋体" w:hAnsi="宋体" w:eastAsia="宋体" w:cs="宋体"/>
          <w:i w:val="0"/>
          <w:caps w:val="0"/>
          <w:color w:val="333333"/>
          <w:spacing w:val="0"/>
          <w:sz w:val="28"/>
          <w:szCs w:val="28"/>
          <w:shd w:val="clear" w:fill="FFFFFF"/>
          <w:lang w:val="en-US" w:eastAsia="zh-CN"/>
        </w:rPr>
        <w:t>11</w:t>
      </w:r>
      <w:r>
        <w:rPr>
          <w:rFonts w:hint="eastAsia" w:ascii="宋体" w:hAnsi="宋体" w:eastAsia="宋体" w:cs="宋体"/>
          <w:i w:val="0"/>
          <w:caps w:val="0"/>
          <w:color w:val="333333"/>
          <w:spacing w:val="0"/>
          <w:sz w:val="28"/>
          <w:szCs w:val="28"/>
          <w:shd w:val="clear" w:fill="FFFFFF"/>
        </w:rPr>
        <w:t>月</w:t>
      </w:r>
      <w:r>
        <w:rPr>
          <w:rFonts w:hint="eastAsia" w:ascii="宋体" w:hAnsi="宋体" w:eastAsia="宋体" w:cs="宋体"/>
          <w:i w:val="0"/>
          <w:caps w:val="0"/>
          <w:color w:val="333333"/>
          <w:spacing w:val="0"/>
          <w:sz w:val="28"/>
          <w:szCs w:val="28"/>
          <w:shd w:val="clear" w:fill="FFFFFF"/>
          <w:lang w:val="en-US" w:eastAsia="zh-CN"/>
        </w:rPr>
        <w:t>28</w:t>
      </w:r>
      <w:r>
        <w:rPr>
          <w:rFonts w:hint="eastAsia" w:ascii="宋体" w:hAnsi="宋体" w:eastAsia="宋体" w:cs="宋体"/>
          <w:i w:val="0"/>
          <w:caps w:val="0"/>
          <w:color w:val="333333"/>
          <w:spacing w:val="0"/>
          <w:sz w:val="28"/>
          <w:szCs w:val="28"/>
          <w:shd w:val="clear" w:fill="FFFFFF"/>
        </w:rPr>
        <w:t>日</w:t>
      </w:r>
      <w:r>
        <w:rPr>
          <w:rFonts w:hint="eastAsia" w:ascii="宋体" w:hAnsi="宋体" w:eastAsia="宋体" w:cs="宋体"/>
          <w:i w:val="0"/>
          <w:caps w:val="0"/>
          <w:color w:val="333333"/>
          <w:spacing w:val="0"/>
          <w:sz w:val="28"/>
          <w:szCs w:val="28"/>
          <w:shd w:val="clear" w:fill="FFFFFF"/>
          <w:lang w:eastAsia="zh-CN"/>
        </w:rPr>
        <w:t>起</w:t>
      </w:r>
      <w:r>
        <w:rPr>
          <w:rFonts w:hint="eastAsia" w:ascii="宋体" w:hAnsi="宋体" w:eastAsia="宋体" w:cs="宋体"/>
          <w:i w:val="0"/>
          <w:caps w:val="0"/>
          <w:color w:val="333333"/>
          <w:spacing w:val="0"/>
          <w:sz w:val="28"/>
          <w:szCs w:val="28"/>
          <w:shd w:val="clear" w:fill="FFFFFF"/>
          <w:lang w:val="en-US" w:eastAsia="zh-CN"/>
        </w:rPr>
        <w:t>修改产品说明书中投资范围章节的权益类资产的可投范围描述等内容</w:t>
      </w:r>
      <w:r>
        <w:rPr>
          <w:rFonts w:hint="eastAsia" w:ascii="宋体" w:hAnsi="宋体" w:eastAsia="宋体" w:cs="宋体"/>
          <w:i w:val="0"/>
          <w:caps w:val="0"/>
          <w:color w:val="333333"/>
          <w:spacing w:val="0"/>
          <w:sz w:val="28"/>
          <w:szCs w:val="28"/>
          <w:shd w:val="clear" w:fill="FFFFFF"/>
        </w:rPr>
        <w:t>。</w:t>
      </w:r>
      <w:r>
        <w:rPr>
          <w:rFonts w:hint="eastAsia" w:ascii="宋体" w:hAnsi="宋体" w:eastAsia="宋体" w:cs="宋体"/>
          <w:i w:val="0"/>
          <w:caps w:val="0"/>
          <w:color w:val="333333"/>
          <w:spacing w:val="0"/>
          <w:sz w:val="28"/>
          <w:szCs w:val="28"/>
          <w:shd w:val="clear" w:fill="FFFFFF"/>
          <w:lang w:val="en-US" w:eastAsia="zh-CN"/>
        </w:rPr>
        <w:t>详情可阅读产品合同文件。主要修改内容如下：</w:t>
      </w:r>
    </w:p>
    <w:tbl>
      <w:tblPr>
        <w:tblStyle w:val="4"/>
        <w:tblW w:w="8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822"/>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3" w:type="dxa"/>
            <w:shd w:val="clear" w:color="auto" w:fill="CFCECE" w:themeFill="background2" w:themeFillShade="E5"/>
          </w:tcPr>
          <w:p>
            <w:pPr>
              <w:pStyle w:val="2"/>
              <w:keepNext w:val="0"/>
              <w:keepLines w:val="0"/>
              <w:widowControl/>
              <w:suppressLineNumbers w:val="0"/>
              <w:spacing w:before="0" w:beforeAutospacing="1" w:after="0" w:afterAutospacing="1" w:line="360" w:lineRule="auto"/>
              <w:ind w:right="0"/>
              <w:jc w:val="center"/>
              <w:rPr>
                <w:rFonts w:hint="default" w:ascii="宋体" w:hAnsi="宋体" w:eastAsia="宋体" w:cs="宋体"/>
                <w:b/>
                <w:bCs/>
                <w:i w:val="0"/>
                <w:caps w:val="0"/>
                <w:color w:val="333333"/>
                <w:spacing w:val="0"/>
                <w:sz w:val="24"/>
                <w:szCs w:val="24"/>
                <w:shd w:val="clear" w:fill="FFFFFF"/>
                <w:vertAlign w:val="baseline"/>
                <w:lang w:val="en-US" w:eastAsia="zh-CN"/>
              </w:rPr>
            </w:pPr>
            <w:r>
              <w:rPr>
                <w:rFonts w:hint="eastAsia" w:ascii="宋体" w:hAnsi="宋体" w:eastAsia="宋体" w:cs="宋体"/>
                <w:b/>
                <w:bCs/>
                <w:i w:val="0"/>
                <w:caps w:val="0"/>
                <w:color w:val="auto"/>
                <w:spacing w:val="0"/>
                <w:sz w:val="24"/>
                <w:szCs w:val="24"/>
                <w:shd w:val="clear" w:fill="FFFFFF"/>
                <w:vertAlign w:val="baseline"/>
                <w:lang w:val="en-US" w:eastAsia="zh-CN"/>
              </w:rPr>
              <w:t>修改板块目录</w:t>
            </w:r>
          </w:p>
        </w:tc>
        <w:tc>
          <w:tcPr>
            <w:tcW w:w="3822" w:type="dxa"/>
            <w:shd w:val="clear" w:color="auto" w:fill="CFCECE" w:themeFill="background2" w:themeFillShade="E5"/>
          </w:tcPr>
          <w:p>
            <w:pPr>
              <w:pStyle w:val="2"/>
              <w:keepNext w:val="0"/>
              <w:keepLines w:val="0"/>
              <w:widowControl/>
              <w:suppressLineNumbers w:val="0"/>
              <w:spacing w:before="0" w:beforeAutospacing="1" w:after="0" w:afterAutospacing="1" w:line="360" w:lineRule="auto"/>
              <w:ind w:right="0"/>
              <w:jc w:val="center"/>
              <w:rPr>
                <w:rFonts w:hint="default" w:ascii="宋体" w:hAnsi="宋体" w:eastAsia="宋体" w:cs="宋体"/>
                <w:b/>
                <w:bCs/>
                <w:i w:val="0"/>
                <w:caps w:val="0"/>
                <w:color w:val="333333"/>
                <w:spacing w:val="0"/>
                <w:sz w:val="24"/>
                <w:szCs w:val="24"/>
                <w:shd w:val="clear" w:fill="FFFFFF"/>
                <w:vertAlign w:val="baseline"/>
                <w:lang w:val="en-US" w:eastAsia="zh-CN"/>
              </w:rPr>
            </w:pPr>
            <w:r>
              <w:rPr>
                <w:rFonts w:hint="eastAsia" w:ascii="宋体" w:hAnsi="宋体" w:eastAsia="宋体" w:cs="宋体"/>
                <w:b/>
                <w:bCs/>
                <w:i w:val="0"/>
                <w:caps w:val="0"/>
                <w:color w:val="333333"/>
                <w:spacing w:val="0"/>
                <w:sz w:val="24"/>
                <w:szCs w:val="24"/>
                <w:shd w:val="clear" w:fill="FFFFFF"/>
                <w:vertAlign w:val="baseline"/>
                <w:lang w:val="en-US" w:eastAsia="zh-CN"/>
              </w:rPr>
              <w:t>调整前</w:t>
            </w:r>
          </w:p>
        </w:tc>
        <w:tc>
          <w:tcPr>
            <w:tcW w:w="2856" w:type="dxa"/>
            <w:shd w:val="clear" w:color="auto" w:fill="CFCECE" w:themeFill="background2" w:themeFillShade="E5"/>
          </w:tcPr>
          <w:p>
            <w:pPr>
              <w:pStyle w:val="2"/>
              <w:keepNext w:val="0"/>
              <w:keepLines w:val="0"/>
              <w:widowControl/>
              <w:suppressLineNumbers w:val="0"/>
              <w:spacing w:before="0" w:beforeAutospacing="1" w:after="0" w:afterAutospacing="1" w:line="360" w:lineRule="auto"/>
              <w:ind w:right="0"/>
              <w:jc w:val="center"/>
              <w:rPr>
                <w:rFonts w:hint="default" w:ascii="宋体" w:hAnsi="宋体" w:eastAsia="宋体" w:cs="宋体"/>
                <w:b/>
                <w:bCs/>
                <w:i w:val="0"/>
                <w:caps w:val="0"/>
                <w:color w:val="333333"/>
                <w:spacing w:val="0"/>
                <w:sz w:val="24"/>
                <w:szCs w:val="24"/>
                <w:shd w:val="clear" w:fill="FFFFFF"/>
                <w:vertAlign w:val="baseline"/>
                <w:lang w:val="en-US" w:eastAsia="zh-CN"/>
              </w:rPr>
            </w:pPr>
            <w:r>
              <w:rPr>
                <w:rFonts w:hint="eastAsia" w:ascii="宋体" w:hAnsi="宋体" w:eastAsia="宋体" w:cs="宋体"/>
                <w:b/>
                <w:bCs/>
                <w:i w:val="0"/>
                <w:caps w:val="0"/>
                <w:color w:val="333333"/>
                <w:spacing w:val="0"/>
                <w:sz w:val="24"/>
                <w:szCs w:val="24"/>
                <w:shd w:val="clear" w:fill="FFFFFF"/>
                <w:vertAlign w:val="baseline"/>
                <w:lang w:val="en-US" w:eastAsia="zh-CN"/>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3" w:type="dxa"/>
          </w:tcPr>
          <w:p>
            <w:pPr>
              <w:pStyle w:val="2"/>
              <w:keepNext w:val="0"/>
              <w:keepLines w:val="0"/>
              <w:widowControl/>
              <w:suppressLineNumbers w:val="0"/>
              <w:spacing w:before="0" w:beforeAutospacing="1" w:after="0" w:afterAutospacing="1" w:line="600" w:lineRule="auto"/>
              <w:ind w:right="0"/>
              <w:jc w:val="center"/>
              <w:rPr>
                <w:rFonts w:hint="default" w:ascii="宋体" w:hAnsi="宋体" w:eastAsia="宋体" w:cs="宋体"/>
                <w:i w:val="0"/>
                <w:caps w:val="0"/>
                <w:color w:val="333333"/>
                <w:spacing w:val="0"/>
                <w:sz w:val="24"/>
                <w:szCs w:val="24"/>
                <w:shd w:val="clear" w:fill="FFFFFF"/>
                <w:vertAlign w:val="baseline"/>
                <w:lang w:val="en-US" w:eastAsia="zh-CN"/>
              </w:rPr>
            </w:pPr>
            <w:r>
              <w:rPr>
                <w:rFonts w:hint="eastAsia" w:ascii="宋体" w:hAnsi="宋体" w:cs="宋体"/>
                <w:bCs/>
                <w:sz w:val="24"/>
                <w:highlight w:val="none"/>
                <w:lang w:val="en-US" w:eastAsia="zh-CN"/>
              </w:rPr>
              <w:t>五、投资管理(一)投资范围</w:t>
            </w:r>
          </w:p>
        </w:tc>
        <w:tc>
          <w:tcPr>
            <w:tcW w:w="3822" w:type="dxa"/>
          </w:tcPr>
          <w:p>
            <w:pPr>
              <w:pStyle w:val="2"/>
              <w:keepNext w:val="0"/>
              <w:keepLines w:val="0"/>
              <w:widowControl/>
              <w:suppressLineNumbers w:val="0"/>
              <w:spacing w:before="0" w:beforeAutospacing="1" w:after="0" w:afterAutospacing="1" w:line="383" w:lineRule="atLeast"/>
              <w:ind w:right="0"/>
              <w:jc w:val="center"/>
              <w:rPr>
                <w:rFonts w:hint="eastAsia" w:ascii="宋体" w:hAnsi="宋体" w:cs="宋体" w:eastAsiaTheme="minorEastAsia"/>
                <w:i w:val="0"/>
                <w:caps w:val="0"/>
                <w:color w:val="333333"/>
                <w:spacing w:val="0"/>
                <w:sz w:val="24"/>
                <w:szCs w:val="24"/>
                <w:shd w:val="clear" w:fill="FFFFFF"/>
                <w:vertAlign w:val="baseline"/>
                <w:lang w:val="en-US" w:eastAsia="zh-CN"/>
              </w:rPr>
            </w:pPr>
            <w:r>
              <w:rPr>
                <w:rFonts w:hint="eastAsia" w:ascii="宋体" w:hAnsi="宋体" w:cs="宋体"/>
                <w:color w:val="000000"/>
                <w:sz w:val="24"/>
                <w:szCs w:val="21"/>
                <w:lang w:val="en-US" w:eastAsia="zh-CN"/>
              </w:rPr>
              <w:t>2.权益类资产：</w:t>
            </w:r>
            <w:r>
              <w:rPr>
                <w:rFonts w:hint="eastAsia" w:ascii="宋体" w:hAnsi="宋体" w:cs="宋体"/>
                <w:bCs/>
                <w:sz w:val="24"/>
                <w:highlight w:val="none"/>
              </w:rPr>
              <w:t>包括国内发行上市优先股、上市公司股票、定向增发、员工持股计划、以及其他符合监管要求的权益类资产及资产管理产品（不包括未上市企业股权）</w:t>
            </w:r>
            <w:r>
              <w:rPr>
                <w:rFonts w:hint="eastAsia" w:ascii="宋体" w:hAnsi="宋体" w:cs="宋体"/>
                <w:bCs/>
                <w:sz w:val="24"/>
                <w:highlight w:val="none"/>
                <w:lang w:eastAsia="zh-CN"/>
              </w:rPr>
              <w:t>。</w:t>
            </w:r>
          </w:p>
        </w:tc>
        <w:tc>
          <w:tcPr>
            <w:tcW w:w="2856" w:type="dxa"/>
            <w:vAlign w:val="top"/>
          </w:tcPr>
          <w:p>
            <w:pPr>
              <w:pStyle w:val="2"/>
              <w:keepNext w:val="0"/>
              <w:keepLines w:val="0"/>
              <w:widowControl/>
              <w:suppressLineNumbers w:val="0"/>
              <w:spacing w:before="0" w:beforeAutospacing="1" w:after="0" w:afterAutospacing="1" w:line="383" w:lineRule="atLeast"/>
              <w:ind w:left="0" w:leftChars="0" w:right="0" w:rightChars="0"/>
              <w:jc w:val="center"/>
              <w:rPr>
                <w:rFonts w:hint="default" w:ascii="宋体" w:hAnsi="宋体" w:eastAsia="宋体" w:cs="宋体"/>
                <w:i w:val="0"/>
                <w:caps w:val="0"/>
                <w:color w:val="333333"/>
                <w:spacing w:val="0"/>
                <w:sz w:val="24"/>
                <w:szCs w:val="24"/>
                <w:shd w:val="clear" w:fill="FFFFFF"/>
                <w:vertAlign w:val="baseline"/>
                <w:lang w:val="en-US" w:eastAsia="zh-CN"/>
              </w:rPr>
            </w:pPr>
            <w:r>
              <w:rPr>
                <w:rFonts w:hint="eastAsia" w:ascii="宋体" w:hAnsi="宋体" w:cs="宋体"/>
                <w:color w:val="000000"/>
                <w:sz w:val="24"/>
                <w:szCs w:val="21"/>
                <w:lang w:val="en-US" w:eastAsia="zh-CN"/>
              </w:rPr>
              <w:t>2.</w:t>
            </w:r>
            <w:r>
              <w:rPr>
                <w:rFonts w:hint="eastAsia" w:ascii="宋体" w:hAnsi="宋体" w:cs="宋体"/>
                <w:bCs/>
                <w:sz w:val="24"/>
                <w:highlight w:val="none"/>
              </w:rPr>
              <w:t>权益类资产：</w:t>
            </w:r>
            <w:r>
              <w:rPr>
                <w:rFonts w:hint="eastAsia" w:ascii="宋体" w:hAnsi="宋体" w:cs="宋体"/>
                <w:bCs/>
                <w:sz w:val="24"/>
              </w:rPr>
              <w:t>包括国内发行上市优先股以及其他符合监管要求的权益类资产（不包括未上市企业股权）</w:t>
            </w:r>
          </w:p>
        </w:tc>
      </w:tr>
    </w:tbl>
    <w:p>
      <w:pPr>
        <w:pStyle w:val="2"/>
        <w:keepNext w:val="0"/>
        <w:keepLines w:val="0"/>
        <w:widowControl/>
        <w:suppressLineNumbers w:val="0"/>
        <w:shd w:val="clear" w:fill="FFFFFF"/>
        <w:spacing w:before="0" w:beforeAutospacing="1" w:after="0" w:afterAutospacing="1" w:line="383" w:lineRule="atLeast"/>
        <w:ind w:right="0"/>
        <w:jc w:val="left"/>
        <w:rPr>
          <w:rFonts w:hint="eastAsia" w:ascii="宋体" w:hAnsi="宋体" w:eastAsia="宋体" w:cs="宋体"/>
          <w:i w:val="0"/>
          <w:caps w:val="0"/>
          <w:color w:val="333333"/>
          <w:spacing w:val="0"/>
          <w:sz w:val="28"/>
          <w:szCs w:val="28"/>
          <w:shd w:val="clear" w:fill="FFFFFF"/>
          <w:lang w:val="en-US" w:eastAsia="zh-CN"/>
        </w:rPr>
      </w:pPr>
    </w:p>
    <w:p>
      <w:pPr>
        <w:pStyle w:val="2"/>
        <w:keepNext w:val="0"/>
        <w:keepLines w:val="0"/>
        <w:widowControl/>
        <w:suppressLineNumbers w:val="0"/>
        <w:shd w:val="clear" w:fill="FFFFFF"/>
        <w:spacing w:before="0" w:beforeAutospacing="1" w:after="0" w:afterAutospacing="1" w:line="383" w:lineRule="atLeast"/>
        <w:ind w:left="0" w:right="0" w:firstLine="480"/>
        <w:jc w:val="left"/>
        <w:rPr>
          <w:rFonts w:hint="eastAsia" w:ascii="微软雅黑" w:hAnsi="微软雅黑" w:eastAsia="微软雅黑" w:cs="微软雅黑"/>
          <w:i w:val="0"/>
          <w:caps w:val="0"/>
          <w:color w:val="464545"/>
          <w:spacing w:val="0"/>
          <w:sz w:val="28"/>
          <w:szCs w:val="28"/>
        </w:rPr>
      </w:pPr>
      <w:r>
        <w:rPr>
          <w:rFonts w:hint="eastAsia" w:ascii="宋体" w:hAnsi="宋体" w:eastAsia="宋体" w:cs="宋体"/>
          <w:i w:val="0"/>
          <w:caps w:val="0"/>
          <w:color w:val="333333"/>
          <w:spacing w:val="0"/>
          <w:sz w:val="28"/>
          <w:szCs w:val="28"/>
          <w:shd w:val="clear" w:fill="FFFFFF"/>
        </w:rPr>
        <w:t>若您不同意本次调整，请及时于开放期内申请赎回。感谢您一直以来对杭银理财的支持，敬请继续关注杭银理财的理财产品。</w:t>
      </w:r>
    </w:p>
    <w:p>
      <w:pPr>
        <w:pStyle w:val="2"/>
        <w:keepNext w:val="0"/>
        <w:keepLines w:val="0"/>
        <w:widowControl/>
        <w:suppressLineNumbers w:val="0"/>
        <w:shd w:val="clear" w:fill="FFFFFF"/>
        <w:spacing w:before="0" w:beforeAutospacing="1" w:after="0" w:afterAutospacing="1" w:line="383" w:lineRule="atLeast"/>
        <w:ind w:left="0" w:right="0" w:firstLine="480"/>
        <w:jc w:val="right"/>
        <w:rPr>
          <w:rFonts w:ascii="微软雅黑" w:hAnsi="微软雅黑" w:eastAsia="微软雅黑" w:cs="微软雅黑"/>
          <w:i w:val="0"/>
          <w:caps w:val="0"/>
          <w:color w:val="464545"/>
          <w:spacing w:val="0"/>
          <w:sz w:val="28"/>
          <w:szCs w:val="28"/>
        </w:rPr>
      </w:pPr>
      <w:r>
        <w:rPr>
          <w:rFonts w:hint="eastAsia" w:ascii="宋体" w:hAnsi="宋体" w:eastAsia="宋体" w:cs="宋体"/>
          <w:i w:val="0"/>
          <w:caps w:val="0"/>
          <w:color w:val="333333"/>
          <w:spacing w:val="0"/>
          <w:sz w:val="28"/>
          <w:szCs w:val="28"/>
          <w:shd w:val="clear" w:fill="FFFFFF"/>
        </w:rPr>
        <w:t>杭银理财有限责任公司</w:t>
      </w:r>
    </w:p>
    <w:p>
      <w:pPr>
        <w:pStyle w:val="2"/>
        <w:keepNext w:val="0"/>
        <w:keepLines w:val="0"/>
        <w:widowControl/>
        <w:suppressLineNumbers w:val="0"/>
        <w:shd w:val="clear" w:fill="FFFFFF"/>
        <w:spacing w:before="0" w:beforeAutospacing="1" w:after="0" w:afterAutospacing="1" w:line="383" w:lineRule="atLeast"/>
        <w:ind w:left="0" w:right="0" w:firstLine="480"/>
        <w:jc w:val="right"/>
        <w:rPr>
          <w:rFonts w:hint="default" w:ascii="微软雅黑" w:hAnsi="微软雅黑" w:eastAsia="宋体" w:cs="微软雅黑"/>
          <w:i w:val="0"/>
          <w:caps w:val="0"/>
          <w:color w:val="464545"/>
          <w:spacing w:val="0"/>
          <w:sz w:val="28"/>
          <w:szCs w:val="28"/>
          <w:lang w:val="en-US" w:eastAsia="zh-CN"/>
        </w:rPr>
      </w:pPr>
      <w:r>
        <w:rPr>
          <w:rFonts w:hint="eastAsia" w:ascii="宋体" w:hAnsi="宋体" w:eastAsia="宋体" w:cs="宋体"/>
          <w:i w:val="0"/>
          <w:caps w:val="0"/>
          <w:color w:val="333333"/>
          <w:spacing w:val="0"/>
          <w:sz w:val="28"/>
          <w:szCs w:val="28"/>
          <w:shd w:val="clear" w:fill="FFFFFF"/>
        </w:rPr>
        <w:t>          202</w:t>
      </w:r>
      <w:r>
        <w:rPr>
          <w:rFonts w:hint="eastAsia" w:ascii="宋体" w:hAnsi="宋体" w:eastAsia="宋体" w:cs="宋体"/>
          <w:i w:val="0"/>
          <w:caps w:val="0"/>
          <w:color w:val="333333"/>
          <w:spacing w:val="0"/>
          <w:sz w:val="28"/>
          <w:szCs w:val="28"/>
          <w:shd w:val="clear" w:fill="FFFFFF"/>
          <w:lang w:val="en-US" w:eastAsia="zh-CN"/>
        </w:rPr>
        <w:t>3</w:t>
      </w:r>
      <w:r>
        <w:rPr>
          <w:rFonts w:hint="eastAsia" w:ascii="宋体" w:hAnsi="宋体" w:eastAsia="宋体" w:cs="宋体"/>
          <w:i w:val="0"/>
          <w:caps w:val="0"/>
          <w:color w:val="333333"/>
          <w:spacing w:val="0"/>
          <w:sz w:val="28"/>
          <w:szCs w:val="28"/>
          <w:shd w:val="clear" w:fill="FFFFFF"/>
        </w:rPr>
        <w:t>-</w:t>
      </w:r>
      <w:r>
        <w:rPr>
          <w:rFonts w:hint="eastAsia" w:ascii="宋体" w:hAnsi="宋体" w:eastAsia="宋体" w:cs="宋体"/>
          <w:i w:val="0"/>
          <w:caps w:val="0"/>
          <w:color w:val="333333"/>
          <w:spacing w:val="0"/>
          <w:sz w:val="28"/>
          <w:szCs w:val="28"/>
          <w:shd w:val="clear" w:fill="FFFFFF"/>
          <w:lang w:val="en-US" w:eastAsia="zh-CN"/>
        </w:rPr>
        <w:t>11</w:t>
      </w:r>
      <w:r>
        <w:rPr>
          <w:rFonts w:hint="eastAsia" w:ascii="宋体" w:hAnsi="宋体" w:eastAsia="宋体" w:cs="宋体"/>
          <w:i w:val="0"/>
          <w:caps w:val="0"/>
          <w:color w:val="333333"/>
          <w:spacing w:val="0"/>
          <w:sz w:val="28"/>
          <w:szCs w:val="28"/>
          <w:shd w:val="clear" w:fill="FFFFFF"/>
        </w:rPr>
        <w:t>-</w:t>
      </w:r>
      <w:r>
        <w:rPr>
          <w:rFonts w:hint="eastAsia" w:ascii="宋体" w:hAnsi="宋体" w:eastAsia="宋体" w:cs="宋体"/>
          <w:i w:val="0"/>
          <w:caps w:val="0"/>
          <w:color w:val="333333"/>
          <w:spacing w:val="0"/>
          <w:sz w:val="28"/>
          <w:szCs w:val="28"/>
          <w:shd w:val="clear" w:fill="FFFFFF"/>
          <w:lang w:val="en-US" w:eastAsia="zh-CN"/>
        </w:rPr>
        <w:t>24</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64A20"/>
    <w:rsid w:val="12AF0C59"/>
    <w:rsid w:val="15814BBB"/>
    <w:rsid w:val="1C184804"/>
    <w:rsid w:val="254D0662"/>
    <w:rsid w:val="2B2F50F2"/>
    <w:rsid w:val="2D7F220E"/>
    <w:rsid w:val="50920D33"/>
    <w:rsid w:val="519D56D5"/>
    <w:rsid w:val="58A515DE"/>
    <w:rsid w:val="64A5359E"/>
    <w:rsid w:val="69CF79F2"/>
    <w:rsid w:val="6D4030F6"/>
    <w:rsid w:val="6E665ACE"/>
    <w:rsid w:val="6FD7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2023-05-06T08:58:00Z</dcterms:created>
  <dc:creator>hccb</dc:creator>
  <cp:lastModifiedBy>未定义</cp:lastModifiedBy>
  <dcterms:modified xsi:type="dcterms:W3CDTF">2023-11-24T01:40:57Z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