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新昌农商银行丰收信福5号2023年第20期人民币理财产品说明书</w:t>
      </w:r>
    </w:p>
    <w:p>
      <w:pPr>
        <w:spacing w:line="360" w:lineRule="exact"/>
        <w:jc w:val="center"/>
        <w:rPr>
          <w:rFonts w:ascii="宋体" w:hAnsi="宋体"/>
          <w:b/>
          <w:bCs/>
          <w:sz w:val="32"/>
          <w:szCs w:val="32"/>
        </w:rPr>
      </w:pP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1. 本产品不等同于银行存款和预期收益型理财产品。理财非存款、产品有风险、投资需谨慎。</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本理财产品说明书中对本理财产品的测算收益不等于实际收益，投资须谨慎。请投资者基于自身的独立判断进行投资决策。</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信福5号”人民币理财产品风险揭示书》、《新昌农商银行“丰收信福5号”人民币理财产品客户权益须知》、《新昌农商银行丰收信福5号2023年第20期人民币理财产品说明书》、《新昌农商行“丰收信福5号”人民币理财产品协议书》及业务凭证</w:t>
      </w:r>
      <w:r>
        <w:rPr>
          <w:rFonts w:hint="eastAsia" w:ascii="宋体" w:hAnsi="宋体" w:cs="宋体"/>
          <w:b/>
          <w:sz w:val="21"/>
          <w:szCs w:val="21"/>
        </w:rPr>
        <w:t>，将共同构成客户与新昌农商银行之间的理财计划交易合同。</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5"/>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财计划：指新昌农商银行“丰收信福5号”人民币理财产品。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投资合作机构：申万宏源证券有限公司。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投资由申万宏源证券有限公司（以下简称“申万宏源”）管理的集合资产管理计划。申万宏源证券有限公司由原申银万国证券股份有限公司以换股方式吸收合并宏源证券股份有限公司，并以申银万国和宏源证券的全部证券类资产及负债(净资产)设立而成。目前，注册资本为535亿元。根据中国证券业协会经营业绩排名结果，公司营业收入、净利润、净资产等主要财务指标稳居行业第一梯队。截至2021年末，公司集合产品规模500.41亿元，定向产品规模为1902.26亿元，专项产品规模为372.81亿元。申万宏源依法承担资产管理计划的销售、登记、备案、信披、管理、运作等职责。</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理财产品认购期：是指银行接受客户认购本理财产品的起止期限。</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工作日：除双休日和国家法定假日外的法定工作日。</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投资周期：本理财产品投资周期是指产品成立日（含）至产品到期日（不含）之间的时间。</w:t>
      </w:r>
    </w:p>
    <w:p>
      <w:pPr>
        <w:pStyle w:val="5"/>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p>
      <w:pPr>
        <w:pStyle w:val="12"/>
        <w:spacing w:line="360" w:lineRule="exact"/>
        <w:ind w:firstLine="0" w:firstLineChars="0"/>
        <w:rPr>
          <w:rFonts w:ascii="宋体" w:hAnsi="宋体" w:cs="宋体"/>
          <w:color w:val="000000"/>
          <w:kern w:val="0"/>
          <w:szCs w:val="21"/>
        </w:rPr>
      </w:pPr>
      <w:r>
        <w:rPr>
          <w:rFonts w:hint="eastAsia" w:ascii="宋体" w:hAnsi="宋体" w:cs="宋体"/>
          <w:color w:val="000000"/>
          <w:kern w:val="0"/>
          <w:szCs w:val="21"/>
        </w:rPr>
        <w:t>浙江新昌农村商业银行股份有限公司理财产品风险评级说明：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风险等级</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评级说明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PR1级（低风险）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理财本金没有风险，理财投资收益随投资表现变动，总体风险程度很低。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PR2级（中低风险）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理财本金遭受损失的可能性较低，在本金未遭受损失的前提下，实现理财投资收益的可能性较高。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PR3级（中等风险）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不承诺理财本金的保障，理财投资收益随投资表现变动，总体风险保持适中水平。</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PR4级（中高风险）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理财本金和理财投资收益都面临较大的不确定性，总体风险程度较高。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PR5级（高风险）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理财本金可能出现重大损失，投资收益面临很大的不确定性，总体风险程度高。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激进型</w:t>
            </w: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6"/>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5"/>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3"/>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产品名称</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新昌农商银行丰收信福5号2023年第20期人民币理财产品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产品编号</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ascii="宋体" w:hAnsi="宋体"/>
                <w:kern w:val="0"/>
                <w:sz w:val="18"/>
                <w:szCs w:val="18"/>
              </w:rPr>
              <w:t>SXXC</w:t>
            </w:r>
            <w:r>
              <w:rPr>
                <w:rFonts w:hint="eastAsia" w:ascii="宋体" w:hAnsi="宋体"/>
                <w:kern w:val="0"/>
                <w:sz w:val="18"/>
                <w:szCs w:val="18"/>
              </w:rPr>
              <w:t>FSXF05</w:t>
            </w:r>
            <w:r>
              <w:rPr>
                <w:rFonts w:ascii="宋体" w:hAnsi="宋体"/>
                <w:kern w:val="0"/>
                <w:sz w:val="18"/>
                <w:szCs w:val="18"/>
              </w:rPr>
              <w:t>202</w:t>
            </w:r>
            <w:r>
              <w:rPr>
                <w:rFonts w:hint="eastAsia" w:ascii="宋体" w:hAnsi="宋体"/>
                <w:kern w:val="0"/>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产品登记编码</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3000</w:t>
            </w:r>
            <w:r>
              <w:rPr>
                <w:rFonts w:hint="eastAsia" w:ascii="宋体" w:hAnsi="宋体" w:cs="宋体"/>
                <w:kern w:val="0"/>
                <w:sz w:val="18"/>
                <w:szCs w:val="18"/>
                <w:lang w:val="en-US" w:eastAsia="zh-CN"/>
              </w:rPr>
              <w:t>122</w:t>
            </w:r>
            <w:r>
              <w:rPr>
                <w:rFonts w:hint="eastAsia" w:ascii="宋体" w:hAnsi="宋体" w:cs="宋体"/>
                <w:kern w:val="0"/>
                <w:sz w:val="18"/>
                <w:szCs w:val="18"/>
              </w:rPr>
              <w:t>，客户可依据该编码在“中国理财网（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适用客户</w:t>
            </w:r>
          </w:p>
        </w:tc>
        <w:tc>
          <w:tcPr>
            <w:tcW w:w="7332" w:type="dxa"/>
            <w:tcMar>
              <w:top w:w="15" w:type="dxa"/>
              <w:left w:w="15" w:type="dxa"/>
              <w:bottom w:w="0" w:type="dxa"/>
              <w:right w:w="15" w:type="dxa"/>
            </w:tcMar>
            <w:vAlign w:val="center"/>
          </w:tcPr>
          <w:p>
            <w:pPr>
              <w:widowControl/>
              <w:spacing w:line="28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销售渠道</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个人客户可通过新昌农商银行的营业网点、手机银行等渠道购买。</w:t>
            </w:r>
          </w:p>
          <w:p>
            <w:pPr>
              <w:spacing w:line="280" w:lineRule="exact"/>
              <w:rPr>
                <w:rFonts w:ascii="宋体" w:hAnsi="宋体"/>
                <w:kern w:val="0"/>
              </w:rPr>
            </w:pPr>
            <w:r>
              <w:rPr>
                <w:rFonts w:hint="eastAsia" w:ascii="宋体" w:hAnsi="宋体" w:cs="宋体"/>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交易币种</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起点认购金额</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认购起点金额</w:t>
            </w:r>
            <w:r>
              <w:rPr>
                <w:rFonts w:ascii="宋体" w:hAnsi="宋体" w:cs="宋体"/>
                <w:kern w:val="0"/>
                <w:sz w:val="18"/>
                <w:szCs w:val="18"/>
              </w:rPr>
              <w:t>1万元</w:t>
            </w:r>
            <w:r>
              <w:rPr>
                <w:rFonts w:hint="eastAsia" w:ascii="宋体" w:hAnsi="宋体" w:cs="宋体"/>
                <w:kern w:val="0"/>
                <w:sz w:val="18"/>
                <w:szCs w:val="18"/>
              </w:rPr>
              <w:t>整，超过起点部分，应为</w:t>
            </w:r>
            <w:r>
              <w:rPr>
                <w:rFonts w:ascii="宋体" w:hAnsi="宋体" w:cs="宋体"/>
                <w:kern w:val="0"/>
                <w:sz w:val="18"/>
                <w:szCs w:val="18"/>
              </w:rPr>
              <w:t>1000</w:t>
            </w:r>
            <w:r>
              <w:rPr>
                <w:rFonts w:hint="eastAsia" w:ascii="宋体" w:hAnsi="宋体" w:cs="宋体"/>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产品类型</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投资性质</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产品规模</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产品认购期</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2023年11月27日至2023年12月3日。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产品成立日</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ascii="宋体" w:hAnsi="宋体" w:cs="宋体"/>
                <w:kern w:val="0"/>
                <w:sz w:val="18"/>
                <w:szCs w:val="18"/>
              </w:rPr>
              <w:t>20</w:t>
            </w:r>
            <w:r>
              <w:rPr>
                <w:rFonts w:hint="eastAsia" w:ascii="宋体" w:hAnsi="宋体" w:cs="宋体"/>
                <w:kern w:val="0"/>
                <w:sz w:val="18"/>
                <w:szCs w:val="18"/>
              </w:rPr>
              <w:t>23年12月4日。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产品到期日</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理财期限</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99天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资金到账</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单位净值</w:t>
            </w:r>
          </w:p>
        </w:tc>
        <w:tc>
          <w:tcPr>
            <w:tcW w:w="7332" w:type="dxa"/>
            <w:tcMar>
              <w:top w:w="15" w:type="dxa"/>
              <w:left w:w="15" w:type="dxa"/>
              <w:bottom w:w="0" w:type="dxa"/>
              <w:right w:w="15" w:type="dxa"/>
            </w:tcMar>
            <w:vAlign w:val="center"/>
          </w:tcPr>
          <w:p>
            <w:pPr>
              <w:spacing w:line="28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认购份额</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认购价格=1.00元/份。认购份额=认购金额/1元。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业绩比较基准区间</w:t>
            </w:r>
          </w:p>
        </w:tc>
        <w:tc>
          <w:tcPr>
            <w:tcW w:w="7332"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本理财产品业绩比较基准区间为年化2.0%-3.</w:t>
            </w:r>
            <w:r>
              <w:rPr>
                <w:rFonts w:hint="eastAsia" w:ascii="宋体" w:hAnsi="宋体" w:cs="宋体"/>
                <w:color w:val="000000"/>
                <w:kern w:val="0"/>
                <w:sz w:val="18"/>
                <w:szCs w:val="18"/>
                <w:lang w:val="en-US" w:eastAsia="zh-CN"/>
              </w:rPr>
              <w:t>0</w:t>
            </w:r>
            <w:bookmarkStart w:id="0" w:name="_GoBack"/>
            <w:bookmarkEnd w:id="0"/>
            <w:r>
              <w:rPr>
                <w:rFonts w:hint="eastAsia" w:ascii="宋体" w:hAnsi="宋体" w:cs="宋体"/>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本产品为净值型理财产品，没有预期收益率。本理财产品不保障本金和收益。</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投资者理财收益＝理财产品投资份额×产品期末单位净值（扣减托管费、估值外包费、固定管理费、浮动管理费（如有）及相关税费后）</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相关费用</w:t>
            </w:r>
          </w:p>
        </w:tc>
        <w:tc>
          <w:tcPr>
            <w:tcW w:w="7332" w:type="dxa"/>
            <w:tcMar>
              <w:top w:w="15" w:type="dxa"/>
              <w:left w:w="15" w:type="dxa"/>
              <w:bottom w:w="0" w:type="dxa"/>
              <w:right w:w="15" w:type="dxa"/>
            </w:tcMar>
            <w:vAlign w:val="center"/>
          </w:tcPr>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2．本产品管理人按照产品资产净值收取年化0.3%的固定管理费。每日计提，于产品到期支付。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3．本产品托管人按照产品资产净值收取年化0.01%的托管费,年化0.005%的估值外包服务费。以上费用每日计提，于产品到期支付。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60%作为浮动管理费，由此造成到期日产品份额净值调整的，以调整后的产品份额净值为准进行收益分配和资金兑付。</w:t>
            </w:r>
          </w:p>
          <w:p>
            <w:pPr>
              <w:spacing w:line="280" w:lineRule="exact"/>
              <w:rPr>
                <w:rFonts w:ascii="宋体" w:hAnsi="宋体"/>
                <w:color w:val="000000"/>
                <w:kern w:val="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提前终止权</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融资服务</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本理财产品不能办理质押和转让业务。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税费规定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28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其他规定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28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28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280" w:lineRule="exact"/>
              <w:rPr>
                <w:rFonts w:ascii="宋体" w:hAnsi="宋体"/>
                <w:color w:val="000000"/>
                <w:kern w:val="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2"/>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4"/>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4"/>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4"/>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4"/>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4"/>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kern w:val="0"/>
          <w:sz w:val="24"/>
          <w:szCs w:val="24"/>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本理财计划按照年化0.3%的固定费率收取固定管理费。本产品每日计提的固定管理费为：前一日资产净值×0.3%／365。固定管理费按日计提，于产品结束后收取。</w:t>
      </w:r>
    </w:p>
    <w:p>
      <w:pPr>
        <w:spacing w:line="360" w:lineRule="exact"/>
        <w:ind w:firstLine="420" w:firstLineChars="200"/>
        <w:rPr>
          <w:rFonts w:ascii="宋体" w:hAnsi="宋体" w:cs="宋体"/>
          <w:kern w:val="0"/>
        </w:rPr>
      </w:pPr>
      <w:r>
        <w:rPr>
          <w:rFonts w:hint="eastAsia" w:ascii="宋体" w:hAnsi="宋体" w:cs="宋体"/>
          <w:kern w:val="0"/>
        </w:rPr>
        <w:t>2.理财托管人的托管费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本理财计划按照年化0.01%的固定费率收取托管费。本产品每日计提的托管费计算方式为：该前一日资产净值×0.01%／365。</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pStyle w:val="14"/>
        <w:spacing w:line="360" w:lineRule="exact"/>
        <w:ind w:firstLineChars="0"/>
        <w:rPr>
          <w:rFonts w:ascii="宋体" w:hAnsi="宋体" w:cs="宋体"/>
          <w:kern w:val="0"/>
        </w:rPr>
      </w:pPr>
      <w:r>
        <w:rPr>
          <w:rFonts w:hint="eastAsia" w:ascii="宋体" w:hAnsi="宋体" w:cs="宋体"/>
          <w:kern w:val="0"/>
        </w:rPr>
        <w:t>3.估值外包费</w:t>
      </w:r>
    </w:p>
    <w:p>
      <w:pPr>
        <w:spacing w:line="360" w:lineRule="exact"/>
        <w:ind w:firstLine="420" w:firstLineChars="200"/>
        <w:rPr>
          <w:rFonts w:ascii="宋体" w:hAnsi="宋体"/>
          <w:kern w:val="0"/>
        </w:rPr>
      </w:pPr>
      <w:r>
        <w:rPr>
          <w:rFonts w:hint="eastAsia" w:ascii="宋体" w:hAnsi="宋体" w:cs="宋体"/>
          <w:kern w:val="0"/>
        </w:rPr>
        <w:t>本理财计划按照年化0.005%的固定费率收取外包服务费。本产品每日计提的外包服务费计算方式为：该前一日资产净值×0.005%／365。</w:t>
      </w:r>
    </w:p>
    <w:p>
      <w:pPr>
        <w:spacing w:line="360" w:lineRule="exact"/>
        <w:ind w:firstLine="420" w:firstLineChars="200"/>
        <w:rPr>
          <w:rFonts w:ascii="宋体" w:hAnsi="宋体" w:cs="宋体"/>
          <w:kern w:val="0"/>
        </w:rPr>
      </w:pPr>
      <w:r>
        <w:rPr>
          <w:rFonts w:hint="eastAsia" w:ascii="宋体" w:hAnsi="宋体" w:cs="宋体"/>
          <w:kern w:val="0"/>
        </w:rPr>
        <w:t>外包服务费按日计提，于产品结束时收取。</w:t>
      </w:r>
    </w:p>
    <w:p>
      <w:pPr>
        <w:spacing w:line="360" w:lineRule="exact"/>
        <w:ind w:firstLine="420" w:firstLineChars="200"/>
        <w:rPr>
          <w:rFonts w:ascii="宋体" w:hAnsi="宋体" w:cs="宋体"/>
          <w:kern w:val="0"/>
        </w:rPr>
      </w:pPr>
      <w:r>
        <w:rPr>
          <w:rFonts w:hint="eastAsia" w:ascii="宋体" w:hAnsi="宋体" w:cs="宋体"/>
          <w:kern w:val="0"/>
        </w:rPr>
        <w:t>4.浮动管理费</w:t>
      </w:r>
    </w:p>
    <w:p>
      <w:pPr>
        <w:spacing w:line="360" w:lineRule="exact"/>
        <w:ind w:firstLine="420" w:firstLineChars="200"/>
        <w:rPr>
          <w:rFonts w:ascii="宋体" w:hAnsi="宋体" w:cs="宋体"/>
          <w:kern w:val="0"/>
          <w:szCs w:val="21"/>
        </w:rPr>
      </w:pPr>
      <w:r>
        <w:rPr>
          <w:rFonts w:hint="eastAsia" w:ascii="宋体" w:hAnsi="宋体" w:cs="宋体"/>
          <w:kern w:val="0"/>
          <w:szCs w:val="21"/>
        </w:rPr>
        <w:t>理财管理人根据理财计划投资情况计算浮动管理费，本理财产品到期年化收益率超过业绩比较基准上限的部分提取60%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60%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100,000.00×1.00×(6.20%-5.60%)×60%×362÷365=357.04（元）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100,000.00×（1.0615-1.00）-357.04=5792.96（元），产品到期时，客户获得的实际收益相当于达到年化收益率水平为：5792.96/100,000.00×365/362=5.84%。</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4"/>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4"/>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4"/>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pPr>
        <w:pStyle w:val="5"/>
        <w:numPr>
          <w:ilvl w:val="0"/>
          <w:numId w:val="1"/>
        </w:numPr>
        <w:spacing w:before="0" w:after="0" w:line="360" w:lineRule="exact"/>
        <w:ind w:hanging="420"/>
        <w:jc w:val="both"/>
        <w:outlineLvl w:val="9"/>
        <w:rPr>
          <w:rFonts w:ascii="宋体" w:hAnsi="宋体" w:cs="宋体"/>
          <w:color w:val="000000"/>
          <w:kern w:val="0"/>
        </w:rPr>
      </w:pPr>
      <w:r>
        <w:rPr>
          <w:rFonts w:hint="eastAsia" w:ascii="宋体" w:hAnsi="宋体" w:cs="宋体"/>
          <w:color w:val="000000"/>
          <w:kern w:val="0"/>
        </w:rPr>
        <w:t xml:space="preserve">特别申明 </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2、本《产品说明书》是投资者与新昌农商银行所签订的理财产品文件的一部分，请认真阅读。</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3、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4、本理财产品说明书在法律许可的范围内由银行负责解释。若客户对本理财说明书的内容有任何疑问或异议，请致电客户服务热线0575-86266991咨询、投诉。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g5ZjdhNTg1NGY0MDIyZWU3Nzc2NjJhYjE5YTUifQ=="/>
  </w:docVars>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C4CB6"/>
    <w:rsid w:val="00FC7FAD"/>
    <w:rsid w:val="00FD1347"/>
    <w:rsid w:val="00FE0FE6"/>
    <w:rsid w:val="00FE598D"/>
    <w:rsid w:val="592F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cs="Cambria"/>
      <w:b/>
      <w:bCs/>
      <w:kern w:val="28"/>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列出段落 Char"/>
    <w:link w:val="12"/>
    <w:locked/>
    <w:uiPriority w:val="0"/>
    <w:rPr>
      <w:rFonts w:ascii="Calibri" w:hAnsi="Calibri" w:cs="Calibri"/>
      <w:sz w:val="22"/>
    </w:rPr>
  </w:style>
  <w:style w:type="paragraph" w:styleId="12">
    <w:name w:val="List Paragraph"/>
    <w:basedOn w:val="1"/>
    <w:link w:val="11"/>
    <w:qFormat/>
    <w:uiPriority w:val="0"/>
    <w:pPr>
      <w:ind w:firstLine="420" w:firstLineChars="200"/>
    </w:pPr>
    <w:rPr>
      <w:rFonts w:cs="Calibri" w:eastAsiaTheme="minorEastAsia"/>
      <w:sz w:val="22"/>
    </w:rPr>
  </w:style>
  <w:style w:type="character" w:customStyle="1" w:styleId="13">
    <w:name w:val="副标题 Char"/>
    <w:basedOn w:val="8"/>
    <w:link w:val="5"/>
    <w:qFormat/>
    <w:uiPriority w:val="99"/>
    <w:rPr>
      <w:rFonts w:ascii="Cambria" w:hAnsi="Cambria" w:eastAsia="宋体" w:cs="Cambria"/>
      <w:b/>
      <w:bCs/>
      <w:kern w:val="28"/>
      <w:sz w:val="32"/>
      <w:szCs w:val="32"/>
    </w:rPr>
  </w:style>
  <w:style w:type="paragraph" w:customStyle="1" w:styleId="14">
    <w:name w:val="List Paragraph1"/>
    <w:basedOn w:val="1"/>
    <w:qFormat/>
    <w:uiPriority w:val="99"/>
    <w:pPr>
      <w:ind w:firstLine="420" w:firstLineChars="200"/>
    </w:pPr>
    <w:rPr>
      <w:rFonts w:cs="Calibri"/>
      <w:szCs w:val="21"/>
    </w:rPr>
  </w:style>
  <w:style w:type="paragraph" w:customStyle="1" w:styleId="15">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6">
    <w:name w:val="批注框文本 Char"/>
    <w:basedOn w:val="8"/>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8096-4BD6-48B0-95BA-6AC3487B0CA2}">
  <ds:schemaRefs/>
</ds:datastoreItem>
</file>

<file path=docProps/app.xml><?xml version="1.0" encoding="utf-8"?>
<Properties xmlns="http://schemas.openxmlformats.org/officeDocument/2006/extended-properties" xmlns:vt="http://schemas.openxmlformats.org/officeDocument/2006/docPropsVTypes">
  <Template>Normal</Template>
  <Pages>8</Pages>
  <Words>1310</Words>
  <Characters>7472</Characters>
  <Lines>62</Lines>
  <Paragraphs>17</Paragraphs>
  <TotalTime>467</TotalTime>
  <ScaleCrop>false</ScaleCrop>
  <LinksUpToDate>false</LinksUpToDate>
  <CharactersWithSpaces>8765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王小</cp:lastModifiedBy>
  <cp:lastPrinted>2021-01-26T00:36:00Z</cp:lastPrinted>
  <dcterms:modified xsi:type="dcterms:W3CDTF">2023-12-04T01:50:05Z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4C6CE38878214F748471CA6A7904B118_12</vt:lpwstr>
  </property>
</Properties>
</file>