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〖Z7002221000111〗</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周添益2101期理财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7日工作日可变现资产：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周添益2101期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周添益2101期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TYG7D2101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w:t>
            </w:r>
            <w:r>
              <w:rPr>
                <w:rFonts w:hint="eastAsia" w:ascii="宋体" w:hAnsi="宋体" w:cs="宋体"/>
                <w:color w:val="000000"/>
                <w:sz w:val="21"/>
                <w:szCs w:val="21"/>
                <w:highlight w:val="none"/>
                <w:lang w:val="en-US" w:eastAsia="zh-CN"/>
              </w:rPr>
              <w:t>是</w:t>
            </w:r>
            <w:r>
              <w:rPr>
                <w:rFonts w:hint="eastAsia" w:ascii="宋体" w:hAnsi="宋体" w:cs="宋体"/>
                <w:color w:val="000000"/>
                <w:sz w:val="21"/>
                <w:szCs w:val="21"/>
                <w:highlight w:val="none"/>
              </w:rPr>
              <w:t>〖</w:t>
            </w:r>
            <w:r>
              <w:rPr>
                <w:rFonts w:hint="eastAsia" w:ascii="宋体" w:hAnsi="宋体" w:cs="宋体"/>
                <w:sz w:val="21"/>
                <w:szCs w:val="21"/>
                <w:highlight w:val="none"/>
              </w:rPr>
              <w:t>Z7002221000111</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TYG7D2101</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TYG7D2101B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lang w:eastAsia="zh-CN"/>
              </w:rPr>
              <w:t>封闭</w:t>
            </w:r>
            <w:r>
              <w:rPr>
                <w:rFonts w:hint="eastAsia" w:ascii="宋体" w:hAnsi="宋体" w:cs="宋体"/>
                <w:color w:val="000000"/>
                <w:sz w:val="21"/>
                <w:szCs w:val="21"/>
                <w:highlight w:val="none"/>
              </w:rPr>
              <w:t>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每日〗开放,</w:t>
            </w:r>
            <w:r>
              <w:rPr>
                <w:rFonts w:hint="eastAsia" w:ascii="宋体" w:hAnsi="宋体" w:cs="宋体"/>
                <w:sz w:val="21"/>
                <w:szCs w:val="21"/>
                <w:highlight w:val="none"/>
              </w:rPr>
              <w:t>〖</w:t>
            </w:r>
            <w:r>
              <w:rPr>
                <w:rFonts w:hint="eastAsia" w:ascii="宋体" w:hAnsi="宋体" w:cs="宋体"/>
                <w:sz w:val="21"/>
                <w:szCs w:val="21"/>
                <w:highlight w:val="none"/>
                <w:lang w:val="en-US" w:eastAsia="zh-CN"/>
              </w:rPr>
              <w:t>每周四〗为确认日。本周四至下周三17:00前的交易申请将在下周四进行确认</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申请将在确认日，即开放期后的第〖1〗个</w:t>
            </w:r>
            <w:r>
              <w:rPr>
                <w:rFonts w:hint="eastAsia" w:ascii="宋体" w:hAnsi="宋体" w:cs="宋体"/>
                <w:bCs w:val="0"/>
                <w:color w:val="000000"/>
                <w:sz w:val="21"/>
                <w:szCs w:val="21"/>
                <w:highlight w:val="none"/>
              </w:rPr>
              <w:t>工作日进行确认。</w:t>
            </w:r>
            <w:r>
              <w:rPr>
                <w:rFonts w:hint="eastAsia" w:ascii="宋体" w:hAnsi="宋体" w:cs="宋体"/>
                <w:color w:val="000000"/>
                <w:sz w:val="21"/>
                <w:szCs w:val="21"/>
                <w:highlight w:val="none"/>
              </w:rPr>
              <w:t>确认日如遇非工作日，则顺延至〖下一工作日〗。</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4.上述交易安排如有调整，请以管理人公告为准。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单户单周期最高赎回份额为〖</w:t>
            </w:r>
            <w:r>
              <w:rPr>
                <w:rFonts w:hint="eastAsia" w:ascii="宋体" w:hAnsi="宋体" w:cs="宋体"/>
                <w:sz w:val="21"/>
                <w:szCs w:val="21"/>
                <w:highlight w:val="none"/>
                <w:lang w:val="en-US" w:eastAsia="zh-CN"/>
              </w:rPr>
              <w:t>2000</w:t>
            </w:r>
            <w:r>
              <w:rPr>
                <w:rFonts w:hint="eastAsia" w:ascii="宋体" w:hAnsi="宋体" w:cs="宋体"/>
                <w:sz w:val="21"/>
                <w:szCs w:val="21"/>
                <w:highlight w:val="none"/>
              </w:rPr>
              <w:t>万份〗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六位后去尾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2.55</w:t>
            </w:r>
            <w:r>
              <w:rPr>
                <w:rFonts w:hint="eastAsia" w:ascii="宋体" w:hAnsi="宋体" w:cs="宋体"/>
                <w:sz w:val="21"/>
                <w:szCs w:val="21"/>
                <w:highlight w:val="none"/>
              </w:rPr>
              <w:t>%-</w:t>
            </w:r>
            <w:r>
              <w:rPr>
                <w:rFonts w:hint="eastAsia" w:ascii="宋体" w:hAnsi="宋体" w:cs="宋体"/>
                <w:sz w:val="21"/>
                <w:szCs w:val="21"/>
                <w:highlight w:val="none"/>
                <w:lang w:val="en-US" w:eastAsia="zh-CN"/>
              </w:rPr>
              <w:t>3.55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2.55</w:t>
            </w:r>
            <w:r>
              <w:rPr>
                <w:rFonts w:hint="eastAsia" w:ascii="宋体" w:hAnsi="宋体" w:cs="宋体"/>
                <w:sz w:val="21"/>
                <w:szCs w:val="21"/>
                <w:highlight w:val="none"/>
              </w:rPr>
              <w:t>%-</w:t>
            </w:r>
            <w:r>
              <w:rPr>
                <w:rFonts w:hint="eastAsia" w:ascii="宋体" w:hAnsi="宋体" w:cs="宋体"/>
                <w:sz w:val="21"/>
                <w:szCs w:val="21"/>
                <w:highlight w:val="none"/>
                <w:lang w:val="en-US" w:eastAsia="zh-CN"/>
              </w:rPr>
              <w:t>3.55</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在不同的时点及宏观环境下，对标中债-综合全价（1年以下）指数（CBA00213.CS）的历史平均7日滚动年化收益率，通过不同的投资策略、资产组合，以及对资产波动率的控制，中性预期在该指数收益基础上收益增厚。经过对不同投资策略的历史表现模拟回测，综合各类资产收益、产品费用及税费后的收益在2.55%-3.55%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default" w:ascii="宋体" w:hAnsi="宋体" w:cs="宋体"/>
                <w:bCs/>
                <w:color w:val="FF0000"/>
                <w:sz w:val="21"/>
                <w:szCs w:val="21"/>
                <w:highlight w:val="none"/>
                <w:lang w:val="en-US"/>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浮动管理费</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sz w:val="24"/>
        </w:rPr>
        <w:t>包括国内发行上市优先股以及其他符合监管要求的权益类资产（不包括未上市企业股权）</w:t>
      </w:r>
      <w:r>
        <w:rPr>
          <w:rFonts w:hint="eastAsia" w:ascii="宋体" w:hAnsi="宋体" w:cs="宋体"/>
          <w:bCs/>
          <w:sz w:val="24"/>
          <w:highlight w:val="none"/>
        </w:rPr>
        <w:t>。</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周</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pStyle w:val="17"/>
        <w:adjustRightInd/>
        <w:spacing w:line="360" w:lineRule="auto"/>
        <w:ind w:firstLine="480" w:firstLineChars="200"/>
        <w:rPr>
          <w:rFonts w:hint="eastAsia" w:ascii="宋体" w:hAnsi="宋体" w:cs="宋体"/>
          <w:bCs/>
          <w:color w:val="auto"/>
          <w:kern w:val="2"/>
          <w:highlight w:val="none"/>
          <w:lang w:eastAsia="zh-CN"/>
        </w:rPr>
      </w:pPr>
      <w:r>
        <w:rPr>
          <w:rFonts w:hint="eastAsia" w:ascii="宋体" w:hAnsi="宋体" w:cs="宋体"/>
          <w:bCs/>
          <w:color w:val="auto"/>
          <w:kern w:val="2"/>
          <w:highlight w:val="none"/>
          <w:lang w:val="en-US" w:eastAsia="zh-CN"/>
        </w:rPr>
        <w:t>投资限制中列示的资产品种不代表管理人的实际投向，本理财计划投资范围以“投资范围”章节表述为准。</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233"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233"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233"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1800"/>
        <w:gridCol w:w="1282"/>
        <w:gridCol w:w="3845"/>
      </w:tblGrid>
      <w:tr>
        <w:tblPrEx>
          <w:tblLayout w:type="fixed"/>
          <w:tblCellMar>
            <w:top w:w="0" w:type="dxa"/>
            <w:left w:w="0" w:type="dxa"/>
            <w:bottom w:w="0" w:type="dxa"/>
            <w:right w:w="0" w:type="dxa"/>
          </w:tblCellMar>
        </w:tblPrEx>
        <w:trPr>
          <w:trHeight w:val="306" w:hRule="atLeast"/>
        </w:trPr>
        <w:tc>
          <w:tcPr>
            <w:tcW w:w="1317"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销售机构信息</w:t>
            </w: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苏州银行股份有限公司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厦门国际银行股份有限公司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宁波鄞州农村商业银行股份有限公司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深圳前海微众银行股份有限公司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吉林亿联银行股份有限公司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江苏苏宁银行股份有限公司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石嘴山银行股份有限公司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中信百信银行股份有限公司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cs="宋体"/>
                <w:i w:val="0"/>
                <w:color w:val="000000"/>
                <w:kern w:val="0"/>
                <w:sz w:val="24"/>
                <w:szCs w:val="24"/>
                <w:u w:val="none"/>
                <w:lang w:val="en-US" w:eastAsia="zh-CN" w:bidi="ar"/>
              </w:rPr>
              <w:t>956</w:t>
            </w: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齐鲁银行股份有限公司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重庆富民银行股份有限公司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兴业银行股份有限公司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汉口银行股份有限公司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江汉区建设大道933号武汉商业银行大厦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广东南粤银行股份有限公司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湖南三湘银行股份有限公司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长沙市岳麓区滨江路53号湖南湘江新区滨江金融中心楷林国际D座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0731-96500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澳门国际银行股份有限公司广州分行</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威海蓝海银行股份有限公司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山东省威海市环翠区新威路17-2号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400-0631-888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浙商银行股份有限公司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江苏常熟农村商业银行股份有限公司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广东华兴银行股份有限公司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汕头市龙湖区黄山路28号四层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浙江青田农村商业银行股份有限公司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浙江临海农村商业银行股份有限公司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浙江省临海市大洋街道河阳路299号临海农商银行15F金融市场中心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0576-85307599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宁波镇海农村商业银行股份有限公司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浙江省宁波市镇海区骆驼街道镇海大道中段788号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0574-86297777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浙江台州黄岩农村商业银行股份有限公司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浙江省台州黄岩洞天路88号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0576-89996596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浙江嘉善农村商业银行股份有限公司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浙江省嘉善县罗星街道车站南路999号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东营银行股份有限公司</w:t>
            </w:r>
          </w:p>
        </w:tc>
        <w:tc>
          <w:tcPr>
            <w:tcW w:w="1282"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山东省东营市东营区府前大街87-1号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4006296588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杭银理财有限责任公司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中邮邮惠万家银行有限责任公司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浙江临安农村商业银行股份有限公司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销售机构职责</w:t>
            </w:r>
          </w:p>
        </w:tc>
        <w:tc>
          <w:tcPr>
            <w:tcW w:w="6927" w:type="dxa"/>
            <w:gridSpan w:val="3"/>
            <w:noWrap w:val="0"/>
            <w:vAlign w:val="bottom"/>
          </w:tcPr>
          <w:p>
            <w:pPr>
              <w:keepNext w:val="0"/>
              <w:keepLines w:val="0"/>
              <w:widowControl/>
              <w:suppressLineNumbers w:val="0"/>
              <w:spacing w:line="360" w:lineRule="auto"/>
              <w:jc w:val="left"/>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主要负责理财计划推广、投资者风险承受能力评估、投资者适当性管理、理财计划份额认购、申购及赎回办理。协助管理人负责与投资者签订理财计划合同、与投资者沟通及进行信息披露、接受投资者咨询和维护等销售服务。</w:t>
            </w:r>
          </w:p>
        </w:tc>
      </w:tr>
    </w:tbl>
    <w:p>
      <w:pPr>
        <w:spacing w:line="360" w:lineRule="auto"/>
        <w:ind w:firstLine="0" w:firstLineChars="0"/>
        <w:rPr>
          <w:rFonts w:hint="eastAsia" w:ascii="宋体" w:hAnsi="宋体" w:cs="宋体"/>
          <w:b/>
          <w:sz w:val="24"/>
          <w:highlight w:val="none"/>
        </w:rPr>
      </w:pPr>
      <w:r>
        <w:rPr>
          <w:rFonts w:hint="eastAsia" w:ascii="宋体" w:hAnsi="宋体" w:cs="宋体"/>
          <w:bCs/>
          <w:color w:val="000000"/>
          <w:sz w:val="24"/>
          <w:highlight w:val="none"/>
          <w:lang w:val="en-US" w:eastAsia="zh-CN"/>
        </w:rPr>
        <w:t xml:space="preserve">   </w:t>
      </w:r>
      <w:r>
        <w:rPr>
          <w:rFonts w:hint="eastAsia" w:ascii="宋体" w:hAnsi="宋体" w:cs="宋体"/>
          <w:bCs/>
          <w:color w:val="000000"/>
          <w:sz w:val="24"/>
          <w:highlight w:val="none"/>
        </w:rPr>
        <w:t>在本理财计划发行后新增准入的销售机构将以管理人对外公告为准。</w:t>
      </w: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r>
        <w:rPr>
          <w:rFonts w:hint="eastAsia" w:ascii="宋体" w:hAnsi="宋体" w:cs="宋体"/>
          <w:bCs/>
          <w:color w:val="000000"/>
          <w:sz w:val="24"/>
          <w:highlight w:val="none"/>
          <w:lang w:eastAsia="zh-CN"/>
        </w:rPr>
        <w:t>。</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w:t>
      </w:r>
      <w:r>
        <w:rPr>
          <w:rFonts w:hint="eastAsia" w:ascii="宋体" w:hAnsi="宋体" w:cs="宋体"/>
          <w:bCs/>
          <w:color w:val="000000"/>
          <w:sz w:val="24"/>
          <w:highlight w:val="none"/>
        </w:rPr>
        <w:t>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，此时，(</w:t>
      </w:r>
      <w:r>
        <w:rPr>
          <w:rFonts w:hint="eastAsia" w:ascii="宋体" w:hAnsi="宋体" w:cs="宋体"/>
          <w:bCs/>
          <w:color w:val="000000"/>
          <w:sz w:val="24"/>
          <w:highlight w:val="none"/>
        </w:rPr>
        <w:t>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-1)×365/362=</w:t>
      </w:r>
      <w:r>
        <w:rPr>
          <w:rFonts w:hint="eastAsia" w:ascii="宋体" w:hAnsi="宋体"/>
          <w:highlight w:val="none"/>
        </w:rPr>
        <w:t>4.53</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投资者最终收益为：100,000.00×（</w:t>
      </w:r>
      <w:r>
        <w:rPr>
          <w:rFonts w:hint="eastAsia" w:ascii="宋体" w:hAnsi="宋体" w:cs="宋体"/>
          <w:bCs/>
          <w:color w:val="000000"/>
          <w:sz w:val="24"/>
          <w:highlight w:val="none"/>
        </w:rPr>
        <w:t>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 =</w:t>
      </w:r>
      <w:r>
        <w:rPr>
          <w:rFonts w:hint="eastAsia" w:ascii="宋体" w:hAnsi="宋体"/>
          <w:highlight w:val="none"/>
        </w:rPr>
        <w:t>4,500.00</w:t>
      </w:r>
      <w:r>
        <w:rPr>
          <w:rFonts w:hint="eastAsia" w:ascii="宋体" w:hAnsi="宋体" w:cs="宋体"/>
          <w:bCs/>
          <w:color w:val="000000"/>
          <w:sz w:val="24"/>
          <w:highlight w:val="none"/>
        </w:rPr>
        <w:t>（元）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left"/>
        <w:rPr>
          <w:rFonts w:hint="eastAsia" w:ascii="Calibri" w:hAnsi="Calibri" w:eastAsia="宋体" w:cs="黑体"/>
          <w:b/>
          <w:bCs w:val="0"/>
          <w:sz w:val="44"/>
          <w:szCs w:val="44"/>
          <w:highlight w:val="none"/>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193FAC"/>
    <w:rsid w:val="00241C29"/>
    <w:rsid w:val="004A3A51"/>
    <w:rsid w:val="00D5498D"/>
    <w:rsid w:val="01364432"/>
    <w:rsid w:val="01523B8E"/>
    <w:rsid w:val="01D93620"/>
    <w:rsid w:val="01E60817"/>
    <w:rsid w:val="01FD241C"/>
    <w:rsid w:val="023C0FF3"/>
    <w:rsid w:val="04193D77"/>
    <w:rsid w:val="046A44FD"/>
    <w:rsid w:val="051316A0"/>
    <w:rsid w:val="05E05E4D"/>
    <w:rsid w:val="06420CFA"/>
    <w:rsid w:val="06503B59"/>
    <w:rsid w:val="06F301FD"/>
    <w:rsid w:val="0752555A"/>
    <w:rsid w:val="078F2493"/>
    <w:rsid w:val="07E45984"/>
    <w:rsid w:val="0828699A"/>
    <w:rsid w:val="087D4021"/>
    <w:rsid w:val="09155E8F"/>
    <w:rsid w:val="097E3F67"/>
    <w:rsid w:val="09A02676"/>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1050266B"/>
    <w:rsid w:val="10776FA2"/>
    <w:rsid w:val="10E7087B"/>
    <w:rsid w:val="10FA5463"/>
    <w:rsid w:val="110C20DF"/>
    <w:rsid w:val="111923AE"/>
    <w:rsid w:val="11BA058F"/>
    <w:rsid w:val="12081858"/>
    <w:rsid w:val="12084C9E"/>
    <w:rsid w:val="12B62B3B"/>
    <w:rsid w:val="13031153"/>
    <w:rsid w:val="13181417"/>
    <w:rsid w:val="135A629F"/>
    <w:rsid w:val="13CF7B8E"/>
    <w:rsid w:val="142B361D"/>
    <w:rsid w:val="145D4EDA"/>
    <w:rsid w:val="1477086D"/>
    <w:rsid w:val="14B17543"/>
    <w:rsid w:val="14B80FF2"/>
    <w:rsid w:val="14C57FED"/>
    <w:rsid w:val="150C5665"/>
    <w:rsid w:val="15103313"/>
    <w:rsid w:val="15C56302"/>
    <w:rsid w:val="160940BB"/>
    <w:rsid w:val="161741B6"/>
    <w:rsid w:val="1659752C"/>
    <w:rsid w:val="16E43A7F"/>
    <w:rsid w:val="16EB65F0"/>
    <w:rsid w:val="17D45D18"/>
    <w:rsid w:val="185A3DA1"/>
    <w:rsid w:val="18C8521E"/>
    <w:rsid w:val="194852F2"/>
    <w:rsid w:val="198C4B50"/>
    <w:rsid w:val="19DA4F78"/>
    <w:rsid w:val="19F13F4F"/>
    <w:rsid w:val="1A102675"/>
    <w:rsid w:val="1B280245"/>
    <w:rsid w:val="1B581220"/>
    <w:rsid w:val="1B843575"/>
    <w:rsid w:val="1BA25B8B"/>
    <w:rsid w:val="1BBE4697"/>
    <w:rsid w:val="1D4D5B7F"/>
    <w:rsid w:val="1D552DD9"/>
    <w:rsid w:val="1D5B30BA"/>
    <w:rsid w:val="1DAB6D83"/>
    <w:rsid w:val="1DEF5455"/>
    <w:rsid w:val="1E211950"/>
    <w:rsid w:val="1E3173A3"/>
    <w:rsid w:val="1E792E51"/>
    <w:rsid w:val="1F0F5A19"/>
    <w:rsid w:val="1F1D6E1F"/>
    <w:rsid w:val="1F3E7F7D"/>
    <w:rsid w:val="1F51312D"/>
    <w:rsid w:val="1FC9553A"/>
    <w:rsid w:val="204D3B12"/>
    <w:rsid w:val="205A2AB3"/>
    <w:rsid w:val="20B6224D"/>
    <w:rsid w:val="21025026"/>
    <w:rsid w:val="21036497"/>
    <w:rsid w:val="21ED299E"/>
    <w:rsid w:val="22332466"/>
    <w:rsid w:val="22A04AF7"/>
    <w:rsid w:val="22A73C8E"/>
    <w:rsid w:val="22D3594B"/>
    <w:rsid w:val="22F12819"/>
    <w:rsid w:val="23430AF2"/>
    <w:rsid w:val="234F46D7"/>
    <w:rsid w:val="23753F06"/>
    <w:rsid w:val="238E1AAE"/>
    <w:rsid w:val="24345B9A"/>
    <w:rsid w:val="245517BD"/>
    <w:rsid w:val="2483647E"/>
    <w:rsid w:val="256E79E9"/>
    <w:rsid w:val="256F076F"/>
    <w:rsid w:val="260B65D7"/>
    <w:rsid w:val="26820AF7"/>
    <w:rsid w:val="27121B72"/>
    <w:rsid w:val="27947E62"/>
    <w:rsid w:val="27EB2573"/>
    <w:rsid w:val="288B46B0"/>
    <w:rsid w:val="292668E3"/>
    <w:rsid w:val="29361BBD"/>
    <w:rsid w:val="29F25B57"/>
    <w:rsid w:val="2A124404"/>
    <w:rsid w:val="2A1B5D68"/>
    <w:rsid w:val="2A5975B6"/>
    <w:rsid w:val="2A991D32"/>
    <w:rsid w:val="2AB92324"/>
    <w:rsid w:val="2AD6555A"/>
    <w:rsid w:val="2B376BE0"/>
    <w:rsid w:val="2C1B1E9D"/>
    <w:rsid w:val="2CAB68C5"/>
    <w:rsid w:val="2E354AE5"/>
    <w:rsid w:val="2EBC6D03"/>
    <w:rsid w:val="2F1F666C"/>
    <w:rsid w:val="2FD32A37"/>
    <w:rsid w:val="30551FFC"/>
    <w:rsid w:val="30E15E0F"/>
    <w:rsid w:val="311F702A"/>
    <w:rsid w:val="319F375F"/>
    <w:rsid w:val="31A82883"/>
    <w:rsid w:val="320E3E15"/>
    <w:rsid w:val="32290EBD"/>
    <w:rsid w:val="32B15B31"/>
    <w:rsid w:val="32C937E9"/>
    <w:rsid w:val="333F6AA7"/>
    <w:rsid w:val="3480359E"/>
    <w:rsid w:val="34BE4ED5"/>
    <w:rsid w:val="35476F5E"/>
    <w:rsid w:val="354D3F58"/>
    <w:rsid w:val="359A216E"/>
    <w:rsid w:val="361955E1"/>
    <w:rsid w:val="36631FD8"/>
    <w:rsid w:val="36E72D9B"/>
    <w:rsid w:val="371940D4"/>
    <w:rsid w:val="379F2ED6"/>
    <w:rsid w:val="37CA172C"/>
    <w:rsid w:val="37DC2068"/>
    <w:rsid w:val="38071350"/>
    <w:rsid w:val="38224FD0"/>
    <w:rsid w:val="39775E90"/>
    <w:rsid w:val="3A3E2041"/>
    <w:rsid w:val="3B131EF6"/>
    <w:rsid w:val="3B1D74AE"/>
    <w:rsid w:val="3B23657C"/>
    <w:rsid w:val="3B490D86"/>
    <w:rsid w:val="3C2F2290"/>
    <w:rsid w:val="3CED53B1"/>
    <w:rsid w:val="3DDC10DF"/>
    <w:rsid w:val="3E513E2A"/>
    <w:rsid w:val="3EA67C14"/>
    <w:rsid w:val="3EAD1B36"/>
    <w:rsid w:val="3F056B9E"/>
    <w:rsid w:val="3F354A62"/>
    <w:rsid w:val="3FF54C55"/>
    <w:rsid w:val="40181F9C"/>
    <w:rsid w:val="406370BC"/>
    <w:rsid w:val="40FB7670"/>
    <w:rsid w:val="41B60000"/>
    <w:rsid w:val="4233585E"/>
    <w:rsid w:val="423C06E2"/>
    <w:rsid w:val="425119F2"/>
    <w:rsid w:val="42815397"/>
    <w:rsid w:val="42C94634"/>
    <w:rsid w:val="43397C8C"/>
    <w:rsid w:val="434F2949"/>
    <w:rsid w:val="45540446"/>
    <w:rsid w:val="458F3937"/>
    <w:rsid w:val="459F641E"/>
    <w:rsid w:val="45A93DC9"/>
    <w:rsid w:val="45BB5620"/>
    <w:rsid w:val="45F127ED"/>
    <w:rsid w:val="46263D02"/>
    <w:rsid w:val="46CD66A0"/>
    <w:rsid w:val="472803B7"/>
    <w:rsid w:val="478411E4"/>
    <w:rsid w:val="488B59A4"/>
    <w:rsid w:val="488D1C67"/>
    <w:rsid w:val="493A606E"/>
    <w:rsid w:val="494502E1"/>
    <w:rsid w:val="4A010AC9"/>
    <w:rsid w:val="4A7F0ADF"/>
    <w:rsid w:val="4AA612F0"/>
    <w:rsid w:val="4B0D3113"/>
    <w:rsid w:val="4BDC47ED"/>
    <w:rsid w:val="4C6B0DDA"/>
    <w:rsid w:val="4C6E1306"/>
    <w:rsid w:val="4CF979F4"/>
    <w:rsid w:val="4D8C0BC8"/>
    <w:rsid w:val="4E186164"/>
    <w:rsid w:val="4E247E9A"/>
    <w:rsid w:val="4E2F1033"/>
    <w:rsid w:val="4E8274B0"/>
    <w:rsid w:val="4EA65BC4"/>
    <w:rsid w:val="4EFC1B31"/>
    <w:rsid w:val="4F2836A5"/>
    <w:rsid w:val="4FF363B3"/>
    <w:rsid w:val="501216FC"/>
    <w:rsid w:val="50B73634"/>
    <w:rsid w:val="51081BBA"/>
    <w:rsid w:val="51351A04"/>
    <w:rsid w:val="51434E1B"/>
    <w:rsid w:val="51504FE6"/>
    <w:rsid w:val="52F66490"/>
    <w:rsid w:val="532B1481"/>
    <w:rsid w:val="53905C92"/>
    <w:rsid w:val="53BC3DE1"/>
    <w:rsid w:val="5484329F"/>
    <w:rsid w:val="54E91D9C"/>
    <w:rsid w:val="55A47BB4"/>
    <w:rsid w:val="569F04F2"/>
    <w:rsid w:val="56B44788"/>
    <w:rsid w:val="5704449E"/>
    <w:rsid w:val="57BB6218"/>
    <w:rsid w:val="57D367F9"/>
    <w:rsid w:val="57FF3AAA"/>
    <w:rsid w:val="58911BA4"/>
    <w:rsid w:val="58DD2EEE"/>
    <w:rsid w:val="58E96C7A"/>
    <w:rsid w:val="59263C31"/>
    <w:rsid w:val="59AD3C67"/>
    <w:rsid w:val="5A1A2579"/>
    <w:rsid w:val="5A4B183F"/>
    <w:rsid w:val="5A7679AD"/>
    <w:rsid w:val="5B0D630F"/>
    <w:rsid w:val="5B9919B4"/>
    <w:rsid w:val="5BB70148"/>
    <w:rsid w:val="5C3C3DDC"/>
    <w:rsid w:val="5CF00E01"/>
    <w:rsid w:val="5D160516"/>
    <w:rsid w:val="5D48107A"/>
    <w:rsid w:val="5D713BC5"/>
    <w:rsid w:val="5D7D0F36"/>
    <w:rsid w:val="5DB61BFF"/>
    <w:rsid w:val="5DEF454B"/>
    <w:rsid w:val="5E0666CE"/>
    <w:rsid w:val="5E2F5628"/>
    <w:rsid w:val="5E5A6C63"/>
    <w:rsid w:val="5F3C6712"/>
    <w:rsid w:val="5F4B58F3"/>
    <w:rsid w:val="5FC85F8F"/>
    <w:rsid w:val="6053481F"/>
    <w:rsid w:val="60553A8D"/>
    <w:rsid w:val="606E0DED"/>
    <w:rsid w:val="60AB2000"/>
    <w:rsid w:val="61D85325"/>
    <w:rsid w:val="62860AAA"/>
    <w:rsid w:val="628B7CEE"/>
    <w:rsid w:val="629D5796"/>
    <w:rsid w:val="62A9314C"/>
    <w:rsid w:val="63FA4C5C"/>
    <w:rsid w:val="64102A52"/>
    <w:rsid w:val="64BC6713"/>
    <w:rsid w:val="65C14669"/>
    <w:rsid w:val="66666C1A"/>
    <w:rsid w:val="66F54088"/>
    <w:rsid w:val="671E2162"/>
    <w:rsid w:val="67C2281F"/>
    <w:rsid w:val="67FF603D"/>
    <w:rsid w:val="68D8721E"/>
    <w:rsid w:val="6A875FFE"/>
    <w:rsid w:val="6AA906CA"/>
    <w:rsid w:val="6B610D05"/>
    <w:rsid w:val="6BA50493"/>
    <w:rsid w:val="6BAC21D5"/>
    <w:rsid w:val="6C487B66"/>
    <w:rsid w:val="6CED1CB3"/>
    <w:rsid w:val="6D006F57"/>
    <w:rsid w:val="6D3B42C3"/>
    <w:rsid w:val="6D5A3D63"/>
    <w:rsid w:val="6D9A4080"/>
    <w:rsid w:val="6DF375CB"/>
    <w:rsid w:val="6E7E575F"/>
    <w:rsid w:val="6EF15941"/>
    <w:rsid w:val="6EFC37CF"/>
    <w:rsid w:val="6F83591B"/>
    <w:rsid w:val="6F926461"/>
    <w:rsid w:val="6F9921A1"/>
    <w:rsid w:val="6FE13B2D"/>
    <w:rsid w:val="70051875"/>
    <w:rsid w:val="71441F2D"/>
    <w:rsid w:val="720F6016"/>
    <w:rsid w:val="73407EBD"/>
    <w:rsid w:val="73932176"/>
    <w:rsid w:val="73E34BB9"/>
    <w:rsid w:val="73EF4563"/>
    <w:rsid w:val="74175679"/>
    <w:rsid w:val="744124AA"/>
    <w:rsid w:val="74664F47"/>
    <w:rsid w:val="74932476"/>
    <w:rsid w:val="756E538F"/>
    <w:rsid w:val="75ED694B"/>
    <w:rsid w:val="76D05D87"/>
    <w:rsid w:val="777F0011"/>
    <w:rsid w:val="778222EA"/>
    <w:rsid w:val="77A30DC4"/>
    <w:rsid w:val="77E0572E"/>
    <w:rsid w:val="77E97496"/>
    <w:rsid w:val="77ED4104"/>
    <w:rsid w:val="78A8719C"/>
    <w:rsid w:val="78EF4372"/>
    <w:rsid w:val="78FC1166"/>
    <w:rsid w:val="79771B00"/>
    <w:rsid w:val="7980282D"/>
    <w:rsid w:val="798F6426"/>
    <w:rsid w:val="79B94653"/>
    <w:rsid w:val="7A6220BE"/>
    <w:rsid w:val="7AB7513D"/>
    <w:rsid w:val="7ACA272A"/>
    <w:rsid w:val="7B0E7C70"/>
    <w:rsid w:val="7B280A4E"/>
    <w:rsid w:val="7B2E004A"/>
    <w:rsid w:val="7B76641B"/>
    <w:rsid w:val="7BA11351"/>
    <w:rsid w:val="7BAF4F23"/>
    <w:rsid w:val="7BBF1397"/>
    <w:rsid w:val="7E6F339A"/>
    <w:rsid w:val="7E810662"/>
    <w:rsid w:val="7ED67E61"/>
    <w:rsid w:val="7F590AE3"/>
    <w:rsid w:val="7FC3622F"/>
    <w:rsid w:val="7FEF2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5"/>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3"/>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标题 3 Char"/>
    <w:link w:val="4"/>
    <w:uiPriority w:val="0"/>
    <w:rPr>
      <w:rFonts w:hAnsi="Calibri" w:eastAsia="宋体"/>
      <w:b/>
      <w:sz w:val="24"/>
    </w:rPr>
  </w:style>
  <w:style w:type="character" w:customStyle="1" w:styleId="20">
    <w:name w:val="批注框文本 Char"/>
    <w:link w:val="6"/>
    <w:uiPriority w:val="0"/>
    <w:rPr>
      <w:rFonts w:ascii="Calibri" w:hAnsi="Calibri" w:cs="黑体"/>
      <w:kern w:val="2"/>
      <w:sz w:val="18"/>
      <w:szCs w:val="18"/>
    </w:rPr>
  </w:style>
  <w:style w:type="character" w:customStyle="1" w:styleId="21">
    <w:name w:val="标题 2 Char"/>
    <w:link w:val="3"/>
    <w:uiPriority w:val="0"/>
    <w:rPr>
      <w:rFonts w:ascii="Arial" w:hAnsi="Arial" w:eastAsia="宋体"/>
      <w:b/>
      <w:sz w:val="24"/>
    </w:rPr>
  </w:style>
  <w:style w:type="character" w:customStyle="1" w:styleId="22">
    <w:name w:val="批注文字 Char"/>
    <w:link w:val="5"/>
    <w:uiPriority w:val="0"/>
    <w:rPr>
      <w:rFonts w:ascii="Calibri" w:hAnsi="Calibri" w:cs="黑体"/>
      <w:kern w:val="2"/>
      <w:sz w:val="21"/>
      <w:szCs w:val="24"/>
    </w:rPr>
  </w:style>
  <w:style w:type="character" w:customStyle="1" w:styleId="23">
    <w:name w:val="批注主题 Char"/>
    <w:link w:val="10"/>
    <w:uiPriority w:val="0"/>
    <w:rPr>
      <w:rFonts w:ascii="Calibri" w:hAnsi="Calibri" w:cs="黑体"/>
      <w:b/>
      <w:bCs/>
      <w:kern w:val="2"/>
      <w:sz w:val="21"/>
      <w:szCs w:val="24"/>
    </w:rPr>
  </w:style>
  <w:style w:type="character" w:customStyle="1" w:styleId="24">
    <w:name w:val="font21"/>
    <w:basedOn w:val="13"/>
    <w:uiPriority w:val="0"/>
    <w:rPr>
      <w:rFonts w:hint="eastAsia" w:ascii="宋体" w:hAnsi="宋体" w:eastAsia="宋体" w:cs="宋体"/>
      <w:color w:val="000000"/>
      <w:sz w:val="21"/>
      <w:szCs w:val="21"/>
      <w:u w:val="none"/>
    </w:rPr>
  </w:style>
  <w:style w:type="character" w:customStyle="1" w:styleId="25">
    <w:name w:val="标题 1 Char"/>
    <w:link w:val="2"/>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34714</Words>
  <Characters>36652</Characters>
  <Lines>210</Lines>
  <Paragraphs>59</Paragraphs>
  <TotalTime>1</TotalTime>
  <ScaleCrop>false</ScaleCrop>
  <LinksUpToDate>false</LinksUpToDate>
  <CharactersWithSpaces>36877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未定义</dc:creator>
  <cp:lastModifiedBy>hccb</cp:lastModifiedBy>
  <dcterms:modified xsi:type="dcterms:W3CDTF">2023-11-24T05:50:39Z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