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r>
        <w:rPr>
          <w:rStyle w:val="27"/>
          <w:rFonts w:hint="eastAsia" w:ascii="黑体" w:hAnsi="黑体" w:eastAsia="黑体"/>
          <w:sz w:val="44"/>
          <w:szCs w:val="44"/>
        </w:rPr>
        <w:t>稳利丰收封闭式固收类</w:t>
      </w:r>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兴银理财有限责任公司理财产品投资协议书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兴银理财【稳利丰收封闭式固收类】理财产品产品说明书</w:t>
            </w:r>
          </w:p>
        </w:tc>
        <w:tc>
          <w:tcPr>
            <w:tcW w:w="1984"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兴银理财有限责任公司理财产品（代理）销售协议书</w:t>
            </w:r>
          </w:p>
        </w:tc>
        <w:tc>
          <w:tcPr>
            <w:tcW w:w="1984"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兴银理财【稳利丰收封闭式固收类】理财产品风险揭示书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兴银理财有限责任公司理财产品投资者权益须知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pStyle w:val="58"/>
        <w:widowControl/>
        <w:snapToGrid w:val="0"/>
        <w:spacing w:line="360" w:lineRule="auto"/>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r>
        <w:br w:type="page"/>
      </w: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兴银理财有限责任公司理财产品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r>
        <w:rPr>
          <w:rFonts w:ascii="黑体" w:hAnsi="黑体" w:eastAsia="黑体"/>
          <w:b/>
          <w:sz w:val="28"/>
          <w:szCs w:val="28"/>
        </w:rPr>
        <w:t xml:space="preserve">                 </w:t>
      </w:r>
      <w:r>
        <w:rPr>
          <w:rFonts w:hint="eastAsia" w:ascii="黑体" w:hAnsi="黑体" w:eastAsia="黑体"/>
          <w:b/>
          <w:sz w:val="28"/>
          <w:szCs w:val="28"/>
        </w:rPr>
        <w:t>】</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39991726"/>
      <w:bookmarkStart w:id="1" w:name="_Toc123112263"/>
      <w:bookmarkStart w:id="2" w:name="_Toc123701383"/>
      <w:bookmarkStart w:id="3" w:name="_Toc139992301"/>
      <w:bookmarkStart w:id="4" w:name="_Toc123112224"/>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39991727"/>
      <w:bookmarkStart w:id="6" w:name="_Toc123701384"/>
      <w:bookmarkStart w:id="7" w:name="_Toc123112225"/>
      <w:bookmarkStart w:id="8" w:name="_Toc123112264"/>
      <w:bookmarkStart w:id="9" w:name="_Toc139992302"/>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r>
        <w:rPr>
          <w:rStyle w:val="27"/>
          <w:rFonts w:hint="eastAsia" w:ascii="宋体" w:hAnsi="宋体"/>
          <w:sz w:val="28"/>
          <w:szCs w:val="28"/>
        </w:rPr>
        <w:t>【</w:t>
      </w:r>
      <w:r>
        <w:rPr>
          <w:rStyle w:val="27"/>
          <w:rFonts w:ascii="宋体" w:hAnsi="宋体"/>
          <w:sz w:val="28"/>
          <w:szCs w:val="28"/>
        </w:rPr>
        <w:t>2023</w:t>
      </w:r>
      <w:r>
        <w:rPr>
          <w:rStyle w:val="27"/>
          <w:rFonts w:hint="eastAsia" w:ascii="宋体" w:hAnsi="宋体"/>
          <w:sz w:val="28"/>
          <w:szCs w:val="28"/>
        </w:rPr>
        <w:t>】年【</w:t>
      </w:r>
      <w:r>
        <w:rPr>
          <w:rStyle w:val="27"/>
          <w:rFonts w:hint="eastAsia" w:ascii="宋体" w:hAnsi="宋体"/>
          <w:sz w:val="28"/>
          <w:szCs w:val="28"/>
          <w:lang w:val="en-US" w:eastAsia="zh-CN"/>
        </w:rPr>
        <w:t>8</w:t>
      </w:r>
      <w:bookmarkStart w:id="66" w:name="_GoBack"/>
      <w:bookmarkEnd w:id="66"/>
      <w:r>
        <w:rPr>
          <w:rStyle w:val="27"/>
          <w:rFonts w:hint="eastAsia" w:ascii="宋体" w:hAnsi="宋体"/>
          <w:sz w:val="28"/>
          <w:szCs w:val="28"/>
        </w:rPr>
        <w:t>】月</w:t>
      </w:r>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报酬计提基准</w:t>
            </w:r>
            <w:r>
              <w:rPr>
                <w:rFonts w:hint="eastAsia" w:ascii="黑体" w:hAnsi="黑体" w:eastAsia="黑体"/>
                <w:bCs/>
                <w:sz w:val="18"/>
                <w:szCs w:val="18"/>
              </w:rPr>
              <w:t>等类似表述不代表投资者可能获得的实际收益，亦不构成产品管理人对本产品的任何收益承诺，仅供投资者进行投资决定时参考。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投资者在此同意并授权，产品管理人可根据监管要求和合同约定，为理财产品登记、反洗钱</w:t>
            </w:r>
            <w:r>
              <w:rPr>
                <w:rFonts w:ascii="黑体" w:hAnsi="黑体" w:eastAsia="黑体"/>
                <w:bCs/>
                <w:sz w:val="18"/>
                <w:szCs w:val="18"/>
              </w:rPr>
              <w:t>工作</w:t>
            </w:r>
            <w:r>
              <w:rPr>
                <w:rFonts w:hint="eastAsia" w:ascii="黑体" w:hAnsi="黑体" w:eastAsia="黑体"/>
                <w:bCs/>
                <w:sz w:val="18"/>
                <w:szCs w:val="18"/>
              </w:rPr>
              <w:t>等需要，向登记部门或监管机构及相关方提供投资者相关信息。</w:t>
            </w:r>
          </w:p>
          <w:p>
            <w:pPr>
              <w:spacing w:line="360" w:lineRule="auto"/>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spacing w:line="360" w:lineRule="auto"/>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关于理财产品咨询的提示</w:t>
            </w:r>
          </w:p>
          <w:p>
            <w:pPr>
              <w:tabs>
                <w:tab w:val="left" w:pos="8070"/>
                <w:tab w:val="right" w:pos="8306"/>
              </w:tabs>
              <w:autoSpaceDE w:val="0"/>
              <w:autoSpaceDN w:val="0"/>
              <w:adjustRightInd w:val="0"/>
              <w:snapToGrid w:val="0"/>
              <w:spacing w:before="156" w:beforeLines="50" w:line="360" w:lineRule="auto"/>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66"/>
      <w:bookmarkStart w:id="11" w:name="_Toc123112227"/>
      <w:bookmarkStart w:id="12" w:name="_Toc123701386"/>
      <w:bookmarkStart w:id="13" w:name="_Toc139991729"/>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投资者信息</w:t>
            </w:r>
          </w:p>
        </w:tc>
        <w:tc>
          <w:tcPr>
            <w:tcW w:w="708" w:type="dxa"/>
            <w:vMerge w:val="restart"/>
            <w:shd w:val="solid" w:color="FFFFFF" w:fill="FFFFFF"/>
            <w:vAlign w:val="center"/>
          </w:tcPr>
          <w:p>
            <w:pPr>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jc w:val="left"/>
              <w:rPr>
                <w:rFonts w:ascii="宋体" w:hAnsi="宋体"/>
                <w:b/>
                <w:bCs/>
                <w:sz w:val="18"/>
                <w:szCs w:val="18"/>
              </w:rPr>
            </w:pPr>
          </w:p>
        </w:tc>
        <w:tc>
          <w:tcPr>
            <w:tcW w:w="982" w:type="dxa"/>
            <w:shd w:val="solid" w:color="FFFFFF" w:fill="FFFFFF"/>
            <w:vAlign w:val="center"/>
          </w:tcPr>
          <w:p>
            <w:pPr>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jc w:val="left"/>
              <w:rPr>
                <w:rFonts w:ascii="宋体" w:hAnsi="宋体"/>
                <w:b/>
                <w:bCs/>
                <w:sz w:val="18"/>
                <w:szCs w:val="18"/>
              </w:rPr>
            </w:pPr>
          </w:p>
        </w:tc>
        <w:tc>
          <w:tcPr>
            <w:tcW w:w="982" w:type="dxa"/>
            <w:shd w:val="solid" w:color="FFFFFF" w:fill="FFFFFF"/>
            <w:vAlign w:val="center"/>
          </w:tcPr>
          <w:p>
            <w:pPr>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jc w:val="left"/>
              <w:rPr>
                <w:rFonts w:ascii="宋体" w:hAnsi="宋体"/>
                <w:b/>
                <w:bCs/>
                <w:sz w:val="18"/>
                <w:szCs w:val="18"/>
              </w:rPr>
            </w:pPr>
          </w:p>
        </w:tc>
        <w:tc>
          <w:tcPr>
            <w:tcW w:w="982" w:type="dxa"/>
            <w:shd w:val="solid" w:color="FFFFFF" w:fill="FFFFFF"/>
            <w:vAlign w:val="center"/>
          </w:tcPr>
          <w:p>
            <w:pPr>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jc w:val="left"/>
              <w:rPr>
                <w:rFonts w:ascii="宋体" w:hAnsi="宋体"/>
                <w:b/>
                <w:bCs/>
                <w:sz w:val="18"/>
                <w:szCs w:val="18"/>
              </w:rPr>
            </w:pPr>
          </w:p>
        </w:tc>
        <w:tc>
          <w:tcPr>
            <w:tcW w:w="982" w:type="dxa"/>
            <w:tcBorders>
              <w:bottom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restart"/>
            <w:tcBorders>
              <w:right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708" w:type="dxa"/>
            <w:vMerge w:val="continue"/>
            <w:tcBorders>
              <w:bottom w:val="single" w:color="auto" w:sz="12" w:space="0"/>
              <w:right w:val="single" w:color="auto" w:sz="12" w:space="0"/>
            </w:tcBorders>
            <w:shd w:val="solid" w:color="FFFFFF" w:fill="FFFFFF"/>
            <w:vAlign w:val="center"/>
          </w:tcPr>
          <w:p>
            <w:pPr>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本公司系根据中国银保监会批准设立的由兴业银行股份有限公司全资控股的银行理财子公司。公司名称：中文为“兴银理财有限责任公司”；英文：“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银保监会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r>
              <w:rPr>
                <w:rFonts w:ascii="宋体" w:hAnsi="宋体"/>
                <w:szCs w:val="18"/>
                <w:u w:val="single"/>
              </w:rPr>
              <w:t xml:space="preserve">　                     </w:t>
            </w:r>
            <w:r>
              <w:rPr>
                <w:rFonts w:hint="eastAsia" w:ascii="宋体" w:hAnsi="宋体"/>
                <w:szCs w:val="18"/>
              </w:rPr>
              <w:t>。</w:t>
            </w:r>
          </w:p>
        </w:tc>
      </w:tr>
    </w:tbl>
    <w:p>
      <w:pPr>
        <w:widowControl/>
        <w:spacing w:line="360" w:lineRule="auto"/>
        <w:jc w:val="left"/>
        <w:rPr>
          <w:bCs/>
          <w:sz w:val="32"/>
        </w:rPr>
      </w:pPr>
      <w:r>
        <w:rPr>
          <w:rFonts w:hint="eastAsia"/>
          <w:bCs/>
          <w:sz w:val="32"/>
        </w:rPr>
        <w:t xml:space="preserve"> </w:t>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sectPr>
          <w:headerReference r:id="rId3" w:type="default"/>
          <w:footerReference r:id="rId4" w:type="default"/>
          <w:pgSz w:w="11906" w:h="16838"/>
          <w:pgMar w:top="1440" w:right="1800" w:bottom="1440" w:left="1800" w:header="567" w:footer="992" w:gutter="0"/>
          <w:pgNumType w:start="0"/>
          <w:cols w:space="720" w:num="1"/>
          <w:titlePg/>
          <w:docGrid w:type="lines" w:linePitch="312" w:charSpace="0"/>
        </w:sectPr>
      </w:pP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lang w:val="zh-CN"/>
            </w:rPr>
            <w:t>目录</w:t>
          </w:r>
        </w:p>
        <w:p>
          <w:pPr>
            <w:pStyle w:val="16"/>
            <w:rPr>
              <w:rFonts w:asciiTheme="minorHAnsi" w:hAnsiTheme="minorHAnsi" w:eastAsiaTheme="minorEastAsia" w:cstheme="minorBidi"/>
              <w:szCs w:val="22"/>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"_Toc79653758" </w:instrText>
          </w:r>
          <w:r>
            <w:fldChar w:fldCharType="separate"/>
          </w:r>
          <w:r>
            <w:rPr>
              <w:rStyle w:val="29"/>
              <w:rFonts w:hint="eastAsia"/>
            </w:rPr>
            <w:t>第一条</w:t>
          </w:r>
          <w:r>
            <w:rPr>
              <w:rStyle w:val="29"/>
            </w:rPr>
            <w:t xml:space="preserve">  </w:t>
          </w:r>
          <w:r>
            <w:rPr>
              <w:rStyle w:val="29"/>
              <w:rFonts w:hint="eastAsia"/>
            </w:rPr>
            <w:t>前言</w:t>
          </w:r>
          <w:r>
            <w:tab/>
          </w:r>
          <w:r>
            <w:fldChar w:fldCharType="begin"/>
          </w:r>
          <w:r>
            <w:instrText xml:space="preserve"> PAGEREF _Toc79653758 \h </w:instrText>
          </w:r>
          <w:r>
            <w:fldChar w:fldCharType="separate"/>
          </w:r>
          <w:r>
            <w:t>1</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"_Toc79653759" </w:instrText>
          </w:r>
          <w:r>
            <w:fldChar w:fldCharType="separate"/>
          </w:r>
          <w:r>
            <w:rPr>
              <w:rStyle w:val="29"/>
              <w:rFonts w:hint="eastAsia"/>
            </w:rPr>
            <w:t>第二条</w:t>
          </w:r>
          <w:r>
            <w:rPr>
              <w:rStyle w:val="29"/>
            </w:rPr>
            <w:t xml:space="preserve">  </w:t>
          </w:r>
          <w:r>
            <w:rPr>
              <w:rStyle w:val="29"/>
              <w:rFonts w:hint="eastAsia"/>
            </w:rPr>
            <w:t>双方权利义务</w:t>
          </w:r>
          <w:r>
            <w:tab/>
          </w:r>
          <w:r>
            <w:fldChar w:fldCharType="begin"/>
          </w:r>
          <w:r>
            <w:instrText xml:space="preserve"> PAGEREF _Toc79653759 \h </w:instrText>
          </w:r>
          <w:r>
            <w:fldChar w:fldCharType="separate"/>
          </w:r>
          <w:r>
            <w:t>2</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"_Toc79653760" </w:instrText>
          </w:r>
          <w:r>
            <w:fldChar w:fldCharType="separate"/>
          </w:r>
          <w:r>
            <w:rPr>
              <w:rStyle w:val="29"/>
              <w:rFonts w:hint="eastAsia"/>
            </w:rPr>
            <w:t>第三条</w:t>
          </w:r>
          <w:r>
            <w:rPr>
              <w:rStyle w:val="29"/>
            </w:rPr>
            <w:t xml:space="preserve">  </w:t>
          </w:r>
          <w:r>
            <w:rPr>
              <w:rStyle w:val="29"/>
              <w:rFonts w:hint="eastAsia"/>
            </w:rPr>
            <w:t>不可抗力</w:t>
          </w:r>
          <w:r>
            <w:tab/>
          </w:r>
          <w:r>
            <w:fldChar w:fldCharType="begin"/>
          </w:r>
          <w:r>
            <w:instrText xml:space="preserve"> PAGEREF _Toc79653760 \h </w:instrText>
          </w:r>
          <w:r>
            <w:fldChar w:fldCharType="separate"/>
          </w:r>
          <w:r>
            <w:t>4</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"_Toc79653761" </w:instrText>
          </w:r>
          <w:r>
            <w:fldChar w:fldCharType="separate"/>
          </w:r>
          <w:r>
            <w:rPr>
              <w:rStyle w:val="29"/>
              <w:rFonts w:hint="eastAsia"/>
            </w:rPr>
            <w:t>第四条</w:t>
          </w:r>
          <w:r>
            <w:rPr>
              <w:rStyle w:val="29"/>
            </w:rPr>
            <w:t xml:space="preserve">  </w:t>
          </w:r>
          <w:r>
            <w:rPr>
              <w:rStyle w:val="29"/>
              <w:rFonts w:hint="eastAsia"/>
            </w:rPr>
            <w:t>违约责任</w:t>
          </w:r>
          <w:r>
            <w:tab/>
          </w:r>
          <w:r>
            <w:fldChar w:fldCharType="begin"/>
          </w:r>
          <w:r>
            <w:instrText xml:space="preserve"> PAGEREF _Toc79653761 \h </w:instrText>
          </w:r>
          <w:r>
            <w:fldChar w:fldCharType="separate"/>
          </w:r>
          <w:r>
            <w:t>5</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"_Toc79653762" </w:instrText>
          </w:r>
          <w:r>
            <w:fldChar w:fldCharType="separate"/>
          </w:r>
          <w:r>
            <w:rPr>
              <w:rStyle w:val="29"/>
              <w:rFonts w:hint="eastAsia"/>
            </w:rPr>
            <w:t>第五条</w:t>
          </w:r>
          <w:r>
            <w:rPr>
              <w:rStyle w:val="29"/>
            </w:rPr>
            <w:t xml:space="preserve">  </w:t>
          </w:r>
          <w:r>
            <w:rPr>
              <w:rStyle w:val="29"/>
              <w:rFonts w:hint="eastAsia"/>
            </w:rPr>
            <w:t>法律适用和争议解决</w:t>
          </w:r>
          <w:r>
            <w:tab/>
          </w:r>
          <w:r>
            <w:fldChar w:fldCharType="begin"/>
          </w:r>
          <w:r>
            <w:instrText xml:space="preserve"> PAGEREF _Toc79653762 \h </w:instrText>
          </w:r>
          <w:r>
            <w:fldChar w:fldCharType="separate"/>
          </w:r>
          <w:r>
            <w:t>6</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"_Toc79653763" </w:instrText>
          </w:r>
          <w:r>
            <w:fldChar w:fldCharType="separate"/>
          </w:r>
          <w:r>
            <w:rPr>
              <w:rStyle w:val="29"/>
              <w:rFonts w:hint="eastAsia"/>
            </w:rPr>
            <w:t>第六条</w:t>
          </w:r>
          <w:r>
            <w:rPr>
              <w:rStyle w:val="29"/>
            </w:rPr>
            <w:t xml:space="preserve">  </w:t>
          </w:r>
          <w:r>
            <w:rPr>
              <w:rStyle w:val="29"/>
              <w:rFonts w:hint="eastAsia"/>
            </w:rPr>
            <w:t>协议的签署和效力</w:t>
          </w:r>
          <w:r>
            <w:tab/>
          </w:r>
          <w:r>
            <w:fldChar w:fldCharType="begin"/>
          </w:r>
          <w:r>
            <w:instrText xml:space="preserve"> PAGEREF _Toc79653763 \h </w:instrText>
          </w:r>
          <w:r>
            <w:fldChar w:fldCharType="separate"/>
          </w:r>
          <w:r>
            <w:t>7</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"_Toc79653764" </w:instrText>
          </w:r>
          <w:r>
            <w:fldChar w:fldCharType="separate"/>
          </w:r>
          <w:r>
            <w:rPr>
              <w:rStyle w:val="29"/>
              <w:rFonts w:hint="eastAsia"/>
            </w:rPr>
            <w:t>第七条</w:t>
          </w:r>
          <w:r>
            <w:rPr>
              <w:rStyle w:val="29"/>
            </w:rPr>
            <w:t xml:space="preserve">  </w:t>
          </w:r>
          <w:r>
            <w:rPr>
              <w:rStyle w:val="29"/>
              <w:rFonts w:hint="eastAsia"/>
            </w:rPr>
            <w:t>消费者权益保护</w:t>
          </w:r>
          <w:r>
            <w:tab/>
          </w:r>
          <w:r>
            <w:fldChar w:fldCharType="begin"/>
          </w:r>
          <w:r>
            <w:instrText xml:space="preserve"> PAGEREF _Toc79653764 \h </w:instrText>
          </w:r>
          <w:r>
            <w:fldChar w:fldCharType="separate"/>
          </w:r>
          <w:r>
            <w:t>8</w:t>
          </w:r>
          <w:r>
            <w:fldChar w:fldCharType="end"/>
          </w:r>
          <w:r>
            <w:fldChar w:fldCharType="end"/>
          </w:r>
        </w:p>
        <w:p>
          <w:pPr>
            <w:spacing w:line="360" w:lineRule="auto"/>
          </w:pPr>
          <w:r>
            <w:rPr>
              <w:b/>
              <w:bCs/>
              <w:lang w:val="zh-CN"/>
            </w:rPr>
            <w:fldChar w:fldCharType="end"/>
          </w:r>
        </w:p>
      </w:sdtContent>
    </w:sdt>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sectPr>
          <w:pgSz w:w="11906" w:h="16838"/>
          <w:pgMar w:top="1440" w:right="1800" w:bottom="1440" w:left="1800" w:header="851" w:footer="992" w:gutter="0"/>
          <w:pgNumType w:start="0"/>
          <w:cols w:space="720" w:num="1"/>
          <w:docGrid w:type="lines" w:linePitch="312" w:charSpace="0"/>
        </w:sect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23386"/>
      <w:bookmarkStart w:id="15" w:name="_Toc6306"/>
      <w:bookmarkStart w:id="16" w:name="_Toc4867"/>
      <w:bookmarkStart w:id="17" w:name="_Toc29629"/>
      <w:bookmarkStart w:id="18" w:name="_Toc8727"/>
      <w:bookmarkStart w:id="19" w:name="_Toc30935"/>
      <w:bookmarkStart w:id="20" w:name="_Toc123112268"/>
      <w:bookmarkStart w:id="21" w:name="_Toc4966"/>
      <w:bookmarkStart w:id="22" w:name="_Toc26897"/>
      <w:bookmarkStart w:id="23" w:name="_Toc123701389"/>
      <w:bookmarkStart w:id="24" w:name="_Toc139991730"/>
      <w:bookmarkStart w:id="25" w:name="_Toc15517"/>
      <w:bookmarkStart w:id="26" w:name="_Toc123112229"/>
      <w:bookmarkStart w:id="27" w:name="_Toc32639"/>
      <w:bookmarkStart w:id="28" w:name="_Toc141703880"/>
      <w:bookmarkStart w:id="29" w:name="_Toc79653758"/>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258829399"/>
      <w:bookmarkStart w:id="33" w:name="_Toc22864"/>
      <w:bookmarkStart w:id="34" w:name="_Toc24860"/>
      <w:bookmarkStart w:id="35" w:name="_Toc21301"/>
      <w:bookmarkStart w:id="36" w:name="_Toc819"/>
      <w:bookmarkStart w:id="37" w:name="_Toc2465"/>
      <w:bookmarkStart w:id="38" w:name="_Toc3224"/>
      <w:bookmarkStart w:id="39" w:name="_Toc15067"/>
      <w:bookmarkStart w:id="40" w:name="_Toc13020"/>
      <w:bookmarkStart w:id="41" w:name="_Toc19592"/>
      <w:bookmarkStart w:id="42" w:name="_Toc6617"/>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、订立本投资协议书的目的是保护投资人合法权益，明确投资协议书当事人的权利义务，规范理财产品运作。</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、订立本投资协议书的依据是《中华人民共和国民法典》等法律法规、《关于规范金融机构资产管理业务的指导意见》（银发</w:t>
      </w:r>
      <w:r>
        <w:rPr>
          <w:rFonts w:asciiTheme="majorEastAsia" w:hAnsiTheme="majorEastAsia" w:eastAsiaTheme="majorEastAsia"/>
          <w:bCs/>
          <w:color w:val="auto"/>
          <w:sz w:val="18"/>
          <w:szCs w:val="18"/>
        </w:rPr>
        <w:t>[2018]106</w:t>
      </w:r>
      <w:r>
        <w:rPr>
          <w:rFonts w:hint="eastAsia" w:asciiTheme="majorEastAsia" w:hAnsiTheme="majorEastAsia" w:eastAsiaTheme="majorEastAsia"/>
          <w:bCs/>
          <w:color w:val="auto"/>
          <w:sz w:val="18"/>
          <w:szCs w:val="18"/>
        </w:rPr>
        <w:t>号）、《商业银行理财业务监督管理办法》（银保监会令</w:t>
      </w:r>
      <w:r>
        <w:rPr>
          <w:rFonts w:asciiTheme="majorEastAsia" w:hAnsiTheme="majorEastAsia" w:eastAsiaTheme="majorEastAsia"/>
          <w:bCs/>
          <w:color w:val="auto"/>
          <w:sz w:val="18"/>
          <w:szCs w:val="18"/>
        </w:rPr>
        <w:t xml:space="preserve"> </w:t>
      </w:r>
      <w:r>
        <w:rPr>
          <w:rFonts w:hint="eastAsia" w:asciiTheme="majorEastAsia" w:hAnsiTheme="majorEastAsia" w:eastAsiaTheme="majorEastAsia"/>
          <w:bCs/>
          <w:color w:val="auto"/>
          <w:sz w:val="18"/>
          <w:szCs w:val="18"/>
        </w:rPr>
        <w:t>2018年第</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号）、</w:t>
      </w:r>
      <w:bookmarkStart w:id="43" w:name="_Toc59965743"/>
      <w:r>
        <w:rPr>
          <w:rFonts w:hint="eastAsia" w:asciiTheme="majorEastAsia" w:hAnsiTheme="majorEastAsia" w:eastAsiaTheme="majorEastAsia"/>
          <w:bCs/>
          <w:color w:val="auto"/>
          <w:sz w:val="18"/>
          <w:szCs w:val="18"/>
        </w:rPr>
        <w:t>《商业银行理财子公司管理办法》</w:t>
      </w:r>
      <w:bookmarkEnd w:id="43"/>
      <w:r>
        <w:rPr>
          <w:rFonts w:hint="eastAsia" w:asciiTheme="majorEastAsia" w:hAnsiTheme="majorEastAsia" w:eastAsiaTheme="majorEastAsia"/>
          <w:bCs/>
          <w:color w:val="auto"/>
          <w:sz w:val="18"/>
          <w:szCs w:val="18"/>
        </w:rPr>
        <w:t>（银保监会令2018年第7号）、《理财公司理财产品销售管理暂行办法》（银保监会令2021年第4号）等监管规定及其他有关规定。</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、订立本投资协议书的原则是平等自愿、诚实信用、充分保护投资人合法权益。</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 xml:space="preserve"> </w:t>
      </w:r>
    </w:p>
    <w:p>
      <w:pPr>
        <w:pStyle w:val="43"/>
        <w:spacing w:line="360" w:lineRule="auto"/>
        <w:rPr>
          <w:rFonts w:asciiTheme="majorEastAsia" w:hAnsiTheme="majorEastAsia" w:eastAsiaTheme="majorEastAsia"/>
          <w:bCs/>
          <w:color w:val="auto"/>
          <w:sz w:val="18"/>
          <w:szCs w:val="18"/>
        </w:rPr>
      </w:pP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79653759"/>
      <w:bookmarkStart w:id="45"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投资者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销售机构、产品托管人、监管机构、自律组织、理财登记备案机构、金融交易对手方、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10.</w:t>
      </w:r>
      <w:r>
        <w:rPr>
          <w:rFonts w:hint="eastAsia" w:ascii="黑体" w:hAnsi="黑体" w:eastAsia="黑体"/>
          <w:sz w:val="18"/>
          <w:szCs w:val="18"/>
        </w:rPr>
        <w:t>★</w:t>
      </w:r>
      <w:r>
        <w:rPr>
          <w:rFonts w:ascii="黑体" w:hAnsi="黑体" w:eastAsia="黑体"/>
          <w:sz w:val="18"/>
          <w:szCs w:val="18"/>
        </w:rPr>
        <w:t>未经</w:t>
      </w:r>
      <w:r>
        <w:rPr>
          <w:rFonts w:hint="eastAsia" w:ascii="黑体" w:hAnsi="黑体" w:eastAsia="黑体"/>
          <w:sz w:val="18"/>
          <w:szCs w:val="18"/>
        </w:rPr>
        <w:t>产品管理人</w:t>
      </w:r>
      <w:r>
        <w:rPr>
          <w:rFonts w:ascii="黑体" w:hAnsi="黑体" w:eastAsia="黑体"/>
          <w:sz w:val="18"/>
          <w:szCs w:val="18"/>
        </w:rPr>
        <w:t>同意，</w:t>
      </w:r>
      <w:r>
        <w:rPr>
          <w:rFonts w:hint="eastAsia" w:ascii="黑体" w:hAnsi="黑体" w:eastAsia="黑体"/>
          <w:sz w:val="18"/>
          <w:szCs w:val="18"/>
        </w:rPr>
        <w:t>投资者</w:t>
      </w:r>
      <w:r>
        <w:rPr>
          <w:rFonts w:ascii="黑体" w:hAnsi="黑体" w:eastAsia="黑体"/>
          <w:sz w:val="18"/>
          <w:szCs w:val="18"/>
        </w:rPr>
        <w:t>不得以本</w:t>
      </w:r>
      <w:r>
        <w:rPr>
          <w:rFonts w:hint="eastAsia" w:ascii="黑体" w:hAnsi="黑体" w:eastAsia="黑体"/>
          <w:sz w:val="18"/>
          <w:szCs w:val="18"/>
        </w:rPr>
        <w:t>产品</w:t>
      </w:r>
      <w:r>
        <w:rPr>
          <w:rFonts w:ascii="黑体" w:hAnsi="黑体" w:eastAsia="黑体"/>
          <w:sz w:val="18"/>
          <w:szCs w:val="18"/>
        </w:rPr>
        <w:t>项下的任何权利、利益、权益（包括单独和整体）为</w:t>
      </w:r>
      <w:r>
        <w:rPr>
          <w:rFonts w:hint="eastAsia" w:ascii="黑体" w:hAnsi="黑体" w:eastAsia="黑体"/>
          <w:sz w:val="18"/>
          <w:szCs w:val="18"/>
        </w:rPr>
        <w:t>投资者</w:t>
      </w:r>
      <w:r>
        <w:rPr>
          <w:rFonts w:ascii="黑体" w:hAnsi="黑体" w:eastAsia="黑体"/>
          <w:sz w:val="18"/>
          <w:szCs w:val="18"/>
        </w:rPr>
        <w:t>和任何第三人的债务设定担保或其他权益</w:t>
      </w:r>
      <w:r>
        <w:rPr>
          <w:rFonts w:ascii="宋体" w:hAnsi="宋体"/>
          <w:sz w:val="18"/>
          <w:szCs w:val="18"/>
        </w:rPr>
        <w:t>。</w:t>
      </w:r>
      <w:r>
        <w:rPr>
          <w:rFonts w:hint="eastAsia" w:ascii="宋体" w:hAnsi="宋体"/>
          <w:sz w:val="18"/>
          <w:szCs w:val="18"/>
        </w:rPr>
        <w:t>若投资者以本产品在兴业银行股份有限公司办理质押贷款业务时，则无需产品管理人同意。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。若投资者使用兴业银行股份有限公司提供的服务开展前述行为时，则无需产品管理人同意。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按照《产品说明书》约定向投资者进行理财产品份额的利益分配并将对应资金划入投资者约定账户后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即视为产品管理人已向投资者完成利益分配和资金的清算分配。因投资者约定账户冻结、挂失、换卡、销户、长期不动户等原因造成账户变更或异常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和自律组织要求，本产品的投资合作机构（包括但不限于本产品所投资的信托计划、资管计划、基金的受托人或管理人、相关投资顾问等，下同）有可能需要向监管机构、自律组织等报送投资者信息，产品管理人将应投资合作机构的申请，在必要范围内向投资合作机构、监管机构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购买本理财产品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9653760"/>
      <w:bookmarkStart w:id="47" w:name="_Toc13288"/>
      <w:bookmarkStart w:id="48" w:name="_Toc6149"/>
      <w:bookmarkStart w:id="49" w:name="_Toc74065740"/>
      <w:bookmarkStart w:id="50" w:name="_Toc6683"/>
      <w:bookmarkStart w:id="51" w:name="_Toc545"/>
      <w:bookmarkStart w:id="52" w:name="_Toc733"/>
      <w:bookmarkStart w:id="53" w:name="_Toc18631"/>
      <w:bookmarkStart w:id="54" w:name="_Toc20627"/>
      <w:bookmarkStart w:id="55" w:name="_Toc24571"/>
      <w:bookmarkStart w:id="56" w:name="_Toc22708"/>
      <w:bookmarkStart w:id="57" w:name="_Toc20318"/>
      <w:bookmarkStart w:id="58" w:name="_Toc258829400"/>
      <w:bookmarkStart w:id="59" w:name="_Toc233456272"/>
      <w:r>
        <w:rPr>
          <w:rFonts w:hint="eastAsia" w:ascii="Times New Roman"/>
          <w:color w:val="auto"/>
          <w:sz w:val="30"/>
        </w:rPr>
        <w:t>第三条</w:t>
      </w:r>
      <w:r>
        <w:rPr>
          <w:rFonts w:ascii="Times New Roman"/>
          <w:color w:val="auto"/>
          <w:sz w:val="30"/>
        </w:rPr>
        <w:t xml:space="preserve">  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79653761"/>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79653762"/>
      <w:r>
        <w:rPr>
          <w:rFonts w:hint="eastAsia" w:ascii="Times New Roman"/>
          <w:color w:val="auto"/>
          <w:sz w:val="30"/>
        </w:rPr>
        <w:t>第五条</w:t>
      </w:r>
      <w:r>
        <w:rPr>
          <w:rFonts w:ascii="Times New Roman"/>
          <w:color w:val="auto"/>
          <w:sz w:val="30"/>
        </w:rPr>
        <w:t xml:space="preserve">  法律适用和争议解决</w:t>
      </w:r>
      <w:bookmarkEnd w:id="61"/>
    </w:p>
    <w:p>
      <w:pPr>
        <w:adjustRightInd w:val="0"/>
        <w:spacing w:line="360" w:lineRule="auto"/>
        <w:ind w:firstLine="360" w:firstLineChars="200"/>
        <w:rPr>
          <w:color w:val="000000" w:themeColor="text1"/>
          <w:sz w:val="18"/>
          <w:szCs w:val="18"/>
        </w:rPr>
      </w:pPr>
      <w:r>
        <w:rPr>
          <w:rFonts w:hint="eastAsia"/>
          <w:color w:val="000000" w:themeColor="text1"/>
          <w:sz w:val="18"/>
          <w:szCs w:val="18"/>
        </w:rPr>
        <w:t>（一）</w:t>
      </w:r>
      <w:r>
        <w:rPr>
          <w:color w:val="000000" w:themeColor="text1"/>
          <w:sz w:val="18"/>
          <w:szCs w:val="18"/>
        </w:rPr>
        <w:t>法律适用</w:t>
      </w:r>
    </w:p>
    <w:p>
      <w:pPr>
        <w:adjustRightInd w:val="0"/>
        <w:spacing w:line="360" w:lineRule="auto"/>
        <w:ind w:firstLine="360" w:firstLineChars="200"/>
        <w:rPr>
          <w:color w:val="000000" w:themeColor="text1"/>
          <w:sz w:val="18"/>
          <w:szCs w:val="18"/>
        </w:rPr>
      </w:pPr>
      <w:r>
        <w:rPr>
          <w:rFonts w:hint="eastAsia"/>
          <w:color w:val="000000" w:themeColor="text1"/>
          <w:sz w:val="18"/>
          <w:szCs w:val="18"/>
        </w:rPr>
        <w:t>本协议的订立、生效、履行、解除、解释及争议的解决等均适用中华人民共和国法律（为本合同之目的，不包括香港特别行政区、澳门特别行政区和台湾地区的法律）。</w:t>
      </w:r>
    </w:p>
    <w:p>
      <w:pPr>
        <w:adjustRightInd w:val="0"/>
        <w:spacing w:line="360" w:lineRule="auto"/>
        <w:ind w:firstLine="360" w:firstLineChars="200"/>
        <w:rPr>
          <w:rFonts w:ascii="黑体" w:hAnsi="黑体" w:eastAsia="黑体"/>
          <w:sz w:val="18"/>
          <w:szCs w:val="18"/>
        </w:rPr>
      </w:pPr>
      <w:r>
        <w:rPr>
          <w:rFonts w:hint="eastAsia" w:ascii="黑体" w:hAnsi="黑体" w:eastAsia="黑体"/>
          <w:sz w:val="18"/>
          <w:szCs w:val="18"/>
        </w:rPr>
        <w:t>（二）★争议解决</w:t>
      </w:r>
    </w:p>
    <w:p>
      <w:pPr>
        <w:adjustRightInd w:val="0"/>
        <w:spacing w:line="360" w:lineRule="auto"/>
        <w:ind w:firstLine="360" w:firstLineChars="200"/>
        <w:rPr>
          <w:rFonts w:ascii="黑体" w:hAnsi="黑体" w:eastAsia="黑体"/>
          <w:color w:val="000000" w:themeColor="text1"/>
          <w:sz w:val="18"/>
          <w:szCs w:val="18"/>
        </w:rPr>
      </w:pPr>
      <w:r>
        <w:rPr>
          <w:rFonts w:hint="eastAsia"/>
          <w:color w:val="000000" w:themeColor="text1"/>
          <w:sz w:val="18"/>
          <w:szCs w:val="18"/>
        </w:rPr>
        <w:t>双方在本协议书的执行过程中发生的任何争议，应通过友好协商解决。</w:t>
      </w:r>
      <w:r>
        <w:rPr>
          <w:rFonts w:hint="eastAsia" w:ascii="黑体" w:hAnsi="黑体" w:eastAsia="黑体"/>
          <w:color w:val="000000" w:themeColor="text1"/>
          <w:sz w:val="18"/>
          <w:szCs w:val="18"/>
        </w:rPr>
        <w:t>如友好协商不成的，双方均同意以如下第【壹】种方式解决：</w:t>
      </w:r>
    </w:p>
    <w:p>
      <w:pPr>
        <w:adjustRightInd w:val="0"/>
        <w:spacing w:line="360" w:lineRule="auto"/>
        <w:ind w:firstLine="360" w:firstLineChars="200"/>
        <w:rPr>
          <w:rFonts w:ascii="黑体" w:hAnsi="黑体" w:eastAsia="黑体"/>
          <w:color w:val="000000" w:themeColor="text1"/>
          <w:sz w:val="18"/>
          <w:szCs w:val="18"/>
        </w:rPr>
      </w:pPr>
      <w:r>
        <w:rPr>
          <w:rFonts w:hint="eastAsia" w:ascii="黑体" w:hAnsi="黑体" w:eastAsia="黑体"/>
          <w:color w:val="000000" w:themeColor="text1"/>
          <w:sz w:val="18"/>
          <w:szCs w:val="18"/>
        </w:rPr>
        <w:t>（壹）向产品管理人住所地之人民法院提起诉讼。</w:t>
      </w:r>
    </w:p>
    <w:p>
      <w:pPr>
        <w:adjustRightInd w:val="0"/>
        <w:spacing w:line="360" w:lineRule="auto"/>
        <w:ind w:firstLine="360" w:firstLineChars="200"/>
        <w:rPr>
          <w:rFonts w:ascii="黑体" w:hAnsi="黑体" w:eastAsia="黑体"/>
          <w:color w:val="000000" w:themeColor="text1"/>
          <w:sz w:val="18"/>
          <w:szCs w:val="18"/>
        </w:rPr>
      </w:pPr>
      <w:r>
        <w:rPr>
          <w:rFonts w:hint="eastAsia" w:ascii="黑体" w:hAnsi="黑体" w:eastAsia="黑体"/>
          <w:color w:val="000000" w:themeColor="text1"/>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rPr>
      </w:pPr>
      <w:r>
        <w:rPr>
          <w:rFonts w:ascii="黑体" w:hAnsi="黑体" w:eastAsia="黑体"/>
          <w:color w:val="000000" w:themeColor="text1"/>
          <w:sz w:val="18"/>
          <w:szCs w:val="18"/>
        </w:rPr>
        <w:br w:type="page"/>
      </w:r>
    </w:p>
    <w:p>
      <w:pPr>
        <w:pStyle w:val="2"/>
        <w:spacing w:before="0" w:after="0"/>
        <w:jc w:val="center"/>
        <w:rPr>
          <w:rFonts w:ascii="Times New Roman"/>
          <w:b w:val="0"/>
          <w:sz w:val="30"/>
        </w:rPr>
      </w:pPr>
      <w:bookmarkStart w:id="62" w:name="_Toc79653763"/>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9653764"/>
      <w:bookmarkStart w:id="64" w:name="_Toc77953869"/>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63"/>
      <w:bookmarkEnd w:id="64"/>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9073"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426"/>
        <w:gridCol w:w="425"/>
        <w:gridCol w:w="709"/>
        <w:gridCol w:w="4819"/>
        <w:gridCol w:w="18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073" w:type="dxa"/>
            <w:gridSpan w:val="6"/>
          </w:tcPr>
          <w:p>
            <w:pPr>
              <w:autoSpaceDE w:val="0"/>
              <w:autoSpaceDN w:val="0"/>
              <w:adjustRightInd w:val="0"/>
              <w:snapToGrid w:val="0"/>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3" w:hRule="atLeast"/>
        </w:trPr>
        <w:tc>
          <w:tcPr>
            <w:tcW w:w="1277" w:type="dxa"/>
            <w:gridSpan w:val="2"/>
            <w:vAlign w:val="center"/>
          </w:tcPr>
          <w:p>
            <w:pPr>
              <w:autoSpaceDE w:val="0"/>
              <w:autoSpaceDN w:val="0"/>
              <w:adjustRightInd w:val="0"/>
              <w:snapToGrid w:val="0"/>
              <w:jc w:val="center"/>
              <w:rPr>
                <w:rFonts w:ascii="宋体" w:hAnsi="宋体"/>
                <w:b/>
                <w:sz w:val="18"/>
                <w:szCs w:val="18"/>
              </w:rPr>
            </w:pPr>
            <w:r>
              <w:rPr>
                <w:rFonts w:ascii="宋体" w:hAnsi="宋体"/>
                <w:b/>
                <w:sz w:val="18"/>
                <w:szCs w:val="18"/>
              </w:rPr>
              <w:t>理财产品名称</w:t>
            </w:r>
          </w:p>
        </w:tc>
        <w:tc>
          <w:tcPr>
            <w:tcW w:w="7796" w:type="dxa"/>
            <w:gridSpan w:val="4"/>
            <w:vAlign w:val="center"/>
          </w:tcPr>
          <w:p>
            <w:pPr>
              <w:autoSpaceDE w:val="0"/>
              <w:autoSpaceDN w:val="0"/>
              <w:adjustRightInd w:val="0"/>
              <w:snapToGrid w:val="0"/>
              <w:jc w:val="left"/>
              <w:rPr>
                <w:rFonts w:ascii="宋体" w:hAnsi="宋体" w:cs="宋体"/>
                <w:b/>
                <w:sz w:val="18"/>
                <w:szCs w:val="18"/>
              </w:rPr>
            </w:pPr>
            <w:r>
              <w:rPr>
                <w:rFonts w:hint="eastAsia" w:ascii="宋体" w:hAnsi="宋体" w:cs="宋体"/>
                <w:b/>
                <w:sz w:val="18"/>
                <w:szCs w:val="18"/>
              </w:rPr>
              <w:t>【</w:t>
            </w:r>
            <w:r>
              <w:rPr>
                <w:rFonts w:ascii="宋体" w:hAnsi="宋体" w:cs="宋体"/>
                <w:b/>
                <w:sz w:val="18"/>
                <w:szCs w:val="18"/>
              </w:rPr>
              <w:t xml:space="preserve">                </w:t>
            </w:r>
            <w:r>
              <w:rPr>
                <w:rFonts w:hint="eastAsia" w:ascii="宋体" w:hAnsi="宋体" w:cs="宋体"/>
                <w:b/>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2" w:hRule="atLeast"/>
        </w:trPr>
        <w:tc>
          <w:tcPr>
            <w:tcW w:w="1277" w:type="dxa"/>
            <w:gridSpan w:val="2"/>
            <w:vAlign w:val="center"/>
          </w:tcPr>
          <w:p>
            <w:pPr>
              <w:autoSpaceDE w:val="0"/>
              <w:autoSpaceDN w:val="0"/>
              <w:adjustRightInd w:val="0"/>
              <w:snapToGrid w:val="0"/>
              <w:jc w:val="center"/>
              <w:rPr>
                <w:rFonts w:ascii="宋体" w:hAnsi="宋体"/>
                <w:b/>
                <w:sz w:val="18"/>
                <w:szCs w:val="18"/>
              </w:rPr>
            </w:pPr>
            <w:r>
              <w:rPr>
                <w:rFonts w:hint="eastAsia" w:ascii="宋体" w:hAnsi="宋体"/>
                <w:b/>
                <w:sz w:val="18"/>
                <w:szCs w:val="18"/>
              </w:rPr>
              <w:t>产品份额类别</w:t>
            </w:r>
          </w:p>
        </w:tc>
        <w:tc>
          <w:tcPr>
            <w:tcW w:w="7796" w:type="dxa"/>
            <w:gridSpan w:val="4"/>
            <w:vAlign w:val="center"/>
          </w:tcPr>
          <w:p>
            <w:pPr>
              <w:autoSpaceDE w:val="0"/>
              <w:autoSpaceDN w:val="0"/>
              <w:adjustRightInd w:val="0"/>
              <w:snapToGrid w:val="0"/>
              <w:jc w:val="left"/>
              <w:rPr>
                <w:rFonts w:ascii="宋体" w:hAnsi="宋体" w:cs="宋体"/>
                <w:b/>
                <w:sz w:val="18"/>
                <w:szCs w:val="18"/>
              </w:rPr>
            </w:pPr>
            <w:r>
              <w:rPr>
                <w:rFonts w:hint="eastAsia" w:ascii="宋体" w:hAnsi="宋体" w:cs="宋体"/>
                <w:b/>
                <w:sz w:val="18"/>
                <w:szCs w:val="18"/>
              </w:rPr>
              <w:t>【</w:t>
            </w:r>
            <w:r>
              <w:rPr>
                <w:rFonts w:ascii="宋体" w:hAnsi="宋体" w:cs="宋体"/>
                <w:b/>
                <w:sz w:val="18"/>
                <w:szCs w:val="18"/>
              </w:rPr>
              <w:t xml:space="preserve">    </w:t>
            </w:r>
            <w:r>
              <w:rPr>
                <w:rFonts w:hint="eastAsia" w:ascii="宋体" w:hAnsi="宋体" w:cs="宋体"/>
                <w:b/>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277" w:type="dxa"/>
            <w:gridSpan w:val="2"/>
            <w:vMerge w:val="restart"/>
            <w:vAlign w:val="center"/>
          </w:tcPr>
          <w:p>
            <w:pPr>
              <w:autoSpaceDE w:val="0"/>
              <w:autoSpaceDN w:val="0"/>
              <w:adjustRightInd w:val="0"/>
              <w:snapToGrid w:val="0"/>
              <w:jc w:val="center"/>
              <w:rPr>
                <w:rFonts w:ascii="宋体" w:hAnsi="宋体"/>
                <w:b/>
                <w:sz w:val="18"/>
                <w:szCs w:val="18"/>
              </w:rPr>
            </w:pPr>
            <w:r>
              <w:rPr>
                <w:rFonts w:hint="eastAsia" w:ascii="宋体" w:hAnsi="宋体"/>
                <w:b/>
                <w:sz w:val="18"/>
                <w:szCs w:val="18"/>
              </w:rPr>
              <w:t>交易类型</w:t>
            </w:r>
          </w:p>
        </w:tc>
        <w:tc>
          <w:tcPr>
            <w:tcW w:w="1134" w:type="dxa"/>
            <w:gridSpan w:val="2"/>
            <w:vAlign w:val="center"/>
          </w:tcPr>
          <w:p>
            <w:pPr>
              <w:autoSpaceDE w:val="0"/>
              <w:autoSpaceDN w:val="0"/>
              <w:adjustRightInd w:val="0"/>
              <w:snapToGrid w:val="0"/>
              <w:jc w:val="center"/>
              <w:rPr>
                <w:rFonts w:ascii="宋体" w:hAnsi="宋体"/>
                <w:b/>
                <w:sz w:val="18"/>
                <w:szCs w:val="18"/>
              </w:rPr>
            </w:pPr>
            <w:r>
              <w:rPr>
                <w:rFonts w:hint="eastAsia" w:ascii="宋体" w:hAnsi="宋体"/>
                <w:b/>
                <w:bCs/>
                <w:sz w:val="18"/>
                <w:szCs w:val="18"/>
              </w:rPr>
              <w:t>认购</w:t>
            </w:r>
          </w:p>
        </w:tc>
        <w:tc>
          <w:tcPr>
            <w:tcW w:w="4819" w:type="dxa"/>
            <w:tcBorders>
              <w:right w:val="single" w:color="auto" w:sz="4" w:space="0"/>
            </w:tcBorders>
            <w:vAlign w:val="center"/>
          </w:tcPr>
          <w:p>
            <w:pPr>
              <w:autoSpaceDE w:val="0"/>
              <w:autoSpaceDN w:val="0"/>
              <w:adjustRightInd w:val="0"/>
              <w:snapToGrid w:val="0"/>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rPr>
              <w:t>元整。</w:t>
            </w:r>
          </w:p>
        </w:tc>
        <w:tc>
          <w:tcPr>
            <w:tcW w:w="1843" w:type="dxa"/>
            <w:tcBorders>
              <w:left w:val="single" w:color="auto" w:sz="4" w:space="0"/>
            </w:tcBorders>
            <w:vAlign w:val="center"/>
          </w:tcPr>
          <w:p>
            <w:pPr>
              <w:autoSpaceDE w:val="0"/>
              <w:autoSpaceDN w:val="0"/>
              <w:adjustRightInd w:val="0"/>
              <w:snapToGrid w:val="0"/>
              <w:jc w:val="left"/>
              <w:rPr>
                <w:rFonts w:ascii="宋体" w:hAnsi="宋体" w:cs="宋体"/>
                <w:b/>
                <w:sz w:val="18"/>
                <w:szCs w:val="18"/>
              </w:rPr>
            </w:pPr>
            <w:r>
              <w:rPr>
                <w:rFonts w:ascii="宋体" w:hAnsi="宋体" w:cs="宋体"/>
                <w:b/>
                <w:sz w:val="18"/>
                <w:szCs w:val="18"/>
              </w:rPr>
              <w:t>注</w:t>
            </w:r>
            <w:r>
              <w:rPr>
                <w:rFonts w:hint="eastAsia" w:ascii="宋体" w:hAnsi="宋体" w:cs="宋体"/>
                <w:b/>
                <w:sz w:val="18"/>
                <w:szCs w:val="18"/>
              </w:rPr>
              <w:t>：</w:t>
            </w:r>
            <w:r>
              <w:rPr>
                <w:rFonts w:ascii="宋体" w:hAnsi="宋体" w:cs="宋体"/>
                <w:b/>
                <w:sz w:val="18"/>
                <w:szCs w:val="18"/>
              </w:rPr>
              <w:t>封闭式产品</w:t>
            </w:r>
            <w:r>
              <w:rPr>
                <w:rFonts w:hint="eastAsia" w:ascii="宋体" w:hAnsi="宋体" w:cs="宋体"/>
                <w:b/>
                <w:sz w:val="18"/>
                <w:szCs w:val="18"/>
              </w:rPr>
              <w:t>，“申购”与“赎回”栏不适用。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5" w:hRule="atLeast"/>
        </w:trPr>
        <w:tc>
          <w:tcPr>
            <w:tcW w:w="1277" w:type="dxa"/>
            <w:gridSpan w:val="2"/>
            <w:vMerge w:val="continue"/>
            <w:vAlign w:val="center"/>
          </w:tcPr>
          <w:p>
            <w:pPr>
              <w:autoSpaceDE w:val="0"/>
              <w:autoSpaceDN w:val="0"/>
              <w:adjustRightInd w:val="0"/>
              <w:snapToGrid w:val="0"/>
              <w:jc w:val="center"/>
              <w:rPr>
                <w:rFonts w:ascii="宋体" w:hAnsi="宋体"/>
                <w:b/>
                <w:sz w:val="18"/>
                <w:szCs w:val="18"/>
              </w:rPr>
            </w:pPr>
          </w:p>
        </w:tc>
        <w:tc>
          <w:tcPr>
            <w:tcW w:w="1134" w:type="dxa"/>
            <w:gridSpan w:val="2"/>
            <w:vAlign w:val="center"/>
          </w:tcPr>
          <w:p>
            <w:pPr>
              <w:autoSpaceDE w:val="0"/>
              <w:autoSpaceDN w:val="0"/>
              <w:adjustRightInd w:val="0"/>
              <w:snapToGrid w:val="0"/>
              <w:jc w:val="center"/>
              <w:rPr>
                <w:rFonts w:ascii="宋体" w:hAnsi="宋体"/>
                <w:b/>
                <w:bCs/>
                <w:sz w:val="18"/>
                <w:szCs w:val="18"/>
              </w:rPr>
            </w:pPr>
            <w:r>
              <w:rPr>
                <w:rFonts w:hint="eastAsia" w:ascii="宋体" w:hAnsi="宋体"/>
                <w:b/>
                <w:bCs/>
                <w:sz w:val="18"/>
                <w:szCs w:val="18"/>
              </w:rPr>
              <w:t>申购</w:t>
            </w:r>
          </w:p>
        </w:tc>
        <w:tc>
          <w:tcPr>
            <w:tcW w:w="4819" w:type="dxa"/>
            <w:tcBorders>
              <w:right w:val="single" w:color="auto" w:sz="4" w:space="0"/>
            </w:tcBorders>
            <w:vAlign w:val="center"/>
          </w:tcPr>
          <w:p>
            <w:pPr>
              <w:autoSpaceDE w:val="0"/>
              <w:autoSpaceDN w:val="0"/>
              <w:adjustRightInd w:val="0"/>
              <w:snapToGrid w:val="0"/>
              <w:jc w:val="left"/>
              <w:rPr>
                <w:rFonts w:ascii="宋体" w:hAnsi="宋体"/>
                <w:b/>
                <w:bCs/>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rPr>
              <w:t>元整。</w:t>
            </w:r>
          </w:p>
        </w:tc>
        <w:tc>
          <w:tcPr>
            <w:tcW w:w="1843" w:type="dxa"/>
            <w:vMerge w:val="restart"/>
            <w:tcBorders>
              <w:left w:val="single" w:color="auto" w:sz="4" w:space="0"/>
            </w:tcBorders>
            <w:vAlign w:val="center"/>
          </w:tcPr>
          <w:p>
            <w:pPr>
              <w:autoSpaceDE w:val="0"/>
              <w:autoSpaceDN w:val="0"/>
              <w:adjustRightInd w:val="0"/>
              <w:snapToGrid w:val="0"/>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5" w:hRule="atLeast"/>
        </w:trPr>
        <w:tc>
          <w:tcPr>
            <w:tcW w:w="1277" w:type="dxa"/>
            <w:gridSpan w:val="2"/>
            <w:vMerge w:val="continue"/>
            <w:vAlign w:val="center"/>
          </w:tcPr>
          <w:p>
            <w:pPr>
              <w:autoSpaceDE w:val="0"/>
              <w:autoSpaceDN w:val="0"/>
              <w:adjustRightInd w:val="0"/>
              <w:snapToGrid w:val="0"/>
              <w:jc w:val="center"/>
              <w:rPr>
                <w:rFonts w:ascii="宋体" w:hAnsi="宋体"/>
                <w:b/>
                <w:sz w:val="18"/>
                <w:szCs w:val="18"/>
              </w:rPr>
            </w:pPr>
          </w:p>
        </w:tc>
        <w:tc>
          <w:tcPr>
            <w:tcW w:w="1134" w:type="dxa"/>
            <w:gridSpan w:val="2"/>
            <w:vAlign w:val="center"/>
          </w:tcPr>
          <w:p>
            <w:pPr>
              <w:autoSpaceDE w:val="0"/>
              <w:autoSpaceDN w:val="0"/>
              <w:adjustRightInd w:val="0"/>
              <w:snapToGrid w:val="0"/>
              <w:jc w:val="center"/>
              <w:rPr>
                <w:rFonts w:ascii="宋体" w:hAnsi="宋体"/>
                <w:b/>
                <w:bCs/>
                <w:sz w:val="18"/>
                <w:szCs w:val="18"/>
              </w:rPr>
            </w:pPr>
            <w:r>
              <w:rPr>
                <w:rFonts w:hint="eastAsia" w:ascii="宋体" w:hAnsi="宋体"/>
                <w:b/>
                <w:bCs/>
                <w:sz w:val="18"/>
                <w:szCs w:val="18"/>
              </w:rPr>
              <w:t>赎回</w:t>
            </w:r>
          </w:p>
        </w:tc>
        <w:tc>
          <w:tcPr>
            <w:tcW w:w="4819" w:type="dxa"/>
            <w:tcBorders>
              <w:right w:val="single" w:color="auto" w:sz="4" w:space="0"/>
            </w:tcBorders>
            <w:vAlign w:val="center"/>
          </w:tcPr>
          <w:p>
            <w:pPr>
              <w:autoSpaceDE w:val="0"/>
              <w:autoSpaceDN w:val="0"/>
              <w:adjustRightInd w:val="0"/>
              <w:snapToGrid w:val="0"/>
              <w:jc w:val="left"/>
              <w:rPr>
                <w:rFonts w:ascii="宋体" w:hAnsi="宋体"/>
                <w:b/>
                <w:bCs/>
                <w:sz w:val="18"/>
                <w:szCs w:val="18"/>
              </w:rPr>
            </w:pPr>
            <w:r>
              <w:rPr>
                <w:rFonts w:ascii="宋体" w:hAnsi="宋体"/>
                <w:b/>
                <w:bCs/>
                <w:sz w:val="18"/>
                <w:szCs w:val="18"/>
              </w:rPr>
              <w:t>份额：</w:t>
            </w:r>
            <w:r>
              <w:rPr>
                <w:rFonts w:hint="eastAsia" w:ascii="宋体" w:hAnsi="宋体"/>
                <w:b/>
                <w:bCs/>
                <w:sz w:val="18"/>
                <w:szCs w:val="18"/>
              </w:rPr>
              <w:t>小写：</w:t>
            </w:r>
            <w:r>
              <w:rPr>
                <w:rFonts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rPr>
              <w:t>份。</w:t>
            </w:r>
          </w:p>
        </w:tc>
        <w:tc>
          <w:tcPr>
            <w:tcW w:w="1843" w:type="dxa"/>
            <w:vMerge w:val="continue"/>
            <w:tcBorders>
              <w:left w:val="single" w:color="auto" w:sz="4" w:space="0"/>
            </w:tcBorders>
            <w:vAlign w:val="center"/>
          </w:tcPr>
          <w:p>
            <w:pPr>
              <w:autoSpaceDE w:val="0"/>
              <w:autoSpaceDN w:val="0"/>
              <w:adjustRightInd w:val="0"/>
              <w:snapToGrid w:val="0"/>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57" w:hRule="atLeast"/>
        </w:trPr>
        <w:tc>
          <w:tcPr>
            <w:tcW w:w="1277" w:type="dxa"/>
            <w:gridSpan w:val="2"/>
            <w:vAlign w:val="center"/>
          </w:tcPr>
          <w:p>
            <w:pPr>
              <w:autoSpaceDE w:val="0"/>
              <w:autoSpaceDN w:val="0"/>
              <w:adjustRightInd w:val="0"/>
              <w:snapToGrid w:val="0"/>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jc w:val="center"/>
              <w:rPr>
                <w:rFonts w:ascii="宋体" w:hAnsi="宋体"/>
                <w:b/>
                <w:sz w:val="18"/>
                <w:szCs w:val="18"/>
              </w:rPr>
            </w:pPr>
            <w:r>
              <w:rPr>
                <w:rFonts w:hint="eastAsia" w:ascii="宋体" w:hAnsi="宋体"/>
                <w:b/>
                <w:sz w:val="18"/>
                <w:szCs w:val="18"/>
              </w:rPr>
              <w:t>交易申请日</w:t>
            </w:r>
          </w:p>
        </w:tc>
        <w:tc>
          <w:tcPr>
            <w:tcW w:w="6662" w:type="dxa"/>
            <w:gridSpan w:val="2"/>
            <w:vAlign w:val="center"/>
          </w:tcPr>
          <w:p>
            <w:pPr>
              <w:autoSpaceDE w:val="0"/>
              <w:autoSpaceDN w:val="0"/>
              <w:adjustRightInd w:val="0"/>
              <w:snapToGrid w:val="0"/>
              <w:jc w:val="center"/>
              <w:rPr>
                <w:rFonts w:ascii="宋体" w:hAnsi="宋体"/>
                <w:b/>
                <w:sz w:val="18"/>
                <w:szCs w:val="18"/>
              </w:rPr>
            </w:pPr>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2" w:hRule="atLeast"/>
        </w:trPr>
        <w:tc>
          <w:tcPr>
            <w:tcW w:w="9073" w:type="dxa"/>
            <w:gridSpan w:val="6"/>
            <w:vAlign w:val="center"/>
          </w:tcPr>
          <w:p>
            <w:pPr>
              <w:autoSpaceDE w:val="0"/>
              <w:autoSpaceDN w:val="0"/>
              <w:adjustRightInd w:val="0"/>
              <w:snapToGrid w:val="0"/>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1"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8222" w:type="dxa"/>
            <w:gridSpan w:val="5"/>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2" w:hRule="exact"/>
        </w:trPr>
        <w:tc>
          <w:tcPr>
            <w:tcW w:w="851"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7371" w:type="dxa"/>
            <w:gridSpan w:val="3"/>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7371" w:type="dxa"/>
            <w:gridSpan w:val="3"/>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rFonts w:cs="Arial"/>
                <w:sz w:val="18"/>
                <w:szCs w:val="18"/>
              </w:rPr>
            </w:pPr>
            <w:r>
              <w:rPr>
                <w:rFonts w:hint="eastAsia" w:cs="Arial"/>
                <w:sz w:val="18"/>
                <w:szCs w:val="18"/>
              </w:rPr>
              <w:t>投资者法定代表人或授权代理人（签字或盖章）：</w:t>
            </w:r>
          </w:p>
          <w:p>
            <w:pPr>
              <w:spacing w:line="360" w:lineRule="auto"/>
              <w:rPr>
                <w:b/>
                <w:sz w:val="18"/>
                <w:szCs w:val="18"/>
              </w:rPr>
            </w:pPr>
          </w:p>
          <w:p>
            <w:pPr>
              <w:spacing w:line="360" w:lineRule="auto"/>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pgSz w:w="11906" w:h="16838"/>
      <w:pgMar w:top="1440" w:right="1800" w:bottom="1440" w:left="1800" w:header="567"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2</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jc w:val="right"/>
      <w:rPr>
        <w:b/>
      </w:rPr>
    </w:pPr>
    <w:r>
      <w:rPr>
        <w:rFonts w:hint="eastAsia"/>
        <w:b/>
      </w:rPr>
      <w:t>投资协议书</w:t>
    </w:r>
  </w:p>
  <w:p>
    <w:pPr>
      <w:pStyle w:val="15"/>
      <w:pBdr>
        <w:bottom w:val="thickThinLargeGap" w:color="auto" w:sz="24" w:space="10"/>
      </w:pBdr>
      <w:tabs>
        <w:tab w:val="right" w:pos="8280"/>
      </w:tabs>
      <w:wordWrap w:val="0"/>
      <w:adjustRightInd w:val="0"/>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6A1"/>
    <w:rsid w:val="00001E2E"/>
    <w:rsid w:val="000047F2"/>
    <w:rsid w:val="000052BD"/>
    <w:rsid w:val="00006526"/>
    <w:rsid w:val="000073F3"/>
    <w:rsid w:val="0001314C"/>
    <w:rsid w:val="0001389C"/>
    <w:rsid w:val="000141A7"/>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6B4B"/>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34B"/>
    <w:rsid w:val="00156B9B"/>
    <w:rsid w:val="001676C5"/>
    <w:rsid w:val="00172A27"/>
    <w:rsid w:val="001739F3"/>
    <w:rsid w:val="00176250"/>
    <w:rsid w:val="001767D5"/>
    <w:rsid w:val="00181F8E"/>
    <w:rsid w:val="00183919"/>
    <w:rsid w:val="00184F16"/>
    <w:rsid w:val="001913D5"/>
    <w:rsid w:val="001A0DEE"/>
    <w:rsid w:val="001A331C"/>
    <w:rsid w:val="001A3B4F"/>
    <w:rsid w:val="001B3D1B"/>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5DFD"/>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D80"/>
    <w:rsid w:val="00260461"/>
    <w:rsid w:val="00261F65"/>
    <w:rsid w:val="00262029"/>
    <w:rsid w:val="002632C7"/>
    <w:rsid w:val="00263D71"/>
    <w:rsid w:val="00267780"/>
    <w:rsid w:val="002719C4"/>
    <w:rsid w:val="00276547"/>
    <w:rsid w:val="002819AA"/>
    <w:rsid w:val="00284C82"/>
    <w:rsid w:val="00287678"/>
    <w:rsid w:val="00287D6F"/>
    <w:rsid w:val="00294417"/>
    <w:rsid w:val="0029567E"/>
    <w:rsid w:val="002A31A8"/>
    <w:rsid w:val="002A571E"/>
    <w:rsid w:val="002A599B"/>
    <w:rsid w:val="002A72B3"/>
    <w:rsid w:val="002B2076"/>
    <w:rsid w:val="002B2E59"/>
    <w:rsid w:val="002B30E7"/>
    <w:rsid w:val="002B3DF5"/>
    <w:rsid w:val="002B659B"/>
    <w:rsid w:val="002B661B"/>
    <w:rsid w:val="002C13C1"/>
    <w:rsid w:val="002C27E7"/>
    <w:rsid w:val="002C3012"/>
    <w:rsid w:val="002C7D8E"/>
    <w:rsid w:val="002D121A"/>
    <w:rsid w:val="002D407E"/>
    <w:rsid w:val="002E2C93"/>
    <w:rsid w:val="002E388A"/>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6B22"/>
    <w:rsid w:val="003873DE"/>
    <w:rsid w:val="0039164E"/>
    <w:rsid w:val="00391C13"/>
    <w:rsid w:val="003928B0"/>
    <w:rsid w:val="00395E69"/>
    <w:rsid w:val="0039705F"/>
    <w:rsid w:val="003A2822"/>
    <w:rsid w:val="003B03E1"/>
    <w:rsid w:val="003B0F19"/>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3AE7"/>
    <w:rsid w:val="00444664"/>
    <w:rsid w:val="00444AD5"/>
    <w:rsid w:val="00445CFA"/>
    <w:rsid w:val="00446FBB"/>
    <w:rsid w:val="0045304A"/>
    <w:rsid w:val="004530E2"/>
    <w:rsid w:val="0045487E"/>
    <w:rsid w:val="0045508F"/>
    <w:rsid w:val="00460B00"/>
    <w:rsid w:val="00467615"/>
    <w:rsid w:val="004727C4"/>
    <w:rsid w:val="00477E43"/>
    <w:rsid w:val="00481A9B"/>
    <w:rsid w:val="00483EB5"/>
    <w:rsid w:val="004875C3"/>
    <w:rsid w:val="00487FEB"/>
    <w:rsid w:val="004918BC"/>
    <w:rsid w:val="00493B96"/>
    <w:rsid w:val="004946EF"/>
    <w:rsid w:val="004973D1"/>
    <w:rsid w:val="004A23D9"/>
    <w:rsid w:val="004A3FA4"/>
    <w:rsid w:val="004A5131"/>
    <w:rsid w:val="004A7454"/>
    <w:rsid w:val="004B03B2"/>
    <w:rsid w:val="004B3210"/>
    <w:rsid w:val="004B3302"/>
    <w:rsid w:val="004B3AF7"/>
    <w:rsid w:val="004B6C04"/>
    <w:rsid w:val="004B7A5A"/>
    <w:rsid w:val="004C1C32"/>
    <w:rsid w:val="004C23FF"/>
    <w:rsid w:val="004C2E33"/>
    <w:rsid w:val="004C39B2"/>
    <w:rsid w:val="004C3F33"/>
    <w:rsid w:val="004C5C67"/>
    <w:rsid w:val="004D6E12"/>
    <w:rsid w:val="004E08AE"/>
    <w:rsid w:val="004E1B86"/>
    <w:rsid w:val="004E3E74"/>
    <w:rsid w:val="004E4588"/>
    <w:rsid w:val="004E5D10"/>
    <w:rsid w:val="004E61D4"/>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82A"/>
    <w:rsid w:val="005578EB"/>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D7C36"/>
    <w:rsid w:val="005E03C1"/>
    <w:rsid w:val="005E2C29"/>
    <w:rsid w:val="005E3D99"/>
    <w:rsid w:val="005E7D8A"/>
    <w:rsid w:val="006001EC"/>
    <w:rsid w:val="00605764"/>
    <w:rsid w:val="00605F23"/>
    <w:rsid w:val="00607C62"/>
    <w:rsid w:val="00613250"/>
    <w:rsid w:val="00613EED"/>
    <w:rsid w:val="006206A4"/>
    <w:rsid w:val="0062210C"/>
    <w:rsid w:val="00623E9F"/>
    <w:rsid w:val="006250B0"/>
    <w:rsid w:val="00625409"/>
    <w:rsid w:val="00630E80"/>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7443"/>
    <w:rsid w:val="006D1109"/>
    <w:rsid w:val="006D4A61"/>
    <w:rsid w:val="006D6CDD"/>
    <w:rsid w:val="006D7EB4"/>
    <w:rsid w:val="006E07CD"/>
    <w:rsid w:val="006E4978"/>
    <w:rsid w:val="006E56C2"/>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B37"/>
    <w:rsid w:val="00764FE5"/>
    <w:rsid w:val="0076672F"/>
    <w:rsid w:val="00770687"/>
    <w:rsid w:val="00773717"/>
    <w:rsid w:val="00775FFD"/>
    <w:rsid w:val="00784D9C"/>
    <w:rsid w:val="007856E8"/>
    <w:rsid w:val="00785730"/>
    <w:rsid w:val="00786BEA"/>
    <w:rsid w:val="00786E6B"/>
    <w:rsid w:val="007874E0"/>
    <w:rsid w:val="00790A64"/>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E0F86"/>
    <w:rsid w:val="007E1220"/>
    <w:rsid w:val="007E32B6"/>
    <w:rsid w:val="007E40AA"/>
    <w:rsid w:val="007E6098"/>
    <w:rsid w:val="007F214F"/>
    <w:rsid w:val="007F66C2"/>
    <w:rsid w:val="007F71C3"/>
    <w:rsid w:val="00802F46"/>
    <w:rsid w:val="0080338A"/>
    <w:rsid w:val="008051C4"/>
    <w:rsid w:val="00806156"/>
    <w:rsid w:val="00810CE5"/>
    <w:rsid w:val="0081194A"/>
    <w:rsid w:val="00816E31"/>
    <w:rsid w:val="0081755C"/>
    <w:rsid w:val="008209BF"/>
    <w:rsid w:val="008235A9"/>
    <w:rsid w:val="0082410A"/>
    <w:rsid w:val="00830913"/>
    <w:rsid w:val="00833DA0"/>
    <w:rsid w:val="0084117B"/>
    <w:rsid w:val="00842240"/>
    <w:rsid w:val="00842ECC"/>
    <w:rsid w:val="00844C52"/>
    <w:rsid w:val="00844FAC"/>
    <w:rsid w:val="00847D06"/>
    <w:rsid w:val="008526AD"/>
    <w:rsid w:val="00852A74"/>
    <w:rsid w:val="0085467A"/>
    <w:rsid w:val="00855E29"/>
    <w:rsid w:val="00856912"/>
    <w:rsid w:val="00862721"/>
    <w:rsid w:val="00863B57"/>
    <w:rsid w:val="00870710"/>
    <w:rsid w:val="00871266"/>
    <w:rsid w:val="00871450"/>
    <w:rsid w:val="008739A5"/>
    <w:rsid w:val="0087714D"/>
    <w:rsid w:val="00895DC9"/>
    <w:rsid w:val="008A3830"/>
    <w:rsid w:val="008A5426"/>
    <w:rsid w:val="008B0B17"/>
    <w:rsid w:val="008B1FC9"/>
    <w:rsid w:val="008B20D2"/>
    <w:rsid w:val="008B5D1E"/>
    <w:rsid w:val="008B60CD"/>
    <w:rsid w:val="008B64A4"/>
    <w:rsid w:val="008C1F51"/>
    <w:rsid w:val="008C41BB"/>
    <w:rsid w:val="008C4E5E"/>
    <w:rsid w:val="008C77FD"/>
    <w:rsid w:val="008D0202"/>
    <w:rsid w:val="008D0B1A"/>
    <w:rsid w:val="008D1177"/>
    <w:rsid w:val="008D43FD"/>
    <w:rsid w:val="008E5137"/>
    <w:rsid w:val="008E67DB"/>
    <w:rsid w:val="008E6FBA"/>
    <w:rsid w:val="008F0E09"/>
    <w:rsid w:val="008F14E7"/>
    <w:rsid w:val="008F24C8"/>
    <w:rsid w:val="00905340"/>
    <w:rsid w:val="00905B69"/>
    <w:rsid w:val="0090798A"/>
    <w:rsid w:val="00907AEC"/>
    <w:rsid w:val="00911B78"/>
    <w:rsid w:val="009122AA"/>
    <w:rsid w:val="00914791"/>
    <w:rsid w:val="00920606"/>
    <w:rsid w:val="00925A17"/>
    <w:rsid w:val="00927AE1"/>
    <w:rsid w:val="0093239E"/>
    <w:rsid w:val="00933BBA"/>
    <w:rsid w:val="00933D38"/>
    <w:rsid w:val="00944C6F"/>
    <w:rsid w:val="00947DAA"/>
    <w:rsid w:val="0095255D"/>
    <w:rsid w:val="00952B18"/>
    <w:rsid w:val="0095500C"/>
    <w:rsid w:val="0095516F"/>
    <w:rsid w:val="009559AB"/>
    <w:rsid w:val="00961CD3"/>
    <w:rsid w:val="009639E7"/>
    <w:rsid w:val="0096677D"/>
    <w:rsid w:val="0097370D"/>
    <w:rsid w:val="009768D0"/>
    <w:rsid w:val="0097776B"/>
    <w:rsid w:val="00977B2B"/>
    <w:rsid w:val="00977C61"/>
    <w:rsid w:val="00983DF9"/>
    <w:rsid w:val="00987518"/>
    <w:rsid w:val="00993714"/>
    <w:rsid w:val="009969BB"/>
    <w:rsid w:val="00996C45"/>
    <w:rsid w:val="009A14A5"/>
    <w:rsid w:val="009A42BC"/>
    <w:rsid w:val="009B0C9E"/>
    <w:rsid w:val="009B1C9C"/>
    <w:rsid w:val="009B2C85"/>
    <w:rsid w:val="009B5BC2"/>
    <w:rsid w:val="009C2069"/>
    <w:rsid w:val="009C521A"/>
    <w:rsid w:val="009C6F8E"/>
    <w:rsid w:val="009D63B0"/>
    <w:rsid w:val="009D7AA0"/>
    <w:rsid w:val="009E371D"/>
    <w:rsid w:val="009E4C02"/>
    <w:rsid w:val="009E5E1C"/>
    <w:rsid w:val="009E6DAE"/>
    <w:rsid w:val="009F1537"/>
    <w:rsid w:val="009F29D8"/>
    <w:rsid w:val="009F4C90"/>
    <w:rsid w:val="009F759C"/>
    <w:rsid w:val="009F7CF8"/>
    <w:rsid w:val="00A11CB0"/>
    <w:rsid w:val="00A17171"/>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3BDD"/>
    <w:rsid w:val="00A75B30"/>
    <w:rsid w:val="00A76F1E"/>
    <w:rsid w:val="00A81ECE"/>
    <w:rsid w:val="00A84912"/>
    <w:rsid w:val="00A879D0"/>
    <w:rsid w:val="00A87A12"/>
    <w:rsid w:val="00A90D98"/>
    <w:rsid w:val="00A9723D"/>
    <w:rsid w:val="00A9773F"/>
    <w:rsid w:val="00A97F9F"/>
    <w:rsid w:val="00AA0BFE"/>
    <w:rsid w:val="00AA2082"/>
    <w:rsid w:val="00AB009C"/>
    <w:rsid w:val="00AB633E"/>
    <w:rsid w:val="00AB7FE4"/>
    <w:rsid w:val="00AC18A8"/>
    <w:rsid w:val="00AC3CEC"/>
    <w:rsid w:val="00AC4838"/>
    <w:rsid w:val="00AC4A57"/>
    <w:rsid w:val="00AC6DEA"/>
    <w:rsid w:val="00AD1745"/>
    <w:rsid w:val="00AD4F90"/>
    <w:rsid w:val="00AD57C7"/>
    <w:rsid w:val="00AD74DA"/>
    <w:rsid w:val="00AE3332"/>
    <w:rsid w:val="00AE4AC1"/>
    <w:rsid w:val="00AE6A16"/>
    <w:rsid w:val="00AF2416"/>
    <w:rsid w:val="00AF3E6D"/>
    <w:rsid w:val="00AF40F3"/>
    <w:rsid w:val="00AF49B3"/>
    <w:rsid w:val="00AF5042"/>
    <w:rsid w:val="00AF7D63"/>
    <w:rsid w:val="00B010E6"/>
    <w:rsid w:val="00B01124"/>
    <w:rsid w:val="00B034C7"/>
    <w:rsid w:val="00B123EF"/>
    <w:rsid w:val="00B13299"/>
    <w:rsid w:val="00B13D10"/>
    <w:rsid w:val="00B20BD0"/>
    <w:rsid w:val="00B21F78"/>
    <w:rsid w:val="00B23C21"/>
    <w:rsid w:val="00B241B4"/>
    <w:rsid w:val="00B24D2D"/>
    <w:rsid w:val="00B340F8"/>
    <w:rsid w:val="00B3762A"/>
    <w:rsid w:val="00B4101D"/>
    <w:rsid w:val="00B41509"/>
    <w:rsid w:val="00B43375"/>
    <w:rsid w:val="00B52FAD"/>
    <w:rsid w:val="00B56276"/>
    <w:rsid w:val="00B606E5"/>
    <w:rsid w:val="00B606E6"/>
    <w:rsid w:val="00B61A35"/>
    <w:rsid w:val="00B70428"/>
    <w:rsid w:val="00B70DB8"/>
    <w:rsid w:val="00B72632"/>
    <w:rsid w:val="00B73C10"/>
    <w:rsid w:val="00B74A78"/>
    <w:rsid w:val="00B74F12"/>
    <w:rsid w:val="00B75AC5"/>
    <w:rsid w:val="00B76971"/>
    <w:rsid w:val="00B84E80"/>
    <w:rsid w:val="00B85D3C"/>
    <w:rsid w:val="00B85F6B"/>
    <w:rsid w:val="00B92A1E"/>
    <w:rsid w:val="00B93447"/>
    <w:rsid w:val="00B93769"/>
    <w:rsid w:val="00B9604A"/>
    <w:rsid w:val="00B9646A"/>
    <w:rsid w:val="00BA39BA"/>
    <w:rsid w:val="00BA3B89"/>
    <w:rsid w:val="00BA55D3"/>
    <w:rsid w:val="00BA7689"/>
    <w:rsid w:val="00BB0B42"/>
    <w:rsid w:val="00BB49A2"/>
    <w:rsid w:val="00BB521C"/>
    <w:rsid w:val="00BB5E64"/>
    <w:rsid w:val="00BC32EB"/>
    <w:rsid w:val="00BC4611"/>
    <w:rsid w:val="00BC68AA"/>
    <w:rsid w:val="00BD020C"/>
    <w:rsid w:val="00BD0D17"/>
    <w:rsid w:val="00BD4663"/>
    <w:rsid w:val="00BD6425"/>
    <w:rsid w:val="00BF0849"/>
    <w:rsid w:val="00BF33D6"/>
    <w:rsid w:val="00BF3E98"/>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0BC"/>
    <w:rsid w:val="00C348DE"/>
    <w:rsid w:val="00C349B7"/>
    <w:rsid w:val="00C3641F"/>
    <w:rsid w:val="00C40580"/>
    <w:rsid w:val="00C4092B"/>
    <w:rsid w:val="00C41A12"/>
    <w:rsid w:val="00C41D76"/>
    <w:rsid w:val="00C46269"/>
    <w:rsid w:val="00C5061E"/>
    <w:rsid w:val="00C527BF"/>
    <w:rsid w:val="00C54EDB"/>
    <w:rsid w:val="00C550E2"/>
    <w:rsid w:val="00C561B4"/>
    <w:rsid w:val="00C569F3"/>
    <w:rsid w:val="00C57F3A"/>
    <w:rsid w:val="00C6524D"/>
    <w:rsid w:val="00C6577D"/>
    <w:rsid w:val="00C66942"/>
    <w:rsid w:val="00C80014"/>
    <w:rsid w:val="00C822A5"/>
    <w:rsid w:val="00C8645E"/>
    <w:rsid w:val="00C90BFF"/>
    <w:rsid w:val="00C9379A"/>
    <w:rsid w:val="00C97F28"/>
    <w:rsid w:val="00CA42AB"/>
    <w:rsid w:val="00CA504C"/>
    <w:rsid w:val="00CA767B"/>
    <w:rsid w:val="00CB118D"/>
    <w:rsid w:val="00CB24A2"/>
    <w:rsid w:val="00CC153D"/>
    <w:rsid w:val="00CC5DA1"/>
    <w:rsid w:val="00CD1A38"/>
    <w:rsid w:val="00CD1ED6"/>
    <w:rsid w:val="00CD4530"/>
    <w:rsid w:val="00CE04EA"/>
    <w:rsid w:val="00CE199D"/>
    <w:rsid w:val="00CE21A3"/>
    <w:rsid w:val="00CE3D7D"/>
    <w:rsid w:val="00CF07E7"/>
    <w:rsid w:val="00CF20EC"/>
    <w:rsid w:val="00D044FA"/>
    <w:rsid w:val="00D06A40"/>
    <w:rsid w:val="00D07F3D"/>
    <w:rsid w:val="00D11889"/>
    <w:rsid w:val="00D143FA"/>
    <w:rsid w:val="00D14989"/>
    <w:rsid w:val="00D1696F"/>
    <w:rsid w:val="00D246C7"/>
    <w:rsid w:val="00D251F1"/>
    <w:rsid w:val="00D330E4"/>
    <w:rsid w:val="00D354C6"/>
    <w:rsid w:val="00D4074A"/>
    <w:rsid w:val="00D4395E"/>
    <w:rsid w:val="00D44376"/>
    <w:rsid w:val="00D4445B"/>
    <w:rsid w:val="00D501A2"/>
    <w:rsid w:val="00D50C49"/>
    <w:rsid w:val="00D51521"/>
    <w:rsid w:val="00D515DA"/>
    <w:rsid w:val="00D62BAC"/>
    <w:rsid w:val="00D66F78"/>
    <w:rsid w:val="00D705DA"/>
    <w:rsid w:val="00D77ADC"/>
    <w:rsid w:val="00D77F0D"/>
    <w:rsid w:val="00D820EB"/>
    <w:rsid w:val="00D8308D"/>
    <w:rsid w:val="00D833EB"/>
    <w:rsid w:val="00D837CC"/>
    <w:rsid w:val="00D92526"/>
    <w:rsid w:val="00D97143"/>
    <w:rsid w:val="00D9748A"/>
    <w:rsid w:val="00DA43E0"/>
    <w:rsid w:val="00DA5A27"/>
    <w:rsid w:val="00DA78A9"/>
    <w:rsid w:val="00DA7A2B"/>
    <w:rsid w:val="00DB201C"/>
    <w:rsid w:val="00DB2DB0"/>
    <w:rsid w:val="00DB3857"/>
    <w:rsid w:val="00DB44A2"/>
    <w:rsid w:val="00DB6E39"/>
    <w:rsid w:val="00DC0F23"/>
    <w:rsid w:val="00DC18EE"/>
    <w:rsid w:val="00DC2771"/>
    <w:rsid w:val="00DC295F"/>
    <w:rsid w:val="00DC3C57"/>
    <w:rsid w:val="00DC40E4"/>
    <w:rsid w:val="00DD2FE5"/>
    <w:rsid w:val="00DD6FE7"/>
    <w:rsid w:val="00DF3437"/>
    <w:rsid w:val="00DF3F05"/>
    <w:rsid w:val="00DF6B27"/>
    <w:rsid w:val="00DF749F"/>
    <w:rsid w:val="00DF7FC5"/>
    <w:rsid w:val="00E03447"/>
    <w:rsid w:val="00E0477B"/>
    <w:rsid w:val="00E072D2"/>
    <w:rsid w:val="00E12287"/>
    <w:rsid w:val="00E1770C"/>
    <w:rsid w:val="00E22677"/>
    <w:rsid w:val="00E23CB4"/>
    <w:rsid w:val="00E23CE7"/>
    <w:rsid w:val="00E3045C"/>
    <w:rsid w:val="00E30CD1"/>
    <w:rsid w:val="00E323CD"/>
    <w:rsid w:val="00E34CBA"/>
    <w:rsid w:val="00E36F2B"/>
    <w:rsid w:val="00E37E1A"/>
    <w:rsid w:val="00E40765"/>
    <w:rsid w:val="00E4276E"/>
    <w:rsid w:val="00E44D44"/>
    <w:rsid w:val="00E44FFE"/>
    <w:rsid w:val="00E50662"/>
    <w:rsid w:val="00E51C4F"/>
    <w:rsid w:val="00E57E75"/>
    <w:rsid w:val="00E67AFF"/>
    <w:rsid w:val="00E7480F"/>
    <w:rsid w:val="00E753BD"/>
    <w:rsid w:val="00E774B6"/>
    <w:rsid w:val="00E83E00"/>
    <w:rsid w:val="00E8753A"/>
    <w:rsid w:val="00E90A44"/>
    <w:rsid w:val="00E966A2"/>
    <w:rsid w:val="00E97E89"/>
    <w:rsid w:val="00EA6CED"/>
    <w:rsid w:val="00EB0C83"/>
    <w:rsid w:val="00EB5E32"/>
    <w:rsid w:val="00EB772E"/>
    <w:rsid w:val="00EC514B"/>
    <w:rsid w:val="00ED08E0"/>
    <w:rsid w:val="00ED0F4E"/>
    <w:rsid w:val="00ED1DD5"/>
    <w:rsid w:val="00ED2BA5"/>
    <w:rsid w:val="00ED3882"/>
    <w:rsid w:val="00ED3E6B"/>
    <w:rsid w:val="00ED5759"/>
    <w:rsid w:val="00ED5E6F"/>
    <w:rsid w:val="00EE183A"/>
    <w:rsid w:val="00EE263C"/>
    <w:rsid w:val="00EE3D96"/>
    <w:rsid w:val="00EE7357"/>
    <w:rsid w:val="00EF4162"/>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550C"/>
    <w:rsid w:val="00F4075D"/>
    <w:rsid w:val="00F43CC2"/>
    <w:rsid w:val="00F45279"/>
    <w:rsid w:val="00F45D4D"/>
    <w:rsid w:val="00F477AD"/>
    <w:rsid w:val="00F4787A"/>
    <w:rsid w:val="00F55612"/>
    <w:rsid w:val="00F611C6"/>
    <w:rsid w:val="00F652FF"/>
    <w:rsid w:val="00F6638A"/>
    <w:rsid w:val="00F6673D"/>
    <w:rsid w:val="00F6765C"/>
    <w:rsid w:val="00F7607C"/>
    <w:rsid w:val="00F8155D"/>
    <w:rsid w:val="00F84ACA"/>
    <w:rsid w:val="00F865A9"/>
    <w:rsid w:val="00F8733E"/>
    <w:rsid w:val="00F913B7"/>
    <w:rsid w:val="00F91EA4"/>
    <w:rsid w:val="00F92464"/>
    <w:rsid w:val="00FA10AA"/>
    <w:rsid w:val="00FA2F7C"/>
    <w:rsid w:val="00FA3BF1"/>
    <w:rsid w:val="00FB0D3D"/>
    <w:rsid w:val="00FB166A"/>
    <w:rsid w:val="00FB7721"/>
    <w:rsid w:val="00FC3B11"/>
    <w:rsid w:val="00FC64D6"/>
    <w:rsid w:val="00FC6768"/>
    <w:rsid w:val="00FD08DF"/>
    <w:rsid w:val="00FD4E32"/>
    <w:rsid w:val="00FD771E"/>
    <w:rsid w:val="00FD7F16"/>
    <w:rsid w:val="00FE1886"/>
    <w:rsid w:val="00FE2B6B"/>
    <w:rsid w:val="00FE2CC0"/>
    <w:rsid w:val="00FE441D"/>
    <w:rsid w:val="00FF46EE"/>
    <w:rsid w:val="149E474A"/>
    <w:rsid w:val="2D6D5335"/>
    <w:rsid w:val="35C863A1"/>
    <w:rsid w:val="3DD41285"/>
    <w:rsid w:val="45ED39EA"/>
    <w:rsid w:val="4F9B33E8"/>
    <w:rsid w:val="54931C51"/>
    <w:rsid w:val="687025FC"/>
    <w:rsid w:val="6B560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5" w:themeColor="accent1" w:themeShade="BF"/>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45E7F2-6933-46D9-8985-29460243801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1478</Words>
  <Characters>8431</Characters>
  <Lines>70</Lines>
  <Paragraphs>19</Paragraphs>
  <TotalTime>59</TotalTime>
  <ScaleCrop>false</ScaleCrop>
  <LinksUpToDate>false</LinksUpToDate>
  <CharactersWithSpaces>9890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2021-03-29T01:33:00Z</dcterms:created>
  <dc:creator>Mandy.Z</dc:creator>
  <cp:lastModifiedBy>cib</cp:lastModifiedBy>
  <cp:lastPrinted>2017-10-31T06:33:00Z</cp:lastPrinted>
  <dcterms:modified xsi:type="dcterms:W3CDTF">2023-08-01T02:45:36Z</dcterms:modified>
  <dc:title>___证券投资基金招募说明书1</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